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DE02" w14:textId="6A867EAA" w:rsidR="000A002B" w:rsidRDefault="001945CB" w:rsidP="00CF116A">
      <w:pPr>
        <w:spacing w:after="0"/>
        <w:rPr>
          <w:rFonts w:ascii="Times New Roman" w:hAnsi="Times New Roman" w:cs="Times New Roman"/>
          <w:b/>
          <w:bCs/>
          <w:sz w:val="36"/>
          <w:szCs w:val="36"/>
        </w:rPr>
      </w:pPr>
      <w:r w:rsidRPr="00F37C31">
        <w:rPr>
          <w:rFonts w:ascii="Times New Roman" w:hAnsi="Times New Roman" w:cs="Times New Roman"/>
          <w:b/>
          <w:bCs/>
          <w:sz w:val="36"/>
          <w:szCs w:val="36"/>
        </w:rPr>
        <w:t>INTELLIGENZA ARTIFICIALE,</w:t>
      </w:r>
      <w:r w:rsidR="00F37C31" w:rsidRPr="00F37C31">
        <w:rPr>
          <w:rFonts w:ascii="Times New Roman" w:hAnsi="Times New Roman" w:cs="Times New Roman"/>
          <w:b/>
          <w:bCs/>
          <w:sz w:val="36"/>
          <w:szCs w:val="36"/>
        </w:rPr>
        <w:t xml:space="preserve"> </w:t>
      </w:r>
      <w:r w:rsidRPr="00F37C31">
        <w:rPr>
          <w:rFonts w:ascii="Times New Roman" w:hAnsi="Times New Roman" w:cs="Times New Roman"/>
          <w:b/>
          <w:bCs/>
          <w:sz w:val="36"/>
          <w:szCs w:val="36"/>
        </w:rPr>
        <w:t>NEUROSCIENZE,</w:t>
      </w:r>
      <w:r w:rsidR="00F37C31" w:rsidRPr="00F37C31">
        <w:rPr>
          <w:rFonts w:ascii="Times New Roman" w:hAnsi="Times New Roman" w:cs="Times New Roman"/>
          <w:b/>
          <w:bCs/>
          <w:sz w:val="36"/>
          <w:szCs w:val="36"/>
        </w:rPr>
        <w:t xml:space="preserve"> </w:t>
      </w:r>
      <w:r w:rsidRPr="00F37C31">
        <w:rPr>
          <w:rFonts w:ascii="Times New Roman" w:hAnsi="Times New Roman" w:cs="Times New Roman"/>
          <w:b/>
          <w:bCs/>
          <w:sz w:val="36"/>
          <w:szCs w:val="36"/>
        </w:rPr>
        <w:t>ALGORITMI</w:t>
      </w:r>
      <w:r w:rsidR="002746D6">
        <w:rPr>
          <w:rFonts w:ascii="Times New Roman" w:hAnsi="Times New Roman" w:cs="Times New Roman"/>
          <w:b/>
          <w:bCs/>
          <w:sz w:val="36"/>
          <w:szCs w:val="36"/>
        </w:rPr>
        <w:t>: LE SFIDE FUTURE PER IL GIURISTA</w:t>
      </w:r>
    </w:p>
    <w:p w14:paraId="44B64162" w14:textId="77777777" w:rsidR="00CF116A" w:rsidRPr="00CF116A" w:rsidRDefault="00CF116A" w:rsidP="00CF116A">
      <w:pPr>
        <w:spacing w:after="0"/>
        <w:rPr>
          <w:rFonts w:ascii="Times New Roman" w:hAnsi="Times New Roman" w:cs="Times New Roman"/>
          <w:b/>
          <w:bCs/>
          <w:sz w:val="32"/>
          <w:szCs w:val="32"/>
        </w:rPr>
      </w:pPr>
    </w:p>
    <w:p w14:paraId="02C0C32C" w14:textId="13553C3A" w:rsidR="000A002B" w:rsidRPr="006733D4" w:rsidRDefault="000A002B" w:rsidP="00CF116A">
      <w:pPr>
        <w:spacing w:after="0"/>
        <w:rPr>
          <w:rFonts w:ascii="Times New Roman" w:hAnsi="Times New Roman" w:cs="Times New Roman"/>
          <w:b/>
          <w:bCs/>
          <w:sz w:val="28"/>
          <w:szCs w:val="28"/>
        </w:rPr>
      </w:pPr>
      <w:r w:rsidRPr="00CF116A">
        <w:rPr>
          <w:rFonts w:ascii="Times New Roman" w:hAnsi="Times New Roman" w:cs="Times New Roman"/>
          <w:b/>
          <w:bCs/>
          <w:sz w:val="32"/>
          <w:szCs w:val="32"/>
        </w:rPr>
        <w:t>INDICE</w:t>
      </w:r>
      <w:r w:rsidR="00CF116A" w:rsidRPr="00CF116A">
        <w:rPr>
          <w:rFonts w:ascii="Times New Roman" w:hAnsi="Times New Roman" w:cs="Times New Roman"/>
          <w:b/>
          <w:bCs/>
          <w:sz w:val="32"/>
          <w:szCs w:val="32"/>
        </w:rPr>
        <w:t>:</w:t>
      </w:r>
    </w:p>
    <w:p w14:paraId="185679F2" w14:textId="32293232" w:rsidR="00CF116A" w:rsidRPr="006733D4" w:rsidRDefault="00CF116A" w:rsidP="00CF116A">
      <w:pPr>
        <w:jc w:val="both"/>
        <w:rPr>
          <w:rFonts w:ascii="Times New Roman" w:hAnsi="Times New Roman" w:cs="Times New Roman"/>
          <w:sz w:val="28"/>
          <w:szCs w:val="28"/>
        </w:rPr>
      </w:pPr>
      <w:r w:rsidRPr="006733D4">
        <w:rPr>
          <w:rFonts w:ascii="Times New Roman" w:hAnsi="Times New Roman" w:cs="Times New Roman"/>
          <w:b/>
          <w:bCs/>
          <w:sz w:val="28"/>
          <w:szCs w:val="28"/>
        </w:rPr>
        <w:t>Capitolo I – I problemi che gli algoritmi pongono oggi al giurista</w:t>
      </w:r>
      <w:r w:rsidR="003E27E1">
        <w:rPr>
          <w:rFonts w:ascii="Times New Roman" w:hAnsi="Times New Roman" w:cs="Times New Roman"/>
          <w:b/>
          <w:bCs/>
          <w:sz w:val="28"/>
          <w:szCs w:val="28"/>
        </w:rPr>
        <w:t xml:space="preserve">; </w:t>
      </w:r>
      <w:r w:rsidRPr="006733D4">
        <w:rPr>
          <w:rFonts w:ascii="Times New Roman" w:hAnsi="Times New Roman" w:cs="Times New Roman"/>
          <w:sz w:val="28"/>
          <w:szCs w:val="28"/>
        </w:rPr>
        <w:t xml:space="preserve">pag. </w:t>
      </w:r>
      <w:r w:rsidR="00935AE7">
        <w:rPr>
          <w:rFonts w:ascii="Times New Roman" w:hAnsi="Times New Roman" w:cs="Times New Roman"/>
          <w:sz w:val="28"/>
          <w:szCs w:val="28"/>
        </w:rPr>
        <w:t>3</w:t>
      </w:r>
    </w:p>
    <w:p w14:paraId="7F08277B" w14:textId="64F978CC" w:rsidR="00CF116A" w:rsidRPr="006733D4" w:rsidRDefault="00CF116A" w:rsidP="00CF116A">
      <w:pPr>
        <w:jc w:val="both"/>
        <w:rPr>
          <w:rFonts w:ascii="Times New Roman" w:hAnsi="Times New Roman" w:cs="Times New Roman"/>
          <w:sz w:val="28"/>
          <w:szCs w:val="28"/>
        </w:rPr>
      </w:pPr>
      <w:r w:rsidRPr="006733D4">
        <w:rPr>
          <w:rFonts w:ascii="Times New Roman" w:hAnsi="Times New Roman" w:cs="Times New Roman"/>
          <w:b/>
          <w:bCs/>
          <w:sz w:val="28"/>
          <w:szCs w:val="28"/>
        </w:rPr>
        <w:t>Capitolo II – Algoritmo e diritto amministrativo</w:t>
      </w:r>
      <w:r w:rsidR="003E27E1">
        <w:rPr>
          <w:rFonts w:ascii="Times New Roman" w:hAnsi="Times New Roman" w:cs="Times New Roman"/>
          <w:b/>
          <w:bCs/>
          <w:sz w:val="28"/>
          <w:szCs w:val="28"/>
        </w:rPr>
        <w:t xml:space="preserve">; </w:t>
      </w:r>
      <w:r w:rsidRPr="006733D4">
        <w:rPr>
          <w:rFonts w:ascii="Times New Roman" w:hAnsi="Times New Roman" w:cs="Times New Roman"/>
          <w:sz w:val="28"/>
          <w:szCs w:val="28"/>
        </w:rPr>
        <w:t>pag.</w:t>
      </w:r>
      <w:r w:rsidR="00935AE7">
        <w:rPr>
          <w:rFonts w:ascii="Times New Roman" w:hAnsi="Times New Roman" w:cs="Times New Roman"/>
          <w:sz w:val="28"/>
          <w:szCs w:val="28"/>
        </w:rPr>
        <w:t xml:space="preserve"> 19</w:t>
      </w:r>
    </w:p>
    <w:p w14:paraId="7808EEB3" w14:textId="6C894DD5" w:rsidR="00CF116A" w:rsidRPr="006733D4" w:rsidRDefault="00CF116A" w:rsidP="00CF116A">
      <w:pPr>
        <w:jc w:val="both"/>
        <w:rPr>
          <w:rFonts w:ascii="Times New Roman" w:hAnsi="Times New Roman" w:cs="Times New Roman"/>
          <w:sz w:val="28"/>
          <w:szCs w:val="28"/>
        </w:rPr>
      </w:pPr>
      <w:r w:rsidRPr="006733D4">
        <w:rPr>
          <w:rFonts w:ascii="Times New Roman" w:hAnsi="Times New Roman" w:cs="Times New Roman"/>
          <w:b/>
          <w:bCs/>
          <w:sz w:val="28"/>
          <w:szCs w:val="28"/>
        </w:rPr>
        <w:t>Capitolo III – Algoritmo e diritto penale</w:t>
      </w:r>
      <w:r w:rsidR="003E27E1">
        <w:rPr>
          <w:rFonts w:ascii="Times New Roman" w:hAnsi="Times New Roman" w:cs="Times New Roman"/>
          <w:b/>
          <w:bCs/>
          <w:sz w:val="28"/>
          <w:szCs w:val="28"/>
        </w:rPr>
        <w:t xml:space="preserve">; </w:t>
      </w:r>
      <w:r w:rsidRPr="006733D4">
        <w:rPr>
          <w:rFonts w:ascii="Times New Roman" w:hAnsi="Times New Roman" w:cs="Times New Roman"/>
          <w:sz w:val="28"/>
          <w:szCs w:val="28"/>
        </w:rPr>
        <w:t xml:space="preserve">pag. </w:t>
      </w:r>
      <w:r w:rsidR="00935AE7">
        <w:rPr>
          <w:rFonts w:ascii="Times New Roman" w:hAnsi="Times New Roman" w:cs="Times New Roman"/>
          <w:sz w:val="28"/>
          <w:szCs w:val="28"/>
        </w:rPr>
        <w:t>41</w:t>
      </w:r>
    </w:p>
    <w:p w14:paraId="47E64D38" w14:textId="5831C5C2" w:rsidR="00CF116A" w:rsidRPr="006733D4" w:rsidRDefault="00CF116A" w:rsidP="00CF116A">
      <w:pPr>
        <w:jc w:val="both"/>
        <w:rPr>
          <w:rFonts w:ascii="Times New Roman" w:hAnsi="Times New Roman" w:cs="Times New Roman"/>
          <w:sz w:val="28"/>
          <w:szCs w:val="28"/>
        </w:rPr>
      </w:pPr>
      <w:r w:rsidRPr="006733D4">
        <w:rPr>
          <w:rFonts w:ascii="Times New Roman" w:hAnsi="Times New Roman" w:cs="Times New Roman"/>
          <w:b/>
          <w:bCs/>
          <w:sz w:val="28"/>
          <w:szCs w:val="28"/>
        </w:rPr>
        <w:t>Capitolo IV – Algoritmo e contratto</w:t>
      </w:r>
      <w:r w:rsidR="003E27E1">
        <w:rPr>
          <w:rFonts w:ascii="Times New Roman" w:hAnsi="Times New Roman" w:cs="Times New Roman"/>
          <w:b/>
          <w:bCs/>
          <w:sz w:val="28"/>
          <w:szCs w:val="28"/>
        </w:rPr>
        <w:t>;</w:t>
      </w:r>
      <w:r w:rsidR="006733D4">
        <w:rPr>
          <w:rFonts w:ascii="Times New Roman" w:hAnsi="Times New Roman" w:cs="Times New Roman"/>
          <w:b/>
          <w:bCs/>
          <w:sz w:val="28"/>
          <w:szCs w:val="28"/>
        </w:rPr>
        <w:t xml:space="preserve"> </w:t>
      </w:r>
      <w:r w:rsidR="006733D4" w:rsidRPr="006733D4">
        <w:rPr>
          <w:rFonts w:ascii="Times New Roman" w:hAnsi="Times New Roman" w:cs="Times New Roman"/>
          <w:sz w:val="28"/>
          <w:szCs w:val="28"/>
        </w:rPr>
        <w:t>pag.</w:t>
      </w:r>
      <w:r w:rsidR="00935AE7" w:rsidRPr="00935AE7">
        <w:rPr>
          <w:rFonts w:ascii="Times New Roman" w:hAnsi="Times New Roman" w:cs="Times New Roman"/>
          <w:sz w:val="28"/>
          <w:szCs w:val="28"/>
        </w:rPr>
        <w:t xml:space="preserve"> 5</w:t>
      </w:r>
      <w:r w:rsidR="00CC378E">
        <w:rPr>
          <w:rFonts w:ascii="Times New Roman" w:hAnsi="Times New Roman" w:cs="Times New Roman"/>
          <w:sz w:val="28"/>
          <w:szCs w:val="28"/>
        </w:rPr>
        <w:t>8</w:t>
      </w:r>
    </w:p>
    <w:p w14:paraId="0662FAFC" w14:textId="0672E9C9" w:rsidR="00CF116A" w:rsidRPr="006733D4" w:rsidRDefault="00CF116A" w:rsidP="00CF116A">
      <w:pPr>
        <w:tabs>
          <w:tab w:val="left" w:pos="8364"/>
        </w:tabs>
        <w:jc w:val="both"/>
        <w:rPr>
          <w:rFonts w:ascii="Times New Roman" w:hAnsi="Times New Roman" w:cs="Times New Roman"/>
          <w:sz w:val="28"/>
          <w:szCs w:val="28"/>
        </w:rPr>
      </w:pPr>
      <w:r w:rsidRPr="006733D4">
        <w:rPr>
          <w:rFonts w:ascii="Times New Roman" w:hAnsi="Times New Roman" w:cs="Times New Roman"/>
          <w:b/>
          <w:bCs/>
          <w:sz w:val="28"/>
          <w:szCs w:val="28"/>
        </w:rPr>
        <w:t>Capitolo V – Il governo della tecnica e il controllo umano delle sue applicazioni</w:t>
      </w:r>
      <w:r w:rsidR="003E27E1">
        <w:rPr>
          <w:rFonts w:ascii="Times New Roman" w:hAnsi="Times New Roman" w:cs="Times New Roman"/>
          <w:b/>
          <w:bCs/>
          <w:sz w:val="28"/>
          <w:szCs w:val="28"/>
        </w:rPr>
        <w:t xml:space="preserve">; </w:t>
      </w:r>
      <w:r w:rsidR="003E27E1" w:rsidRPr="003E27E1">
        <w:rPr>
          <w:rFonts w:ascii="Times New Roman" w:hAnsi="Times New Roman" w:cs="Times New Roman"/>
          <w:sz w:val="28"/>
          <w:szCs w:val="28"/>
        </w:rPr>
        <w:t>pag.</w:t>
      </w:r>
      <w:r w:rsidR="006733D4" w:rsidRPr="003E27E1">
        <w:rPr>
          <w:rFonts w:ascii="Times New Roman" w:hAnsi="Times New Roman" w:cs="Times New Roman"/>
          <w:sz w:val="28"/>
          <w:szCs w:val="28"/>
        </w:rPr>
        <w:t xml:space="preserve"> </w:t>
      </w:r>
      <w:r w:rsidR="004B498E">
        <w:rPr>
          <w:rFonts w:ascii="Times New Roman" w:hAnsi="Times New Roman" w:cs="Times New Roman"/>
          <w:sz w:val="28"/>
          <w:szCs w:val="28"/>
        </w:rPr>
        <w:t>7</w:t>
      </w:r>
      <w:r w:rsidR="001F3C2A">
        <w:rPr>
          <w:rFonts w:ascii="Times New Roman" w:hAnsi="Times New Roman" w:cs="Times New Roman"/>
          <w:sz w:val="28"/>
          <w:szCs w:val="28"/>
        </w:rPr>
        <w:t>1</w:t>
      </w:r>
      <w:r w:rsidR="006733D4" w:rsidRPr="003E27E1">
        <w:rPr>
          <w:rFonts w:ascii="Times New Roman" w:hAnsi="Times New Roman" w:cs="Times New Roman"/>
          <w:sz w:val="28"/>
          <w:szCs w:val="28"/>
        </w:rPr>
        <w:t xml:space="preserve">                                                                                           </w:t>
      </w:r>
    </w:p>
    <w:p w14:paraId="14753274" w14:textId="1379A4E8" w:rsidR="00CF116A" w:rsidRPr="006733D4" w:rsidRDefault="00CF116A" w:rsidP="00CF116A">
      <w:pPr>
        <w:tabs>
          <w:tab w:val="left" w:pos="8364"/>
        </w:tabs>
        <w:jc w:val="both"/>
        <w:rPr>
          <w:rFonts w:ascii="Times New Roman" w:hAnsi="Times New Roman" w:cs="Times New Roman"/>
          <w:sz w:val="28"/>
          <w:szCs w:val="28"/>
        </w:rPr>
      </w:pPr>
      <w:r w:rsidRPr="006733D4">
        <w:rPr>
          <w:rFonts w:ascii="Times New Roman" w:hAnsi="Times New Roman" w:cs="Times New Roman"/>
          <w:b/>
          <w:bCs/>
          <w:sz w:val="28"/>
          <w:szCs w:val="28"/>
        </w:rPr>
        <w:t>Capitolo VI – Qual è oggi la più grande intelligenza artificiale del mondo?</w:t>
      </w:r>
      <w:r w:rsidR="003E27E1">
        <w:rPr>
          <w:rFonts w:ascii="Times New Roman" w:hAnsi="Times New Roman" w:cs="Times New Roman"/>
          <w:b/>
          <w:bCs/>
          <w:sz w:val="28"/>
          <w:szCs w:val="28"/>
        </w:rPr>
        <w:t xml:space="preserve"> </w:t>
      </w:r>
      <w:r w:rsidR="003E27E1" w:rsidRPr="003E27E1">
        <w:rPr>
          <w:rFonts w:ascii="Times New Roman" w:hAnsi="Times New Roman" w:cs="Times New Roman"/>
          <w:sz w:val="28"/>
          <w:szCs w:val="28"/>
        </w:rPr>
        <w:t>pag.</w:t>
      </w:r>
      <w:r w:rsidRPr="003E27E1">
        <w:rPr>
          <w:rFonts w:ascii="Times New Roman" w:hAnsi="Times New Roman" w:cs="Times New Roman"/>
          <w:sz w:val="28"/>
          <w:szCs w:val="28"/>
        </w:rPr>
        <w:t xml:space="preserve"> </w:t>
      </w:r>
      <w:r w:rsidR="004B498E">
        <w:rPr>
          <w:rFonts w:ascii="Times New Roman" w:hAnsi="Times New Roman" w:cs="Times New Roman"/>
          <w:sz w:val="28"/>
          <w:szCs w:val="28"/>
        </w:rPr>
        <w:t>9</w:t>
      </w:r>
      <w:r w:rsidR="001F3C2A">
        <w:rPr>
          <w:rFonts w:ascii="Times New Roman" w:hAnsi="Times New Roman" w:cs="Times New Roman"/>
          <w:sz w:val="28"/>
          <w:szCs w:val="28"/>
        </w:rPr>
        <w:t>8</w:t>
      </w:r>
      <w:r w:rsidRPr="003E27E1">
        <w:rPr>
          <w:rFonts w:ascii="Times New Roman" w:hAnsi="Times New Roman" w:cs="Times New Roman"/>
          <w:sz w:val="28"/>
          <w:szCs w:val="28"/>
        </w:rPr>
        <w:t xml:space="preserve">                                                                               </w:t>
      </w:r>
    </w:p>
    <w:p w14:paraId="4FB406DB" w14:textId="7A5D5D85" w:rsidR="00CF116A" w:rsidRPr="006733D4" w:rsidRDefault="00CF116A" w:rsidP="00CF116A">
      <w:pPr>
        <w:tabs>
          <w:tab w:val="left" w:pos="8364"/>
        </w:tabs>
        <w:jc w:val="both"/>
        <w:rPr>
          <w:rFonts w:ascii="Times New Roman" w:hAnsi="Times New Roman" w:cs="Times New Roman"/>
          <w:sz w:val="28"/>
          <w:szCs w:val="28"/>
        </w:rPr>
      </w:pPr>
      <w:r w:rsidRPr="006733D4">
        <w:rPr>
          <w:rFonts w:ascii="Times New Roman" w:hAnsi="Times New Roman" w:cs="Times New Roman"/>
          <w:b/>
          <w:bCs/>
          <w:sz w:val="28"/>
          <w:szCs w:val="28"/>
        </w:rPr>
        <w:t xml:space="preserve">Capitolo VII – Algoritmi, neuroscienze e </w:t>
      </w:r>
      <w:proofErr w:type="spellStart"/>
      <w:r w:rsidRPr="006733D4">
        <w:rPr>
          <w:rFonts w:ascii="Times New Roman" w:hAnsi="Times New Roman" w:cs="Times New Roman"/>
          <w:b/>
          <w:bCs/>
          <w:sz w:val="28"/>
          <w:szCs w:val="28"/>
        </w:rPr>
        <w:t>neurodiritti</w:t>
      </w:r>
      <w:proofErr w:type="spellEnd"/>
      <w:r w:rsidRPr="006733D4">
        <w:rPr>
          <w:rFonts w:ascii="Times New Roman" w:hAnsi="Times New Roman" w:cs="Times New Roman"/>
          <w:b/>
          <w:bCs/>
          <w:sz w:val="28"/>
          <w:szCs w:val="28"/>
        </w:rPr>
        <w:t>. L’algoritmo e l’adolescenza</w:t>
      </w:r>
      <w:r w:rsidR="003E27E1">
        <w:rPr>
          <w:rFonts w:ascii="Times New Roman" w:hAnsi="Times New Roman" w:cs="Times New Roman"/>
          <w:b/>
          <w:bCs/>
          <w:sz w:val="28"/>
          <w:szCs w:val="28"/>
        </w:rPr>
        <w:t xml:space="preserve">; </w:t>
      </w:r>
      <w:r w:rsidR="003E27E1" w:rsidRPr="003E27E1">
        <w:rPr>
          <w:rFonts w:ascii="Times New Roman" w:hAnsi="Times New Roman" w:cs="Times New Roman"/>
          <w:sz w:val="28"/>
          <w:szCs w:val="28"/>
        </w:rPr>
        <w:t>pag.</w:t>
      </w:r>
      <w:r w:rsidRPr="006733D4">
        <w:rPr>
          <w:rFonts w:ascii="Times New Roman" w:hAnsi="Times New Roman" w:cs="Times New Roman"/>
          <w:sz w:val="28"/>
          <w:szCs w:val="28"/>
        </w:rPr>
        <w:t xml:space="preserve"> </w:t>
      </w:r>
      <w:r w:rsidR="004B498E">
        <w:rPr>
          <w:rFonts w:ascii="Times New Roman" w:hAnsi="Times New Roman" w:cs="Times New Roman"/>
          <w:sz w:val="28"/>
          <w:szCs w:val="28"/>
        </w:rPr>
        <w:t>10</w:t>
      </w:r>
      <w:r w:rsidR="001F3C2A">
        <w:rPr>
          <w:rFonts w:ascii="Times New Roman" w:hAnsi="Times New Roman" w:cs="Times New Roman"/>
          <w:sz w:val="28"/>
          <w:szCs w:val="28"/>
        </w:rPr>
        <w:t>7</w:t>
      </w:r>
    </w:p>
    <w:p w14:paraId="38A8320E" w14:textId="0DF44043" w:rsidR="00CF116A" w:rsidRPr="006733D4" w:rsidRDefault="00CF116A" w:rsidP="00CF116A">
      <w:pPr>
        <w:jc w:val="both"/>
        <w:rPr>
          <w:rFonts w:ascii="Times New Roman" w:hAnsi="Times New Roman" w:cs="Times New Roman"/>
          <w:sz w:val="28"/>
          <w:szCs w:val="28"/>
        </w:rPr>
      </w:pPr>
      <w:r w:rsidRPr="006733D4">
        <w:rPr>
          <w:rFonts w:ascii="Times New Roman" w:hAnsi="Times New Roman" w:cs="Times New Roman"/>
          <w:b/>
          <w:bCs/>
          <w:sz w:val="28"/>
          <w:szCs w:val="28"/>
        </w:rPr>
        <w:t>Capitolo VIII – Strumenti normativi regolatori e prospettive future nella dimensione euro-unitaria e in quella nazionale</w:t>
      </w:r>
      <w:r w:rsidR="003E27E1">
        <w:rPr>
          <w:rFonts w:ascii="Times New Roman" w:hAnsi="Times New Roman" w:cs="Times New Roman"/>
          <w:b/>
          <w:bCs/>
          <w:sz w:val="28"/>
          <w:szCs w:val="28"/>
        </w:rPr>
        <w:t xml:space="preserve">; </w:t>
      </w:r>
      <w:r w:rsidRPr="006733D4">
        <w:rPr>
          <w:rFonts w:ascii="Times New Roman" w:hAnsi="Times New Roman" w:cs="Times New Roman"/>
          <w:sz w:val="28"/>
          <w:szCs w:val="28"/>
        </w:rPr>
        <w:t xml:space="preserve">pag. </w:t>
      </w:r>
      <w:r w:rsidR="004B498E">
        <w:rPr>
          <w:rFonts w:ascii="Times New Roman" w:hAnsi="Times New Roman" w:cs="Times New Roman"/>
          <w:sz w:val="28"/>
          <w:szCs w:val="28"/>
        </w:rPr>
        <w:t>1</w:t>
      </w:r>
      <w:r w:rsidR="001F3C2A">
        <w:rPr>
          <w:rFonts w:ascii="Times New Roman" w:hAnsi="Times New Roman" w:cs="Times New Roman"/>
          <w:sz w:val="28"/>
          <w:szCs w:val="28"/>
        </w:rPr>
        <w:t>30</w:t>
      </w:r>
    </w:p>
    <w:p w14:paraId="1E1086F2" w14:textId="43DBCB60" w:rsidR="00CF116A" w:rsidRPr="006733D4" w:rsidRDefault="00CF116A" w:rsidP="00CF116A">
      <w:pPr>
        <w:pStyle w:val="NormaleWeb"/>
        <w:jc w:val="both"/>
        <w:rPr>
          <w:sz w:val="28"/>
          <w:szCs w:val="28"/>
        </w:rPr>
      </w:pPr>
      <w:r w:rsidRPr="006733D4">
        <w:rPr>
          <w:b/>
          <w:bCs/>
          <w:sz w:val="28"/>
          <w:szCs w:val="28"/>
        </w:rPr>
        <w:t>Capitolo IX – Servizio civile digitale</w:t>
      </w:r>
      <w:r w:rsidR="003E27E1">
        <w:rPr>
          <w:b/>
          <w:bCs/>
          <w:sz w:val="28"/>
          <w:szCs w:val="28"/>
        </w:rPr>
        <w:t>;</w:t>
      </w:r>
      <w:r w:rsidRPr="006733D4">
        <w:rPr>
          <w:b/>
          <w:bCs/>
          <w:sz w:val="28"/>
          <w:szCs w:val="28"/>
        </w:rPr>
        <w:t xml:space="preserve"> </w:t>
      </w:r>
      <w:r w:rsidRPr="006733D4">
        <w:rPr>
          <w:sz w:val="28"/>
          <w:szCs w:val="28"/>
        </w:rPr>
        <w:t xml:space="preserve">pag. </w:t>
      </w:r>
      <w:r w:rsidR="00A53C89">
        <w:rPr>
          <w:sz w:val="28"/>
          <w:szCs w:val="28"/>
        </w:rPr>
        <w:t>1</w:t>
      </w:r>
      <w:r w:rsidR="001F3C2A">
        <w:rPr>
          <w:sz w:val="28"/>
          <w:szCs w:val="28"/>
        </w:rPr>
        <w:t>41</w:t>
      </w:r>
    </w:p>
    <w:p w14:paraId="0A1A6C1F" w14:textId="7E94C219" w:rsidR="00CF116A" w:rsidRPr="006733D4" w:rsidRDefault="00CF116A" w:rsidP="00CF116A">
      <w:pPr>
        <w:pStyle w:val="NormaleWeb"/>
        <w:jc w:val="both"/>
        <w:rPr>
          <w:sz w:val="28"/>
          <w:szCs w:val="28"/>
        </w:rPr>
      </w:pPr>
      <w:r w:rsidRPr="006733D4">
        <w:rPr>
          <w:b/>
          <w:bCs/>
          <w:sz w:val="28"/>
          <w:szCs w:val="28"/>
        </w:rPr>
        <w:t xml:space="preserve">Capitolo X – </w:t>
      </w:r>
      <w:proofErr w:type="spellStart"/>
      <w:r w:rsidRPr="006733D4">
        <w:rPr>
          <w:b/>
          <w:bCs/>
          <w:i/>
          <w:iCs/>
          <w:sz w:val="28"/>
          <w:szCs w:val="28"/>
        </w:rPr>
        <w:t>Hate</w:t>
      </w:r>
      <w:proofErr w:type="spellEnd"/>
      <w:r w:rsidRPr="006733D4">
        <w:rPr>
          <w:b/>
          <w:bCs/>
          <w:i/>
          <w:iCs/>
          <w:sz w:val="28"/>
          <w:szCs w:val="28"/>
        </w:rPr>
        <w:t xml:space="preserve"> </w:t>
      </w:r>
      <w:proofErr w:type="spellStart"/>
      <w:r w:rsidRPr="006733D4">
        <w:rPr>
          <w:b/>
          <w:bCs/>
          <w:i/>
          <w:iCs/>
          <w:sz w:val="28"/>
          <w:szCs w:val="28"/>
        </w:rPr>
        <w:t>speech</w:t>
      </w:r>
      <w:proofErr w:type="spellEnd"/>
      <w:r w:rsidRPr="00C04B56">
        <w:rPr>
          <w:b/>
          <w:bCs/>
          <w:sz w:val="28"/>
          <w:szCs w:val="28"/>
        </w:rPr>
        <w:t>:</w:t>
      </w:r>
      <w:r w:rsidRPr="006733D4">
        <w:rPr>
          <w:b/>
          <w:bCs/>
          <w:i/>
          <w:iCs/>
          <w:sz w:val="28"/>
          <w:szCs w:val="28"/>
        </w:rPr>
        <w:t xml:space="preserve"> </w:t>
      </w:r>
      <w:r w:rsidRPr="006733D4">
        <w:rPr>
          <w:b/>
          <w:bCs/>
          <w:sz w:val="28"/>
          <w:szCs w:val="28"/>
        </w:rPr>
        <w:t>un fenomeno incontrollabile</w:t>
      </w:r>
      <w:r w:rsidR="003E27E1">
        <w:rPr>
          <w:b/>
          <w:bCs/>
          <w:sz w:val="28"/>
          <w:szCs w:val="28"/>
        </w:rPr>
        <w:t xml:space="preserve">? </w:t>
      </w:r>
      <w:r w:rsidRPr="006733D4">
        <w:rPr>
          <w:sz w:val="28"/>
          <w:szCs w:val="28"/>
        </w:rPr>
        <w:t xml:space="preserve">pag. </w:t>
      </w:r>
      <w:r w:rsidR="00A53C89">
        <w:rPr>
          <w:sz w:val="28"/>
          <w:szCs w:val="28"/>
        </w:rPr>
        <w:t>14</w:t>
      </w:r>
      <w:r w:rsidR="001F3C2A">
        <w:rPr>
          <w:sz w:val="28"/>
          <w:szCs w:val="28"/>
        </w:rPr>
        <w:t>7</w:t>
      </w:r>
    </w:p>
    <w:p w14:paraId="0BE93EF3" w14:textId="11156042" w:rsidR="00CF116A" w:rsidRPr="006733D4" w:rsidRDefault="00CF116A" w:rsidP="00CF116A">
      <w:pPr>
        <w:pStyle w:val="NormaleWeb"/>
        <w:jc w:val="both"/>
        <w:rPr>
          <w:sz w:val="28"/>
          <w:szCs w:val="28"/>
        </w:rPr>
      </w:pPr>
      <w:r w:rsidRPr="006733D4">
        <w:rPr>
          <w:b/>
          <w:bCs/>
          <w:sz w:val="28"/>
          <w:szCs w:val="28"/>
        </w:rPr>
        <w:t xml:space="preserve">Capitolo XI – La figura degli </w:t>
      </w:r>
      <w:proofErr w:type="spellStart"/>
      <w:r w:rsidRPr="006733D4">
        <w:rPr>
          <w:b/>
          <w:bCs/>
          <w:i/>
          <w:iCs/>
          <w:sz w:val="28"/>
          <w:szCs w:val="28"/>
        </w:rPr>
        <w:t>influencer</w:t>
      </w:r>
      <w:proofErr w:type="spellEnd"/>
      <w:r w:rsidR="001F3C2A" w:rsidRPr="00C04B56">
        <w:rPr>
          <w:b/>
          <w:bCs/>
          <w:sz w:val="28"/>
          <w:szCs w:val="28"/>
        </w:rPr>
        <w:t>;</w:t>
      </w:r>
      <w:r w:rsidR="003E27E1">
        <w:rPr>
          <w:b/>
          <w:bCs/>
          <w:i/>
          <w:iCs/>
          <w:sz w:val="28"/>
          <w:szCs w:val="28"/>
        </w:rPr>
        <w:t xml:space="preserve"> </w:t>
      </w:r>
      <w:r w:rsidRPr="006733D4">
        <w:rPr>
          <w:sz w:val="28"/>
          <w:szCs w:val="28"/>
        </w:rPr>
        <w:t xml:space="preserve">pag. </w:t>
      </w:r>
      <w:r w:rsidR="00A53C89">
        <w:rPr>
          <w:sz w:val="28"/>
          <w:szCs w:val="28"/>
        </w:rPr>
        <w:t>16</w:t>
      </w:r>
      <w:r w:rsidR="001F3C2A">
        <w:rPr>
          <w:sz w:val="28"/>
          <w:szCs w:val="28"/>
        </w:rPr>
        <w:t>2</w:t>
      </w:r>
    </w:p>
    <w:p w14:paraId="58C66536" w14:textId="7B827477" w:rsidR="00CF116A" w:rsidRPr="006733D4" w:rsidRDefault="00CF116A" w:rsidP="00CF116A">
      <w:pPr>
        <w:pStyle w:val="NormaleWeb"/>
        <w:jc w:val="both"/>
        <w:rPr>
          <w:sz w:val="28"/>
          <w:szCs w:val="28"/>
        </w:rPr>
      </w:pPr>
      <w:r w:rsidRPr="006733D4">
        <w:rPr>
          <w:b/>
          <w:bCs/>
          <w:sz w:val="28"/>
          <w:szCs w:val="28"/>
        </w:rPr>
        <w:t xml:space="preserve">Capitolo XII – La commercializzazione dei dati personali: il caso </w:t>
      </w:r>
      <w:proofErr w:type="spellStart"/>
      <w:r w:rsidRPr="006733D4">
        <w:rPr>
          <w:b/>
          <w:bCs/>
          <w:sz w:val="28"/>
          <w:szCs w:val="28"/>
        </w:rPr>
        <w:t>Facebook</w:t>
      </w:r>
      <w:proofErr w:type="spellEnd"/>
      <w:r w:rsidR="003E27E1">
        <w:rPr>
          <w:b/>
          <w:bCs/>
          <w:sz w:val="28"/>
          <w:szCs w:val="28"/>
        </w:rPr>
        <w:t xml:space="preserve">; </w:t>
      </w:r>
      <w:r w:rsidR="003E27E1" w:rsidRPr="003E27E1">
        <w:rPr>
          <w:sz w:val="28"/>
          <w:szCs w:val="28"/>
        </w:rPr>
        <w:t>pag.</w:t>
      </w:r>
      <w:r w:rsidRPr="003E27E1">
        <w:rPr>
          <w:sz w:val="28"/>
          <w:szCs w:val="28"/>
        </w:rPr>
        <w:t xml:space="preserve"> </w:t>
      </w:r>
      <w:r w:rsidR="00A53C89">
        <w:rPr>
          <w:sz w:val="28"/>
          <w:szCs w:val="28"/>
        </w:rPr>
        <w:t>17</w:t>
      </w:r>
      <w:r w:rsidR="001F3C2A">
        <w:rPr>
          <w:sz w:val="28"/>
          <w:szCs w:val="28"/>
        </w:rPr>
        <w:t>9</w:t>
      </w:r>
      <w:r w:rsidRPr="003E27E1">
        <w:rPr>
          <w:sz w:val="28"/>
          <w:szCs w:val="28"/>
        </w:rPr>
        <w:t xml:space="preserve">                                                                                           </w:t>
      </w:r>
    </w:p>
    <w:p w14:paraId="161B0591" w14:textId="5FA0B63E" w:rsidR="00CF116A" w:rsidRPr="006733D4" w:rsidRDefault="00CF116A" w:rsidP="00CF116A">
      <w:pPr>
        <w:pStyle w:val="NormaleWeb"/>
        <w:jc w:val="both"/>
        <w:rPr>
          <w:sz w:val="28"/>
          <w:szCs w:val="28"/>
        </w:rPr>
      </w:pPr>
      <w:r w:rsidRPr="006733D4">
        <w:rPr>
          <w:b/>
          <w:bCs/>
          <w:sz w:val="28"/>
          <w:szCs w:val="28"/>
        </w:rPr>
        <w:t>Capitolo XIII – La tutela dei minori e il diritto all’oblio</w:t>
      </w:r>
      <w:r w:rsidR="003E27E1">
        <w:rPr>
          <w:b/>
          <w:bCs/>
          <w:sz w:val="28"/>
          <w:szCs w:val="28"/>
        </w:rPr>
        <w:t xml:space="preserve">; </w:t>
      </w:r>
      <w:r w:rsidRPr="006733D4">
        <w:rPr>
          <w:sz w:val="28"/>
          <w:szCs w:val="28"/>
        </w:rPr>
        <w:t xml:space="preserve">pag. </w:t>
      </w:r>
      <w:r w:rsidR="00A53C89">
        <w:rPr>
          <w:sz w:val="28"/>
          <w:szCs w:val="28"/>
        </w:rPr>
        <w:t>18</w:t>
      </w:r>
      <w:r w:rsidR="001F3C2A">
        <w:rPr>
          <w:sz w:val="28"/>
          <w:szCs w:val="28"/>
        </w:rPr>
        <w:t>8</w:t>
      </w:r>
    </w:p>
    <w:p w14:paraId="1AF336CD" w14:textId="4369402B" w:rsidR="00CF116A" w:rsidRPr="006733D4" w:rsidRDefault="00CF116A" w:rsidP="00CF116A">
      <w:pPr>
        <w:pStyle w:val="NormaleWeb"/>
        <w:jc w:val="both"/>
        <w:rPr>
          <w:sz w:val="28"/>
          <w:szCs w:val="28"/>
        </w:rPr>
      </w:pPr>
      <w:r w:rsidRPr="006733D4">
        <w:rPr>
          <w:b/>
          <w:bCs/>
          <w:sz w:val="28"/>
          <w:szCs w:val="28"/>
        </w:rPr>
        <w:t>Capitolo XIV – L’“eredità digitale”</w:t>
      </w:r>
      <w:r w:rsidR="003E27E1">
        <w:rPr>
          <w:b/>
          <w:bCs/>
          <w:sz w:val="28"/>
          <w:szCs w:val="28"/>
        </w:rPr>
        <w:t xml:space="preserve">; </w:t>
      </w:r>
      <w:r w:rsidRPr="006733D4">
        <w:rPr>
          <w:sz w:val="28"/>
          <w:szCs w:val="28"/>
        </w:rPr>
        <w:t xml:space="preserve">pag. </w:t>
      </w:r>
      <w:r w:rsidR="00A53C89">
        <w:rPr>
          <w:sz w:val="28"/>
          <w:szCs w:val="28"/>
        </w:rPr>
        <w:t>19</w:t>
      </w:r>
      <w:r w:rsidR="001F3C2A">
        <w:rPr>
          <w:sz w:val="28"/>
          <w:szCs w:val="28"/>
        </w:rPr>
        <w:t>4</w:t>
      </w:r>
    </w:p>
    <w:p w14:paraId="6F2ACFBF" w14:textId="32004A34" w:rsidR="00CF116A" w:rsidRPr="006733D4" w:rsidRDefault="00CF116A" w:rsidP="00CF116A">
      <w:pPr>
        <w:pStyle w:val="NormaleWeb"/>
        <w:jc w:val="both"/>
        <w:rPr>
          <w:sz w:val="28"/>
          <w:szCs w:val="28"/>
        </w:rPr>
      </w:pPr>
      <w:r w:rsidRPr="006733D4">
        <w:rPr>
          <w:b/>
          <w:bCs/>
          <w:sz w:val="28"/>
          <w:szCs w:val="28"/>
        </w:rPr>
        <w:t>Capitolo XV – Il fenomeno del c.d.</w:t>
      </w:r>
      <w:r w:rsidRPr="006733D4">
        <w:rPr>
          <w:b/>
          <w:bCs/>
          <w:i/>
          <w:iCs/>
          <w:sz w:val="28"/>
          <w:szCs w:val="28"/>
        </w:rPr>
        <w:t xml:space="preserve"> Revenge </w:t>
      </w:r>
      <w:proofErr w:type="spellStart"/>
      <w:r w:rsidRPr="006733D4">
        <w:rPr>
          <w:b/>
          <w:bCs/>
          <w:i/>
          <w:iCs/>
          <w:sz w:val="28"/>
          <w:szCs w:val="28"/>
        </w:rPr>
        <w:t>porn</w:t>
      </w:r>
      <w:proofErr w:type="spellEnd"/>
      <w:r w:rsidR="003E27E1" w:rsidRPr="00C04B56">
        <w:rPr>
          <w:b/>
          <w:bCs/>
          <w:sz w:val="28"/>
          <w:szCs w:val="28"/>
        </w:rPr>
        <w:t>;</w:t>
      </w:r>
      <w:r w:rsidR="003E27E1">
        <w:rPr>
          <w:b/>
          <w:bCs/>
          <w:sz w:val="28"/>
          <w:szCs w:val="28"/>
        </w:rPr>
        <w:t xml:space="preserve"> </w:t>
      </w:r>
      <w:r w:rsidRPr="006733D4">
        <w:rPr>
          <w:sz w:val="28"/>
          <w:szCs w:val="28"/>
        </w:rPr>
        <w:t xml:space="preserve">pag. </w:t>
      </w:r>
      <w:r w:rsidR="00A53C89">
        <w:rPr>
          <w:sz w:val="28"/>
          <w:szCs w:val="28"/>
        </w:rPr>
        <w:t>19</w:t>
      </w:r>
      <w:r w:rsidR="001F3C2A">
        <w:rPr>
          <w:sz w:val="28"/>
          <w:szCs w:val="28"/>
        </w:rPr>
        <w:t>8</w:t>
      </w:r>
    </w:p>
    <w:p w14:paraId="5870C733" w14:textId="2CA0D65D" w:rsidR="00CF116A" w:rsidRPr="00A53C89" w:rsidRDefault="00CF116A" w:rsidP="00CF116A">
      <w:pPr>
        <w:spacing w:after="40"/>
        <w:jc w:val="both"/>
        <w:rPr>
          <w:rFonts w:ascii="Times New Roman" w:hAnsi="Times New Roman" w:cs="Times New Roman"/>
          <w:sz w:val="28"/>
          <w:szCs w:val="28"/>
        </w:rPr>
      </w:pPr>
      <w:r w:rsidRPr="006733D4">
        <w:rPr>
          <w:rFonts w:ascii="Times New Roman" w:hAnsi="Times New Roman" w:cs="Times New Roman"/>
          <w:b/>
          <w:bCs/>
          <w:sz w:val="28"/>
          <w:szCs w:val="28"/>
        </w:rPr>
        <w:t xml:space="preserve">Capitolo XVI – La diffamazione tramite chat privata o </w:t>
      </w:r>
      <w:r w:rsidRPr="006733D4">
        <w:rPr>
          <w:rFonts w:ascii="Times New Roman" w:hAnsi="Times New Roman" w:cs="Times New Roman"/>
          <w:b/>
          <w:bCs/>
          <w:i/>
          <w:iCs/>
          <w:sz w:val="28"/>
          <w:szCs w:val="28"/>
        </w:rPr>
        <w:t>mailing list</w:t>
      </w:r>
      <w:r w:rsidR="003E27E1" w:rsidRPr="003E27E1">
        <w:rPr>
          <w:rFonts w:ascii="Times New Roman" w:hAnsi="Times New Roman" w:cs="Times New Roman"/>
          <w:b/>
          <w:bCs/>
          <w:sz w:val="28"/>
          <w:szCs w:val="28"/>
        </w:rPr>
        <w:t>;</w:t>
      </w:r>
      <w:r w:rsidR="003E27E1" w:rsidRPr="003E27E1">
        <w:rPr>
          <w:rFonts w:ascii="Times New Roman" w:hAnsi="Times New Roman" w:cs="Times New Roman"/>
          <w:sz w:val="28"/>
          <w:szCs w:val="28"/>
        </w:rPr>
        <w:t xml:space="preserve"> pag.</w:t>
      </w:r>
      <w:r w:rsidRPr="006733D4">
        <w:rPr>
          <w:rFonts w:ascii="Times New Roman" w:hAnsi="Times New Roman" w:cs="Times New Roman"/>
          <w:b/>
          <w:bCs/>
          <w:i/>
          <w:iCs/>
          <w:sz w:val="28"/>
          <w:szCs w:val="28"/>
        </w:rPr>
        <w:t xml:space="preserve"> </w:t>
      </w:r>
      <w:r w:rsidR="00A53C89">
        <w:rPr>
          <w:rFonts w:ascii="Times New Roman" w:hAnsi="Times New Roman" w:cs="Times New Roman"/>
          <w:sz w:val="28"/>
          <w:szCs w:val="28"/>
        </w:rPr>
        <w:t>20</w:t>
      </w:r>
      <w:r w:rsidR="001F3C2A">
        <w:rPr>
          <w:rFonts w:ascii="Times New Roman" w:hAnsi="Times New Roman" w:cs="Times New Roman"/>
          <w:sz w:val="28"/>
          <w:szCs w:val="28"/>
        </w:rPr>
        <w:t>6</w:t>
      </w:r>
    </w:p>
    <w:p w14:paraId="2C198832" w14:textId="5D07D8CF" w:rsidR="00201AE3" w:rsidRDefault="00CF116A" w:rsidP="00CF116A">
      <w:pPr>
        <w:pStyle w:val="NormaleWeb"/>
        <w:jc w:val="both"/>
        <w:rPr>
          <w:sz w:val="28"/>
          <w:szCs w:val="28"/>
        </w:rPr>
      </w:pPr>
      <w:r w:rsidRPr="006733D4">
        <w:rPr>
          <w:b/>
          <w:bCs/>
          <w:sz w:val="28"/>
          <w:szCs w:val="28"/>
        </w:rPr>
        <w:t xml:space="preserve">Capitolo </w:t>
      </w:r>
      <w:r w:rsidR="006728FE" w:rsidRPr="006733D4">
        <w:rPr>
          <w:b/>
          <w:bCs/>
          <w:sz w:val="28"/>
          <w:szCs w:val="28"/>
        </w:rPr>
        <w:t xml:space="preserve">XVII </w:t>
      </w:r>
      <w:r w:rsidRPr="006733D4">
        <w:rPr>
          <w:b/>
          <w:bCs/>
          <w:sz w:val="28"/>
          <w:szCs w:val="28"/>
        </w:rPr>
        <w:t>– L’interoperabilità: il dialogo necessario tra il digitale e il diritto</w:t>
      </w:r>
      <w:r w:rsidR="003E27E1">
        <w:rPr>
          <w:b/>
          <w:bCs/>
          <w:sz w:val="28"/>
          <w:szCs w:val="28"/>
        </w:rPr>
        <w:t xml:space="preserve">; </w:t>
      </w:r>
      <w:r w:rsidR="003E27E1" w:rsidRPr="003E27E1">
        <w:rPr>
          <w:sz w:val="28"/>
          <w:szCs w:val="28"/>
        </w:rPr>
        <w:t>pag.</w:t>
      </w:r>
      <w:r w:rsidR="00A53C89">
        <w:rPr>
          <w:sz w:val="28"/>
          <w:szCs w:val="28"/>
        </w:rPr>
        <w:t xml:space="preserve"> 21</w:t>
      </w:r>
      <w:r w:rsidR="001F3C2A">
        <w:rPr>
          <w:sz w:val="28"/>
          <w:szCs w:val="28"/>
        </w:rPr>
        <w:t>7</w:t>
      </w:r>
    </w:p>
    <w:p w14:paraId="02640FF6" w14:textId="6F535560" w:rsidR="003E27E1" w:rsidRPr="00201AE3" w:rsidRDefault="00201AE3" w:rsidP="00CF116A">
      <w:pPr>
        <w:pStyle w:val="NormaleWeb"/>
        <w:jc w:val="both"/>
        <w:rPr>
          <w:sz w:val="28"/>
          <w:szCs w:val="28"/>
        </w:rPr>
      </w:pPr>
      <w:r w:rsidRPr="00201AE3">
        <w:rPr>
          <w:b/>
          <w:bCs/>
          <w:sz w:val="28"/>
          <w:szCs w:val="28"/>
        </w:rPr>
        <w:t>Bibliografia</w:t>
      </w:r>
      <w:r w:rsidR="00C04B56">
        <w:rPr>
          <w:b/>
          <w:bCs/>
          <w:sz w:val="28"/>
          <w:szCs w:val="28"/>
        </w:rPr>
        <w:t>;</w:t>
      </w:r>
      <w:r>
        <w:rPr>
          <w:b/>
          <w:bCs/>
          <w:sz w:val="28"/>
          <w:szCs w:val="28"/>
        </w:rPr>
        <w:t xml:space="preserve"> </w:t>
      </w:r>
      <w:r>
        <w:rPr>
          <w:sz w:val="28"/>
          <w:szCs w:val="28"/>
        </w:rPr>
        <w:t xml:space="preserve">pag. </w:t>
      </w:r>
      <w:r w:rsidR="0075590C">
        <w:rPr>
          <w:sz w:val="28"/>
          <w:szCs w:val="28"/>
        </w:rPr>
        <w:t>232</w:t>
      </w:r>
    </w:p>
    <w:p w14:paraId="2143EE04" w14:textId="77777777" w:rsidR="003E27E1" w:rsidRDefault="003E27E1" w:rsidP="00CF116A">
      <w:pPr>
        <w:pStyle w:val="NormaleWeb"/>
        <w:jc w:val="both"/>
        <w:rPr>
          <w:sz w:val="28"/>
          <w:szCs w:val="28"/>
        </w:rPr>
      </w:pPr>
    </w:p>
    <w:p w14:paraId="23186341" w14:textId="38BDD518" w:rsidR="00F0692D" w:rsidRPr="00A94353" w:rsidRDefault="00F0692D" w:rsidP="00CF116A">
      <w:pPr>
        <w:pStyle w:val="NormaleWeb"/>
        <w:jc w:val="both"/>
        <w:rPr>
          <w:sz w:val="28"/>
          <w:szCs w:val="28"/>
          <w:lang w:val="en-US"/>
        </w:rPr>
      </w:pPr>
      <w:r w:rsidRPr="006733D4">
        <w:rPr>
          <w:b/>
          <w:bCs/>
          <w:sz w:val="28"/>
          <w:szCs w:val="28"/>
          <w:lang w:val="en-US"/>
        </w:rPr>
        <w:lastRenderedPageBreak/>
        <w:t xml:space="preserve">INDICE </w:t>
      </w:r>
      <w:proofErr w:type="spellStart"/>
      <w:r w:rsidR="00EE6329" w:rsidRPr="006733D4">
        <w:rPr>
          <w:b/>
          <w:bCs/>
          <w:sz w:val="28"/>
          <w:szCs w:val="28"/>
          <w:lang w:val="en-US"/>
        </w:rPr>
        <w:t>A</w:t>
      </w:r>
      <w:r w:rsidRPr="006733D4">
        <w:rPr>
          <w:b/>
          <w:bCs/>
          <w:sz w:val="28"/>
          <w:szCs w:val="28"/>
          <w:lang w:val="en-US"/>
        </w:rPr>
        <w:t>llegati</w:t>
      </w:r>
      <w:proofErr w:type="spellEnd"/>
      <w:r w:rsidRPr="006733D4">
        <w:rPr>
          <w:b/>
          <w:bCs/>
          <w:sz w:val="28"/>
          <w:szCs w:val="28"/>
          <w:lang w:val="en-US"/>
        </w:rPr>
        <w:t>:</w:t>
      </w:r>
      <w:r w:rsidR="00EE6329" w:rsidRPr="006733D4">
        <w:rPr>
          <w:sz w:val="28"/>
          <w:szCs w:val="28"/>
          <w:lang w:val="en-US"/>
        </w:rPr>
        <w:t xml:space="preserve">                                                                                      </w:t>
      </w:r>
      <w:r w:rsidRPr="006733D4">
        <w:rPr>
          <w:sz w:val="28"/>
          <w:szCs w:val="28"/>
          <w:lang w:val="en-US"/>
        </w:rPr>
        <w:t xml:space="preserve">      </w:t>
      </w:r>
    </w:p>
    <w:p w14:paraId="343462D5" w14:textId="2D9A0F39" w:rsidR="00F0692D" w:rsidRPr="006733D4" w:rsidRDefault="00F0692D" w:rsidP="00F0692D">
      <w:pPr>
        <w:pStyle w:val="NormaleWeb"/>
        <w:jc w:val="both"/>
        <w:rPr>
          <w:sz w:val="28"/>
          <w:szCs w:val="28"/>
          <w:lang w:val="en-US"/>
        </w:rPr>
      </w:pPr>
      <w:r w:rsidRPr="006733D4">
        <w:rPr>
          <w:sz w:val="28"/>
          <w:szCs w:val="28"/>
          <w:lang w:val="en-US"/>
        </w:rPr>
        <w:t>I. Digital Services Act</w:t>
      </w:r>
    </w:p>
    <w:p w14:paraId="58C054A7" w14:textId="700A6BF6" w:rsidR="00F0692D" w:rsidRPr="006733D4" w:rsidRDefault="00F0692D" w:rsidP="00F0692D">
      <w:pPr>
        <w:pStyle w:val="NormaleWeb"/>
        <w:jc w:val="both"/>
        <w:rPr>
          <w:sz w:val="28"/>
          <w:szCs w:val="28"/>
          <w:lang w:val="en-US"/>
        </w:rPr>
      </w:pPr>
      <w:r w:rsidRPr="006733D4">
        <w:rPr>
          <w:sz w:val="28"/>
          <w:szCs w:val="28"/>
          <w:lang w:val="en-US"/>
        </w:rPr>
        <w:t>II. Digital Markets Act</w:t>
      </w:r>
    </w:p>
    <w:p w14:paraId="657C6B40" w14:textId="70093A98" w:rsidR="00F0692D" w:rsidRPr="006733D4" w:rsidRDefault="00F0692D" w:rsidP="00F0692D">
      <w:pPr>
        <w:pStyle w:val="NormaleWeb"/>
        <w:jc w:val="both"/>
        <w:rPr>
          <w:sz w:val="28"/>
          <w:szCs w:val="28"/>
        </w:rPr>
      </w:pPr>
      <w:r w:rsidRPr="006733D4">
        <w:rPr>
          <w:sz w:val="28"/>
          <w:szCs w:val="28"/>
        </w:rPr>
        <w:t xml:space="preserve">III. Digital </w:t>
      </w:r>
      <w:proofErr w:type="spellStart"/>
      <w:r w:rsidRPr="006733D4">
        <w:rPr>
          <w:sz w:val="28"/>
          <w:szCs w:val="28"/>
        </w:rPr>
        <w:t>Governance</w:t>
      </w:r>
      <w:proofErr w:type="spellEnd"/>
      <w:r w:rsidRPr="006733D4">
        <w:rPr>
          <w:sz w:val="28"/>
          <w:szCs w:val="28"/>
        </w:rPr>
        <w:t xml:space="preserve"> </w:t>
      </w:r>
      <w:proofErr w:type="spellStart"/>
      <w:r w:rsidRPr="006733D4">
        <w:rPr>
          <w:sz w:val="28"/>
          <w:szCs w:val="28"/>
        </w:rPr>
        <w:t>Act</w:t>
      </w:r>
      <w:proofErr w:type="spellEnd"/>
    </w:p>
    <w:p w14:paraId="712B5542" w14:textId="3536E631" w:rsidR="00F0692D" w:rsidRPr="006733D4" w:rsidRDefault="00F0692D" w:rsidP="00F0692D">
      <w:pPr>
        <w:pStyle w:val="NormaleWeb"/>
        <w:jc w:val="both"/>
        <w:rPr>
          <w:sz w:val="28"/>
          <w:szCs w:val="28"/>
        </w:rPr>
      </w:pPr>
      <w:r w:rsidRPr="006733D4">
        <w:rPr>
          <w:sz w:val="28"/>
          <w:szCs w:val="28"/>
        </w:rPr>
        <w:t>IV. Proposta della Commissione sulla IA</w:t>
      </w:r>
    </w:p>
    <w:p w14:paraId="2672AB1B" w14:textId="78940C80" w:rsidR="00F0692D" w:rsidRPr="006733D4" w:rsidRDefault="00F0692D" w:rsidP="00F0692D">
      <w:pPr>
        <w:pStyle w:val="NormaleWeb"/>
        <w:jc w:val="both"/>
        <w:rPr>
          <w:sz w:val="28"/>
          <w:szCs w:val="28"/>
        </w:rPr>
      </w:pPr>
      <w:r w:rsidRPr="006733D4">
        <w:rPr>
          <w:sz w:val="28"/>
          <w:szCs w:val="28"/>
        </w:rPr>
        <w:t>V. Report ONU sulla IA</w:t>
      </w:r>
    </w:p>
    <w:p w14:paraId="181AF477" w14:textId="12BE3F28" w:rsidR="00F0692D" w:rsidRPr="006733D4" w:rsidRDefault="00F0692D" w:rsidP="00F0692D">
      <w:pPr>
        <w:pStyle w:val="NormaleWeb"/>
        <w:jc w:val="both"/>
        <w:rPr>
          <w:sz w:val="28"/>
          <w:szCs w:val="28"/>
        </w:rPr>
      </w:pPr>
      <w:r w:rsidRPr="006733D4">
        <w:rPr>
          <w:sz w:val="28"/>
          <w:szCs w:val="28"/>
        </w:rPr>
        <w:t>VI. Raccomandazione UNESCO</w:t>
      </w:r>
      <w:r w:rsidR="00773B85" w:rsidRPr="006733D4">
        <w:rPr>
          <w:sz w:val="28"/>
          <w:szCs w:val="28"/>
        </w:rPr>
        <w:t xml:space="preserve"> sull’etica dell’IA</w:t>
      </w:r>
    </w:p>
    <w:p w14:paraId="5D2141E9" w14:textId="572E6EFB" w:rsidR="00F0692D" w:rsidRPr="006733D4" w:rsidRDefault="00F0692D" w:rsidP="00F0692D">
      <w:pPr>
        <w:pStyle w:val="NormaleWeb"/>
        <w:jc w:val="both"/>
        <w:rPr>
          <w:sz w:val="28"/>
          <w:szCs w:val="28"/>
        </w:rPr>
      </w:pPr>
      <w:r w:rsidRPr="006733D4">
        <w:rPr>
          <w:sz w:val="28"/>
          <w:szCs w:val="28"/>
        </w:rPr>
        <w:t>VII. Piano Strategico Nazionale IA</w:t>
      </w:r>
    </w:p>
    <w:p w14:paraId="5FEA68D3" w14:textId="7F5A4E01" w:rsidR="00F0692D" w:rsidRPr="006733D4" w:rsidRDefault="00F0692D" w:rsidP="00F0692D">
      <w:pPr>
        <w:pStyle w:val="NormaleWeb"/>
        <w:jc w:val="both"/>
        <w:rPr>
          <w:sz w:val="28"/>
          <w:szCs w:val="28"/>
        </w:rPr>
      </w:pPr>
      <w:r w:rsidRPr="006733D4">
        <w:rPr>
          <w:sz w:val="28"/>
          <w:szCs w:val="28"/>
        </w:rPr>
        <w:t xml:space="preserve">VIII. Nuove Linee Guida </w:t>
      </w:r>
      <w:proofErr w:type="spellStart"/>
      <w:r w:rsidRPr="006733D4">
        <w:rPr>
          <w:sz w:val="28"/>
          <w:szCs w:val="28"/>
        </w:rPr>
        <w:t>Agid</w:t>
      </w:r>
      <w:proofErr w:type="spellEnd"/>
      <w:r w:rsidRPr="006733D4">
        <w:rPr>
          <w:sz w:val="28"/>
          <w:szCs w:val="28"/>
        </w:rPr>
        <w:t xml:space="preserve"> 2021</w:t>
      </w:r>
    </w:p>
    <w:p w14:paraId="106F7896" w14:textId="1EFF62D0" w:rsidR="00CF116A" w:rsidRDefault="00F0692D" w:rsidP="00F0692D">
      <w:pPr>
        <w:pStyle w:val="NormaleWeb"/>
        <w:jc w:val="both"/>
        <w:rPr>
          <w:sz w:val="32"/>
          <w:szCs w:val="32"/>
        </w:rPr>
      </w:pPr>
      <w:r w:rsidRPr="006733D4">
        <w:rPr>
          <w:sz w:val="28"/>
          <w:szCs w:val="28"/>
        </w:rPr>
        <w:t xml:space="preserve">IX. Strategia </w:t>
      </w:r>
      <w:proofErr w:type="spellStart"/>
      <w:r w:rsidRPr="006733D4">
        <w:rPr>
          <w:sz w:val="28"/>
          <w:szCs w:val="28"/>
        </w:rPr>
        <w:t>Cloud</w:t>
      </w:r>
      <w:proofErr w:type="spellEnd"/>
      <w:r w:rsidRPr="006733D4">
        <w:rPr>
          <w:sz w:val="28"/>
          <w:szCs w:val="28"/>
        </w:rPr>
        <w:t xml:space="preserve"> Italia 2021</w:t>
      </w:r>
      <w:r w:rsidR="00CF116A">
        <w:rPr>
          <w:sz w:val="32"/>
          <w:szCs w:val="32"/>
        </w:rPr>
        <w:br w:type="page"/>
      </w:r>
    </w:p>
    <w:p w14:paraId="7363DC20" w14:textId="2B6658F5" w:rsidR="00A75A26" w:rsidRPr="00CF116A" w:rsidRDefault="000A002B" w:rsidP="00CF116A">
      <w:pPr>
        <w:pStyle w:val="NormaleWeb"/>
        <w:jc w:val="both"/>
        <w:rPr>
          <w:sz w:val="32"/>
          <w:szCs w:val="32"/>
        </w:rPr>
      </w:pPr>
      <w:r>
        <w:rPr>
          <w:b/>
          <w:bCs/>
          <w:sz w:val="32"/>
          <w:szCs w:val="32"/>
        </w:rPr>
        <w:lastRenderedPageBreak/>
        <w:t>C</w:t>
      </w:r>
      <w:r w:rsidR="00A75A26" w:rsidRPr="00561349">
        <w:rPr>
          <w:b/>
          <w:bCs/>
          <w:sz w:val="32"/>
          <w:szCs w:val="32"/>
        </w:rPr>
        <w:t>apitolo</w:t>
      </w:r>
      <w:r>
        <w:rPr>
          <w:b/>
          <w:bCs/>
          <w:sz w:val="32"/>
          <w:szCs w:val="32"/>
        </w:rPr>
        <w:t xml:space="preserve"> I</w:t>
      </w:r>
    </w:p>
    <w:p w14:paraId="7399A201" w14:textId="400DCC3B" w:rsidR="00A75A26" w:rsidRPr="00561349" w:rsidRDefault="00A75A26">
      <w:pPr>
        <w:rPr>
          <w:rFonts w:ascii="Times New Roman" w:hAnsi="Times New Roman" w:cs="Times New Roman"/>
          <w:b/>
          <w:bCs/>
          <w:sz w:val="32"/>
          <w:szCs w:val="32"/>
        </w:rPr>
      </w:pPr>
      <w:r w:rsidRPr="00561349">
        <w:rPr>
          <w:rFonts w:ascii="Times New Roman" w:hAnsi="Times New Roman" w:cs="Times New Roman"/>
          <w:b/>
          <w:bCs/>
          <w:sz w:val="32"/>
          <w:szCs w:val="32"/>
        </w:rPr>
        <w:t>I problemi che gli algoritmi pongono oggi al giurista</w:t>
      </w:r>
    </w:p>
    <w:p w14:paraId="1C3023B1" w14:textId="2428E906" w:rsidR="00626A1B" w:rsidRDefault="001945CB" w:rsidP="00626A1B">
      <w:pPr>
        <w:spacing w:after="0"/>
        <w:jc w:val="both"/>
        <w:rPr>
          <w:rFonts w:ascii="Times New Roman" w:hAnsi="Times New Roman" w:cs="Times New Roman"/>
          <w:sz w:val="28"/>
          <w:szCs w:val="28"/>
        </w:rPr>
      </w:pPr>
      <w:proofErr w:type="spellStart"/>
      <w:r w:rsidRPr="00F37C31">
        <w:rPr>
          <w:rFonts w:ascii="Times New Roman" w:hAnsi="Times New Roman" w:cs="Times New Roman"/>
          <w:i/>
          <w:iCs/>
          <w:sz w:val="28"/>
          <w:szCs w:val="28"/>
        </w:rPr>
        <w:t>If</w:t>
      </w:r>
      <w:proofErr w:type="spellEnd"/>
      <w:r w:rsidRPr="00F37C31">
        <w:rPr>
          <w:rFonts w:ascii="Times New Roman" w:hAnsi="Times New Roman" w:cs="Times New Roman"/>
          <w:i/>
          <w:iCs/>
          <w:sz w:val="28"/>
          <w:szCs w:val="28"/>
        </w:rPr>
        <w:t xml:space="preserve"> </w:t>
      </w:r>
      <w:proofErr w:type="spellStart"/>
      <w:r w:rsidRPr="00F37C31">
        <w:rPr>
          <w:rFonts w:ascii="Times New Roman" w:hAnsi="Times New Roman" w:cs="Times New Roman"/>
          <w:i/>
          <w:iCs/>
          <w:sz w:val="28"/>
          <w:szCs w:val="28"/>
        </w:rPr>
        <w:t>this</w:t>
      </w:r>
      <w:proofErr w:type="spellEnd"/>
      <w:r w:rsidR="00735DE9">
        <w:rPr>
          <w:rFonts w:ascii="Times New Roman" w:hAnsi="Times New Roman" w:cs="Times New Roman"/>
          <w:i/>
          <w:iCs/>
          <w:sz w:val="28"/>
          <w:szCs w:val="28"/>
        </w:rPr>
        <w:t xml:space="preserve">, </w:t>
      </w:r>
      <w:proofErr w:type="spellStart"/>
      <w:r w:rsidRPr="00F37C31">
        <w:rPr>
          <w:rFonts w:ascii="Times New Roman" w:hAnsi="Times New Roman" w:cs="Times New Roman"/>
          <w:i/>
          <w:iCs/>
          <w:sz w:val="28"/>
          <w:szCs w:val="28"/>
        </w:rPr>
        <w:t>t</w:t>
      </w:r>
      <w:r w:rsidR="00A363EF">
        <w:rPr>
          <w:rFonts w:ascii="Times New Roman" w:hAnsi="Times New Roman" w:cs="Times New Roman"/>
          <w:i/>
          <w:iCs/>
          <w:sz w:val="28"/>
          <w:szCs w:val="28"/>
        </w:rPr>
        <w:t>h</w:t>
      </w:r>
      <w:r w:rsidR="005D71D8">
        <w:rPr>
          <w:rFonts w:ascii="Times New Roman" w:hAnsi="Times New Roman" w:cs="Times New Roman"/>
          <w:i/>
          <w:iCs/>
          <w:sz w:val="28"/>
          <w:szCs w:val="28"/>
        </w:rPr>
        <w:t>en</w:t>
      </w:r>
      <w:proofErr w:type="spellEnd"/>
      <w:r w:rsidRPr="00F37C31">
        <w:rPr>
          <w:rFonts w:ascii="Times New Roman" w:hAnsi="Times New Roman" w:cs="Times New Roman"/>
          <w:i/>
          <w:iCs/>
          <w:sz w:val="28"/>
          <w:szCs w:val="28"/>
        </w:rPr>
        <w:t xml:space="preserve"> </w:t>
      </w:r>
      <w:proofErr w:type="spellStart"/>
      <w:r w:rsidRPr="00F37C31">
        <w:rPr>
          <w:rFonts w:ascii="Times New Roman" w:hAnsi="Times New Roman" w:cs="Times New Roman"/>
          <w:i/>
          <w:iCs/>
          <w:sz w:val="28"/>
          <w:szCs w:val="28"/>
        </w:rPr>
        <w:t>that</w:t>
      </w:r>
      <w:proofErr w:type="spellEnd"/>
      <w:r w:rsidRPr="00F37C31">
        <w:rPr>
          <w:rFonts w:ascii="Times New Roman" w:hAnsi="Times New Roman" w:cs="Times New Roman"/>
          <w:i/>
          <w:iCs/>
          <w:sz w:val="28"/>
          <w:szCs w:val="28"/>
        </w:rPr>
        <w:t xml:space="preserve">: </w:t>
      </w:r>
      <w:r w:rsidRPr="00F37C31">
        <w:rPr>
          <w:rFonts w:ascii="Times New Roman" w:hAnsi="Times New Roman" w:cs="Times New Roman"/>
          <w:sz w:val="28"/>
          <w:szCs w:val="28"/>
        </w:rPr>
        <w:t xml:space="preserve">con questa semplice espressione, che sta ad indicare il concetto di algoritmo, </w:t>
      </w:r>
      <w:r w:rsidR="00735DE9" w:rsidRPr="00F37C31">
        <w:rPr>
          <w:rFonts w:ascii="Times New Roman" w:hAnsi="Times New Roman" w:cs="Times New Roman"/>
          <w:sz w:val="28"/>
          <w:szCs w:val="28"/>
        </w:rPr>
        <w:t>ossia una</w:t>
      </w:r>
      <w:r w:rsidRPr="00F37C31">
        <w:rPr>
          <w:rFonts w:ascii="Times New Roman" w:hAnsi="Times New Roman" w:cs="Times New Roman"/>
          <w:sz w:val="28"/>
          <w:szCs w:val="28"/>
        </w:rPr>
        <w:t xml:space="preserve"> sequenza di passaggi</w:t>
      </w:r>
      <w:r w:rsidR="00F37C31" w:rsidRPr="00F37C31">
        <w:rPr>
          <w:rFonts w:ascii="Times New Roman" w:hAnsi="Times New Roman" w:cs="Times New Roman"/>
          <w:sz w:val="28"/>
          <w:szCs w:val="28"/>
        </w:rPr>
        <w:t xml:space="preserve"> elementari</w:t>
      </w:r>
      <w:r w:rsidRPr="00F37C31">
        <w:rPr>
          <w:rFonts w:ascii="Times New Roman" w:hAnsi="Times New Roman" w:cs="Times New Roman"/>
          <w:sz w:val="28"/>
          <w:szCs w:val="28"/>
        </w:rPr>
        <w:t xml:space="preserve"> in un tempo finito, si racchiude il futuro della tecnologia e del destino dell’uomo. Nella complessità che caratterizza </w:t>
      </w:r>
      <w:r w:rsidR="00E22961">
        <w:rPr>
          <w:rFonts w:ascii="Times New Roman" w:hAnsi="Times New Roman" w:cs="Times New Roman"/>
          <w:sz w:val="28"/>
          <w:szCs w:val="28"/>
        </w:rPr>
        <w:t>il nostro tempo</w:t>
      </w:r>
      <w:r w:rsidRPr="00F37C31">
        <w:rPr>
          <w:rFonts w:ascii="Times New Roman" w:hAnsi="Times New Roman" w:cs="Times New Roman"/>
          <w:sz w:val="28"/>
          <w:szCs w:val="28"/>
        </w:rPr>
        <w:t>, il giurista, spinto da una visione essenzialmente antropocentrica, dovrà svolgere una funzione “ordinante”</w:t>
      </w:r>
      <w:r w:rsidR="00B63838">
        <w:rPr>
          <w:rFonts w:ascii="Times New Roman" w:hAnsi="Times New Roman" w:cs="Times New Roman"/>
          <w:sz w:val="28"/>
          <w:szCs w:val="28"/>
        </w:rPr>
        <w:t>,</w:t>
      </w:r>
      <w:r w:rsidRPr="00F37C31">
        <w:rPr>
          <w:rFonts w:ascii="Times New Roman" w:hAnsi="Times New Roman" w:cs="Times New Roman"/>
          <w:sz w:val="28"/>
          <w:szCs w:val="28"/>
        </w:rPr>
        <w:t xml:space="preserve"> che ponga l’algoritmo non in sostituzione dell’essere umano, </w:t>
      </w:r>
      <w:r w:rsidR="00FD4FFE">
        <w:rPr>
          <w:rFonts w:ascii="Times New Roman" w:hAnsi="Times New Roman" w:cs="Times New Roman"/>
          <w:sz w:val="28"/>
          <w:szCs w:val="28"/>
        </w:rPr>
        <w:t>bensì</w:t>
      </w:r>
      <w:r w:rsidRPr="00F37C31">
        <w:rPr>
          <w:rFonts w:ascii="Times New Roman" w:hAnsi="Times New Roman" w:cs="Times New Roman"/>
          <w:sz w:val="28"/>
          <w:szCs w:val="28"/>
        </w:rPr>
        <w:t xml:space="preserve"> al suo servizio</w:t>
      </w:r>
      <w:r w:rsidR="00F37C31" w:rsidRPr="00F37C31">
        <w:rPr>
          <w:rFonts w:ascii="Times New Roman" w:hAnsi="Times New Roman" w:cs="Times New Roman"/>
          <w:sz w:val="28"/>
          <w:szCs w:val="28"/>
        </w:rPr>
        <w:t>.</w:t>
      </w:r>
    </w:p>
    <w:p w14:paraId="1447DE54" w14:textId="11F708C2" w:rsidR="00626A1B" w:rsidRDefault="00E22961" w:rsidP="00626A1B">
      <w:pPr>
        <w:spacing w:after="0"/>
        <w:jc w:val="both"/>
        <w:rPr>
          <w:rFonts w:ascii="Times New Roman" w:hAnsi="Times New Roman" w:cs="Times New Roman"/>
          <w:sz w:val="28"/>
          <w:szCs w:val="28"/>
        </w:rPr>
      </w:pPr>
      <w:r>
        <w:rPr>
          <w:rFonts w:ascii="Times New Roman" w:hAnsi="Times New Roman" w:cs="Times New Roman"/>
          <w:sz w:val="28"/>
          <w:szCs w:val="28"/>
        </w:rPr>
        <w:t>C</w:t>
      </w:r>
      <w:r w:rsidR="001945CB" w:rsidRPr="00F37C31">
        <w:rPr>
          <w:rFonts w:ascii="Times New Roman" w:hAnsi="Times New Roman" w:cs="Times New Roman"/>
          <w:sz w:val="28"/>
          <w:szCs w:val="28"/>
        </w:rPr>
        <w:t>o</w:t>
      </w:r>
      <w:r w:rsidR="00C14038">
        <w:rPr>
          <w:rFonts w:ascii="Times New Roman" w:hAnsi="Times New Roman" w:cs="Times New Roman"/>
          <w:sz w:val="28"/>
          <w:szCs w:val="28"/>
        </w:rPr>
        <w:t>me,</w:t>
      </w:r>
      <w:r w:rsidR="003C7C85">
        <w:rPr>
          <w:rFonts w:ascii="Times New Roman" w:hAnsi="Times New Roman" w:cs="Times New Roman"/>
          <w:sz w:val="28"/>
          <w:szCs w:val="28"/>
        </w:rPr>
        <w:t xml:space="preserve"> </w:t>
      </w:r>
      <w:r w:rsidR="00C14038">
        <w:rPr>
          <w:rFonts w:ascii="Times New Roman" w:hAnsi="Times New Roman" w:cs="Times New Roman"/>
          <w:sz w:val="28"/>
          <w:szCs w:val="28"/>
        </w:rPr>
        <w:t xml:space="preserve">però, potrà svolgere tale funzione, </w:t>
      </w:r>
      <w:r w:rsidR="00735DE9">
        <w:rPr>
          <w:rFonts w:ascii="Times New Roman" w:hAnsi="Times New Roman" w:cs="Times New Roman"/>
          <w:sz w:val="28"/>
          <w:szCs w:val="28"/>
        </w:rPr>
        <w:t xml:space="preserve">con </w:t>
      </w:r>
      <w:r w:rsidR="00735DE9" w:rsidRPr="00F37C31">
        <w:rPr>
          <w:rFonts w:ascii="Times New Roman" w:hAnsi="Times New Roman" w:cs="Times New Roman"/>
          <w:sz w:val="28"/>
          <w:szCs w:val="28"/>
        </w:rPr>
        <w:t>quali</w:t>
      </w:r>
      <w:r w:rsidR="001945CB" w:rsidRPr="00F37C31">
        <w:rPr>
          <w:rFonts w:ascii="Times New Roman" w:hAnsi="Times New Roman" w:cs="Times New Roman"/>
          <w:sz w:val="28"/>
          <w:szCs w:val="28"/>
        </w:rPr>
        <w:t xml:space="preserve"> strumenti normativi ed interpretativi, con quali categorie giuridiche</w:t>
      </w:r>
      <w:r w:rsidR="00F37C31" w:rsidRPr="00F37C31">
        <w:rPr>
          <w:rFonts w:ascii="Times New Roman" w:hAnsi="Times New Roman" w:cs="Times New Roman"/>
          <w:sz w:val="28"/>
          <w:szCs w:val="28"/>
        </w:rPr>
        <w:t>, con quali processi di modellizzazione concettuale idonei a</w:t>
      </w:r>
      <w:r w:rsidR="00141AF8">
        <w:rPr>
          <w:rFonts w:ascii="Times New Roman" w:hAnsi="Times New Roman" w:cs="Times New Roman"/>
          <w:sz w:val="28"/>
          <w:szCs w:val="28"/>
        </w:rPr>
        <w:t xml:space="preserve"> cogliere, </w:t>
      </w:r>
      <w:r w:rsidR="00F37C31" w:rsidRPr="00F37C31">
        <w:rPr>
          <w:rFonts w:ascii="Times New Roman" w:hAnsi="Times New Roman" w:cs="Times New Roman"/>
          <w:sz w:val="28"/>
          <w:szCs w:val="28"/>
        </w:rPr>
        <w:t>gestire</w:t>
      </w:r>
      <w:r w:rsidR="00141AF8">
        <w:rPr>
          <w:rFonts w:ascii="Times New Roman" w:hAnsi="Times New Roman" w:cs="Times New Roman"/>
          <w:sz w:val="28"/>
          <w:szCs w:val="28"/>
        </w:rPr>
        <w:t xml:space="preserve"> e regolare</w:t>
      </w:r>
      <w:r w:rsidR="00F37C31" w:rsidRPr="00F37C31">
        <w:rPr>
          <w:rFonts w:ascii="Times New Roman" w:hAnsi="Times New Roman" w:cs="Times New Roman"/>
          <w:sz w:val="28"/>
          <w:szCs w:val="28"/>
        </w:rPr>
        <w:t xml:space="preserve"> la complessità</w:t>
      </w:r>
      <w:r w:rsidR="00F37C31">
        <w:rPr>
          <w:rFonts w:ascii="Times New Roman" w:hAnsi="Times New Roman" w:cs="Times New Roman"/>
          <w:sz w:val="28"/>
          <w:szCs w:val="28"/>
        </w:rPr>
        <w:t>?</w:t>
      </w:r>
    </w:p>
    <w:p w14:paraId="22BB0152" w14:textId="646F9824" w:rsidR="004647F4" w:rsidRDefault="004647F4" w:rsidP="00741057">
      <w:pPr>
        <w:spacing w:after="0"/>
        <w:jc w:val="both"/>
        <w:rPr>
          <w:rFonts w:ascii="Times New Roman" w:hAnsi="Times New Roman" w:cs="Times New Roman"/>
          <w:i/>
          <w:iCs/>
          <w:sz w:val="28"/>
          <w:szCs w:val="28"/>
        </w:rPr>
      </w:pPr>
      <w:r>
        <w:rPr>
          <w:rFonts w:ascii="Times New Roman" w:hAnsi="Times New Roman" w:cs="Times New Roman"/>
          <w:sz w:val="28"/>
          <w:szCs w:val="28"/>
        </w:rPr>
        <w:t>«</w:t>
      </w:r>
      <w:r w:rsidR="00F37C31" w:rsidRPr="007E2E0C">
        <w:rPr>
          <w:rFonts w:ascii="Times New Roman" w:hAnsi="Times New Roman" w:cs="Times New Roman"/>
          <w:i/>
          <w:iCs/>
          <w:sz w:val="28"/>
          <w:szCs w:val="28"/>
        </w:rPr>
        <w:t>Il limite di Prometeo invocato dalla cultura greca oggi evidenzia il rischio di una tecnologia che compie un processo di mimesi e di superamento della razionalità umana. Questo, perché l’algoritmo oggi non costituisce</w:t>
      </w:r>
      <w:r w:rsidR="003C6789" w:rsidRPr="007E2E0C">
        <w:rPr>
          <w:rFonts w:ascii="Times New Roman" w:hAnsi="Times New Roman" w:cs="Times New Roman"/>
          <w:i/>
          <w:iCs/>
          <w:sz w:val="28"/>
          <w:szCs w:val="28"/>
        </w:rPr>
        <w:t xml:space="preserve"> più</w:t>
      </w:r>
      <w:r w:rsidR="00F37C31" w:rsidRPr="007E2E0C">
        <w:rPr>
          <w:rFonts w:ascii="Times New Roman" w:hAnsi="Times New Roman" w:cs="Times New Roman"/>
          <w:i/>
          <w:iCs/>
          <w:sz w:val="28"/>
          <w:szCs w:val="28"/>
        </w:rPr>
        <w:t xml:space="preserve"> un “</w:t>
      </w:r>
      <w:r w:rsidR="00F37C31" w:rsidRPr="00B63838">
        <w:rPr>
          <w:rFonts w:ascii="Times New Roman" w:hAnsi="Times New Roman" w:cs="Times New Roman"/>
          <w:sz w:val="28"/>
          <w:szCs w:val="28"/>
        </w:rPr>
        <w:t xml:space="preserve">mere </w:t>
      </w:r>
      <w:proofErr w:type="spellStart"/>
      <w:r w:rsidR="00F37C31" w:rsidRPr="00B63838">
        <w:rPr>
          <w:rFonts w:ascii="Times New Roman" w:hAnsi="Times New Roman" w:cs="Times New Roman"/>
          <w:sz w:val="28"/>
          <w:szCs w:val="28"/>
        </w:rPr>
        <w:t>tool</w:t>
      </w:r>
      <w:proofErr w:type="spellEnd"/>
      <w:r w:rsidR="00F37C31" w:rsidRPr="007E2E0C">
        <w:rPr>
          <w:rFonts w:ascii="Times New Roman" w:hAnsi="Times New Roman" w:cs="Times New Roman"/>
          <w:i/>
          <w:iCs/>
          <w:sz w:val="28"/>
          <w:szCs w:val="28"/>
        </w:rPr>
        <w:t>”, ossia mero</w:t>
      </w:r>
      <w:r w:rsidR="00E30256" w:rsidRPr="007E2E0C">
        <w:rPr>
          <w:rFonts w:ascii="Times New Roman" w:hAnsi="Times New Roman" w:cs="Times New Roman"/>
          <w:i/>
          <w:iCs/>
          <w:sz w:val="28"/>
          <w:szCs w:val="28"/>
        </w:rPr>
        <w:t xml:space="preserve"> elemento</w:t>
      </w:r>
      <w:r w:rsidR="00F37C31" w:rsidRPr="007E2E0C">
        <w:rPr>
          <w:rFonts w:ascii="Times New Roman" w:hAnsi="Times New Roman" w:cs="Times New Roman"/>
          <w:i/>
          <w:iCs/>
          <w:sz w:val="28"/>
          <w:szCs w:val="28"/>
        </w:rPr>
        <w:t xml:space="preserve"> di trasmissione</w:t>
      </w:r>
      <w:r w:rsidR="00E30256" w:rsidRPr="007E2E0C">
        <w:rPr>
          <w:rFonts w:ascii="Times New Roman" w:hAnsi="Times New Roman" w:cs="Times New Roman"/>
          <w:i/>
          <w:iCs/>
          <w:sz w:val="28"/>
          <w:szCs w:val="28"/>
        </w:rPr>
        <w:t xml:space="preserve"> della volontà umana, ma </w:t>
      </w:r>
      <w:r w:rsidR="003C6789" w:rsidRPr="007E2E0C">
        <w:rPr>
          <w:rFonts w:ascii="Times New Roman" w:hAnsi="Times New Roman" w:cs="Times New Roman"/>
          <w:i/>
          <w:iCs/>
          <w:sz w:val="28"/>
          <w:szCs w:val="28"/>
        </w:rPr>
        <w:t xml:space="preserve">un </w:t>
      </w:r>
      <w:proofErr w:type="spellStart"/>
      <w:r w:rsidR="00E30256" w:rsidRPr="007E2E0C">
        <w:rPr>
          <w:rFonts w:ascii="Times New Roman" w:hAnsi="Times New Roman" w:cs="Times New Roman"/>
          <w:i/>
          <w:iCs/>
          <w:sz w:val="28"/>
          <w:szCs w:val="28"/>
        </w:rPr>
        <w:t>coelemento</w:t>
      </w:r>
      <w:proofErr w:type="spellEnd"/>
      <w:r w:rsidR="003C6789" w:rsidRPr="007E2E0C">
        <w:rPr>
          <w:rFonts w:ascii="Times New Roman" w:hAnsi="Times New Roman" w:cs="Times New Roman"/>
          <w:i/>
          <w:iCs/>
          <w:sz w:val="28"/>
          <w:szCs w:val="28"/>
        </w:rPr>
        <w:t xml:space="preserve"> essenziale ed imprescindibile</w:t>
      </w:r>
      <w:r w:rsidR="00E30256" w:rsidRPr="007E2E0C">
        <w:rPr>
          <w:rFonts w:ascii="Times New Roman" w:hAnsi="Times New Roman" w:cs="Times New Roman"/>
          <w:i/>
          <w:iCs/>
          <w:sz w:val="28"/>
          <w:szCs w:val="28"/>
        </w:rPr>
        <w:t xml:space="preserve"> di formazione della volontà stessa che incide sul processo di autodeterminazione dell’individuo</w:t>
      </w:r>
      <w:r w:rsidR="00E30256">
        <w:rPr>
          <w:rFonts w:ascii="Times New Roman" w:hAnsi="Times New Roman" w:cs="Times New Roman"/>
          <w:sz w:val="28"/>
          <w:szCs w:val="28"/>
        </w:rPr>
        <w:t xml:space="preserve">. </w:t>
      </w:r>
      <w:r w:rsidR="00E30256" w:rsidRPr="004E38E8">
        <w:rPr>
          <w:rFonts w:ascii="Times New Roman" w:hAnsi="Times New Roman" w:cs="Times New Roman"/>
          <w:i/>
          <w:iCs/>
          <w:sz w:val="28"/>
          <w:szCs w:val="28"/>
        </w:rPr>
        <w:t>Le neuroscienze aprono scenari inimmaginabili nel binomio “coscienza e identità”:</w:t>
      </w:r>
      <w:r w:rsidR="000D195D" w:rsidRPr="004E38E8">
        <w:rPr>
          <w:rFonts w:ascii="Times New Roman" w:hAnsi="Times New Roman" w:cs="Times New Roman"/>
          <w:i/>
          <w:iCs/>
          <w:sz w:val="28"/>
          <w:szCs w:val="28"/>
        </w:rPr>
        <w:t xml:space="preserve"> </w:t>
      </w:r>
      <w:r w:rsidR="00E30256" w:rsidRPr="00B63838">
        <w:rPr>
          <w:rFonts w:ascii="Times New Roman" w:hAnsi="Times New Roman" w:cs="Times New Roman"/>
          <w:sz w:val="28"/>
          <w:szCs w:val="28"/>
        </w:rPr>
        <w:t>cogito ergo sum</w:t>
      </w:r>
      <w:r w:rsidR="00E30256" w:rsidRPr="004E38E8">
        <w:rPr>
          <w:rFonts w:ascii="Times New Roman" w:hAnsi="Times New Roman" w:cs="Times New Roman"/>
          <w:i/>
          <w:iCs/>
          <w:sz w:val="28"/>
          <w:szCs w:val="28"/>
        </w:rPr>
        <w:t xml:space="preserve">, secondo Cartesio, l’uomo è il pensiero, ma il pensiero è il correlato neuronale </w:t>
      </w:r>
      <w:r w:rsidR="000D195D" w:rsidRPr="004E38E8">
        <w:rPr>
          <w:rFonts w:ascii="Times New Roman" w:hAnsi="Times New Roman" w:cs="Times New Roman"/>
          <w:i/>
          <w:iCs/>
          <w:sz w:val="28"/>
          <w:szCs w:val="28"/>
        </w:rPr>
        <w:t>de</w:t>
      </w:r>
      <w:r w:rsidR="00E30256" w:rsidRPr="004E38E8">
        <w:rPr>
          <w:rFonts w:ascii="Times New Roman" w:hAnsi="Times New Roman" w:cs="Times New Roman"/>
          <w:i/>
          <w:iCs/>
          <w:sz w:val="28"/>
          <w:szCs w:val="28"/>
        </w:rPr>
        <w:t>lla coscienza</w:t>
      </w:r>
      <w:r w:rsidR="000D195D" w:rsidRPr="004E38E8">
        <w:rPr>
          <w:rFonts w:ascii="Times New Roman" w:hAnsi="Times New Roman" w:cs="Times New Roman"/>
          <w:i/>
          <w:iCs/>
          <w:sz w:val="28"/>
          <w:szCs w:val="28"/>
        </w:rPr>
        <w:t xml:space="preserve"> umana</w:t>
      </w:r>
      <w:r w:rsidR="00E30256" w:rsidRPr="004E38E8">
        <w:rPr>
          <w:rFonts w:ascii="Times New Roman" w:hAnsi="Times New Roman" w:cs="Times New Roman"/>
          <w:i/>
          <w:iCs/>
          <w:sz w:val="28"/>
          <w:szCs w:val="28"/>
        </w:rPr>
        <w:t xml:space="preserve">, quella coscienza </w:t>
      </w:r>
      <w:proofErr w:type="spellStart"/>
      <w:r w:rsidR="00E30256" w:rsidRPr="00B63838">
        <w:rPr>
          <w:rFonts w:ascii="Times New Roman" w:hAnsi="Times New Roman" w:cs="Times New Roman"/>
          <w:sz w:val="28"/>
          <w:szCs w:val="28"/>
        </w:rPr>
        <w:t>suitas</w:t>
      </w:r>
      <w:proofErr w:type="spellEnd"/>
      <w:r w:rsidR="00E30256" w:rsidRPr="004E38E8">
        <w:rPr>
          <w:rFonts w:ascii="Times New Roman" w:hAnsi="Times New Roman" w:cs="Times New Roman"/>
          <w:i/>
          <w:iCs/>
          <w:sz w:val="28"/>
          <w:szCs w:val="28"/>
        </w:rPr>
        <w:t xml:space="preserve"> che nell’antica Grecia consentiva di distinguere l’Ardire dalla </w:t>
      </w:r>
      <w:r w:rsidR="00E30256" w:rsidRPr="00B63838">
        <w:rPr>
          <w:rFonts w:ascii="Times New Roman" w:hAnsi="Times New Roman" w:cs="Times New Roman"/>
          <w:sz w:val="28"/>
          <w:szCs w:val="28"/>
        </w:rPr>
        <w:t>Hybris</w:t>
      </w:r>
      <w:r w:rsidR="00E30256" w:rsidRPr="004E38E8">
        <w:rPr>
          <w:rFonts w:ascii="Times New Roman" w:hAnsi="Times New Roman" w:cs="Times New Roman"/>
          <w:i/>
          <w:iCs/>
          <w:sz w:val="28"/>
          <w:szCs w:val="28"/>
        </w:rPr>
        <w:t xml:space="preserve">. In fondo, se ci pensiamo bene, Prometeo è colui che vede ed agisce in tempo nella consapevolezza del </w:t>
      </w:r>
      <w:proofErr w:type="spellStart"/>
      <w:r w:rsidR="00CC1957" w:rsidRPr="00B63838">
        <w:rPr>
          <w:rFonts w:ascii="Times New Roman" w:hAnsi="Times New Roman" w:cs="Times New Roman"/>
          <w:sz w:val="28"/>
          <w:szCs w:val="28"/>
        </w:rPr>
        <w:t>K</w:t>
      </w:r>
      <w:r w:rsidR="00E30256" w:rsidRPr="00B63838">
        <w:rPr>
          <w:rFonts w:ascii="Times New Roman" w:hAnsi="Times New Roman" w:cs="Times New Roman"/>
          <w:sz w:val="28"/>
          <w:szCs w:val="28"/>
        </w:rPr>
        <w:t>at</w:t>
      </w:r>
      <w:r w:rsidR="00CC1957" w:rsidRPr="00B63838">
        <w:rPr>
          <w:rFonts w:ascii="Times New Roman" w:hAnsi="Times New Roman" w:cs="Times New Roman"/>
          <w:sz w:val="28"/>
          <w:szCs w:val="28"/>
        </w:rPr>
        <w:t>è</w:t>
      </w:r>
      <w:r w:rsidR="00E30256" w:rsidRPr="00B63838">
        <w:rPr>
          <w:rFonts w:ascii="Times New Roman" w:hAnsi="Times New Roman" w:cs="Times New Roman"/>
          <w:sz w:val="28"/>
          <w:szCs w:val="28"/>
        </w:rPr>
        <w:t>c</w:t>
      </w:r>
      <w:r w:rsidR="00CC1957" w:rsidRPr="00B63838">
        <w:rPr>
          <w:rFonts w:ascii="Times New Roman" w:hAnsi="Times New Roman" w:cs="Times New Roman"/>
          <w:sz w:val="28"/>
          <w:szCs w:val="28"/>
        </w:rPr>
        <w:t>ho</w:t>
      </w:r>
      <w:r w:rsidR="00E30256" w:rsidRPr="00B63838">
        <w:rPr>
          <w:rFonts w:ascii="Times New Roman" w:hAnsi="Times New Roman" w:cs="Times New Roman"/>
          <w:sz w:val="28"/>
          <w:szCs w:val="28"/>
        </w:rPr>
        <w:t>n</w:t>
      </w:r>
      <w:proofErr w:type="spellEnd"/>
      <w:r w:rsidR="00E30256" w:rsidRPr="004E38E8">
        <w:rPr>
          <w:rFonts w:ascii="Times New Roman" w:hAnsi="Times New Roman" w:cs="Times New Roman"/>
          <w:i/>
          <w:iCs/>
          <w:sz w:val="28"/>
          <w:szCs w:val="28"/>
        </w:rPr>
        <w:t>,</w:t>
      </w:r>
      <w:r w:rsidR="003C7C85" w:rsidRPr="004E38E8">
        <w:rPr>
          <w:rFonts w:ascii="Times New Roman" w:hAnsi="Times New Roman" w:cs="Times New Roman"/>
          <w:i/>
          <w:iCs/>
          <w:sz w:val="28"/>
          <w:szCs w:val="28"/>
        </w:rPr>
        <w:t xml:space="preserve"> </w:t>
      </w:r>
      <w:r w:rsidR="00E30256" w:rsidRPr="004E38E8">
        <w:rPr>
          <w:rFonts w:ascii="Times New Roman" w:hAnsi="Times New Roman" w:cs="Times New Roman"/>
          <w:i/>
          <w:iCs/>
          <w:sz w:val="28"/>
          <w:szCs w:val="28"/>
        </w:rPr>
        <w:t>ossia del lim</w:t>
      </w:r>
      <w:r w:rsidR="000D195D" w:rsidRPr="004E38E8">
        <w:rPr>
          <w:rFonts w:ascii="Times New Roman" w:hAnsi="Times New Roman" w:cs="Times New Roman"/>
          <w:i/>
          <w:iCs/>
          <w:sz w:val="28"/>
          <w:szCs w:val="28"/>
        </w:rPr>
        <w:t>i</w:t>
      </w:r>
      <w:r w:rsidR="00E30256" w:rsidRPr="004E38E8">
        <w:rPr>
          <w:rFonts w:ascii="Times New Roman" w:hAnsi="Times New Roman" w:cs="Times New Roman"/>
          <w:i/>
          <w:iCs/>
          <w:sz w:val="28"/>
          <w:szCs w:val="28"/>
        </w:rPr>
        <w:t>te: il limite di ammissibilità etica,</w:t>
      </w:r>
      <w:r w:rsidR="003C6789" w:rsidRPr="004E38E8">
        <w:rPr>
          <w:rFonts w:ascii="Times New Roman" w:hAnsi="Times New Roman" w:cs="Times New Roman"/>
          <w:i/>
          <w:iCs/>
          <w:sz w:val="28"/>
          <w:szCs w:val="28"/>
        </w:rPr>
        <w:t xml:space="preserve"> </w:t>
      </w:r>
      <w:r w:rsidR="00E30256" w:rsidRPr="004E38E8">
        <w:rPr>
          <w:rFonts w:ascii="Times New Roman" w:hAnsi="Times New Roman" w:cs="Times New Roman"/>
          <w:i/>
          <w:iCs/>
          <w:sz w:val="28"/>
          <w:szCs w:val="28"/>
        </w:rPr>
        <w:t>giuridica, sociale delle innovazioni tecnologiche</w:t>
      </w:r>
      <w:r w:rsidR="003C6789" w:rsidRPr="004E38E8">
        <w:rPr>
          <w:rFonts w:ascii="Times New Roman" w:hAnsi="Times New Roman" w:cs="Times New Roman"/>
          <w:i/>
          <w:iCs/>
          <w:sz w:val="28"/>
          <w:szCs w:val="28"/>
        </w:rPr>
        <w:t>. Non tutt</w:t>
      </w:r>
      <w:r w:rsidR="00A84CF1" w:rsidRPr="004E38E8">
        <w:rPr>
          <w:rFonts w:ascii="Times New Roman" w:hAnsi="Times New Roman" w:cs="Times New Roman"/>
          <w:i/>
          <w:iCs/>
          <w:sz w:val="28"/>
          <w:szCs w:val="28"/>
        </w:rPr>
        <w:t>o</w:t>
      </w:r>
      <w:r w:rsidR="003C6789" w:rsidRPr="004E38E8">
        <w:rPr>
          <w:rFonts w:ascii="Times New Roman" w:hAnsi="Times New Roman" w:cs="Times New Roman"/>
          <w:i/>
          <w:iCs/>
          <w:sz w:val="28"/>
          <w:szCs w:val="28"/>
        </w:rPr>
        <w:t xml:space="preserve"> ciò che è tecnologicamente possibile, è giuridicamente ed eticamente </w:t>
      </w:r>
      <w:r w:rsidR="000D195D" w:rsidRPr="004E38E8">
        <w:rPr>
          <w:rFonts w:ascii="Times New Roman" w:hAnsi="Times New Roman" w:cs="Times New Roman"/>
          <w:i/>
          <w:iCs/>
          <w:sz w:val="28"/>
          <w:szCs w:val="28"/>
        </w:rPr>
        <w:t>accettabile e condivisibile</w:t>
      </w:r>
      <w:r w:rsidR="003C6789" w:rsidRPr="004E38E8">
        <w:rPr>
          <w:rFonts w:ascii="Times New Roman" w:hAnsi="Times New Roman" w:cs="Times New Roman"/>
          <w:i/>
          <w:iCs/>
          <w:sz w:val="28"/>
          <w:szCs w:val="28"/>
        </w:rPr>
        <w:t>. Se Parmenide affermava</w:t>
      </w:r>
      <w:r w:rsidR="00B63838">
        <w:rPr>
          <w:rFonts w:ascii="Times New Roman" w:hAnsi="Times New Roman" w:cs="Times New Roman"/>
          <w:i/>
          <w:iCs/>
          <w:sz w:val="28"/>
          <w:szCs w:val="28"/>
        </w:rPr>
        <w:t xml:space="preserve">: </w:t>
      </w:r>
      <w:r w:rsidR="005B03A6">
        <w:rPr>
          <w:rFonts w:ascii="Times New Roman" w:hAnsi="Times New Roman" w:cs="Times New Roman"/>
          <w:i/>
          <w:iCs/>
          <w:sz w:val="28"/>
          <w:szCs w:val="28"/>
        </w:rPr>
        <w:t>«</w:t>
      </w:r>
      <w:r w:rsidR="000D195D" w:rsidRPr="004E38E8">
        <w:rPr>
          <w:rFonts w:ascii="Times New Roman" w:hAnsi="Times New Roman" w:cs="Times New Roman"/>
          <w:i/>
          <w:iCs/>
          <w:sz w:val="28"/>
          <w:szCs w:val="28"/>
        </w:rPr>
        <w:t>il pensiero è l’essere: è</w:t>
      </w:r>
      <w:r w:rsidR="00C91D07" w:rsidRPr="004E38E8">
        <w:rPr>
          <w:rFonts w:ascii="Times New Roman" w:hAnsi="Times New Roman" w:cs="Times New Roman"/>
          <w:i/>
          <w:iCs/>
          <w:sz w:val="28"/>
          <w:szCs w:val="28"/>
        </w:rPr>
        <w:t xml:space="preserve"> </w:t>
      </w:r>
      <w:r w:rsidR="003C6789" w:rsidRPr="004E38E8">
        <w:rPr>
          <w:rFonts w:ascii="Times New Roman" w:hAnsi="Times New Roman" w:cs="Times New Roman"/>
          <w:i/>
          <w:iCs/>
          <w:sz w:val="28"/>
          <w:szCs w:val="28"/>
        </w:rPr>
        <w:t xml:space="preserve">la stessa cosa pensare e pensare ciò che è, perché senza l’essere </w:t>
      </w:r>
      <w:r w:rsidR="000D195D" w:rsidRPr="004E38E8">
        <w:rPr>
          <w:rFonts w:ascii="Times New Roman" w:hAnsi="Times New Roman" w:cs="Times New Roman"/>
          <w:i/>
          <w:iCs/>
          <w:sz w:val="28"/>
          <w:szCs w:val="28"/>
        </w:rPr>
        <w:t xml:space="preserve">in ciò che è detto </w:t>
      </w:r>
      <w:r w:rsidR="003C6789" w:rsidRPr="004E38E8">
        <w:rPr>
          <w:rFonts w:ascii="Times New Roman" w:hAnsi="Times New Roman" w:cs="Times New Roman"/>
          <w:i/>
          <w:iCs/>
          <w:sz w:val="28"/>
          <w:szCs w:val="28"/>
        </w:rPr>
        <w:t>non troverai il pens</w:t>
      </w:r>
      <w:r w:rsidR="000D195D" w:rsidRPr="004E38E8">
        <w:rPr>
          <w:rFonts w:ascii="Times New Roman" w:hAnsi="Times New Roman" w:cs="Times New Roman"/>
          <w:i/>
          <w:iCs/>
          <w:sz w:val="28"/>
          <w:szCs w:val="28"/>
        </w:rPr>
        <w:t>are</w:t>
      </w:r>
      <w:r w:rsidR="005B03A6">
        <w:rPr>
          <w:rFonts w:ascii="Times New Roman" w:hAnsi="Times New Roman" w:cs="Times New Roman"/>
          <w:i/>
          <w:iCs/>
          <w:sz w:val="28"/>
          <w:szCs w:val="28"/>
        </w:rPr>
        <w:t>»</w:t>
      </w:r>
      <w:r w:rsidR="000D195D" w:rsidRPr="004E38E8">
        <w:rPr>
          <w:rFonts w:ascii="Times New Roman" w:hAnsi="Times New Roman" w:cs="Times New Roman"/>
          <w:i/>
          <w:iCs/>
          <w:sz w:val="28"/>
          <w:szCs w:val="28"/>
        </w:rPr>
        <w:t>,</w:t>
      </w:r>
      <w:r w:rsidR="00735DE9">
        <w:rPr>
          <w:rFonts w:ascii="Times New Roman" w:hAnsi="Times New Roman" w:cs="Times New Roman"/>
          <w:i/>
          <w:iCs/>
          <w:sz w:val="28"/>
          <w:szCs w:val="28"/>
        </w:rPr>
        <w:t xml:space="preserve"> </w:t>
      </w:r>
      <w:r w:rsidR="000D195D" w:rsidRPr="004E38E8">
        <w:rPr>
          <w:rFonts w:ascii="Times New Roman" w:hAnsi="Times New Roman" w:cs="Times New Roman"/>
          <w:i/>
          <w:iCs/>
          <w:sz w:val="28"/>
          <w:szCs w:val="28"/>
        </w:rPr>
        <w:t>i</w:t>
      </w:r>
      <w:r w:rsidR="003C6789" w:rsidRPr="004E38E8">
        <w:rPr>
          <w:rFonts w:ascii="Times New Roman" w:hAnsi="Times New Roman" w:cs="Times New Roman"/>
          <w:i/>
          <w:iCs/>
          <w:sz w:val="28"/>
          <w:szCs w:val="28"/>
        </w:rPr>
        <w:t xml:space="preserve">l profilo della libertà cognitiva come presupposto di autodeterminazione individuale oggi </w:t>
      </w:r>
      <w:r w:rsidR="000D195D" w:rsidRPr="004E38E8">
        <w:rPr>
          <w:rFonts w:ascii="Times New Roman" w:hAnsi="Times New Roman" w:cs="Times New Roman"/>
          <w:i/>
          <w:iCs/>
          <w:sz w:val="28"/>
          <w:szCs w:val="28"/>
        </w:rPr>
        <w:t xml:space="preserve">è </w:t>
      </w:r>
      <w:r w:rsidR="003C6789" w:rsidRPr="004E38E8">
        <w:rPr>
          <w:rFonts w:ascii="Times New Roman" w:hAnsi="Times New Roman" w:cs="Times New Roman"/>
          <w:i/>
          <w:iCs/>
          <w:sz w:val="28"/>
          <w:szCs w:val="28"/>
        </w:rPr>
        <w:t>messa a dura prova dai c</w:t>
      </w:r>
      <w:r w:rsidR="008F5544">
        <w:rPr>
          <w:rFonts w:ascii="Times New Roman" w:hAnsi="Times New Roman" w:cs="Times New Roman"/>
          <w:i/>
          <w:iCs/>
          <w:sz w:val="28"/>
          <w:szCs w:val="28"/>
        </w:rPr>
        <w:t>.</w:t>
      </w:r>
      <w:r w:rsidR="003C6789" w:rsidRPr="004E38E8">
        <w:rPr>
          <w:rFonts w:ascii="Times New Roman" w:hAnsi="Times New Roman" w:cs="Times New Roman"/>
          <w:i/>
          <w:iCs/>
          <w:sz w:val="28"/>
          <w:szCs w:val="28"/>
        </w:rPr>
        <w:t>d</w:t>
      </w:r>
      <w:r w:rsidR="008F5544">
        <w:rPr>
          <w:rFonts w:ascii="Times New Roman" w:hAnsi="Times New Roman" w:cs="Times New Roman"/>
          <w:i/>
          <w:iCs/>
          <w:sz w:val="28"/>
          <w:szCs w:val="28"/>
        </w:rPr>
        <w:t>.</w:t>
      </w:r>
      <w:r w:rsidR="003C6789" w:rsidRPr="004E38E8">
        <w:rPr>
          <w:rFonts w:ascii="Times New Roman" w:hAnsi="Times New Roman" w:cs="Times New Roman"/>
          <w:i/>
          <w:iCs/>
          <w:sz w:val="28"/>
          <w:szCs w:val="28"/>
        </w:rPr>
        <w:t xml:space="preserve"> </w:t>
      </w:r>
      <w:r w:rsidR="003C6789" w:rsidRPr="00F66CD3">
        <w:rPr>
          <w:rFonts w:ascii="Times New Roman" w:hAnsi="Times New Roman" w:cs="Times New Roman"/>
          <w:sz w:val="28"/>
          <w:szCs w:val="28"/>
        </w:rPr>
        <w:t>neuro-link</w:t>
      </w:r>
      <w:r w:rsidR="000D195D" w:rsidRPr="004E38E8">
        <w:rPr>
          <w:rFonts w:ascii="Times New Roman" w:hAnsi="Times New Roman" w:cs="Times New Roman"/>
          <w:i/>
          <w:iCs/>
          <w:sz w:val="28"/>
          <w:szCs w:val="28"/>
        </w:rPr>
        <w:t>: gli</w:t>
      </w:r>
      <w:r w:rsidR="003C6789" w:rsidRPr="004E38E8">
        <w:rPr>
          <w:rFonts w:ascii="Times New Roman" w:hAnsi="Times New Roman" w:cs="Times New Roman"/>
          <w:i/>
          <w:iCs/>
          <w:sz w:val="28"/>
          <w:szCs w:val="28"/>
        </w:rPr>
        <w:t xml:space="preserve"> algoritmi entrano nell’</w:t>
      </w:r>
      <w:r w:rsidR="003C6789" w:rsidRPr="00B5487A">
        <w:rPr>
          <w:rFonts w:ascii="Times New Roman" w:hAnsi="Times New Roman" w:cs="Times New Roman"/>
          <w:sz w:val="28"/>
          <w:szCs w:val="28"/>
        </w:rPr>
        <w:t xml:space="preserve">intime </w:t>
      </w:r>
      <w:proofErr w:type="spellStart"/>
      <w:r w:rsidR="003C6789" w:rsidRPr="00B5487A">
        <w:rPr>
          <w:rFonts w:ascii="Times New Roman" w:hAnsi="Times New Roman" w:cs="Times New Roman"/>
          <w:sz w:val="28"/>
          <w:szCs w:val="28"/>
        </w:rPr>
        <w:t>sphere</w:t>
      </w:r>
      <w:proofErr w:type="spellEnd"/>
      <w:r w:rsidR="003C6789" w:rsidRPr="00B5487A">
        <w:rPr>
          <w:rFonts w:ascii="Times New Roman" w:hAnsi="Times New Roman" w:cs="Times New Roman"/>
          <w:sz w:val="28"/>
          <w:szCs w:val="28"/>
        </w:rPr>
        <w:t xml:space="preserve"> </w:t>
      </w:r>
      <w:r w:rsidR="003C6789" w:rsidRPr="004E38E8">
        <w:rPr>
          <w:rFonts w:ascii="Times New Roman" w:hAnsi="Times New Roman" w:cs="Times New Roman"/>
          <w:i/>
          <w:iCs/>
          <w:sz w:val="28"/>
          <w:szCs w:val="28"/>
        </w:rPr>
        <w:t xml:space="preserve">e nella </w:t>
      </w:r>
      <w:proofErr w:type="spellStart"/>
      <w:r w:rsidR="003C6789" w:rsidRPr="004E38E8">
        <w:rPr>
          <w:rFonts w:ascii="Times New Roman" w:hAnsi="Times New Roman" w:cs="Times New Roman"/>
          <w:i/>
          <w:iCs/>
          <w:sz w:val="28"/>
          <w:szCs w:val="28"/>
        </w:rPr>
        <w:t>predittività</w:t>
      </w:r>
      <w:proofErr w:type="spellEnd"/>
      <w:r w:rsidR="003C6789" w:rsidRPr="004E38E8">
        <w:rPr>
          <w:rFonts w:ascii="Times New Roman" w:hAnsi="Times New Roman" w:cs="Times New Roman"/>
          <w:i/>
          <w:iCs/>
          <w:sz w:val="28"/>
          <w:szCs w:val="28"/>
        </w:rPr>
        <w:t xml:space="preserve"> dei propri pensieri</w:t>
      </w:r>
      <w:r w:rsidR="000D195D" w:rsidRPr="004E38E8">
        <w:rPr>
          <w:rFonts w:ascii="Times New Roman" w:hAnsi="Times New Roman" w:cs="Times New Roman"/>
          <w:i/>
          <w:iCs/>
          <w:sz w:val="28"/>
          <w:szCs w:val="28"/>
        </w:rPr>
        <w:t>, delle decisioni e delle scelte individuali</w:t>
      </w:r>
      <w:r w:rsidR="003C6789" w:rsidRPr="004E38E8">
        <w:rPr>
          <w:rFonts w:ascii="Times New Roman" w:hAnsi="Times New Roman" w:cs="Times New Roman"/>
          <w:i/>
          <w:iCs/>
          <w:sz w:val="28"/>
          <w:szCs w:val="28"/>
        </w:rPr>
        <w:t>. Se l’</w:t>
      </w:r>
      <w:proofErr w:type="spellStart"/>
      <w:r w:rsidR="003C6789" w:rsidRPr="00B5487A">
        <w:rPr>
          <w:rFonts w:ascii="Times New Roman" w:hAnsi="Times New Roman" w:cs="Times New Roman"/>
          <w:sz w:val="28"/>
          <w:szCs w:val="28"/>
        </w:rPr>
        <w:t>habeas</w:t>
      </w:r>
      <w:proofErr w:type="spellEnd"/>
      <w:r w:rsidR="003C6789" w:rsidRPr="00B5487A">
        <w:rPr>
          <w:rFonts w:ascii="Times New Roman" w:hAnsi="Times New Roman" w:cs="Times New Roman"/>
          <w:sz w:val="28"/>
          <w:szCs w:val="28"/>
        </w:rPr>
        <w:t xml:space="preserve"> corpus </w:t>
      </w:r>
      <w:r w:rsidR="003C6789" w:rsidRPr="004E38E8">
        <w:rPr>
          <w:rFonts w:ascii="Times New Roman" w:hAnsi="Times New Roman" w:cs="Times New Roman"/>
          <w:i/>
          <w:iCs/>
          <w:sz w:val="28"/>
          <w:szCs w:val="28"/>
        </w:rPr>
        <w:t>ha rappresentato la base dello Stato di diritto, l’</w:t>
      </w:r>
      <w:proofErr w:type="spellStart"/>
      <w:r w:rsidR="003C6789" w:rsidRPr="00B5487A">
        <w:rPr>
          <w:rFonts w:ascii="Times New Roman" w:hAnsi="Times New Roman" w:cs="Times New Roman"/>
          <w:sz w:val="28"/>
          <w:szCs w:val="28"/>
        </w:rPr>
        <w:t>habeas</w:t>
      </w:r>
      <w:proofErr w:type="spellEnd"/>
      <w:r w:rsidR="003C6789" w:rsidRPr="00B5487A">
        <w:rPr>
          <w:rFonts w:ascii="Times New Roman" w:hAnsi="Times New Roman" w:cs="Times New Roman"/>
          <w:sz w:val="28"/>
          <w:szCs w:val="28"/>
        </w:rPr>
        <w:t xml:space="preserve"> data </w:t>
      </w:r>
      <w:r w:rsidR="003C6789" w:rsidRPr="004E38E8">
        <w:rPr>
          <w:rFonts w:ascii="Times New Roman" w:hAnsi="Times New Roman" w:cs="Times New Roman"/>
          <w:i/>
          <w:iCs/>
          <w:sz w:val="28"/>
          <w:szCs w:val="28"/>
        </w:rPr>
        <w:t>la base del diritto di autodeterminazione digitale</w:t>
      </w:r>
      <w:r w:rsidR="000D195D" w:rsidRPr="004E38E8">
        <w:rPr>
          <w:rFonts w:ascii="Times New Roman" w:hAnsi="Times New Roman" w:cs="Times New Roman"/>
          <w:i/>
          <w:iCs/>
          <w:sz w:val="28"/>
          <w:szCs w:val="28"/>
        </w:rPr>
        <w:t>, l’</w:t>
      </w:r>
      <w:proofErr w:type="spellStart"/>
      <w:r w:rsidR="000D195D" w:rsidRPr="00B5487A">
        <w:rPr>
          <w:rFonts w:ascii="Times New Roman" w:hAnsi="Times New Roman" w:cs="Times New Roman"/>
          <w:sz w:val="28"/>
          <w:szCs w:val="28"/>
        </w:rPr>
        <w:t>habeas</w:t>
      </w:r>
      <w:proofErr w:type="spellEnd"/>
      <w:r w:rsidR="000D195D" w:rsidRPr="00B5487A">
        <w:rPr>
          <w:rFonts w:ascii="Times New Roman" w:hAnsi="Times New Roman" w:cs="Times New Roman"/>
          <w:sz w:val="28"/>
          <w:szCs w:val="28"/>
        </w:rPr>
        <w:t xml:space="preserve"> </w:t>
      </w:r>
      <w:proofErr w:type="spellStart"/>
      <w:r w:rsidR="000D195D" w:rsidRPr="00B5487A">
        <w:rPr>
          <w:rFonts w:ascii="Times New Roman" w:hAnsi="Times New Roman" w:cs="Times New Roman"/>
          <w:sz w:val="28"/>
          <w:szCs w:val="28"/>
        </w:rPr>
        <w:t>mentem</w:t>
      </w:r>
      <w:proofErr w:type="spellEnd"/>
      <w:r w:rsidR="000D195D" w:rsidRPr="00B5487A">
        <w:rPr>
          <w:rFonts w:ascii="Times New Roman" w:hAnsi="Times New Roman" w:cs="Times New Roman"/>
          <w:sz w:val="28"/>
          <w:szCs w:val="28"/>
        </w:rPr>
        <w:t xml:space="preserve"> </w:t>
      </w:r>
      <w:r w:rsidR="000D195D" w:rsidRPr="004E38E8">
        <w:rPr>
          <w:rFonts w:ascii="Times New Roman" w:hAnsi="Times New Roman" w:cs="Times New Roman"/>
          <w:i/>
          <w:iCs/>
          <w:sz w:val="28"/>
          <w:szCs w:val="28"/>
        </w:rPr>
        <w:t>diventa il fulcro dei c</w:t>
      </w:r>
      <w:r w:rsidR="00F66CD3">
        <w:rPr>
          <w:rFonts w:ascii="Times New Roman" w:hAnsi="Times New Roman" w:cs="Times New Roman"/>
          <w:i/>
          <w:iCs/>
          <w:sz w:val="28"/>
          <w:szCs w:val="28"/>
        </w:rPr>
        <w:t>.</w:t>
      </w:r>
      <w:r w:rsidR="000D195D" w:rsidRPr="004E38E8">
        <w:rPr>
          <w:rFonts w:ascii="Times New Roman" w:hAnsi="Times New Roman" w:cs="Times New Roman"/>
          <w:i/>
          <w:iCs/>
          <w:sz w:val="28"/>
          <w:szCs w:val="28"/>
        </w:rPr>
        <w:t>d</w:t>
      </w:r>
      <w:r w:rsidR="00F66CD3">
        <w:rPr>
          <w:rFonts w:ascii="Times New Roman" w:hAnsi="Times New Roman" w:cs="Times New Roman"/>
          <w:i/>
          <w:iCs/>
          <w:sz w:val="28"/>
          <w:szCs w:val="28"/>
        </w:rPr>
        <w:t>.</w:t>
      </w:r>
      <w:r w:rsidR="000D195D" w:rsidRPr="004E38E8">
        <w:rPr>
          <w:rFonts w:ascii="Times New Roman" w:hAnsi="Times New Roman" w:cs="Times New Roman"/>
          <w:i/>
          <w:iCs/>
          <w:sz w:val="28"/>
          <w:szCs w:val="28"/>
        </w:rPr>
        <w:t xml:space="preserve"> “neuro-diritti” per evitare la deriva </w:t>
      </w:r>
      <w:proofErr w:type="spellStart"/>
      <w:r w:rsidR="000D195D" w:rsidRPr="004E38E8">
        <w:rPr>
          <w:rFonts w:ascii="Times New Roman" w:hAnsi="Times New Roman" w:cs="Times New Roman"/>
          <w:i/>
          <w:iCs/>
          <w:sz w:val="28"/>
          <w:szCs w:val="28"/>
        </w:rPr>
        <w:t>neurodeterministica</w:t>
      </w:r>
      <w:proofErr w:type="spellEnd"/>
      <w:r w:rsidR="000D195D" w:rsidRPr="004E38E8">
        <w:rPr>
          <w:rFonts w:ascii="Times New Roman" w:hAnsi="Times New Roman" w:cs="Times New Roman"/>
          <w:i/>
          <w:iCs/>
          <w:sz w:val="28"/>
          <w:szCs w:val="28"/>
        </w:rPr>
        <w:t>,</w:t>
      </w:r>
      <w:r w:rsidR="00735DE9">
        <w:rPr>
          <w:rFonts w:ascii="Times New Roman" w:hAnsi="Times New Roman" w:cs="Times New Roman"/>
          <w:i/>
          <w:iCs/>
          <w:sz w:val="28"/>
          <w:szCs w:val="28"/>
        </w:rPr>
        <w:t xml:space="preserve"> </w:t>
      </w:r>
      <w:r w:rsidR="000D195D" w:rsidRPr="004E38E8">
        <w:rPr>
          <w:rFonts w:ascii="Times New Roman" w:hAnsi="Times New Roman" w:cs="Times New Roman"/>
          <w:i/>
          <w:iCs/>
          <w:sz w:val="28"/>
          <w:szCs w:val="28"/>
        </w:rPr>
        <w:t>c</w:t>
      </w:r>
      <w:r w:rsidR="008F5544">
        <w:rPr>
          <w:rFonts w:ascii="Times New Roman" w:hAnsi="Times New Roman" w:cs="Times New Roman"/>
          <w:i/>
          <w:iCs/>
          <w:sz w:val="28"/>
          <w:szCs w:val="28"/>
        </w:rPr>
        <w:t>.</w:t>
      </w:r>
      <w:r w:rsidR="000D195D" w:rsidRPr="004E38E8">
        <w:rPr>
          <w:rFonts w:ascii="Times New Roman" w:hAnsi="Times New Roman" w:cs="Times New Roman"/>
          <w:i/>
          <w:iCs/>
          <w:sz w:val="28"/>
          <w:szCs w:val="28"/>
        </w:rPr>
        <w:t>d</w:t>
      </w:r>
      <w:r w:rsidR="008F5544">
        <w:rPr>
          <w:rFonts w:ascii="Times New Roman" w:hAnsi="Times New Roman" w:cs="Times New Roman"/>
          <w:i/>
          <w:iCs/>
          <w:sz w:val="28"/>
          <w:szCs w:val="28"/>
        </w:rPr>
        <w:t>.</w:t>
      </w:r>
      <w:r w:rsidR="000D195D" w:rsidRPr="004E38E8">
        <w:rPr>
          <w:rFonts w:ascii="Times New Roman" w:hAnsi="Times New Roman" w:cs="Times New Roman"/>
          <w:i/>
          <w:iCs/>
          <w:sz w:val="28"/>
          <w:szCs w:val="28"/>
        </w:rPr>
        <w:t xml:space="preserve"> “riduzionismo scientifico”</w:t>
      </w:r>
      <w:r w:rsidR="00F63766" w:rsidRPr="004E38E8">
        <w:rPr>
          <w:rFonts w:ascii="Times New Roman" w:hAnsi="Times New Roman" w:cs="Times New Roman"/>
          <w:i/>
          <w:iCs/>
          <w:sz w:val="28"/>
          <w:szCs w:val="28"/>
        </w:rPr>
        <w:t xml:space="preserve"> e “determinismo tecnologico</w:t>
      </w:r>
      <w:r w:rsidR="00F63766">
        <w:rPr>
          <w:rFonts w:ascii="Times New Roman" w:hAnsi="Times New Roman" w:cs="Times New Roman"/>
          <w:i/>
          <w:iCs/>
          <w:sz w:val="28"/>
          <w:szCs w:val="28"/>
        </w:rPr>
        <w:t>”</w:t>
      </w:r>
      <w:r>
        <w:rPr>
          <w:rFonts w:ascii="Times New Roman" w:hAnsi="Times New Roman" w:cs="Times New Roman"/>
          <w:sz w:val="28"/>
          <w:szCs w:val="28"/>
        </w:rPr>
        <w:t>».</w:t>
      </w:r>
      <w:r>
        <w:rPr>
          <w:rFonts w:ascii="Times New Roman" w:hAnsi="Times New Roman" w:cs="Times New Roman"/>
          <w:i/>
          <w:iCs/>
          <w:sz w:val="28"/>
          <w:szCs w:val="28"/>
        </w:rPr>
        <w:t xml:space="preserve"> </w:t>
      </w:r>
      <w:r w:rsidR="0031445D" w:rsidRPr="0031445D">
        <w:rPr>
          <w:rFonts w:ascii="Times New Roman" w:hAnsi="Times New Roman" w:cs="Times New Roman"/>
          <w:sz w:val="28"/>
          <w:szCs w:val="28"/>
        </w:rPr>
        <w:t xml:space="preserve">Sono queste le autorevoli considerazioni del Garante per la </w:t>
      </w:r>
      <w:r w:rsidR="0031445D" w:rsidRPr="00F66CD3">
        <w:rPr>
          <w:rFonts w:ascii="Times New Roman" w:hAnsi="Times New Roman" w:cs="Times New Roman"/>
          <w:sz w:val="28"/>
          <w:szCs w:val="28"/>
        </w:rPr>
        <w:t>Privacy,</w:t>
      </w:r>
      <w:r w:rsidR="00735DE9" w:rsidRPr="00F66CD3">
        <w:rPr>
          <w:rFonts w:ascii="Times New Roman" w:hAnsi="Times New Roman" w:cs="Times New Roman"/>
          <w:sz w:val="28"/>
          <w:szCs w:val="28"/>
        </w:rPr>
        <w:t xml:space="preserve"> </w:t>
      </w:r>
      <w:r w:rsidR="00F66CD3" w:rsidRPr="00F66CD3">
        <w:rPr>
          <w:rFonts w:ascii="Times New Roman" w:hAnsi="Times New Roman" w:cs="Times New Roman"/>
          <w:sz w:val="28"/>
          <w:szCs w:val="28"/>
        </w:rPr>
        <w:t>il</w:t>
      </w:r>
      <w:r w:rsidR="00F66CD3">
        <w:rPr>
          <w:rFonts w:ascii="Times New Roman" w:hAnsi="Times New Roman" w:cs="Times New Roman"/>
          <w:i/>
          <w:iCs/>
          <w:sz w:val="28"/>
          <w:szCs w:val="28"/>
        </w:rPr>
        <w:t xml:space="preserve"> </w:t>
      </w:r>
      <w:r w:rsidR="006E616C">
        <w:rPr>
          <w:rFonts w:ascii="Times New Roman" w:hAnsi="Times New Roman" w:cs="Times New Roman"/>
          <w:sz w:val="28"/>
          <w:szCs w:val="28"/>
        </w:rPr>
        <w:t>P</w:t>
      </w:r>
      <w:r w:rsidR="0031445D" w:rsidRPr="0031445D">
        <w:rPr>
          <w:rFonts w:ascii="Times New Roman" w:hAnsi="Times New Roman" w:cs="Times New Roman"/>
          <w:sz w:val="28"/>
          <w:szCs w:val="28"/>
        </w:rPr>
        <w:t>rof</w:t>
      </w:r>
      <w:r w:rsidR="00F66CD3">
        <w:rPr>
          <w:rFonts w:ascii="Times New Roman" w:hAnsi="Times New Roman" w:cs="Times New Roman"/>
          <w:sz w:val="28"/>
          <w:szCs w:val="28"/>
        </w:rPr>
        <w:t>essore</w:t>
      </w:r>
      <w:r w:rsidR="00735DE9">
        <w:rPr>
          <w:rFonts w:ascii="Times New Roman" w:hAnsi="Times New Roman" w:cs="Times New Roman"/>
          <w:sz w:val="28"/>
          <w:szCs w:val="28"/>
        </w:rPr>
        <w:t xml:space="preserve"> </w:t>
      </w:r>
      <w:r w:rsidR="0031445D" w:rsidRPr="0031445D">
        <w:rPr>
          <w:rFonts w:ascii="Times New Roman" w:hAnsi="Times New Roman" w:cs="Times New Roman"/>
          <w:sz w:val="28"/>
          <w:szCs w:val="28"/>
        </w:rPr>
        <w:t>P</w:t>
      </w:r>
      <w:r w:rsidR="00F66CD3">
        <w:rPr>
          <w:rFonts w:ascii="Times New Roman" w:hAnsi="Times New Roman" w:cs="Times New Roman"/>
          <w:sz w:val="28"/>
          <w:szCs w:val="28"/>
        </w:rPr>
        <w:t>asquale</w:t>
      </w:r>
      <w:r w:rsidR="00735DE9">
        <w:rPr>
          <w:rFonts w:ascii="Times New Roman" w:hAnsi="Times New Roman" w:cs="Times New Roman"/>
          <w:sz w:val="28"/>
          <w:szCs w:val="28"/>
        </w:rPr>
        <w:t xml:space="preserve"> </w:t>
      </w:r>
      <w:proofErr w:type="spellStart"/>
      <w:r w:rsidR="0031445D" w:rsidRPr="0031445D">
        <w:rPr>
          <w:rFonts w:ascii="Times New Roman" w:hAnsi="Times New Roman" w:cs="Times New Roman"/>
          <w:sz w:val="28"/>
          <w:szCs w:val="28"/>
        </w:rPr>
        <w:t>Stanzione</w:t>
      </w:r>
      <w:proofErr w:type="spellEnd"/>
      <w:r w:rsidR="0031445D">
        <w:rPr>
          <w:rFonts w:ascii="Times New Roman" w:hAnsi="Times New Roman" w:cs="Times New Roman"/>
          <w:sz w:val="28"/>
          <w:szCs w:val="28"/>
        </w:rPr>
        <w:t>, esposte in un convegno sul tema delle neuroscienze e la tutela dei dati</w:t>
      </w:r>
      <w:r w:rsidR="00E47AE5">
        <w:rPr>
          <w:rStyle w:val="Rimandonotaapidipagina"/>
          <w:rFonts w:ascii="Times New Roman" w:hAnsi="Times New Roman" w:cs="Times New Roman"/>
          <w:sz w:val="28"/>
          <w:szCs w:val="28"/>
        </w:rPr>
        <w:footnoteReference w:id="1"/>
      </w:r>
      <w:r w:rsidR="0031445D">
        <w:rPr>
          <w:rFonts w:ascii="Times New Roman" w:hAnsi="Times New Roman" w:cs="Times New Roman"/>
          <w:sz w:val="28"/>
          <w:szCs w:val="28"/>
        </w:rPr>
        <w:t>.</w:t>
      </w:r>
      <w:r w:rsidR="0031445D">
        <w:rPr>
          <w:rFonts w:ascii="Times New Roman" w:hAnsi="Times New Roman" w:cs="Times New Roman"/>
          <w:i/>
          <w:iCs/>
          <w:sz w:val="28"/>
          <w:szCs w:val="28"/>
        </w:rPr>
        <w:t xml:space="preserve"> </w:t>
      </w:r>
    </w:p>
    <w:p w14:paraId="68150978" w14:textId="4D17BD03" w:rsidR="00626A1B" w:rsidRPr="004647F4" w:rsidRDefault="000D195D" w:rsidP="00741057">
      <w:pPr>
        <w:spacing w:after="0"/>
        <w:jc w:val="both"/>
        <w:rPr>
          <w:rFonts w:ascii="Times New Roman" w:hAnsi="Times New Roman" w:cs="Times New Roman"/>
          <w:i/>
          <w:iCs/>
          <w:sz w:val="28"/>
          <w:szCs w:val="28"/>
        </w:rPr>
      </w:pPr>
      <w:r w:rsidRPr="000D195D">
        <w:rPr>
          <w:rFonts w:ascii="Times New Roman" w:hAnsi="Times New Roman" w:cs="Times New Roman"/>
          <w:sz w:val="28"/>
          <w:szCs w:val="28"/>
        </w:rPr>
        <w:lastRenderedPageBreak/>
        <w:t>Occorre, dunque,</w:t>
      </w:r>
      <w:r>
        <w:rPr>
          <w:rFonts w:ascii="Times New Roman" w:hAnsi="Times New Roman" w:cs="Times New Roman"/>
          <w:i/>
          <w:iCs/>
          <w:sz w:val="28"/>
          <w:szCs w:val="28"/>
        </w:rPr>
        <w:t xml:space="preserve"> </w:t>
      </w:r>
      <w:r w:rsidRPr="000D195D">
        <w:rPr>
          <w:rFonts w:ascii="Times New Roman" w:hAnsi="Times New Roman" w:cs="Times New Roman"/>
          <w:sz w:val="28"/>
          <w:szCs w:val="28"/>
        </w:rPr>
        <w:t xml:space="preserve">uno </w:t>
      </w:r>
      <w:r>
        <w:rPr>
          <w:rFonts w:ascii="Times New Roman" w:hAnsi="Times New Roman" w:cs="Times New Roman"/>
          <w:sz w:val="28"/>
          <w:szCs w:val="28"/>
        </w:rPr>
        <w:t>statuto giuridico ed etico</w:t>
      </w:r>
      <w:r w:rsidR="00DF4B1B">
        <w:rPr>
          <w:rFonts w:ascii="Times New Roman" w:hAnsi="Times New Roman" w:cs="Times New Roman"/>
          <w:sz w:val="28"/>
          <w:szCs w:val="28"/>
        </w:rPr>
        <w:t>,</w:t>
      </w:r>
      <w:r>
        <w:rPr>
          <w:rFonts w:ascii="Times New Roman" w:hAnsi="Times New Roman" w:cs="Times New Roman"/>
          <w:sz w:val="28"/>
          <w:szCs w:val="28"/>
        </w:rPr>
        <w:t xml:space="preserve"> che coniughi l’innovazione con la dignità umana,</w:t>
      </w:r>
      <w:r w:rsidR="0066635A">
        <w:rPr>
          <w:rFonts w:ascii="Times New Roman" w:hAnsi="Times New Roman" w:cs="Times New Roman"/>
          <w:sz w:val="28"/>
          <w:szCs w:val="28"/>
        </w:rPr>
        <w:t xml:space="preserve"> </w:t>
      </w:r>
      <w:r>
        <w:rPr>
          <w:rFonts w:ascii="Times New Roman" w:hAnsi="Times New Roman" w:cs="Times New Roman"/>
          <w:sz w:val="28"/>
          <w:szCs w:val="28"/>
        </w:rPr>
        <w:t>intesa sempre come fine, e mai come mezzo, facendo tesoro dell’insegnamento di Kant.</w:t>
      </w:r>
      <w:r w:rsidR="00D175CA">
        <w:rPr>
          <w:rFonts w:ascii="Times New Roman" w:hAnsi="Times New Roman" w:cs="Times New Roman"/>
          <w:sz w:val="28"/>
          <w:szCs w:val="28"/>
        </w:rPr>
        <w:t xml:space="preserve"> </w:t>
      </w:r>
    </w:p>
    <w:p w14:paraId="04A131C1" w14:textId="0E034273" w:rsidR="00626A1B" w:rsidRDefault="001B60F4" w:rsidP="00741057">
      <w:pPr>
        <w:spacing w:after="0"/>
        <w:jc w:val="both"/>
        <w:rPr>
          <w:rFonts w:ascii="Times New Roman" w:hAnsi="Times New Roman" w:cs="Times New Roman"/>
          <w:sz w:val="28"/>
          <w:szCs w:val="28"/>
        </w:rPr>
      </w:pPr>
      <w:r>
        <w:rPr>
          <w:rFonts w:ascii="Times New Roman" w:hAnsi="Times New Roman" w:cs="Times New Roman"/>
          <w:sz w:val="28"/>
          <w:szCs w:val="28"/>
        </w:rPr>
        <w:t>Vi è da chiedersi,</w:t>
      </w:r>
      <w:r w:rsidR="00735DE9">
        <w:rPr>
          <w:rFonts w:ascii="Times New Roman" w:hAnsi="Times New Roman" w:cs="Times New Roman"/>
          <w:sz w:val="28"/>
          <w:szCs w:val="28"/>
        </w:rPr>
        <w:t xml:space="preserve"> </w:t>
      </w:r>
      <w:r>
        <w:rPr>
          <w:rFonts w:ascii="Times New Roman" w:hAnsi="Times New Roman" w:cs="Times New Roman"/>
          <w:sz w:val="28"/>
          <w:szCs w:val="28"/>
        </w:rPr>
        <w:t>però, se o</w:t>
      </w:r>
      <w:r w:rsidR="00D175CA">
        <w:rPr>
          <w:rFonts w:ascii="Times New Roman" w:hAnsi="Times New Roman" w:cs="Times New Roman"/>
          <w:sz w:val="28"/>
          <w:szCs w:val="28"/>
        </w:rPr>
        <w:t>ccorr</w:t>
      </w:r>
      <w:r>
        <w:rPr>
          <w:rFonts w:ascii="Times New Roman" w:hAnsi="Times New Roman" w:cs="Times New Roman"/>
          <w:sz w:val="28"/>
          <w:szCs w:val="28"/>
        </w:rPr>
        <w:t>a oggi</w:t>
      </w:r>
      <w:r w:rsidR="00D175CA">
        <w:rPr>
          <w:rFonts w:ascii="Times New Roman" w:hAnsi="Times New Roman" w:cs="Times New Roman"/>
          <w:sz w:val="28"/>
          <w:szCs w:val="28"/>
        </w:rPr>
        <w:t xml:space="preserve"> </w:t>
      </w:r>
      <w:r w:rsidR="00541A44">
        <w:rPr>
          <w:rFonts w:ascii="Times New Roman" w:hAnsi="Times New Roman" w:cs="Times New Roman"/>
          <w:sz w:val="28"/>
          <w:szCs w:val="28"/>
        </w:rPr>
        <w:t xml:space="preserve">introdurre un concetto di </w:t>
      </w:r>
      <w:proofErr w:type="spellStart"/>
      <w:r w:rsidR="00541A44">
        <w:rPr>
          <w:rFonts w:ascii="Times New Roman" w:hAnsi="Times New Roman" w:cs="Times New Roman"/>
          <w:sz w:val="28"/>
          <w:szCs w:val="28"/>
        </w:rPr>
        <w:t>neuroetica</w:t>
      </w:r>
      <w:proofErr w:type="spellEnd"/>
      <w:r w:rsidR="00541A44">
        <w:rPr>
          <w:rFonts w:ascii="Times New Roman" w:hAnsi="Times New Roman" w:cs="Times New Roman"/>
          <w:sz w:val="28"/>
          <w:szCs w:val="28"/>
        </w:rPr>
        <w:t xml:space="preserve">, </w:t>
      </w:r>
      <w:r>
        <w:rPr>
          <w:rFonts w:ascii="Times New Roman" w:hAnsi="Times New Roman" w:cs="Times New Roman"/>
          <w:sz w:val="28"/>
          <w:szCs w:val="28"/>
        </w:rPr>
        <w:t>ossia</w:t>
      </w:r>
      <w:r w:rsidR="00DF4B1B">
        <w:rPr>
          <w:rFonts w:ascii="Times New Roman" w:hAnsi="Times New Roman" w:cs="Times New Roman"/>
          <w:sz w:val="28"/>
          <w:szCs w:val="28"/>
        </w:rPr>
        <w:t xml:space="preserve"> </w:t>
      </w:r>
      <w:r>
        <w:rPr>
          <w:rFonts w:ascii="Times New Roman" w:hAnsi="Times New Roman" w:cs="Times New Roman"/>
          <w:sz w:val="28"/>
          <w:szCs w:val="28"/>
        </w:rPr>
        <w:t xml:space="preserve">di </w:t>
      </w:r>
      <w:r w:rsidR="00541A44">
        <w:rPr>
          <w:rFonts w:ascii="Times New Roman" w:hAnsi="Times New Roman" w:cs="Times New Roman"/>
          <w:sz w:val="28"/>
          <w:szCs w:val="28"/>
        </w:rPr>
        <w:t>etica della</w:t>
      </w:r>
      <w:r w:rsidR="00722156">
        <w:rPr>
          <w:rFonts w:ascii="Times New Roman" w:hAnsi="Times New Roman" w:cs="Times New Roman"/>
          <w:sz w:val="28"/>
          <w:szCs w:val="28"/>
        </w:rPr>
        <w:t xml:space="preserve"> </w:t>
      </w:r>
      <w:proofErr w:type="spellStart"/>
      <w:r w:rsidR="00541A44">
        <w:rPr>
          <w:rFonts w:ascii="Times New Roman" w:hAnsi="Times New Roman" w:cs="Times New Roman"/>
          <w:sz w:val="28"/>
          <w:szCs w:val="28"/>
        </w:rPr>
        <w:t>neurotecnologia</w:t>
      </w:r>
      <w:proofErr w:type="spellEnd"/>
      <w:r w:rsidR="008F5544">
        <w:rPr>
          <w:rFonts w:ascii="Times New Roman" w:hAnsi="Times New Roman" w:cs="Times New Roman"/>
          <w:sz w:val="28"/>
          <w:szCs w:val="28"/>
        </w:rPr>
        <w:t>,</w:t>
      </w:r>
      <w:r w:rsidR="006E2698">
        <w:rPr>
          <w:rFonts w:ascii="Times New Roman" w:hAnsi="Times New Roman" w:cs="Times New Roman"/>
          <w:sz w:val="28"/>
          <w:szCs w:val="28"/>
        </w:rPr>
        <w:t xml:space="preserve"> per proporre un approccio etico</w:t>
      </w:r>
      <w:r w:rsidR="00F66CD3">
        <w:rPr>
          <w:rFonts w:ascii="Times New Roman" w:hAnsi="Times New Roman" w:cs="Times New Roman"/>
          <w:sz w:val="28"/>
          <w:szCs w:val="28"/>
        </w:rPr>
        <w:t>,</w:t>
      </w:r>
      <w:r>
        <w:rPr>
          <w:rFonts w:ascii="Times New Roman" w:hAnsi="Times New Roman" w:cs="Times New Roman"/>
          <w:sz w:val="28"/>
          <w:szCs w:val="28"/>
        </w:rPr>
        <w:t xml:space="preserve"> sistematico e integrato</w:t>
      </w:r>
      <w:r w:rsidR="006E2698">
        <w:rPr>
          <w:rFonts w:ascii="Times New Roman" w:hAnsi="Times New Roman" w:cs="Times New Roman"/>
          <w:sz w:val="28"/>
          <w:szCs w:val="28"/>
        </w:rPr>
        <w:t xml:space="preserve"> alle tecnologie</w:t>
      </w:r>
      <w:r>
        <w:rPr>
          <w:rFonts w:ascii="Times New Roman" w:hAnsi="Times New Roman" w:cs="Times New Roman"/>
          <w:sz w:val="28"/>
          <w:szCs w:val="28"/>
        </w:rPr>
        <w:t xml:space="preserve"> di intelligenza artificiale</w:t>
      </w:r>
      <w:r w:rsidR="00106A33">
        <w:rPr>
          <w:rFonts w:ascii="Times New Roman" w:hAnsi="Times New Roman" w:cs="Times New Roman"/>
          <w:sz w:val="28"/>
          <w:szCs w:val="28"/>
        </w:rPr>
        <w:t>.</w:t>
      </w:r>
      <w:r w:rsidR="006E2698">
        <w:rPr>
          <w:rFonts w:ascii="Times New Roman" w:hAnsi="Times New Roman" w:cs="Times New Roman"/>
          <w:sz w:val="28"/>
          <w:szCs w:val="28"/>
        </w:rPr>
        <w:t xml:space="preserve"> </w:t>
      </w:r>
    </w:p>
    <w:p w14:paraId="0AA3307D" w14:textId="6ACD50AA" w:rsidR="00175D2C" w:rsidRDefault="005B5F17" w:rsidP="00741057">
      <w:pPr>
        <w:spacing w:after="0"/>
        <w:jc w:val="both"/>
        <w:rPr>
          <w:rFonts w:ascii="Times New Roman" w:hAnsi="Times New Roman" w:cs="Times New Roman"/>
          <w:sz w:val="28"/>
          <w:szCs w:val="28"/>
        </w:rPr>
      </w:pPr>
      <w:proofErr w:type="spellStart"/>
      <w:r w:rsidRPr="005B5F17">
        <w:rPr>
          <w:rFonts w:ascii="Times New Roman" w:hAnsi="Times New Roman" w:cs="Times New Roman"/>
          <w:i/>
          <w:iCs/>
          <w:sz w:val="28"/>
          <w:szCs w:val="28"/>
        </w:rPr>
        <w:t>Langdon</w:t>
      </w:r>
      <w:proofErr w:type="spellEnd"/>
      <w:r w:rsidRPr="005B5F17">
        <w:rPr>
          <w:rFonts w:ascii="Times New Roman" w:hAnsi="Times New Roman" w:cs="Times New Roman"/>
          <w:i/>
          <w:iCs/>
          <w:sz w:val="28"/>
          <w:szCs w:val="28"/>
        </w:rPr>
        <w:t xml:space="preserve"> </w:t>
      </w:r>
      <w:proofErr w:type="spellStart"/>
      <w:r w:rsidRPr="005B5F17">
        <w:rPr>
          <w:rFonts w:ascii="Times New Roman" w:hAnsi="Times New Roman" w:cs="Times New Roman"/>
          <w:i/>
          <w:iCs/>
          <w:sz w:val="28"/>
          <w:szCs w:val="28"/>
        </w:rPr>
        <w:t>Winner</w:t>
      </w:r>
      <w:proofErr w:type="spellEnd"/>
      <w:r w:rsidR="00886975" w:rsidRPr="00EB5B14">
        <w:rPr>
          <w:rStyle w:val="Rimandonotaapidipagina"/>
          <w:rFonts w:ascii="Times New Roman" w:hAnsi="Times New Roman" w:cs="Times New Roman"/>
          <w:sz w:val="28"/>
          <w:szCs w:val="28"/>
        </w:rPr>
        <w:footnoteReference w:id="2"/>
      </w:r>
      <w:r w:rsidRPr="005B5F17">
        <w:rPr>
          <w:rFonts w:ascii="Times New Roman" w:hAnsi="Times New Roman" w:cs="Times New Roman"/>
          <w:i/>
          <w:iCs/>
          <w:sz w:val="28"/>
          <w:szCs w:val="28"/>
        </w:rPr>
        <w:t xml:space="preserve"> </w:t>
      </w:r>
      <w:r w:rsidR="007A5971" w:rsidRPr="007A5971">
        <w:rPr>
          <w:rFonts w:ascii="Times New Roman" w:hAnsi="Times New Roman" w:cs="Times New Roman"/>
          <w:sz w:val="28"/>
          <w:szCs w:val="28"/>
        </w:rPr>
        <w:t xml:space="preserve">affermava che </w:t>
      </w:r>
      <w:r w:rsidR="00CA4B02">
        <w:rPr>
          <w:rFonts w:ascii="Times New Roman" w:hAnsi="Times New Roman" w:cs="Times New Roman"/>
          <w:sz w:val="28"/>
          <w:szCs w:val="28"/>
        </w:rPr>
        <w:t>ogni disposizione tecnologica è espressione di potere</w:t>
      </w:r>
      <w:r w:rsidR="00BC3F4F">
        <w:rPr>
          <w:rFonts w:ascii="Times New Roman" w:hAnsi="Times New Roman" w:cs="Times New Roman"/>
          <w:sz w:val="28"/>
          <w:szCs w:val="28"/>
        </w:rPr>
        <w:t xml:space="preserve"> e </w:t>
      </w:r>
      <w:r w:rsidR="00BC3F4F" w:rsidRPr="0009170E">
        <w:rPr>
          <w:rFonts w:ascii="Times New Roman" w:hAnsi="Times New Roman" w:cs="Times New Roman"/>
          <w:i/>
          <w:iCs/>
          <w:sz w:val="28"/>
          <w:szCs w:val="28"/>
        </w:rPr>
        <w:t>L</w:t>
      </w:r>
      <w:r w:rsidR="00626A1B">
        <w:rPr>
          <w:rFonts w:ascii="Times New Roman" w:hAnsi="Times New Roman" w:cs="Times New Roman"/>
          <w:i/>
          <w:iCs/>
          <w:sz w:val="28"/>
          <w:szCs w:val="28"/>
        </w:rPr>
        <w:t>ewis</w:t>
      </w:r>
      <w:r w:rsidR="00735DE9">
        <w:rPr>
          <w:rFonts w:ascii="Times New Roman" w:hAnsi="Times New Roman" w:cs="Times New Roman"/>
          <w:i/>
          <w:iCs/>
          <w:sz w:val="28"/>
          <w:szCs w:val="28"/>
        </w:rPr>
        <w:t xml:space="preserve"> </w:t>
      </w:r>
      <w:proofErr w:type="spellStart"/>
      <w:r w:rsidR="00BC3F4F" w:rsidRPr="0009170E">
        <w:rPr>
          <w:rFonts w:ascii="Times New Roman" w:hAnsi="Times New Roman" w:cs="Times New Roman"/>
          <w:i/>
          <w:iCs/>
          <w:sz w:val="28"/>
          <w:szCs w:val="28"/>
        </w:rPr>
        <w:t>Mumford</w:t>
      </w:r>
      <w:proofErr w:type="spellEnd"/>
      <w:r w:rsidR="00886975" w:rsidRPr="00EB5B14">
        <w:rPr>
          <w:rStyle w:val="Rimandonotaapidipagina"/>
          <w:rFonts w:ascii="Times New Roman" w:hAnsi="Times New Roman" w:cs="Times New Roman"/>
          <w:sz w:val="28"/>
          <w:szCs w:val="28"/>
        </w:rPr>
        <w:footnoteReference w:id="3"/>
      </w:r>
      <w:r w:rsidR="00BC3F4F" w:rsidRPr="00EB5B14">
        <w:rPr>
          <w:rFonts w:ascii="Times New Roman" w:hAnsi="Times New Roman" w:cs="Times New Roman"/>
          <w:sz w:val="28"/>
          <w:szCs w:val="28"/>
        </w:rPr>
        <w:t xml:space="preserve"> </w:t>
      </w:r>
      <w:r w:rsidR="00BC3F4F">
        <w:rPr>
          <w:rFonts w:ascii="Times New Roman" w:hAnsi="Times New Roman" w:cs="Times New Roman"/>
          <w:sz w:val="28"/>
          <w:szCs w:val="28"/>
        </w:rPr>
        <w:t>parlava di “</w:t>
      </w:r>
      <w:r w:rsidR="00BC3F4F" w:rsidRPr="00BC3F4F">
        <w:rPr>
          <w:rFonts w:ascii="Times New Roman" w:hAnsi="Times New Roman" w:cs="Times New Roman"/>
          <w:i/>
          <w:iCs/>
          <w:sz w:val="28"/>
          <w:szCs w:val="28"/>
        </w:rPr>
        <w:t xml:space="preserve">Technical </w:t>
      </w:r>
      <w:proofErr w:type="spellStart"/>
      <w:r w:rsidR="00BC3F4F" w:rsidRPr="00BC3F4F">
        <w:rPr>
          <w:rFonts w:ascii="Times New Roman" w:hAnsi="Times New Roman" w:cs="Times New Roman"/>
          <w:i/>
          <w:iCs/>
          <w:sz w:val="28"/>
          <w:szCs w:val="28"/>
        </w:rPr>
        <w:t>arra</w:t>
      </w:r>
      <w:r w:rsidR="00CF3019">
        <w:rPr>
          <w:rFonts w:ascii="Times New Roman" w:hAnsi="Times New Roman" w:cs="Times New Roman"/>
          <w:i/>
          <w:iCs/>
          <w:sz w:val="28"/>
          <w:szCs w:val="28"/>
        </w:rPr>
        <w:t>n</w:t>
      </w:r>
      <w:r w:rsidR="00BC3F4F" w:rsidRPr="00BC3F4F">
        <w:rPr>
          <w:rFonts w:ascii="Times New Roman" w:hAnsi="Times New Roman" w:cs="Times New Roman"/>
          <w:i/>
          <w:iCs/>
          <w:sz w:val="28"/>
          <w:szCs w:val="28"/>
        </w:rPr>
        <w:t>gements</w:t>
      </w:r>
      <w:proofErr w:type="spellEnd"/>
      <w:r w:rsidR="00BC3F4F" w:rsidRPr="00BC3F4F">
        <w:rPr>
          <w:rFonts w:ascii="Times New Roman" w:hAnsi="Times New Roman" w:cs="Times New Roman"/>
          <w:i/>
          <w:iCs/>
          <w:sz w:val="28"/>
          <w:szCs w:val="28"/>
        </w:rPr>
        <w:t xml:space="preserve"> </w:t>
      </w:r>
      <w:proofErr w:type="spellStart"/>
      <w:r w:rsidR="00BC3F4F" w:rsidRPr="00BC3F4F">
        <w:rPr>
          <w:rFonts w:ascii="Times New Roman" w:hAnsi="Times New Roman" w:cs="Times New Roman"/>
          <w:i/>
          <w:iCs/>
          <w:sz w:val="28"/>
          <w:szCs w:val="28"/>
        </w:rPr>
        <w:t>as</w:t>
      </w:r>
      <w:proofErr w:type="spellEnd"/>
      <w:r w:rsidR="00BC3F4F" w:rsidRPr="00BC3F4F">
        <w:rPr>
          <w:rFonts w:ascii="Times New Roman" w:hAnsi="Times New Roman" w:cs="Times New Roman"/>
          <w:i/>
          <w:iCs/>
          <w:sz w:val="28"/>
          <w:szCs w:val="28"/>
        </w:rPr>
        <w:t xml:space="preserve"> </w:t>
      </w:r>
      <w:proofErr w:type="spellStart"/>
      <w:r w:rsidR="00BC3F4F" w:rsidRPr="00BC3F4F">
        <w:rPr>
          <w:rFonts w:ascii="Times New Roman" w:hAnsi="Times New Roman" w:cs="Times New Roman"/>
          <w:i/>
          <w:iCs/>
          <w:sz w:val="28"/>
          <w:szCs w:val="28"/>
        </w:rPr>
        <w:t>forms</w:t>
      </w:r>
      <w:proofErr w:type="spellEnd"/>
      <w:r w:rsidR="00BC3F4F" w:rsidRPr="00BC3F4F">
        <w:rPr>
          <w:rFonts w:ascii="Times New Roman" w:hAnsi="Times New Roman" w:cs="Times New Roman"/>
          <w:i/>
          <w:iCs/>
          <w:sz w:val="28"/>
          <w:szCs w:val="28"/>
        </w:rPr>
        <w:t xml:space="preserve"> of </w:t>
      </w:r>
      <w:proofErr w:type="spellStart"/>
      <w:r w:rsidR="00BC3F4F" w:rsidRPr="00BC3F4F">
        <w:rPr>
          <w:rFonts w:ascii="Times New Roman" w:hAnsi="Times New Roman" w:cs="Times New Roman"/>
          <w:i/>
          <w:iCs/>
          <w:sz w:val="28"/>
          <w:szCs w:val="28"/>
        </w:rPr>
        <w:t>order</w:t>
      </w:r>
      <w:proofErr w:type="spellEnd"/>
      <w:r w:rsidR="00BC3F4F" w:rsidRPr="00330EC8">
        <w:rPr>
          <w:rFonts w:ascii="Times New Roman" w:hAnsi="Times New Roman" w:cs="Times New Roman"/>
          <w:sz w:val="28"/>
          <w:szCs w:val="28"/>
        </w:rPr>
        <w:t>”</w:t>
      </w:r>
      <w:r w:rsidR="00330EC8" w:rsidRPr="00330EC8">
        <w:rPr>
          <w:rFonts w:ascii="Times New Roman" w:hAnsi="Times New Roman" w:cs="Times New Roman"/>
          <w:sz w:val="28"/>
          <w:szCs w:val="28"/>
        </w:rPr>
        <w:t>: oggi il problema che si affaccia all’orizzonte</w:t>
      </w:r>
      <w:r w:rsidR="00626A48">
        <w:rPr>
          <w:rFonts w:ascii="Times New Roman" w:hAnsi="Times New Roman" w:cs="Times New Roman"/>
          <w:sz w:val="28"/>
          <w:szCs w:val="28"/>
        </w:rPr>
        <w:t xml:space="preserve"> non è solo l’implementazione della tutela dei dati, che costituiscono i </w:t>
      </w:r>
      <w:r w:rsidR="00626A48" w:rsidRPr="00E81510">
        <w:rPr>
          <w:rFonts w:ascii="Times New Roman" w:hAnsi="Times New Roman" w:cs="Times New Roman"/>
          <w:i/>
          <w:iCs/>
          <w:sz w:val="28"/>
          <w:szCs w:val="28"/>
        </w:rPr>
        <w:t xml:space="preserve">new </w:t>
      </w:r>
      <w:proofErr w:type="spellStart"/>
      <w:r w:rsidR="00626A48" w:rsidRPr="00E81510">
        <w:rPr>
          <w:rFonts w:ascii="Times New Roman" w:hAnsi="Times New Roman" w:cs="Times New Roman"/>
          <w:i/>
          <w:iCs/>
          <w:sz w:val="28"/>
          <w:szCs w:val="28"/>
        </w:rPr>
        <w:t>oil</w:t>
      </w:r>
      <w:r w:rsidR="00626A1B">
        <w:rPr>
          <w:rFonts w:ascii="Times New Roman" w:hAnsi="Times New Roman" w:cs="Times New Roman"/>
          <w:i/>
          <w:iCs/>
          <w:sz w:val="28"/>
          <w:szCs w:val="28"/>
        </w:rPr>
        <w:t>s</w:t>
      </w:r>
      <w:proofErr w:type="spellEnd"/>
      <w:r w:rsidR="000032CB" w:rsidRPr="00E81510">
        <w:rPr>
          <w:rFonts w:ascii="Times New Roman" w:hAnsi="Times New Roman" w:cs="Times New Roman"/>
          <w:i/>
          <w:iCs/>
          <w:sz w:val="28"/>
          <w:szCs w:val="28"/>
        </w:rPr>
        <w:t>,</w:t>
      </w:r>
      <w:r w:rsidR="000032CB">
        <w:rPr>
          <w:rFonts w:ascii="Times New Roman" w:hAnsi="Times New Roman" w:cs="Times New Roman"/>
          <w:sz w:val="28"/>
          <w:szCs w:val="28"/>
        </w:rPr>
        <w:t xml:space="preserve"> </w:t>
      </w:r>
      <w:proofErr w:type="spellStart"/>
      <w:r w:rsidR="000032CB" w:rsidRPr="000032CB">
        <w:rPr>
          <w:rFonts w:ascii="Times New Roman" w:hAnsi="Times New Roman" w:cs="Times New Roman"/>
          <w:i/>
          <w:iCs/>
          <w:sz w:val="28"/>
          <w:szCs w:val="28"/>
        </w:rPr>
        <w:t>essential</w:t>
      </w:r>
      <w:proofErr w:type="spellEnd"/>
      <w:r w:rsidR="000032CB" w:rsidRPr="000032CB">
        <w:rPr>
          <w:rFonts w:ascii="Times New Roman" w:hAnsi="Times New Roman" w:cs="Times New Roman"/>
          <w:i/>
          <w:iCs/>
          <w:sz w:val="28"/>
          <w:szCs w:val="28"/>
        </w:rPr>
        <w:t xml:space="preserve"> </w:t>
      </w:r>
      <w:proofErr w:type="spellStart"/>
      <w:r w:rsidR="000032CB" w:rsidRPr="000032CB">
        <w:rPr>
          <w:rFonts w:ascii="Times New Roman" w:hAnsi="Times New Roman" w:cs="Times New Roman"/>
          <w:i/>
          <w:iCs/>
          <w:sz w:val="28"/>
          <w:szCs w:val="28"/>
        </w:rPr>
        <w:t>facilities</w:t>
      </w:r>
      <w:proofErr w:type="spellEnd"/>
      <w:r w:rsidR="000032CB">
        <w:rPr>
          <w:rFonts w:ascii="Times New Roman" w:hAnsi="Times New Roman" w:cs="Times New Roman"/>
          <w:sz w:val="28"/>
          <w:szCs w:val="28"/>
        </w:rPr>
        <w:t xml:space="preserve"> della </w:t>
      </w:r>
      <w:proofErr w:type="spellStart"/>
      <w:r w:rsidR="000032CB" w:rsidRPr="000032CB">
        <w:rPr>
          <w:rFonts w:ascii="Times New Roman" w:hAnsi="Times New Roman" w:cs="Times New Roman"/>
          <w:i/>
          <w:iCs/>
          <w:sz w:val="28"/>
          <w:szCs w:val="28"/>
        </w:rPr>
        <w:t>driven</w:t>
      </w:r>
      <w:proofErr w:type="spellEnd"/>
      <w:r w:rsidR="000032CB" w:rsidRPr="000032CB">
        <w:rPr>
          <w:rFonts w:ascii="Times New Roman" w:hAnsi="Times New Roman" w:cs="Times New Roman"/>
          <w:i/>
          <w:iCs/>
          <w:sz w:val="28"/>
          <w:szCs w:val="28"/>
        </w:rPr>
        <w:t xml:space="preserve"> data economy</w:t>
      </w:r>
      <w:r w:rsidR="000032CB">
        <w:rPr>
          <w:rFonts w:ascii="Times New Roman" w:hAnsi="Times New Roman" w:cs="Times New Roman"/>
          <w:i/>
          <w:iCs/>
          <w:sz w:val="28"/>
          <w:szCs w:val="28"/>
        </w:rPr>
        <w:t xml:space="preserve">, </w:t>
      </w:r>
      <w:r w:rsidR="00034924" w:rsidRPr="00622D05">
        <w:rPr>
          <w:rFonts w:ascii="Times New Roman" w:hAnsi="Times New Roman" w:cs="Times New Roman"/>
          <w:sz w:val="28"/>
          <w:szCs w:val="28"/>
        </w:rPr>
        <w:t>ma anche la tutela della facoltà cognitiva dei cittadini, utenti, consumatori o fr</w:t>
      </w:r>
      <w:r w:rsidR="00622D05" w:rsidRPr="00622D05">
        <w:rPr>
          <w:rFonts w:ascii="Times New Roman" w:hAnsi="Times New Roman" w:cs="Times New Roman"/>
          <w:sz w:val="28"/>
          <w:szCs w:val="28"/>
        </w:rPr>
        <w:t>uitori dei servizi.</w:t>
      </w:r>
      <w:r w:rsidR="00622D05">
        <w:rPr>
          <w:rFonts w:ascii="Times New Roman" w:hAnsi="Times New Roman" w:cs="Times New Roman"/>
          <w:sz w:val="28"/>
          <w:szCs w:val="28"/>
        </w:rPr>
        <w:t xml:space="preserve"> Vi è da chiedersi cosa resta della libertà e responsabilità umana?</w:t>
      </w:r>
    </w:p>
    <w:p w14:paraId="6AC3158C" w14:textId="14D0002B" w:rsidR="00626A1B" w:rsidRDefault="00276FCB" w:rsidP="0074105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75C78C67" w14:textId="39DA89F1" w:rsidR="00741057" w:rsidRPr="00626A1B" w:rsidRDefault="00276FCB" w:rsidP="00741057">
      <w:pPr>
        <w:spacing w:after="0"/>
        <w:jc w:val="both"/>
        <w:rPr>
          <w:rFonts w:ascii="Times New Roman" w:hAnsi="Times New Roman" w:cs="Times New Roman"/>
          <w:sz w:val="28"/>
          <w:szCs w:val="28"/>
        </w:rPr>
      </w:pPr>
      <w:r>
        <w:rPr>
          <w:rFonts w:ascii="Times New Roman" w:hAnsi="Times New Roman" w:cs="Times New Roman"/>
          <w:sz w:val="28"/>
          <w:szCs w:val="28"/>
        </w:rPr>
        <w:t>Il dato ne</w:t>
      </w:r>
      <w:r w:rsidR="004934BE">
        <w:rPr>
          <w:rFonts w:ascii="Times New Roman" w:hAnsi="Times New Roman" w:cs="Times New Roman"/>
          <w:sz w:val="28"/>
          <w:szCs w:val="28"/>
        </w:rPr>
        <w:t>ur</w:t>
      </w:r>
      <w:r w:rsidR="00E16875">
        <w:rPr>
          <w:rFonts w:ascii="Times New Roman" w:hAnsi="Times New Roman" w:cs="Times New Roman"/>
          <w:sz w:val="28"/>
          <w:szCs w:val="28"/>
        </w:rPr>
        <w:t>on</w:t>
      </w:r>
      <w:r w:rsidR="004934BE">
        <w:rPr>
          <w:rFonts w:ascii="Times New Roman" w:hAnsi="Times New Roman" w:cs="Times New Roman"/>
          <w:sz w:val="28"/>
          <w:szCs w:val="28"/>
        </w:rPr>
        <w:t>ale</w:t>
      </w:r>
      <w:r w:rsidR="00051138">
        <w:rPr>
          <w:rFonts w:ascii="Times New Roman" w:hAnsi="Times New Roman" w:cs="Times New Roman"/>
          <w:sz w:val="28"/>
          <w:szCs w:val="28"/>
        </w:rPr>
        <w:t>,</w:t>
      </w:r>
      <w:r w:rsidR="00393997">
        <w:rPr>
          <w:rFonts w:ascii="Times New Roman" w:hAnsi="Times New Roman" w:cs="Times New Roman"/>
          <w:sz w:val="28"/>
          <w:szCs w:val="28"/>
        </w:rPr>
        <w:t xml:space="preserve"> con le c</w:t>
      </w:r>
      <w:r w:rsidR="008F5544">
        <w:rPr>
          <w:rFonts w:ascii="Times New Roman" w:hAnsi="Times New Roman" w:cs="Times New Roman"/>
          <w:sz w:val="28"/>
          <w:szCs w:val="28"/>
        </w:rPr>
        <w:t>.</w:t>
      </w:r>
      <w:r w:rsidR="00393997">
        <w:rPr>
          <w:rFonts w:ascii="Times New Roman" w:hAnsi="Times New Roman" w:cs="Times New Roman"/>
          <w:sz w:val="28"/>
          <w:szCs w:val="28"/>
        </w:rPr>
        <w:t>d</w:t>
      </w:r>
      <w:r w:rsidR="008F5544">
        <w:rPr>
          <w:rFonts w:ascii="Times New Roman" w:hAnsi="Times New Roman" w:cs="Times New Roman"/>
          <w:sz w:val="28"/>
          <w:szCs w:val="28"/>
        </w:rPr>
        <w:t>.</w:t>
      </w:r>
      <w:r w:rsidR="00393997">
        <w:rPr>
          <w:rFonts w:ascii="Times New Roman" w:hAnsi="Times New Roman" w:cs="Times New Roman"/>
          <w:sz w:val="28"/>
          <w:szCs w:val="28"/>
        </w:rPr>
        <w:t xml:space="preserve"> tecniche di </w:t>
      </w:r>
      <w:r w:rsidR="00393997" w:rsidRPr="00393997">
        <w:rPr>
          <w:rFonts w:ascii="Times New Roman" w:hAnsi="Times New Roman" w:cs="Times New Roman"/>
          <w:i/>
          <w:iCs/>
          <w:sz w:val="28"/>
          <w:szCs w:val="28"/>
        </w:rPr>
        <w:t xml:space="preserve">brain </w:t>
      </w:r>
      <w:proofErr w:type="spellStart"/>
      <w:r w:rsidR="00393997" w:rsidRPr="00393997">
        <w:rPr>
          <w:rFonts w:ascii="Times New Roman" w:hAnsi="Times New Roman" w:cs="Times New Roman"/>
          <w:i/>
          <w:iCs/>
          <w:sz w:val="28"/>
          <w:szCs w:val="28"/>
        </w:rPr>
        <w:t>readin</w:t>
      </w:r>
      <w:r w:rsidR="00393997">
        <w:rPr>
          <w:rFonts w:ascii="Times New Roman" w:hAnsi="Times New Roman" w:cs="Times New Roman"/>
          <w:sz w:val="28"/>
          <w:szCs w:val="28"/>
        </w:rPr>
        <w:t>g</w:t>
      </w:r>
      <w:proofErr w:type="spellEnd"/>
      <w:r w:rsidR="004934BE">
        <w:rPr>
          <w:rFonts w:ascii="Times New Roman" w:hAnsi="Times New Roman" w:cs="Times New Roman"/>
          <w:sz w:val="28"/>
          <w:szCs w:val="28"/>
        </w:rPr>
        <w:t xml:space="preserve"> nell’interfaccia uomo-computer</w:t>
      </w:r>
      <w:r w:rsidR="00DF4B1B">
        <w:rPr>
          <w:rFonts w:ascii="Times New Roman" w:hAnsi="Times New Roman" w:cs="Times New Roman"/>
          <w:sz w:val="28"/>
          <w:szCs w:val="28"/>
        </w:rPr>
        <w:t>,</w:t>
      </w:r>
      <w:r w:rsidR="004934BE">
        <w:rPr>
          <w:rFonts w:ascii="Times New Roman" w:hAnsi="Times New Roman" w:cs="Times New Roman"/>
          <w:sz w:val="28"/>
          <w:szCs w:val="28"/>
        </w:rPr>
        <w:t xml:space="preserve"> viene immesso per la prima volta nell’area </w:t>
      </w:r>
      <w:r w:rsidR="001E28F3">
        <w:rPr>
          <w:rFonts w:ascii="Times New Roman" w:hAnsi="Times New Roman" w:cs="Times New Roman"/>
          <w:sz w:val="28"/>
          <w:szCs w:val="28"/>
        </w:rPr>
        <w:t>dei dati digitali, nella c</w:t>
      </w:r>
      <w:r w:rsidR="008F5544">
        <w:rPr>
          <w:rFonts w:ascii="Times New Roman" w:hAnsi="Times New Roman" w:cs="Times New Roman"/>
          <w:sz w:val="28"/>
          <w:szCs w:val="28"/>
        </w:rPr>
        <w:t>.</w:t>
      </w:r>
      <w:r w:rsidR="001E28F3">
        <w:rPr>
          <w:rFonts w:ascii="Times New Roman" w:hAnsi="Times New Roman" w:cs="Times New Roman"/>
          <w:sz w:val="28"/>
          <w:szCs w:val="28"/>
        </w:rPr>
        <w:t>d</w:t>
      </w:r>
      <w:r w:rsidR="008F5544">
        <w:rPr>
          <w:rFonts w:ascii="Times New Roman" w:hAnsi="Times New Roman" w:cs="Times New Roman"/>
          <w:sz w:val="28"/>
          <w:szCs w:val="28"/>
        </w:rPr>
        <w:t>.</w:t>
      </w:r>
      <w:r w:rsidR="001E28F3">
        <w:rPr>
          <w:rFonts w:ascii="Times New Roman" w:hAnsi="Times New Roman" w:cs="Times New Roman"/>
          <w:sz w:val="28"/>
          <w:szCs w:val="28"/>
        </w:rPr>
        <w:t xml:space="preserve"> </w:t>
      </w:r>
      <w:proofErr w:type="spellStart"/>
      <w:r w:rsidR="001E28F3" w:rsidRPr="00E81510">
        <w:rPr>
          <w:rFonts w:ascii="Times New Roman" w:hAnsi="Times New Roman" w:cs="Times New Roman"/>
          <w:i/>
          <w:iCs/>
          <w:sz w:val="28"/>
          <w:szCs w:val="28"/>
        </w:rPr>
        <w:t>infosfera</w:t>
      </w:r>
      <w:proofErr w:type="spellEnd"/>
      <w:r w:rsidR="00DC036A" w:rsidRPr="00E81510">
        <w:rPr>
          <w:rFonts w:ascii="Times New Roman" w:hAnsi="Times New Roman" w:cs="Times New Roman"/>
          <w:i/>
          <w:iCs/>
          <w:sz w:val="28"/>
          <w:szCs w:val="28"/>
        </w:rPr>
        <w:t>,</w:t>
      </w:r>
      <w:r w:rsidR="00DD13B6">
        <w:rPr>
          <w:rFonts w:ascii="Times New Roman" w:hAnsi="Times New Roman" w:cs="Times New Roman"/>
          <w:i/>
          <w:iCs/>
          <w:sz w:val="28"/>
          <w:szCs w:val="28"/>
        </w:rPr>
        <w:t xml:space="preserve"> </w:t>
      </w:r>
      <w:r w:rsidR="003611C9">
        <w:rPr>
          <w:rFonts w:ascii="Times New Roman" w:hAnsi="Times New Roman" w:cs="Times New Roman"/>
          <w:sz w:val="28"/>
          <w:szCs w:val="28"/>
        </w:rPr>
        <w:t>ecosistema digitale</w:t>
      </w:r>
      <w:r w:rsidR="00D14DA1">
        <w:rPr>
          <w:rFonts w:ascii="Times New Roman" w:hAnsi="Times New Roman" w:cs="Times New Roman"/>
          <w:sz w:val="28"/>
          <w:szCs w:val="28"/>
        </w:rPr>
        <w:t>,</w:t>
      </w:r>
      <w:r w:rsidR="00DC036A">
        <w:rPr>
          <w:rFonts w:ascii="Times New Roman" w:hAnsi="Times New Roman" w:cs="Times New Roman"/>
          <w:sz w:val="28"/>
          <w:szCs w:val="28"/>
        </w:rPr>
        <w:t xml:space="preserve"> andando al di là delle applicazioni </w:t>
      </w:r>
      <w:r w:rsidR="00435D69">
        <w:rPr>
          <w:rFonts w:ascii="Times New Roman" w:hAnsi="Times New Roman" w:cs="Times New Roman"/>
          <w:sz w:val="28"/>
          <w:szCs w:val="28"/>
        </w:rPr>
        <w:t xml:space="preserve">di </w:t>
      </w:r>
      <w:r w:rsidR="00435D69" w:rsidRPr="003611C9">
        <w:rPr>
          <w:rFonts w:ascii="Times New Roman" w:hAnsi="Times New Roman" w:cs="Times New Roman"/>
          <w:i/>
          <w:iCs/>
          <w:sz w:val="28"/>
          <w:szCs w:val="28"/>
        </w:rPr>
        <w:t>neuro-</w:t>
      </w:r>
      <w:proofErr w:type="spellStart"/>
      <w:r w:rsidR="00435D69" w:rsidRPr="003611C9">
        <w:rPr>
          <w:rFonts w:ascii="Times New Roman" w:hAnsi="Times New Roman" w:cs="Times New Roman"/>
          <w:i/>
          <w:iCs/>
          <w:sz w:val="28"/>
          <w:szCs w:val="28"/>
        </w:rPr>
        <w:t>en</w:t>
      </w:r>
      <w:r w:rsidR="00764161" w:rsidRPr="003611C9">
        <w:rPr>
          <w:rFonts w:ascii="Times New Roman" w:hAnsi="Times New Roman" w:cs="Times New Roman"/>
          <w:i/>
          <w:iCs/>
          <w:sz w:val="28"/>
          <w:szCs w:val="28"/>
        </w:rPr>
        <w:t>han</w:t>
      </w:r>
      <w:r w:rsidR="0031445D">
        <w:rPr>
          <w:rFonts w:ascii="Times New Roman" w:hAnsi="Times New Roman" w:cs="Times New Roman"/>
          <w:i/>
          <w:iCs/>
          <w:sz w:val="28"/>
          <w:szCs w:val="28"/>
        </w:rPr>
        <w:t>c</w:t>
      </w:r>
      <w:r w:rsidR="00764161" w:rsidRPr="003611C9">
        <w:rPr>
          <w:rFonts w:ascii="Times New Roman" w:hAnsi="Times New Roman" w:cs="Times New Roman"/>
          <w:i/>
          <w:iCs/>
          <w:sz w:val="28"/>
          <w:szCs w:val="28"/>
        </w:rPr>
        <w:t>ement</w:t>
      </w:r>
      <w:proofErr w:type="spellEnd"/>
      <w:r w:rsidR="00764161">
        <w:rPr>
          <w:rFonts w:ascii="Times New Roman" w:hAnsi="Times New Roman" w:cs="Times New Roman"/>
          <w:sz w:val="28"/>
          <w:szCs w:val="28"/>
        </w:rPr>
        <w:t xml:space="preserve"> </w:t>
      </w:r>
      <w:r w:rsidR="00DC036A">
        <w:rPr>
          <w:rFonts w:ascii="Times New Roman" w:hAnsi="Times New Roman" w:cs="Times New Roman"/>
          <w:sz w:val="28"/>
          <w:szCs w:val="28"/>
        </w:rPr>
        <w:t xml:space="preserve">nel campo </w:t>
      </w:r>
      <w:proofErr w:type="spellStart"/>
      <w:r w:rsidR="00DC036A">
        <w:rPr>
          <w:rFonts w:ascii="Times New Roman" w:hAnsi="Times New Roman" w:cs="Times New Roman"/>
          <w:sz w:val="28"/>
          <w:szCs w:val="28"/>
        </w:rPr>
        <w:t>bio</w:t>
      </w:r>
      <w:proofErr w:type="spellEnd"/>
      <w:r w:rsidR="00DC036A">
        <w:rPr>
          <w:rFonts w:ascii="Times New Roman" w:hAnsi="Times New Roman" w:cs="Times New Roman"/>
          <w:sz w:val="28"/>
          <w:szCs w:val="28"/>
        </w:rPr>
        <w:t xml:space="preserve"> medico</w:t>
      </w:r>
      <w:r w:rsidR="00D14DA1">
        <w:rPr>
          <w:rFonts w:ascii="Times New Roman" w:hAnsi="Times New Roman" w:cs="Times New Roman"/>
          <w:sz w:val="28"/>
          <w:szCs w:val="28"/>
        </w:rPr>
        <w:t xml:space="preserve"> e</w:t>
      </w:r>
      <w:r w:rsidR="00631506">
        <w:rPr>
          <w:rFonts w:ascii="Times New Roman" w:hAnsi="Times New Roman" w:cs="Times New Roman"/>
          <w:sz w:val="28"/>
          <w:szCs w:val="28"/>
        </w:rPr>
        <w:t xml:space="preserve"> ponendo il problema della </w:t>
      </w:r>
      <w:r w:rsidR="008F5544">
        <w:rPr>
          <w:rFonts w:ascii="Times New Roman" w:hAnsi="Times New Roman" w:cs="Times New Roman"/>
          <w:sz w:val="28"/>
          <w:szCs w:val="28"/>
        </w:rPr>
        <w:t>«</w:t>
      </w:r>
      <w:r w:rsidR="00DD13B6" w:rsidRPr="00DD13B6">
        <w:rPr>
          <w:rFonts w:ascii="Times New Roman" w:hAnsi="Times New Roman" w:cs="Times New Roman"/>
          <w:i/>
          <w:iCs/>
          <w:sz w:val="28"/>
          <w:szCs w:val="28"/>
        </w:rPr>
        <w:t xml:space="preserve">opacità del </w:t>
      </w:r>
      <w:r w:rsidR="00DD13B6" w:rsidRPr="008F5544">
        <w:rPr>
          <w:rFonts w:ascii="Times New Roman" w:hAnsi="Times New Roman" w:cs="Times New Roman"/>
          <w:i/>
          <w:iCs/>
          <w:sz w:val="28"/>
          <w:szCs w:val="28"/>
        </w:rPr>
        <w:t xml:space="preserve">machine </w:t>
      </w:r>
      <w:proofErr w:type="spellStart"/>
      <w:r w:rsidR="00DD13B6" w:rsidRPr="008F5544">
        <w:rPr>
          <w:rFonts w:ascii="Times New Roman" w:hAnsi="Times New Roman" w:cs="Times New Roman"/>
          <w:i/>
          <w:iCs/>
          <w:sz w:val="28"/>
          <w:szCs w:val="28"/>
        </w:rPr>
        <w:t>learning</w:t>
      </w:r>
      <w:proofErr w:type="spellEnd"/>
      <w:r w:rsidR="008F5544">
        <w:rPr>
          <w:rFonts w:ascii="Times New Roman" w:hAnsi="Times New Roman" w:cs="Times New Roman"/>
          <w:i/>
          <w:iCs/>
          <w:sz w:val="28"/>
          <w:szCs w:val="28"/>
        </w:rPr>
        <w:t>»</w:t>
      </w:r>
      <w:r w:rsidR="00DD13B6" w:rsidRPr="00DD13B6">
        <w:rPr>
          <w:rFonts w:ascii="Times New Roman" w:hAnsi="Times New Roman" w:cs="Times New Roman"/>
          <w:i/>
          <w:iCs/>
          <w:sz w:val="28"/>
          <w:szCs w:val="28"/>
        </w:rPr>
        <w:t>.</w:t>
      </w:r>
      <w:r w:rsidR="002D4ADA">
        <w:rPr>
          <w:rFonts w:ascii="Times New Roman" w:hAnsi="Times New Roman" w:cs="Times New Roman"/>
          <w:i/>
          <w:iCs/>
          <w:sz w:val="28"/>
          <w:szCs w:val="28"/>
        </w:rPr>
        <w:t xml:space="preserve"> </w:t>
      </w:r>
    </w:p>
    <w:p w14:paraId="0308C983" w14:textId="77777777" w:rsidR="00626A1B" w:rsidRDefault="002D4ADA" w:rsidP="00741057">
      <w:pPr>
        <w:spacing w:after="0"/>
        <w:jc w:val="both"/>
        <w:rPr>
          <w:rFonts w:ascii="Times New Roman" w:hAnsi="Times New Roman" w:cs="Times New Roman"/>
          <w:sz w:val="28"/>
          <w:szCs w:val="28"/>
        </w:rPr>
      </w:pPr>
      <w:r w:rsidRPr="002D4ADA">
        <w:rPr>
          <w:rFonts w:ascii="Times New Roman" w:hAnsi="Times New Roman" w:cs="Times New Roman"/>
          <w:sz w:val="28"/>
          <w:szCs w:val="28"/>
        </w:rPr>
        <w:t>Il</w:t>
      </w:r>
      <w:r>
        <w:rPr>
          <w:rFonts w:ascii="Times New Roman" w:hAnsi="Times New Roman" w:cs="Times New Roman"/>
          <w:sz w:val="28"/>
          <w:szCs w:val="28"/>
        </w:rPr>
        <w:t xml:space="preserve"> dato neuronale è un dato differente dagli altri</w:t>
      </w:r>
      <w:r w:rsidR="00DF30C9">
        <w:rPr>
          <w:rFonts w:ascii="Times New Roman" w:hAnsi="Times New Roman" w:cs="Times New Roman"/>
          <w:sz w:val="28"/>
          <w:szCs w:val="28"/>
        </w:rPr>
        <w:t>:</w:t>
      </w:r>
      <w:r w:rsidR="00735DE9">
        <w:rPr>
          <w:rFonts w:ascii="Times New Roman" w:hAnsi="Times New Roman" w:cs="Times New Roman"/>
          <w:sz w:val="28"/>
          <w:szCs w:val="28"/>
        </w:rPr>
        <w:t xml:space="preserve"> </w:t>
      </w:r>
    </w:p>
    <w:p w14:paraId="153EAC4E" w14:textId="77777777" w:rsidR="00626A1B" w:rsidRDefault="00A61192" w:rsidP="00741057">
      <w:pPr>
        <w:spacing w:after="0"/>
        <w:jc w:val="both"/>
        <w:rPr>
          <w:rFonts w:ascii="Times New Roman" w:hAnsi="Times New Roman" w:cs="Times New Roman"/>
          <w:sz w:val="28"/>
          <w:szCs w:val="28"/>
        </w:rPr>
      </w:pPr>
      <w:r>
        <w:rPr>
          <w:rFonts w:ascii="Times New Roman" w:hAnsi="Times New Roman" w:cs="Times New Roman"/>
          <w:sz w:val="28"/>
          <w:szCs w:val="28"/>
        </w:rPr>
        <w:t>1) ha un’importanza ontologica</w:t>
      </w:r>
      <w:r w:rsidR="00701C21">
        <w:rPr>
          <w:rFonts w:ascii="Times New Roman" w:hAnsi="Times New Roman" w:cs="Times New Roman"/>
          <w:sz w:val="28"/>
          <w:szCs w:val="28"/>
        </w:rPr>
        <w:t>,</w:t>
      </w:r>
      <w:r w:rsidR="008A6955">
        <w:rPr>
          <w:rFonts w:ascii="Times New Roman" w:hAnsi="Times New Roman" w:cs="Times New Roman"/>
          <w:sz w:val="28"/>
          <w:szCs w:val="28"/>
        </w:rPr>
        <w:t xml:space="preserve"> </w:t>
      </w:r>
      <w:r w:rsidR="00701C21">
        <w:rPr>
          <w:rFonts w:ascii="Times New Roman" w:hAnsi="Times New Roman" w:cs="Times New Roman"/>
          <w:sz w:val="28"/>
          <w:szCs w:val="28"/>
        </w:rPr>
        <w:t>perché è la sede dei processi vitali, è coscienza</w:t>
      </w:r>
      <w:r w:rsidR="008A6955">
        <w:rPr>
          <w:rFonts w:ascii="Times New Roman" w:hAnsi="Times New Roman" w:cs="Times New Roman"/>
          <w:sz w:val="28"/>
          <w:szCs w:val="28"/>
        </w:rPr>
        <w:t>,</w:t>
      </w:r>
      <w:r w:rsidR="00701C21">
        <w:rPr>
          <w:rFonts w:ascii="Times New Roman" w:hAnsi="Times New Roman" w:cs="Times New Roman"/>
          <w:sz w:val="28"/>
          <w:szCs w:val="28"/>
        </w:rPr>
        <w:t xml:space="preserve"> pensiero</w:t>
      </w:r>
      <w:r w:rsidR="00F66CD3">
        <w:rPr>
          <w:rFonts w:ascii="Times New Roman" w:hAnsi="Times New Roman" w:cs="Times New Roman"/>
          <w:sz w:val="28"/>
          <w:szCs w:val="28"/>
        </w:rPr>
        <w:t>,</w:t>
      </w:r>
      <w:r w:rsidR="00701C21">
        <w:rPr>
          <w:rFonts w:ascii="Times New Roman" w:hAnsi="Times New Roman" w:cs="Times New Roman"/>
          <w:sz w:val="28"/>
          <w:szCs w:val="28"/>
        </w:rPr>
        <w:t xml:space="preserve"> memoria; </w:t>
      </w:r>
    </w:p>
    <w:p w14:paraId="1CB26EAA" w14:textId="77777777" w:rsidR="00626A1B" w:rsidRDefault="00701C21" w:rsidP="00741057">
      <w:pPr>
        <w:spacing w:after="0"/>
        <w:jc w:val="both"/>
        <w:rPr>
          <w:rFonts w:ascii="Times New Roman" w:hAnsi="Times New Roman" w:cs="Times New Roman"/>
          <w:sz w:val="28"/>
          <w:szCs w:val="28"/>
        </w:rPr>
      </w:pPr>
      <w:r>
        <w:rPr>
          <w:rFonts w:ascii="Times New Roman" w:hAnsi="Times New Roman" w:cs="Times New Roman"/>
          <w:sz w:val="28"/>
          <w:szCs w:val="28"/>
        </w:rPr>
        <w:t>2) ha un’importanza antropologica</w:t>
      </w:r>
      <w:r w:rsidR="009821BA">
        <w:rPr>
          <w:rFonts w:ascii="Times New Roman" w:hAnsi="Times New Roman" w:cs="Times New Roman"/>
          <w:sz w:val="28"/>
          <w:szCs w:val="28"/>
        </w:rPr>
        <w:t xml:space="preserve"> nell’</w:t>
      </w:r>
      <w:proofErr w:type="spellStart"/>
      <w:r w:rsidR="00626A1B">
        <w:rPr>
          <w:rFonts w:ascii="Times New Roman" w:hAnsi="Times New Roman" w:cs="Times New Roman"/>
          <w:sz w:val="28"/>
          <w:szCs w:val="28"/>
        </w:rPr>
        <w:t>autopercezione</w:t>
      </w:r>
      <w:proofErr w:type="spellEnd"/>
      <w:r w:rsidR="00EF1013">
        <w:rPr>
          <w:rFonts w:ascii="Times New Roman" w:hAnsi="Times New Roman" w:cs="Times New Roman"/>
          <w:sz w:val="28"/>
          <w:szCs w:val="28"/>
        </w:rPr>
        <w:t xml:space="preserve"> di </w:t>
      </w:r>
      <w:r w:rsidR="00393997">
        <w:rPr>
          <w:rFonts w:ascii="Times New Roman" w:hAnsi="Times New Roman" w:cs="Times New Roman"/>
          <w:sz w:val="28"/>
          <w:szCs w:val="28"/>
        </w:rPr>
        <w:t>sé, dimensione fenomenologica e soggettiva della persona</w:t>
      </w:r>
      <w:r w:rsidR="008A6955">
        <w:rPr>
          <w:rFonts w:ascii="Times New Roman" w:hAnsi="Times New Roman" w:cs="Times New Roman"/>
          <w:sz w:val="28"/>
          <w:szCs w:val="28"/>
        </w:rPr>
        <w:t xml:space="preserve">; </w:t>
      </w:r>
    </w:p>
    <w:p w14:paraId="77890B1F" w14:textId="77777777" w:rsidR="00626A1B" w:rsidRDefault="008A6955" w:rsidP="00741057">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8F5544">
        <w:rPr>
          <w:rFonts w:ascii="Times New Roman" w:hAnsi="Times New Roman" w:cs="Times New Roman"/>
          <w:sz w:val="28"/>
          <w:szCs w:val="28"/>
        </w:rPr>
        <w:t>ha un’</w:t>
      </w:r>
      <w:r>
        <w:rPr>
          <w:rFonts w:ascii="Times New Roman" w:hAnsi="Times New Roman" w:cs="Times New Roman"/>
          <w:sz w:val="28"/>
          <w:szCs w:val="28"/>
        </w:rPr>
        <w:t xml:space="preserve">importanza </w:t>
      </w:r>
      <w:r w:rsidR="00AA4B14">
        <w:rPr>
          <w:rFonts w:ascii="Times New Roman" w:hAnsi="Times New Roman" w:cs="Times New Roman"/>
          <w:sz w:val="28"/>
          <w:szCs w:val="28"/>
        </w:rPr>
        <w:t>epistemo</w:t>
      </w:r>
      <w:r w:rsidR="003208A2">
        <w:rPr>
          <w:rFonts w:ascii="Times New Roman" w:hAnsi="Times New Roman" w:cs="Times New Roman"/>
          <w:sz w:val="28"/>
          <w:szCs w:val="28"/>
        </w:rPr>
        <w:t>l</w:t>
      </w:r>
      <w:r w:rsidR="00AA4B14">
        <w:rPr>
          <w:rFonts w:ascii="Times New Roman" w:hAnsi="Times New Roman" w:cs="Times New Roman"/>
          <w:sz w:val="28"/>
          <w:szCs w:val="28"/>
        </w:rPr>
        <w:t>ogica,</w:t>
      </w:r>
      <w:r w:rsidR="009E0F0E">
        <w:rPr>
          <w:rFonts w:ascii="Times New Roman" w:hAnsi="Times New Roman" w:cs="Times New Roman"/>
          <w:sz w:val="28"/>
          <w:szCs w:val="28"/>
        </w:rPr>
        <w:t xml:space="preserve"> </w:t>
      </w:r>
      <w:r w:rsidR="00AA4B14">
        <w:rPr>
          <w:rFonts w:ascii="Times New Roman" w:hAnsi="Times New Roman" w:cs="Times New Roman"/>
          <w:sz w:val="28"/>
          <w:szCs w:val="28"/>
        </w:rPr>
        <w:t xml:space="preserve">il dato neuronale </w:t>
      </w:r>
      <w:r w:rsidR="000F0F58">
        <w:rPr>
          <w:rFonts w:ascii="Times New Roman" w:hAnsi="Times New Roman" w:cs="Times New Roman"/>
          <w:sz w:val="28"/>
          <w:szCs w:val="28"/>
        </w:rPr>
        <w:t>è</w:t>
      </w:r>
      <w:r w:rsidR="00AA4B14">
        <w:rPr>
          <w:rFonts w:ascii="Times New Roman" w:hAnsi="Times New Roman" w:cs="Times New Roman"/>
          <w:sz w:val="28"/>
          <w:szCs w:val="28"/>
        </w:rPr>
        <w:t xml:space="preserve"> predittivo come il dato genetico</w:t>
      </w:r>
      <w:r w:rsidR="009E0F0E">
        <w:rPr>
          <w:rFonts w:ascii="Times New Roman" w:hAnsi="Times New Roman" w:cs="Times New Roman"/>
          <w:sz w:val="28"/>
          <w:szCs w:val="28"/>
        </w:rPr>
        <w:t xml:space="preserve">; </w:t>
      </w:r>
    </w:p>
    <w:p w14:paraId="4AE9848C" w14:textId="77777777" w:rsidR="00626A1B" w:rsidRDefault="00D93C62" w:rsidP="00741057">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008F5544">
        <w:rPr>
          <w:rFonts w:ascii="Times New Roman" w:hAnsi="Times New Roman" w:cs="Times New Roman"/>
          <w:sz w:val="28"/>
          <w:szCs w:val="28"/>
        </w:rPr>
        <w:t>ha un’</w:t>
      </w:r>
      <w:r>
        <w:rPr>
          <w:rFonts w:ascii="Times New Roman" w:hAnsi="Times New Roman" w:cs="Times New Roman"/>
          <w:sz w:val="28"/>
          <w:szCs w:val="28"/>
        </w:rPr>
        <w:t>importanza metodologica, i dati neuronali possono essere rimodulati</w:t>
      </w:r>
      <w:r w:rsidR="00D84254">
        <w:rPr>
          <w:rFonts w:ascii="Times New Roman" w:hAnsi="Times New Roman" w:cs="Times New Roman"/>
          <w:sz w:val="28"/>
          <w:szCs w:val="28"/>
        </w:rPr>
        <w:t xml:space="preserve">, il </w:t>
      </w:r>
      <w:r w:rsidR="00D84254" w:rsidRPr="00747EA5">
        <w:rPr>
          <w:rFonts w:ascii="Times New Roman" w:hAnsi="Times New Roman" w:cs="Times New Roman"/>
          <w:i/>
          <w:iCs/>
          <w:sz w:val="28"/>
          <w:szCs w:val="28"/>
        </w:rPr>
        <w:t xml:space="preserve">brain </w:t>
      </w:r>
      <w:proofErr w:type="spellStart"/>
      <w:r w:rsidR="00D84254" w:rsidRPr="00747EA5">
        <w:rPr>
          <w:rFonts w:ascii="Times New Roman" w:hAnsi="Times New Roman" w:cs="Times New Roman"/>
          <w:i/>
          <w:iCs/>
          <w:sz w:val="28"/>
          <w:szCs w:val="28"/>
        </w:rPr>
        <w:t>reading</w:t>
      </w:r>
      <w:proofErr w:type="spellEnd"/>
      <w:r w:rsidR="00D84254">
        <w:rPr>
          <w:rFonts w:ascii="Times New Roman" w:hAnsi="Times New Roman" w:cs="Times New Roman"/>
          <w:sz w:val="28"/>
          <w:szCs w:val="28"/>
        </w:rPr>
        <w:t xml:space="preserve"> s</w:t>
      </w:r>
      <w:r w:rsidR="009E7609">
        <w:rPr>
          <w:rFonts w:ascii="Times New Roman" w:hAnsi="Times New Roman" w:cs="Times New Roman"/>
          <w:sz w:val="28"/>
          <w:szCs w:val="28"/>
        </w:rPr>
        <w:t>i può</w:t>
      </w:r>
      <w:r w:rsidR="00D84254">
        <w:rPr>
          <w:rFonts w:ascii="Times New Roman" w:hAnsi="Times New Roman" w:cs="Times New Roman"/>
          <w:sz w:val="28"/>
          <w:szCs w:val="28"/>
        </w:rPr>
        <w:t xml:space="preserve"> trasforma</w:t>
      </w:r>
      <w:r w:rsidR="005D71D8">
        <w:rPr>
          <w:rFonts w:ascii="Times New Roman" w:hAnsi="Times New Roman" w:cs="Times New Roman"/>
          <w:sz w:val="28"/>
          <w:szCs w:val="28"/>
        </w:rPr>
        <w:t>re</w:t>
      </w:r>
      <w:r w:rsidR="00D84254">
        <w:rPr>
          <w:rFonts w:ascii="Times New Roman" w:hAnsi="Times New Roman" w:cs="Times New Roman"/>
          <w:sz w:val="28"/>
          <w:szCs w:val="28"/>
        </w:rPr>
        <w:t xml:space="preserve"> in </w:t>
      </w:r>
      <w:r w:rsidR="00D84254" w:rsidRPr="00747EA5">
        <w:rPr>
          <w:rFonts w:ascii="Times New Roman" w:hAnsi="Times New Roman" w:cs="Times New Roman"/>
          <w:i/>
          <w:iCs/>
          <w:sz w:val="28"/>
          <w:szCs w:val="28"/>
        </w:rPr>
        <w:t xml:space="preserve">brain </w:t>
      </w:r>
      <w:proofErr w:type="spellStart"/>
      <w:r w:rsidR="00D84254" w:rsidRPr="00747EA5">
        <w:rPr>
          <w:rFonts w:ascii="Times New Roman" w:hAnsi="Times New Roman" w:cs="Times New Roman"/>
          <w:i/>
          <w:iCs/>
          <w:sz w:val="28"/>
          <w:szCs w:val="28"/>
        </w:rPr>
        <w:t>writing</w:t>
      </w:r>
      <w:proofErr w:type="spellEnd"/>
      <w:r w:rsidR="00747EA5">
        <w:rPr>
          <w:rFonts w:ascii="Times New Roman" w:hAnsi="Times New Roman" w:cs="Times New Roman"/>
          <w:sz w:val="28"/>
          <w:szCs w:val="28"/>
        </w:rPr>
        <w:t>.</w:t>
      </w:r>
      <w:r w:rsidR="00701C21" w:rsidRPr="00747EA5">
        <w:rPr>
          <w:rFonts w:ascii="Times New Roman" w:hAnsi="Times New Roman" w:cs="Times New Roman"/>
          <w:sz w:val="28"/>
          <w:szCs w:val="28"/>
        </w:rPr>
        <w:t xml:space="preserve"> </w:t>
      </w:r>
      <w:r w:rsidR="002D4ADA" w:rsidRPr="00747EA5">
        <w:rPr>
          <w:rFonts w:ascii="Times New Roman" w:hAnsi="Times New Roman" w:cs="Times New Roman"/>
          <w:sz w:val="28"/>
          <w:szCs w:val="28"/>
        </w:rPr>
        <w:t xml:space="preserve"> </w:t>
      </w:r>
    </w:p>
    <w:p w14:paraId="455BB43E" w14:textId="77777777" w:rsidR="00AA1499" w:rsidRDefault="000026D9" w:rsidP="00741057">
      <w:pPr>
        <w:spacing w:after="0"/>
        <w:jc w:val="both"/>
        <w:rPr>
          <w:rFonts w:ascii="Times New Roman" w:hAnsi="Times New Roman" w:cs="Times New Roman"/>
          <w:sz w:val="28"/>
          <w:szCs w:val="28"/>
        </w:rPr>
      </w:pPr>
      <w:r>
        <w:rPr>
          <w:rFonts w:ascii="Times New Roman" w:hAnsi="Times New Roman" w:cs="Times New Roman"/>
          <w:sz w:val="28"/>
          <w:szCs w:val="28"/>
        </w:rPr>
        <w:t>Siamo oltre</w:t>
      </w:r>
      <w:r w:rsidR="00465411">
        <w:rPr>
          <w:rFonts w:ascii="Times New Roman" w:hAnsi="Times New Roman" w:cs="Times New Roman"/>
          <w:sz w:val="28"/>
          <w:szCs w:val="28"/>
        </w:rPr>
        <w:t xml:space="preserve"> il test di </w:t>
      </w:r>
      <w:proofErr w:type="spellStart"/>
      <w:r w:rsidR="00465411" w:rsidRPr="00465411">
        <w:rPr>
          <w:rFonts w:ascii="Times New Roman" w:hAnsi="Times New Roman" w:cs="Times New Roman"/>
          <w:i/>
          <w:iCs/>
          <w:sz w:val="28"/>
          <w:szCs w:val="28"/>
        </w:rPr>
        <w:t>Turing</w:t>
      </w:r>
      <w:proofErr w:type="spellEnd"/>
      <w:r w:rsidR="00465411">
        <w:rPr>
          <w:rFonts w:ascii="Times New Roman" w:hAnsi="Times New Roman" w:cs="Times New Roman"/>
          <w:i/>
          <w:iCs/>
          <w:sz w:val="28"/>
          <w:szCs w:val="28"/>
        </w:rPr>
        <w:t xml:space="preserve">, </w:t>
      </w:r>
      <w:r w:rsidR="00465411" w:rsidRPr="006700E5">
        <w:rPr>
          <w:rFonts w:ascii="Times New Roman" w:hAnsi="Times New Roman" w:cs="Times New Roman"/>
          <w:sz w:val="28"/>
          <w:szCs w:val="28"/>
        </w:rPr>
        <w:t>criterio per determinare se una macchina sia in grado di esibire un comportamento intelligente</w:t>
      </w:r>
      <w:r w:rsidR="00D2051A">
        <w:rPr>
          <w:rStyle w:val="Rimandonotaapidipagina"/>
          <w:rFonts w:ascii="Times New Roman" w:hAnsi="Times New Roman" w:cs="Times New Roman"/>
          <w:sz w:val="28"/>
          <w:szCs w:val="28"/>
        </w:rPr>
        <w:footnoteReference w:id="4"/>
      </w:r>
      <w:r w:rsidR="006700E5">
        <w:rPr>
          <w:rFonts w:ascii="Times New Roman" w:hAnsi="Times New Roman" w:cs="Times New Roman"/>
          <w:sz w:val="28"/>
          <w:szCs w:val="28"/>
        </w:rPr>
        <w:t xml:space="preserve">. </w:t>
      </w:r>
    </w:p>
    <w:p w14:paraId="3065A4D0" w14:textId="3844E03F" w:rsidR="00626A1B" w:rsidRDefault="006700E5" w:rsidP="0074105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Tale criterio,</w:t>
      </w:r>
      <w:r w:rsidR="001B60F4">
        <w:rPr>
          <w:rFonts w:ascii="Times New Roman" w:hAnsi="Times New Roman" w:cs="Times New Roman"/>
          <w:sz w:val="28"/>
          <w:szCs w:val="28"/>
        </w:rPr>
        <w:t xml:space="preserve"> </w:t>
      </w:r>
      <w:r>
        <w:rPr>
          <w:rFonts w:ascii="Times New Roman" w:hAnsi="Times New Roman" w:cs="Times New Roman"/>
          <w:sz w:val="28"/>
          <w:szCs w:val="28"/>
        </w:rPr>
        <w:t xml:space="preserve">si ricorderà, </w:t>
      </w:r>
      <w:r w:rsidR="00221DF5">
        <w:rPr>
          <w:rFonts w:ascii="Times New Roman" w:hAnsi="Times New Roman" w:cs="Times New Roman"/>
          <w:sz w:val="28"/>
          <w:szCs w:val="28"/>
        </w:rPr>
        <w:t xml:space="preserve">fu suggerito da </w:t>
      </w:r>
      <w:r w:rsidR="00221DF5" w:rsidRPr="006D1832">
        <w:rPr>
          <w:rFonts w:ascii="Times New Roman" w:hAnsi="Times New Roman" w:cs="Times New Roman"/>
          <w:i/>
          <w:iCs/>
          <w:sz w:val="28"/>
          <w:szCs w:val="28"/>
        </w:rPr>
        <w:t xml:space="preserve">Alan </w:t>
      </w:r>
      <w:proofErr w:type="spellStart"/>
      <w:r w:rsidR="00221DF5" w:rsidRPr="006D1832">
        <w:rPr>
          <w:rFonts w:ascii="Times New Roman" w:hAnsi="Times New Roman" w:cs="Times New Roman"/>
          <w:i/>
          <w:iCs/>
          <w:sz w:val="28"/>
          <w:szCs w:val="28"/>
        </w:rPr>
        <w:t>Turing</w:t>
      </w:r>
      <w:proofErr w:type="spellEnd"/>
      <w:r w:rsidR="00221DF5">
        <w:rPr>
          <w:rFonts w:ascii="Times New Roman" w:hAnsi="Times New Roman" w:cs="Times New Roman"/>
          <w:sz w:val="28"/>
          <w:szCs w:val="28"/>
        </w:rPr>
        <w:t>,</w:t>
      </w:r>
      <w:r w:rsidR="001B60F4">
        <w:rPr>
          <w:rFonts w:ascii="Times New Roman" w:hAnsi="Times New Roman" w:cs="Times New Roman"/>
          <w:sz w:val="28"/>
          <w:szCs w:val="28"/>
        </w:rPr>
        <w:t xml:space="preserve"> </w:t>
      </w:r>
      <w:r w:rsidR="00221DF5">
        <w:rPr>
          <w:rFonts w:ascii="Times New Roman" w:hAnsi="Times New Roman" w:cs="Times New Roman"/>
          <w:sz w:val="28"/>
          <w:szCs w:val="28"/>
        </w:rPr>
        <w:t>inventore del computer,</w:t>
      </w:r>
      <w:r w:rsidR="006D1832">
        <w:rPr>
          <w:rFonts w:ascii="Times New Roman" w:hAnsi="Times New Roman" w:cs="Times New Roman"/>
          <w:sz w:val="28"/>
          <w:szCs w:val="28"/>
        </w:rPr>
        <w:t xml:space="preserve"> nel suo noto articolo “</w:t>
      </w:r>
      <w:r w:rsidR="006D1832" w:rsidRPr="006D1832">
        <w:rPr>
          <w:rFonts w:ascii="Times New Roman" w:hAnsi="Times New Roman" w:cs="Times New Roman"/>
          <w:i/>
          <w:iCs/>
          <w:sz w:val="28"/>
          <w:szCs w:val="28"/>
        </w:rPr>
        <w:t xml:space="preserve">Computing </w:t>
      </w:r>
      <w:proofErr w:type="spellStart"/>
      <w:r w:rsidR="006D1832" w:rsidRPr="006D1832">
        <w:rPr>
          <w:rFonts w:ascii="Times New Roman" w:hAnsi="Times New Roman" w:cs="Times New Roman"/>
          <w:i/>
          <w:iCs/>
          <w:sz w:val="28"/>
          <w:szCs w:val="28"/>
        </w:rPr>
        <w:t>machinery</w:t>
      </w:r>
      <w:proofErr w:type="spellEnd"/>
      <w:r w:rsidR="006D1832" w:rsidRPr="006D1832">
        <w:rPr>
          <w:rFonts w:ascii="Times New Roman" w:hAnsi="Times New Roman" w:cs="Times New Roman"/>
          <w:i/>
          <w:iCs/>
          <w:sz w:val="28"/>
          <w:szCs w:val="28"/>
        </w:rPr>
        <w:t xml:space="preserve"> and intelligence</w:t>
      </w:r>
      <w:r w:rsidR="005D71D8" w:rsidRPr="005D71D8">
        <w:rPr>
          <w:rFonts w:ascii="Times New Roman" w:hAnsi="Times New Roman" w:cs="Times New Roman"/>
          <w:sz w:val="28"/>
          <w:szCs w:val="28"/>
        </w:rPr>
        <w:t>”</w:t>
      </w:r>
      <w:r w:rsidR="006D1832" w:rsidRPr="005D71D8">
        <w:rPr>
          <w:rFonts w:ascii="Times New Roman" w:hAnsi="Times New Roman" w:cs="Times New Roman"/>
          <w:sz w:val="28"/>
          <w:szCs w:val="28"/>
        </w:rPr>
        <w:t>,</w:t>
      </w:r>
      <w:r w:rsidR="006D1832">
        <w:rPr>
          <w:rFonts w:ascii="Times New Roman" w:hAnsi="Times New Roman" w:cs="Times New Roman"/>
          <w:sz w:val="28"/>
          <w:szCs w:val="28"/>
        </w:rPr>
        <w:t xml:space="preserve"> apparso nel 1950 sulla rivista </w:t>
      </w:r>
      <w:proofErr w:type="spellStart"/>
      <w:r w:rsidR="006D1832" w:rsidRPr="005B140D">
        <w:rPr>
          <w:rFonts w:ascii="Times New Roman" w:hAnsi="Times New Roman" w:cs="Times New Roman"/>
          <w:i/>
          <w:iCs/>
          <w:sz w:val="28"/>
          <w:szCs w:val="28"/>
        </w:rPr>
        <w:t>Mind</w:t>
      </w:r>
      <w:proofErr w:type="spellEnd"/>
      <w:r w:rsidR="00DF4B1B">
        <w:rPr>
          <w:rFonts w:ascii="Times New Roman" w:hAnsi="Times New Roman" w:cs="Times New Roman"/>
          <w:i/>
          <w:iCs/>
          <w:sz w:val="28"/>
          <w:szCs w:val="28"/>
        </w:rPr>
        <w:t>;</w:t>
      </w:r>
      <w:r w:rsidR="00882245">
        <w:rPr>
          <w:rFonts w:ascii="Times New Roman" w:hAnsi="Times New Roman" w:cs="Times New Roman"/>
          <w:i/>
          <w:iCs/>
          <w:sz w:val="28"/>
          <w:szCs w:val="28"/>
        </w:rPr>
        <w:t xml:space="preserve"> </w:t>
      </w:r>
      <w:r w:rsidR="00882245" w:rsidRPr="00882245">
        <w:rPr>
          <w:rFonts w:ascii="Times New Roman" w:hAnsi="Times New Roman" w:cs="Times New Roman"/>
          <w:sz w:val="28"/>
          <w:szCs w:val="28"/>
        </w:rPr>
        <w:t>ma certamente allora</w:t>
      </w:r>
      <w:r w:rsidR="00882245">
        <w:rPr>
          <w:rFonts w:ascii="Times New Roman" w:hAnsi="Times New Roman" w:cs="Times New Roman"/>
          <w:i/>
          <w:iCs/>
          <w:sz w:val="28"/>
          <w:szCs w:val="28"/>
        </w:rPr>
        <w:t xml:space="preserve"> </w:t>
      </w:r>
      <w:proofErr w:type="spellStart"/>
      <w:r w:rsidR="00882245">
        <w:rPr>
          <w:rFonts w:ascii="Times New Roman" w:hAnsi="Times New Roman" w:cs="Times New Roman"/>
          <w:sz w:val="28"/>
          <w:szCs w:val="28"/>
        </w:rPr>
        <w:t>Turing</w:t>
      </w:r>
      <w:proofErr w:type="spellEnd"/>
      <w:r w:rsidR="00882245">
        <w:rPr>
          <w:rFonts w:ascii="Times New Roman" w:hAnsi="Times New Roman" w:cs="Times New Roman"/>
          <w:sz w:val="28"/>
          <w:szCs w:val="28"/>
        </w:rPr>
        <w:t xml:space="preserve"> non poteva immaginare gli scenari attuali</w:t>
      </w:r>
      <w:r w:rsidR="00AB2092">
        <w:rPr>
          <w:rStyle w:val="Rimandonotaapidipagina"/>
          <w:rFonts w:ascii="Times New Roman" w:hAnsi="Times New Roman" w:cs="Times New Roman"/>
          <w:sz w:val="28"/>
          <w:szCs w:val="28"/>
        </w:rPr>
        <w:footnoteReference w:id="5"/>
      </w:r>
      <w:r w:rsidR="00F84715">
        <w:rPr>
          <w:rFonts w:ascii="Times New Roman" w:hAnsi="Times New Roman" w:cs="Times New Roman"/>
          <w:sz w:val="28"/>
          <w:szCs w:val="28"/>
        </w:rPr>
        <w:t xml:space="preserve">. </w:t>
      </w:r>
    </w:p>
    <w:p w14:paraId="01C7CA91" w14:textId="6A9F1D39" w:rsidR="003A4318" w:rsidRPr="00E47AE5" w:rsidRDefault="00265539" w:rsidP="0074105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A8563D" w:rsidRPr="00265539">
        <w:rPr>
          <w:rFonts w:ascii="Times New Roman" w:hAnsi="Times New Roman" w:cs="Times New Roman"/>
          <w:i/>
          <w:iCs/>
          <w:sz w:val="28"/>
          <w:szCs w:val="28"/>
        </w:rPr>
        <w:t xml:space="preserve">Il futuro </w:t>
      </w:r>
      <w:r w:rsidR="003103DA" w:rsidRPr="00265539">
        <w:rPr>
          <w:rFonts w:ascii="Times New Roman" w:hAnsi="Times New Roman" w:cs="Times New Roman"/>
          <w:i/>
          <w:iCs/>
          <w:sz w:val="28"/>
          <w:szCs w:val="28"/>
        </w:rPr>
        <w:t>non è ciò che progettiamo,</w:t>
      </w:r>
      <w:r w:rsidRPr="00265539">
        <w:rPr>
          <w:rFonts w:ascii="Times New Roman" w:hAnsi="Times New Roman" w:cs="Times New Roman"/>
          <w:i/>
          <w:iCs/>
          <w:sz w:val="28"/>
          <w:szCs w:val="28"/>
        </w:rPr>
        <w:t xml:space="preserve"> </w:t>
      </w:r>
      <w:r w:rsidR="003103DA" w:rsidRPr="00265539">
        <w:rPr>
          <w:rFonts w:ascii="Times New Roman" w:hAnsi="Times New Roman" w:cs="Times New Roman"/>
          <w:i/>
          <w:iCs/>
          <w:sz w:val="28"/>
          <w:szCs w:val="28"/>
        </w:rPr>
        <w:t xml:space="preserve">ma è </w:t>
      </w:r>
      <w:proofErr w:type="spellStart"/>
      <w:r w:rsidR="00AC5B4B" w:rsidRPr="005D71D8">
        <w:rPr>
          <w:rFonts w:ascii="Times New Roman" w:hAnsi="Times New Roman" w:cs="Times New Roman"/>
          <w:sz w:val="28"/>
          <w:szCs w:val="28"/>
        </w:rPr>
        <w:t>K</w:t>
      </w:r>
      <w:r w:rsidR="003103DA" w:rsidRPr="005D71D8">
        <w:rPr>
          <w:rFonts w:ascii="Times New Roman" w:hAnsi="Times New Roman" w:cs="Times New Roman"/>
          <w:sz w:val="28"/>
          <w:szCs w:val="28"/>
        </w:rPr>
        <w:t>airòs</w:t>
      </w:r>
      <w:proofErr w:type="spellEnd"/>
      <w:r w:rsidR="001B60F4">
        <w:rPr>
          <w:rFonts w:ascii="Times New Roman" w:hAnsi="Times New Roman" w:cs="Times New Roman"/>
          <w:i/>
          <w:iCs/>
          <w:sz w:val="28"/>
          <w:szCs w:val="28"/>
        </w:rPr>
        <w:t xml:space="preserve">, </w:t>
      </w:r>
      <w:r w:rsidR="003103DA" w:rsidRPr="00265539">
        <w:rPr>
          <w:rFonts w:ascii="Times New Roman" w:hAnsi="Times New Roman" w:cs="Times New Roman"/>
          <w:i/>
          <w:iCs/>
          <w:sz w:val="28"/>
          <w:szCs w:val="28"/>
        </w:rPr>
        <w:t>ciò che ci sorprende</w:t>
      </w:r>
      <w:r w:rsidRPr="00DF4B1B">
        <w:rPr>
          <w:rFonts w:ascii="Times New Roman" w:hAnsi="Times New Roman" w:cs="Times New Roman"/>
          <w:sz w:val="28"/>
          <w:szCs w:val="28"/>
        </w:rPr>
        <w:t>”</w:t>
      </w:r>
      <w:r w:rsidR="00DF4B1B">
        <w:rPr>
          <w:rFonts w:ascii="Times New Roman" w:hAnsi="Times New Roman" w:cs="Times New Roman"/>
          <w:sz w:val="28"/>
          <w:szCs w:val="28"/>
        </w:rPr>
        <w:t>,</w:t>
      </w:r>
      <w:r w:rsidR="003103DA" w:rsidRPr="00265539">
        <w:rPr>
          <w:rFonts w:ascii="Times New Roman" w:hAnsi="Times New Roman" w:cs="Times New Roman"/>
          <w:i/>
          <w:iCs/>
          <w:sz w:val="28"/>
          <w:szCs w:val="28"/>
        </w:rPr>
        <w:t xml:space="preserve"> </w:t>
      </w:r>
      <w:r w:rsidR="003103DA" w:rsidRPr="00265539">
        <w:rPr>
          <w:rFonts w:ascii="Times New Roman" w:hAnsi="Times New Roman" w:cs="Times New Roman"/>
          <w:sz w:val="28"/>
          <w:szCs w:val="28"/>
        </w:rPr>
        <w:t>diceva San Paolo di Tarso</w:t>
      </w:r>
      <w:r w:rsidR="00C32369">
        <w:rPr>
          <w:rFonts w:ascii="Times New Roman" w:hAnsi="Times New Roman" w:cs="Times New Roman"/>
          <w:sz w:val="28"/>
          <w:szCs w:val="28"/>
        </w:rPr>
        <w:t>. Stiamo andando verso</w:t>
      </w:r>
      <w:r w:rsidR="00DA55CA">
        <w:rPr>
          <w:rFonts w:ascii="Times New Roman" w:hAnsi="Times New Roman" w:cs="Times New Roman"/>
          <w:sz w:val="28"/>
          <w:szCs w:val="28"/>
        </w:rPr>
        <w:t xml:space="preserve"> l’iperumano</w:t>
      </w:r>
      <w:r w:rsidR="00D67C97">
        <w:rPr>
          <w:rFonts w:ascii="Times New Roman" w:hAnsi="Times New Roman" w:cs="Times New Roman"/>
          <w:sz w:val="28"/>
          <w:szCs w:val="28"/>
        </w:rPr>
        <w:t>,</w:t>
      </w:r>
      <w:r w:rsidR="00C32369">
        <w:rPr>
          <w:rFonts w:ascii="Times New Roman" w:hAnsi="Times New Roman" w:cs="Times New Roman"/>
          <w:sz w:val="28"/>
          <w:szCs w:val="28"/>
        </w:rPr>
        <w:t xml:space="preserve"> il transumano e </w:t>
      </w:r>
      <w:proofErr w:type="spellStart"/>
      <w:r w:rsidR="00C32369">
        <w:rPr>
          <w:rFonts w:ascii="Times New Roman" w:hAnsi="Times New Roman" w:cs="Times New Roman"/>
          <w:sz w:val="28"/>
          <w:szCs w:val="28"/>
        </w:rPr>
        <w:t>postumano</w:t>
      </w:r>
      <w:proofErr w:type="spellEnd"/>
      <w:r w:rsidR="00D67C97">
        <w:rPr>
          <w:rFonts w:ascii="Times New Roman" w:hAnsi="Times New Roman" w:cs="Times New Roman"/>
          <w:sz w:val="28"/>
          <w:szCs w:val="28"/>
        </w:rPr>
        <w:t>, il c</w:t>
      </w:r>
      <w:r w:rsidR="005D71D8">
        <w:rPr>
          <w:rFonts w:ascii="Times New Roman" w:hAnsi="Times New Roman" w:cs="Times New Roman"/>
          <w:sz w:val="28"/>
          <w:szCs w:val="28"/>
        </w:rPr>
        <w:t>.</w:t>
      </w:r>
      <w:r w:rsidR="00D67C97">
        <w:rPr>
          <w:rFonts w:ascii="Times New Roman" w:hAnsi="Times New Roman" w:cs="Times New Roman"/>
          <w:sz w:val="28"/>
          <w:szCs w:val="28"/>
        </w:rPr>
        <w:t>d</w:t>
      </w:r>
      <w:r w:rsidR="005D71D8">
        <w:rPr>
          <w:rFonts w:ascii="Times New Roman" w:hAnsi="Times New Roman" w:cs="Times New Roman"/>
          <w:sz w:val="28"/>
          <w:szCs w:val="28"/>
        </w:rPr>
        <w:t>.</w:t>
      </w:r>
      <w:r w:rsidR="00D67C97">
        <w:rPr>
          <w:rFonts w:ascii="Times New Roman" w:hAnsi="Times New Roman" w:cs="Times New Roman"/>
          <w:sz w:val="28"/>
          <w:szCs w:val="28"/>
        </w:rPr>
        <w:t xml:space="preserve"> </w:t>
      </w:r>
      <w:proofErr w:type="spellStart"/>
      <w:r w:rsidR="00D67C97" w:rsidRPr="00522D16">
        <w:rPr>
          <w:rFonts w:ascii="Times New Roman" w:hAnsi="Times New Roman" w:cs="Times New Roman"/>
          <w:i/>
          <w:iCs/>
          <w:sz w:val="28"/>
          <w:szCs w:val="28"/>
        </w:rPr>
        <w:t>Ubermensh</w:t>
      </w:r>
      <w:proofErr w:type="spellEnd"/>
      <w:r w:rsidR="00A8385D">
        <w:rPr>
          <w:rFonts w:ascii="Times New Roman" w:hAnsi="Times New Roman" w:cs="Times New Roman"/>
          <w:sz w:val="28"/>
          <w:szCs w:val="28"/>
        </w:rPr>
        <w:t xml:space="preserve"> </w:t>
      </w:r>
      <w:r w:rsidR="006D6709">
        <w:rPr>
          <w:rFonts w:ascii="Times New Roman" w:hAnsi="Times New Roman" w:cs="Times New Roman"/>
          <w:sz w:val="28"/>
          <w:szCs w:val="28"/>
        </w:rPr>
        <w:t>di cui parlava Niet</w:t>
      </w:r>
      <w:r w:rsidR="003264F0">
        <w:rPr>
          <w:rFonts w:ascii="Times New Roman" w:hAnsi="Times New Roman" w:cs="Times New Roman"/>
          <w:sz w:val="28"/>
          <w:szCs w:val="28"/>
        </w:rPr>
        <w:t>z</w:t>
      </w:r>
      <w:r w:rsidR="006D6709">
        <w:rPr>
          <w:rFonts w:ascii="Times New Roman" w:hAnsi="Times New Roman" w:cs="Times New Roman"/>
          <w:sz w:val="28"/>
          <w:szCs w:val="28"/>
        </w:rPr>
        <w:t>s</w:t>
      </w:r>
      <w:r w:rsidR="003264F0">
        <w:rPr>
          <w:rFonts w:ascii="Times New Roman" w:hAnsi="Times New Roman" w:cs="Times New Roman"/>
          <w:sz w:val="28"/>
          <w:szCs w:val="28"/>
        </w:rPr>
        <w:t>c</w:t>
      </w:r>
      <w:r w:rsidR="006D6709">
        <w:rPr>
          <w:rFonts w:ascii="Times New Roman" w:hAnsi="Times New Roman" w:cs="Times New Roman"/>
          <w:sz w:val="28"/>
          <w:szCs w:val="28"/>
        </w:rPr>
        <w:t>he</w:t>
      </w:r>
      <w:r w:rsidR="003264F0">
        <w:rPr>
          <w:rFonts w:ascii="Times New Roman" w:hAnsi="Times New Roman" w:cs="Times New Roman"/>
          <w:sz w:val="28"/>
          <w:szCs w:val="28"/>
        </w:rPr>
        <w:t>?</w:t>
      </w:r>
    </w:p>
    <w:p w14:paraId="11E31967" w14:textId="6B4667B0" w:rsidR="005A15F8" w:rsidRPr="005A15F8" w:rsidRDefault="005A15F8" w:rsidP="004E38E8">
      <w:pPr>
        <w:jc w:val="both"/>
        <w:rPr>
          <w:rFonts w:ascii="Times New Roman" w:hAnsi="Times New Roman" w:cs="Times New Roman"/>
          <w:i/>
          <w:iCs/>
          <w:sz w:val="28"/>
          <w:szCs w:val="28"/>
        </w:rPr>
      </w:pPr>
      <w:r>
        <w:rPr>
          <w:rFonts w:ascii="Times New Roman" w:hAnsi="Times New Roman" w:cs="Times New Roman"/>
          <w:sz w:val="28"/>
          <w:szCs w:val="28"/>
        </w:rPr>
        <w:t xml:space="preserve">Le scienze contemporanee hanno contribuito a definire l’uomo come un “sé multiplo”, la mente è l’idea del corpo, il corpo è </w:t>
      </w:r>
      <w:r w:rsidRPr="005A15F8">
        <w:rPr>
          <w:rFonts w:ascii="Times New Roman" w:hAnsi="Times New Roman" w:cs="Times New Roman"/>
          <w:i/>
          <w:iCs/>
          <w:sz w:val="28"/>
          <w:szCs w:val="28"/>
        </w:rPr>
        <w:t>brain feeling</w:t>
      </w:r>
      <w:r>
        <w:rPr>
          <w:rFonts w:ascii="Times New Roman" w:hAnsi="Times New Roman" w:cs="Times New Roman"/>
          <w:sz w:val="28"/>
          <w:szCs w:val="28"/>
        </w:rPr>
        <w:t xml:space="preserve">, siamo un complesso di mente e corpo: così si esprime </w:t>
      </w:r>
      <w:r w:rsidRPr="005A15F8">
        <w:rPr>
          <w:rFonts w:ascii="Times New Roman" w:hAnsi="Times New Roman" w:cs="Times New Roman"/>
          <w:i/>
          <w:iCs/>
          <w:sz w:val="28"/>
          <w:szCs w:val="28"/>
        </w:rPr>
        <w:t xml:space="preserve">Antonio </w:t>
      </w:r>
      <w:proofErr w:type="spellStart"/>
      <w:r w:rsidRPr="005A15F8">
        <w:rPr>
          <w:rFonts w:ascii="Times New Roman" w:hAnsi="Times New Roman" w:cs="Times New Roman"/>
          <w:i/>
          <w:iCs/>
          <w:sz w:val="28"/>
          <w:szCs w:val="28"/>
        </w:rPr>
        <w:t>Damasio</w:t>
      </w:r>
      <w:proofErr w:type="spellEnd"/>
      <w:r>
        <w:rPr>
          <w:rFonts w:ascii="Times New Roman" w:hAnsi="Times New Roman" w:cs="Times New Roman"/>
          <w:sz w:val="28"/>
          <w:szCs w:val="28"/>
        </w:rPr>
        <w:t xml:space="preserve"> nel suo scritto “</w:t>
      </w:r>
      <w:r w:rsidRPr="005A15F8">
        <w:rPr>
          <w:rFonts w:ascii="Times New Roman" w:hAnsi="Times New Roman" w:cs="Times New Roman"/>
          <w:i/>
          <w:iCs/>
          <w:sz w:val="28"/>
          <w:szCs w:val="28"/>
        </w:rPr>
        <w:t>l’errore di Cartesio</w:t>
      </w:r>
      <w:r w:rsidRPr="005D71D8">
        <w:rPr>
          <w:rFonts w:ascii="Times New Roman" w:hAnsi="Times New Roman" w:cs="Times New Roman"/>
          <w:sz w:val="28"/>
          <w:szCs w:val="28"/>
        </w:rPr>
        <w:t>”.</w:t>
      </w:r>
    </w:p>
    <w:p w14:paraId="375FDB95" w14:textId="264AF72B" w:rsidR="005A15F8" w:rsidRDefault="005A15F8" w:rsidP="004E38E8">
      <w:pPr>
        <w:jc w:val="both"/>
        <w:rPr>
          <w:rFonts w:ascii="Times New Roman" w:hAnsi="Times New Roman" w:cs="Times New Roman"/>
          <w:i/>
          <w:iCs/>
          <w:sz w:val="28"/>
          <w:szCs w:val="28"/>
        </w:rPr>
      </w:pPr>
      <w:r>
        <w:rPr>
          <w:rFonts w:ascii="Times New Roman" w:hAnsi="Times New Roman" w:cs="Times New Roman"/>
          <w:sz w:val="28"/>
          <w:szCs w:val="28"/>
        </w:rPr>
        <w:t xml:space="preserve">Ma se spostiamo la </w:t>
      </w:r>
      <w:r w:rsidR="0015715D">
        <w:rPr>
          <w:rFonts w:ascii="Times New Roman" w:hAnsi="Times New Roman" w:cs="Times New Roman"/>
          <w:sz w:val="28"/>
          <w:szCs w:val="28"/>
        </w:rPr>
        <w:t>n</w:t>
      </w:r>
      <w:r>
        <w:rPr>
          <w:rFonts w:ascii="Times New Roman" w:hAnsi="Times New Roman" w:cs="Times New Roman"/>
          <w:sz w:val="28"/>
          <w:szCs w:val="28"/>
        </w:rPr>
        <w:t>ostra analisi nell’universo quantistico</w:t>
      </w:r>
      <w:r w:rsidR="00DF4B1B">
        <w:rPr>
          <w:rFonts w:ascii="Times New Roman" w:hAnsi="Times New Roman" w:cs="Times New Roman"/>
          <w:sz w:val="28"/>
          <w:szCs w:val="28"/>
        </w:rPr>
        <w:t>,</w:t>
      </w:r>
      <w:r>
        <w:rPr>
          <w:rFonts w:ascii="Times New Roman" w:hAnsi="Times New Roman" w:cs="Times New Roman"/>
          <w:sz w:val="28"/>
          <w:szCs w:val="28"/>
        </w:rPr>
        <w:t xml:space="preserve"> non possiamo non tener conto di quanto ha affermato </w:t>
      </w:r>
      <w:r w:rsidRPr="005A15F8">
        <w:rPr>
          <w:rFonts w:ascii="Times New Roman" w:hAnsi="Times New Roman" w:cs="Times New Roman"/>
          <w:i/>
          <w:iCs/>
          <w:sz w:val="28"/>
          <w:szCs w:val="28"/>
        </w:rPr>
        <w:t xml:space="preserve">Roger </w:t>
      </w:r>
      <w:proofErr w:type="spellStart"/>
      <w:r w:rsidRPr="005A15F8">
        <w:rPr>
          <w:rFonts w:ascii="Times New Roman" w:hAnsi="Times New Roman" w:cs="Times New Roman"/>
          <w:i/>
          <w:iCs/>
          <w:sz w:val="28"/>
          <w:szCs w:val="28"/>
        </w:rPr>
        <w:t>Penrose</w:t>
      </w:r>
      <w:proofErr w:type="spellEnd"/>
      <w:r>
        <w:rPr>
          <w:rFonts w:ascii="Times New Roman" w:hAnsi="Times New Roman" w:cs="Times New Roman"/>
          <w:sz w:val="28"/>
          <w:szCs w:val="28"/>
        </w:rPr>
        <w:t>, premio Nobel per la fisica, con riferimento alla c</w:t>
      </w:r>
      <w:r w:rsidR="00FE21B5">
        <w:rPr>
          <w:rFonts w:ascii="Times New Roman" w:hAnsi="Times New Roman" w:cs="Times New Roman"/>
          <w:sz w:val="28"/>
          <w:szCs w:val="28"/>
        </w:rPr>
        <w:t>.</w:t>
      </w:r>
      <w:r>
        <w:rPr>
          <w:rFonts w:ascii="Times New Roman" w:hAnsi="Times New Roman" w:cs="Times New Roman"/>
          <w:sz w:val="28"/>
          <w:szCs w:val="28"/>
        </w:rPr>
        <w:t>d</w:t>
      </w:r>
      <w:r w:rsidR="00FE21B5">
        <w:rPr>
          <w:rFonts w:ascii="Times New Roman" w:hAnsi="Times New Roman" w:cs="Times New Roman"/>
          <w:sz w:val="28"/>
          <w:szCs w:val="28"/>
        </w:rPr>
        <w:t>.</w:t>
      </w:r>
      <w:r>
        <w:rPr>
          <w:rFonts w:ascii="Times New Roman" w:hAnsi="Times New Roman" w:cs="Times New Roman"/>
          <w:sz w:val="28"/>
          <w:szCs w:val="28"/>
        </w:rPr>
        <w:t xml:space="preserve"> </w:t>
      </w:r>
      <w:r w:rsidRPr="005D71D8">
        <w:rPr>
          <w:rFonts w:ascii="Times New Roman" w:hAnsi="Times New Roman" w:cs="Times New Roman"/>
          <w:sz w:val="28"/>
          <w:szCs w:val="28"/>
        </w:rPr>
        <w:t>“</w:t>
      </w:r>
      <w:r w:rsidRPr="005A15F8">
        <w:rPr>
          <w:rFonts w:ascii="Times New Roman" w:hAnsi="Times New Roman" w:cs="Times New Roman"/>
          <w:i/>
          <w:iCs/>
          <w:sz w:val="28"/>
          <w:szCs w:val="28"/>
        </w:rPr>
        <w:t>libertà dell’evento</w:t>
      </w:r>
      <w:r>
        <w:rPr>
          <w:rFonts w:ascii="Times New Roman" w:hAnsi="Times New Roman" w:cs="Times New Roman"/>
          <w:sz w:val="28"/>
          <w:szCs w:val="28"/>
        </w:rPr>
        <w:t>”. In altri termini</w:t>
      </w:r>
      <w:r w:rsidR="00FE21B5">
        <w:rPr>
          <w:rFonts w:ascii="Times New Roman" w:hAnsi="Times New Roman" w:cs="Times New Roman"/>
          <w:sz w:val="28"/>
          <w:szCs w:val="28"/>
        </w:rPr>
        <w:t>,</w:t>
      </w:r>
      <w:r>
        <w:rPr>
          <w:rFonts w:ascii="Times New Roman" w:hAnsi="Times New Roman" w:cs="Times New Roman"/>
          <w:sz w:val="28"/>
          <w:szCs w:val="28"/>
        </w:rPr>
        <w:t xml:space="preserve"> oggi noi viviamo in un universo quantistico in cui il possibile è la base di comprensione dell’evento, “</w:t>
      </w:r>
      <w:r w:rsidRPr="005A15F8">
        <w:rPr>
          <w:rFonts w:ascii="Times New Roman" w:hAnsi="Times New Roman" w:cs="Times New Roman"/>
          <w:i/>
          <w:iCs/>
          <w:sz w:val="28"/>
          <w:szCs w:val="28"/>
        </w:rPr>
        <w:t xml:space="preserve">brain </w:t>
      </w:r>
      <w:proofErr w:type="spellStart"/>
      <w:r w:rsidRPr="005A15F8">
        <w:rPr>
          <w:rFonts w:ascii="Times New Roman" w:hAnsi="Times New Roman" w:cs="Times New Roman"/>
          <w:i/>
          <w:iCs/>
          <w:sz w:val="28"/>
          <w:szCs w:val="28"/>
        </w:rPr>
        <w:t>imaging</w:t>
      </w:r>
      <w:proofErr w:type="spellEnd"/>
      <w:r>
        <w:rPr>
          <w:rFonts w:ascii="Times New Roman" w:hAnsi="Times New Roman" w:cs="Times New Roman"/>
          <w:sz w:val="28"/>
          <w:szCs w:val="28"/>
        </w:rPr>
        <w:t>”</w:t>
      </w:r>
      <w:r w:rsidR="0015715D">
        <w:rPr>
          <w:rFonts w:ascii="Times New Roman" w:hAnsi="Times New Roman" w:cs="Times New Roman"/>
          <w:sz w:val="28"/>
          <w:szCs w:val="28"/>
        </w:rPr>
        <w:t xml:space="preserve">. Se questo è vero, allora le </w:t>
      </w:r>
      <w:proofErr w:type="spellStart"/>
      <w:r w:rsidR="0015715D">
        <w:rPr>
          <w:rFonts w:ascii="Times New Roman" w:hAnsi="Times New Roman" w:cs="Times New Roman"/>
          <w:sz w:val="28"/>
          <w:szCs w:val="28"/>
        </w:rPr>
        <w:t>neurotecnologie</w:t>
      </w:r>
      <w:proofErr w:type="spellEnd"/>
      <w:r w:rsidR="0015715D">
        <w:rPr>
          <w:rFonts w:ascii="Times New Roman" w:hAnsi="Times New Roman" w:cs="Times New Roman"/>
          <w:sz w:val="28"/>
          <w:szCs w:val="28"/>
        </w:rPr>
        <w:t xml:space="preserve"> possono anche favorire uno sviluppo qualitativo dell’uomo, inteso come complesso unico di mente e corpo, pensieri, emozioni, coscienza</w:t>
      </w:r>
      <w:r w:rsidR="00617630">
        <w:rPr>
          <w:rFonts w:ascii="Times New Roman" w:hAnsi="Times New Roman" w:cs="Times New Roman"/>
          <w:sz w:val="28"/>
          <w:szCs w:val="28"/>
        </w:rPr>
        <w:t>,</w:t>
      </w:r>
      <w:r w:rsidR="0015715D">
        <w:rPr>
          <w:rFonts w:ascii="Times New Roman" w:hAnsi="Times New Roman" w:cs="Times New Roman"/>
          <w:sz w:val="28"/>
          <w:szCs w:val="28"/>
        </w:rPr>
        <w:t xml:space="preserve"> critica. </w:t>
      </w:r>
      <w:r w:rsidR="00584B1D">
        <w:rPr>
          <w:rFonts w:ascii="Times New Roman" w:hAnsi="Times New Roman" w:cs="Times New Roman"/>
          <w:sz w:val="28"/>
          <w:szCs w:val="28"/>
        </w:rPr>
        <w:t>È</w:t>
      </w:r>
      <w:r w:rsidR="0015715D">
        <w:rPr>
          <w:rFonts w:ascii="Times New Roman" w:hAnsi="Times New Roman" w:cs="Times New Roman"/>
          <w:sz w:val="28"/>
          <w:szCs w:val="28"/>
        </w:rPr>
        <w:t xml:space="preserve"> questa la sfida che attende il giurista: a lui l’arduo compito di individuare</w:t>
      </w:r>
      <w:r w:rsidR="005D71D8">
        <w:rPr>
          <w:rFonts w:ascii="Times New Roman" w:hAnsi="Times New Roman" w:cs="Times New Roman"/>
          <w:sz w:val="28"/>
          <w:szCs w:val="28"/>
        </w:rPr>
        <w:t>,</w:t>
      </w:r>
      <w:r w:rsidR="0015715D">
        <w:rPr>
          <w:rFonts w:ascii="Times New Roman" w:hAnsi="Times New Roman" w:cs="Times New Roman"/>
          <w:sz w:val="28"/>
          <w:szCs w:val="28"/>
        </w:rPr>
        <w:t xml:space="preserve"> attraverso un approccio multidisciplinare</w:t>
      </w:r>
      <w:r w:rsidR="005D71D8">
        <w:rPr>
          <w:rFonts w:ascii="Times New Roman" w:hAnsi="Times New Roman" w:cs="Times New Roman"/>
          <w:sz w:val="28"/>
          <w:szCs w:val="28"/>
        </w:rPr>
        <w:t>,</w:t>
      </w:r>
      <w:r w:rsidR="0015715D">
        <w:rPr>
          <w:rFonts w:ascii="Times New Roman" w:hAnsi="Times New Roman" w:cs="Times New Roman"/>
          <w:sz w:val="28"/>
          <w:szCs w:val="28"/>
        </w:rPr>
        <w:t xml:space="preserve"> principi, regole</w:t>
      </w:r>
      <w:r w:rsidR="0015715D" w:rsidRPr="0015715D">
        <w:rPr>
          <w:rFonts w:ascii="Times New Roman" w:hAnsi="Times New Roman" w:cs="Times New Roman"/>
          <w:i/>
          <w:iCs/>
          <w:sz w:val="28"/>
          <w:szCs w:val="28"/>
        </w:rPr>
        <w:t xml:space="preserve">, </w:t>
      </w:r>
      <w:proofErr w:type="spellStart"/>
      <w:r w:rsidR="0015715D" w:rsidRPr="0015715D">
        <w:rPr>
          <w:rFonts w:ascii="Times New Roman" w:hAnsi="Times New Roman" w:cs="Times New Roman"/>
          <w:i/>
          <w:iCs/>
          <w:sz w:val="28"/>
          <w:szCs w:val="28"/>
        </w:rPr>
        <w:t>principles</w:t>
      </w:r>
      <w:proofErr w:type="spellEnd"/>
      <w:r w:rsidR="0015715D" w:rsidRPr="0015715D">
        <w:rPr>
          <w:rFonts w:ascii="Times New Roman" w:hAnsi="Times New Roman" w:cs="Times New Roman"/>
          <w:i/>
          <w:iCs/>
          <w:sz w:val="28"/>
          <w:szCs w:val="28"/>
        </w:rPr>
        <w:t xml:space="preserve"> and model-</w:t>
      </w:r>
      <w:proofErr w:type="spellStart"/>
      <w:r w:rsidR="0015715D" w:rsidRPr="0015715D">
        <w:rPr>
          <w:rFonts w:ascii="Times New Roman" w:hAnsi="Times New Roman" w:cs="Times New Roman"/>
          <w:i/>
          <w:iCs/>
          <w:sz w:val="28"/>
          <w:szCs w:val="28"/>
        </w:rPr>
        <w:t>rules</w:t>
      </w:r>
      <w:proofErr w:type="spellEnd"/>
      <w:r w:rsidR="0015715D">
        <w:rPr>
          <w:rFonts w:ascii="Times New Roman" w:hAnsi="Times New Roman" w:cs="Times New Roman"/>
          <w:sz w:val="28"/>
          <w:szCs w:val="28"/>
        </w:rPr>
        <w:t xml:space="preserve"> capaci di realizzare quello che è stato di recente definito “</w:t>
      </w:r>
      <w:r w:rsidR="0015715D" w:rsidRPr="0015715D">
        <w:rPr>
          <w:rFonts w:ascii="Times New Roman" w:hAnsi="Times New Roman" w:cs="Times New Roman"/>
          <w:i/>
          <w:iCs/>
          <w:sz w:val="28"/>
          <w:szCs w:val="28"/>
        </w:rPr>
        <w:t>l’umanesimo digitale</w:t>
      </w:r>
      <w:r w:rsidR="0015715D" w:rsidRPr="005D71D8">
        <w:rPr>
          <w:rFonts w:ascii="Times New Roman" w:hAnsi="Times New Roman" w:cs="Times New Roman"/>
          <w:sz w:val="28"/>
          <w:szCs w:val="28"/>
        </w:rPr>
        <w:t>”</w:t>
      </w:r>
      <w:r w:rsidR="0010691C" w:rsidRPr="0010691C">
        <w:rPr>
          <w:rStyle w:val="Rimandonotaapidipagina"/>
          <w:rFonts w:ascii="Times New Roman" w:hAnsi="Times New Roman" w:cs="Times New Roman"/>
          <w:sz w:val="28"/>
          <w:szCs w:val="28"/>
        </w:rPr>
        <w:t xml:space="preserve"> </w:t>
      </w:r>
      <w:r w:rsidR="0010691C">
        <w:rPr>
          <w:rStyle w:val="Rimandonotaapidipagina"/>
          <w:rFonts w:ascii="Times New Roman" w:hAnsi="Times New Roman" w:cs="Times New Roman"/>
          <w:sz w:val="28"/>
          <w:szCs w:val="28"/>
        </w:rPr>
        <w:footnoteReference w:id="6"/>
      </w:r>
      <w:r w:rsidR="0015715D" w:rsidRPr="005D71D8">
        <w:rPr>
          <w:rFonts w:ascii="Times New Roman" w:hAnsi="Times New Roman" w:cs="Times New Roman"/>
          <w:sz w:val="28"/>
          <w:szCs w:val="28"/>
        </w:rPr>
        <w:t>.</w:t>
      </w:r>
    </w:p>
    <w:p w14:paraId="04243B3E" w14:textId="4B98A981" w:rsidR="00617630" w:rsidRDefault="003208A2" w:rsidP="00617630">
      <w:pPr>
        <w:spacing w:after="0"/>
        <w:jc w:val="both"/>
        <w:rPr>
          <w:rFonts w:ascii="Times New Roman" w:hAnsi="Times New Roman" w:cs="Times New Roman"/>
          <w:sz w:val="28"/>
          <w:szCs w:val="28"/>
        </w:rPr>
      </w:pPr>
      <w:r w:rsidRPr="003208A2">
        <w:rPr>
          <w:rFonts w:ascii="Times New Roman" w:hAnsi="Times New Roman" w:cs="Times New Roman"/>
          <w:sz w:val="28"/>
          <w:szCs w:val="28"/>
        </w:rPr>
        <w:lastRenderedPageBreak/>
        <w:t xml:space="preserve">Sembrerà strano, ma il primo computer </w:t>
      </w:r>
      <w:r>
        <w:rPr>
          <w:rFonts w:ascii="Times New Roman" w:hAnsi="Times New Roman" w:cs="Times New Roman"/>
          <w:sz w:val="28"/>
          <w:szCs w:val="28"/>
        </w:rPr>
        <w:t xml:space="preserve">è stato un computer a vapore, </w:t>
      </w:r>
      <w:r w:rsidR="00BF1A2F">
        <w:rPr>
          <w:rFonts w:ascii="Times New Roman" w:hAnsi="Times New Roman" w:cs="Times New Roman"/>
          <w:sz w:val="28"/>
          <w:szCs w:val="28"/>
        </w:rPr>
        <w:t xml:space="preserve">un </w:t>
      </w:r>
      <w:r>
        <w:rPr>
          <w:rFonts w:ascii="Times New Roman" w:hAnsi="Times New Roman" w:cs="Times New Roman"/>
          <w:sz w:val="28"/>
          <w:szCs w:val="28"/>
        </w:rPr>
        <w:t>calcolatore universale</w:t>
      </w:r>
      <w:r w:rsidR="00FD059B">
        <w:rPr>
          <w:rFonts w:ascii="Times New Roman" w:hAnsi="Times New Roman" w:cs="Times New Roman"/>
          <w:sz w:val="28"/>
          <w:szCs w:val="28"/>
        </w:rPr>
        <w:t>,</w:t>
      </w:r>
      <w:r>
        <w:rPr>
          <w:rFonts w:ascii="Times New Roman" w:hAnsi="Times New Roman" w:cs="Times New Roman"/>
          <w:sz w:val="28"/>
          <w:szCs w:val="28"/>
        </w:rPr>
        <w:t xml:space="preserve"> risalente alla prima metà dell’800</w:t>
      </w:r>
      <w:r w:rsidR="00617630">
        <w:rPr>
          <w:rStyle w:val="Rimandonotaapidipagina"/>
          <w:rFonts w:ascii="Times New Roman" w:hAnsi="Times New Roman" w:cs="Times New Roman"/>
          <w:sz w:val="28"/>
          <w:szCs w:val="28"/>
        </w:rPr>
        <w:footnoteReference w:id="7"/>
      </w:r>
      <w:r w:rsidR="00BF1A2F">
        <w:rPr>
          <w:rFonts w:ascii="Times New Roman" w:hAnsi="Times New Roman" w:cs="Times New Roman"/>
          <w:sz w:val="28"/>
          <w:szCs w:val="28"/>
        </w:rPr>
        <w:t>,</w:t>
      </w:r>
      <w:r>
        <w:rPr>
          <w:rFonts w:ascii="Times New Roman" w:hAnsi="Times New Roman" w:cs="Times New Roman"/>
          <w:sz w:val="28"/>
          <w:szCs w:val="28"/>
        </w:rPr>
        <w:t xml:space="preserve"> e la prima programmatrice è stata una donna,</w:t>
      </w:r>
      <w:r w:rsidR="00081A13">
        <w:rPr>
          <w:rFonts w:ascii="Times New Roman" w:hAnsi="Times New Roman" w:cs="Times New Roman"/>
          <w:sz w:val="28"/>
          <w:szCs w:val="28"/>
        </w:rPr>
        <w:t xml:space="preserve"> </w:t>
      </w:r>
      <w:r w:rsidRPr="000D3EFF">
        <w:rPr>
          <w:rFonts w:ascii="Times New Roman" w:hAnsi="Times New Roman" w:cs="Times New Roman"/>
          <w:i/>
          <w:iCs/>
          <w:sz w:val="28"/>
          <w:szCs w:val="28"/>
        </w:rPr>
        <w:t xml:space="preserve">Ada </w:t>
      </w:r>
      <w:proofErr w:type="spellStart"/>
      <w:r w:rsidRPr="000D3EFF">
        <w:rPr>
          <w:rFonts w:ascii="Times New Roman" w:hAnsi="Times New Roman" w:cs="Times New Roman"/>
          <w:i/>
          <w:iCs/>
          <w:sz w:val="28"/>
          <w:szCs w:val="28"/>
        </w:rPr>
        <w:t>Lovelance</w:t>
      </w:r>
      <w:proofErr w:type="spellEnd"/>
      <w:r w:rsidRPr="000D3EFF">
        <w:rPr>
          <w:rFonts w:ascii="Times New Roman" w:hAnsi="Times New Roman" w:cs="Times New Roman"/>
          <w:sz w:val="28"/>
          <w:szCs w:val="28"/>
        </w:rPr>
        <w:t>, definita</w:t>
      </w:r>
      <w:r>
        <w:rPr>
          <w:rFonts w:ascii="Times New Roman" w:hAnsi="Times New Roman" w:cs="Times New Roman"/>
          <w:sz w:val="28"/>
          <w:szCs w:val="28"/>
        </w:rPr>
        <w:t xml:space="preserve"> da Charles </w:t>
      </w:r>
      <w:proofErr w:type="spellStart"/>
      <w:r>
        <w:rPr>
          <w:rFonts w:ascii="Times New Roman" w:hAnsi="Times New Roman" w:cs="Times New Roman"/>
          <w:sz w:val="28"/>
          <w:szCs w:val="28"/>
        </w:rPr>
        <w:t>Babbage</w:t>
      </w:r>
      <w:proofErr w:type="spellEnd"/>
      <w:r>
        <w:rPr>
          <w:rFonts w:ascii="Times New Roman" w:hAnsi="Times New Roman" w:cs="Times New Roman"/>
          <w:sz w:val="28"/>
          <w:szCs w:val="28"/>
        </w:rPr>
        <w:t xml:space="preserve"> “incantatrice dei numeri”.</w:t>
      </w:r>
      <w:r w:rsidR="00C65B74">
        <w:rPr>
          <w:rFonts w:ascii="Times New Roman" w:hAnsi="Times New Roman" w:cs="Times New Roman"/>
          <w:sz w:val="28"/>
          <w:szCs w:val="28"/>
        </w:rPr>
        <w:t xml:space="preserve"> </w:t>
      </w:r>
    </w:p>
    <w:p w14:paraId="0C21CAAA" w14:textId="42446F80" w:rsidR="00DF4B1B" w:rsidRDefault="00C65B74" w:rsidP="00617630">
      <w:pPr>
        <w:spacing w:after="0"/>
        <w:jc w:val="both"/>
        <w:rPr>
          <w:rFonts w:ascii="Times New Roman" w:hAnsi="Times New Roman" w:cs="Times New Roman"/>
          <w:sz w:val="28"/>
          <w:szCs w:val="28"/>
        </w:rPr>
      </w:pPr>
      <w:r>
        <w:rPr>
          <w:rFonts w:ascii="Times New Roman" w:hAnsi="Times New Roman" w:cs="Times New Roman"/>
          <w:sz w:val="28"/>
          <w:szCs w:val="28"/>
        </w:rPr>
        <w:t>Certo molti anni dovettero trascorrere prima</w:t>
      </w:r>
      <w:r w:rsidR="005D71D8">
        <w:rPr>
          <w:rFonts w:ascii="Times New Roman" w:hAnsi="Times New Roman" w:cs="Times New Roman"/>
          <w:sz w:val="28"/>
          <w:szCs w:val="28"/>
        </w:rPr>
        <w:t xml:space="preserve"> che</w:t>
      </w:r>
      <w:r>
        <w:rPr>
          <w:rFonts w:ascii="Times New Roman" w:hAnsi="Times New Roman" w:cs="Times New Roman"/>
          <w:sz w:val="28"/>
          <w:szCs w:val="28"/>
        </w:rPr>
        <w:t xml:space="preserve"> </w:t>
      </w:r>
      <w:r w:rsidRPr="00A6441A">
        <w:rPr>
          <w:rFonts w:ascii="Times New Roman" w:hAnsi="Times New Roman" w:cs="Times New Roman"/>
          <w:i/>
          <w:iCs/>
          <w:sz w:val="28"/>
          <w:szCs w:val="28"/>
        </w:rPr>
        <w:t xml:space="preserve">Tim </w:t>
      </w:r>
      <w:proofErr w:type="spellStart"/>
      <w:r w:rsidRPr="00A6441A">
        <w:rPr>
          <w:rFonts w:ascii="Times New Roman" w:hAnsi="Times New Roman" w:cs="Times New Roman"/>
          <w:i/>
          <w:iCs/>
          <w:sz w:val="28"/>
          <w:szCs w:val="28"/>
        </w:rPr>
        <w:t>Berners</w:t>
      </w:r>
      <w:proofErr w:type="spellEnd"/>
      <w:r w:rsidRPr="00A6441A">
        <w:rPr>
          <w:rFonts w:ascii="Times New Roman" w:hAnsi="Times New Roman" w:cs="Times New Roman"/>
          <w:i/>
          <w:iCs/>
          <w:sz w:val="28"/>
          <w:szCs w:val="28"/>
        </w:rPr>
        <w:t>-</w:t>
      </w:r>
      <w:r w:rsidRPr="00744FA2">
        <w:rPr>
          <w:rFonts w:ascii="Times New Roman" w:hAnsi="Times New Roman" w:cs="Times New Roman"/>
          <w:i/>
          <w:iCs/>
          <w:sz w:val="28"/>
          <w:szCs w:val="28"/>
        </w:rPr>
        <w:t>Lee</w:t>
      </w:r>
      <w:r w:rsidR="00FE21B5" w:rsidRPr="00744FA2">
        <w:rPr>
          <w:rFonts w:ascii="Times New Roman" w:hAnsi="Times New Roman" w:cs="Times New Roman"/>
          <w:i/>
          <w:iCs/>
          <w:sz w:val="28"/>
          <w:szCs w:val="28"/>
        </w:rPr>
        <w:t>,</w:t>
      </w:r>
      <w:r>
        <w:rPr>
          <w:rFonts w:ascii="Times New Roman" w:hAnsi="Times New Roman" w:cs="Times New Roman"/>
          <w:sz w:val="28"/>
          <w:szCs w:val="28"/>
        </w:rPr>
        <w:t xml:space="preserve"> nel 1989</w:t>
      </w:r>
      <w:r w:rsidR="00FE21B5">
        <w:rPr>
          <w:rFonts w:ascii="Times New Roman" w:hAnsi="Times New Roman" w:cs="Times New Roman"/>
          <w:sz w:val="28"/>
          <w:szCs w:val="28"/>
        </w:rPr>
        <w:t>,</w:t>
      </w:r>
      <w:r>
        <w:rPr>
          <w:rFonts w:ascii="Times New Roman" w:hAnsi="Times New Roman" w:cs="Times New Roman"/>
          <w:sz w:val="28"/>
          <w:szCs w:val="28"/>
        </w:rPr>
        <w:t xml:space="preserve"> presso i laboratori </w:t>
      </w:r>
      <w:proofErr w:type="spellStart"/>
      <w:r>
        <w:rPr>
          <w:rFonts w:ascii="Times New Roman" w:hAnsi="Times New Roman" w:cs="Times New Roman"/>
          <w:sz w:val="28"/>
          <w:szCs w:val="28"/>
        </w:rPr>
        <w:t>Cern</w:t>
      </w:r>
      <w:proofErr w:type="spellEnd"/>
      <w:r>
        <w:rPr>
          <w:rFonts w:ascii="Times New Roman" w:hAnsi="Times New Roman" w:cs="Times New Roman"/>
          <w:sz w:val="28"/>
          <w:szCs w:val="28"/>
        </w:rPr>
        <w:t xml:space="preserve"> di Ginevra</w:t>
      </w:r>
      <w:r w:rsidR="00FE21B5">
        <w:rPr>
          <w:rFonts w:ascii="Times New Roman" w:hAnsi="Times New Roman" w:cs="Times New Roman"/>
          <w:sz w:val="28"/>
          <w:szCs w:val="28"/>
        </w:rPr>
        <w:t>,</w:t>
      </w:r>
      <w:r>
        <w:rPr>
          <w:rFonts w:ascii="Times New Roman" w:hAnsi="Times New Roman" w:cs="Times New Roman"/>
          <w:sz w:val="28"/>
          <w:szCs w:val="28"/>
        </w:rPr>
        <w:t xml:space="preserve"> presentasse il primo sistema di “</w:t>
      </w:r>
      <w:r w:rsidRPr="00C65B74">
        <w:rPr>
          <w:rFonts w:ascii="Times New Roman" w:hAnsi="Times New Roman" w:cs="Times New Roman"/>
          <w:i/>
          <w:iCs/>
          <w:sz w:val="28"/>
          <w:szCs w:val="28"/>
        </w:rPr>
        <w:t>information management</w:t>
      </w:r>
      <w:r>
        <w:rPr>
          <w:rFonts w:ascii="Times New Roman" w:hAnsi="Times New Roman" w:cs="Times New Roman"/>
          <w:sz w:val="28"/>
          <w:szCs w:val="28"/>
        </w:rPr>
        <w:t>”</w:t>
      </w:r>
      <w:r w:rsidR="000D3EFF">
        <w:rPr>
          <w:rFonts w:ascii="Times New Roman" w:hAnsi="Times New Roman" w:cs="Times New Roman"/>
          <w:sz w:val="28"/>
          <w:szCs w:val="28"/>
        </w:rPr>
        <w:t xml:space="preserve"> (</w:t>
      </w:r>
      <w:proofErr w:type="spellStart"/>
      <w:r w:rsidRPr="00FE21B5">
        <w:rPr>
          <w:rFonts w:ascii="Times New Roman" w:hAnsi="Times New Roman" w:cs="Times New Roman"/>
          <w:i/>
          <w:iCs/>
          <w:sz w:val="28"/>
          <w:szCs w:val="28"/>
        </w:rPr>
        <w:t>called</w:t>
      </w:r>
      <w:proofErr w:type="spellEnd"/>
      <w:r>
        <w:rPr>
          <w:rFonts w:ascii="Times New Roman" w:hAnsi="Times New Roman" w:cs="Times New Roman"/>
          <w:sz w:val="28"/>
          <w:szCs w:val="28"/>
        </w:rPr>
        <w:t xml:space="preserve"> </w:t>
      </w:r>
      <w:proofErr w:type="spellStart"/>
      <w:r w:rsidRPr="00C65B74">
        <w:rPr>
          <w:rFonts w:ascii="Times New Roman" w:hAnsi="Times New Roman" w:cs="Times New Roman"/>
          <w:i/>
          <w:iCs/>
          <w:sz w:val="28"/>
          <w:szCs w:val="28"/>
        </w:rPr>
        <w:t>Mesh</w:t>
      </w:r>
      <w:proofErr w:type="spellEnd"/>
      <w:r w:rsidR="000D3EFF" w:rsidRPr="000D3EFF">
        <w:rPr>
          <w:rFonts w:ascii="Times New Roman" w:hAnsi="Times New Roman" w:cs="Times New Roman"/>
          <w:sz w:val="28"/>
          <w:szCs w:val="28"/>
        </w:rPr>
        <w:t>)</w:t>
      </w:r>
      <w:r w:rsidR="000D3EFF">
        <w:rPr>
          <w:rFonts w:ascii="Times New Roman" w:hAnsi="Times New Roman" w:cs="Times New Roman"/>
          <w:sz w:val="28"/>
          <w:szCs w:val="28"/>
        </w:rPr>
        <w:t>,</w:t>
      </w:r>
      <w:r>
        <w:rPr>
          <w:rFonts w:ascii="Times New Roman" w:hAnsi="Times New Roman" w:cs="Times New Roman"/>
          <w:i/>
          <w:iCs/>
          <w:sz w:val="28"/>
          <w:szCs w:val="28"/>
        </w:rPr>
        <w:t xml:space="preserve"> </w:t>
      </w:r>
      <w:r w:rsidRPr="00C65B74">
        <w:rPr>
          <w:rFonts w:ascii="Times New Roman" w:hAnsi="Times New Roman" w:cs="Times New Roman"/>
          <w:sz w:val="28"/>
          <w:szCs w:val="28"/>
        </w:rPr>
        <w:t xml:space="preserve">il primo </w:t>
      </w:r>
      <w:r w:rsidRPr="00BF1A2F">
        <w:rPr>
          <w:rFonts w:ascii="Times New Roman" w:hAnsi="Times New Roman" w:cs="Times New Roman"/>
          <w:i/>
          <w:iCs/>
          <w:sz w:val="28"/>
          <w:szCs w:val="28"/>
        </w:rPr>
        <w:t>website</w:t>
      </w:r>
      <w:r>
        <w:rPr>
          <w:rFonts w:ascii="Times New Roman" w:hAnsi="Times New Roman" w:cs="Times New Roman"/>
          <w:sz w:val="28"/>
          <w:szCs w:val="28"/>
        </w:rPr>
        <w:t xml:space="preserve"> concepito come “</w:t>
      </w:r>
      <w:r w:rsidRPr="00C65B74">
        <w:rPr>
          <w:rFonts w:ascii="Times New Roman" w:hAnsi="Times New Roman" w:cs="Times New Roman"/>
          <w:i/>
          <w:iCs/>
          <w:sz w:val="28"/>
          <w:szCs w:val="28"/>
        </w:rPr>
        <w:t xml:space="preserve">a </w:t>
      </w:r>
      <w:proofErr w:type="spellStart"/>
      <w:r w:rsidRPr="00C65B74">
        <w:rPr>
          <w:rFonts w:ascii="Times New Roman" w:hAnsi="Times New Roman" w:cs="Times New Roman"/>
          <w:i/>
          <w:iCs/>
          <w:sz w:val="28"/>
          <w:szCs w:val="28"/>
        </w:rPr>
        <w:t>democratic</w:t>
      </w:r>
      <w:proofErr w:type="spellEnd"/>
      <w:r w:rsidRPr="00C65B74">
        <w:rPr>
          <w:rFonts w:ascii="Times New Roman" w:hAnsi="Times New Roman" w:cs="Times New Roman"/>
          <w:i/>
          <w:iCs/>
          <w:sz w:val="28"/>
          <w:szCs w:val="28"/>
        </w:rPr>
        <w:t xml:space="preserve"> arena</w:t>
      </w:r>
      <w:r>
        <w:rPr>
          <w:rFonts w:ascii="Times New Roman" w:hAnsi="Times New Roman" w:cs="Times New Roman"/>
          <w:sz w:val="28"/>
          <w:szCs w:val="28"/>
        </w:rPr>
        <w:t>” per lo scambio di informazioni al servizio dei cittadini</w:t>
      </w:r>
      <w:r w:rsidR="00FD059B">
        <w:rPr>
          <w:rFonts w:ascii="Times New Roman" w:hAnsi="Times New Roman" w:cs="Times New Roman"/>
          <w:sz w:val="28"/>
          <w:szCs w:val="28"/>
        </w:rPr>
        <w:t>,</w:t>
      </w:r>
      <w:r>
        <w:rPr>
          <w:rFonts w:ascii="Times New Roman" w:hAnsi="Times New Roman" w:cs="Times New Roman"/>
          <w:sz w:val="28"/>
          <w:szCs w:val="28"/>
        </w:rPr>
        <w:t xml:space="preserve"> senza </w:t>
      </w:r>
      <w:r w:rsidRPr="00BF1A2F">
        <w:rPr>
          <w:rFonts w:ascii="Times New Roman" w:hAnsi="Times New Roman" w:cs="Times New Roman"/>
          <w:i/>
          <w:iCs/>
          <w:sz w:val="28"/>
          <w:szCs w:val="28"/>
        </w:rPr>
        <w:t>royalties</w:t>
      </w:r>
      <w:r>
        <w:rPr>
          <w:rFonts w:ascii="Times New Roman" w:hAnsi="Times New Roman" w:cs="Times New Roman"/>
          <w:sz w:val="28"/>
          <w:szCs w:val="28"/>
        </w:rPr>
        <w:t xml:space="preserve"> o speculazioni. Ma tale idea democratica e gratuita del web è stata oggi vanificata dalle grandi piattaforme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Google e Amazon</w:t>
      </w:r>
      <w:r w:rsidR="00FD059B">
        <w:rPr>
          <w:rFonts w:ascii="Times New Roman" w:hAnsi="Times New Roman" w:cs="Times New Roman"/>
          <w:sz w:val="28"/>
          <w:szCs w:val="28"/>
        </w:rPr>
        <w:t>,</w:t>
      </w:r>
      <w:r>
        <w:rPr>
          <w:rFonts w:ascii="Times New Roman" w:hAnsi="Times New Roman" w:cs="Times New Roman"/>
          <w:sz w:val="28"/>
          <w:szCs w:val="28"/>
        </w:rPr>
        <w:t xml:space="preserve"> che ne hanno monopolizzato l’utilizzo, disponendo di un’enorme quantità di dati</w:t>
      </w:r>
      <w:r w:rsidR="004D22DB">
        <w:rPr>
          <w:rFonts w:ascii="Times New Roman" w:hAnsi="Times New Roman" w:cs="Times New Roman"/>
          <w:sz w:val="28"/>
          <w:szCs w:val="28"/>
        </w:rPr>
        <w:t xml:space="preserve">, senza precise regole volte ad una loro effettiva responsabilizzazione. </w:t>
      </w:r>
      <w:r w:rsidR="004D22DB" w:rsidRPr="00FE21B5">
        <w:rPr>
          <w:rFonts w:ascii="Times New Roman" w:hAnsi="Times New Roman" w:cs="Times New Roman"/>
          <w:i/>
          <w:iCs/>
          <w:sz w:val="28"/>
          <w:szCs w:val="28"/>
        </w:rPr>
        <w:t xml:space="preserve">Tim </w:t>
      </w:r>
      <w:proofErr w:type="spellStart"/>
      <w:r w:rsidR="004D22DB" w:rsidRPr="00FE21B5">
        <w:rPr>
          <w:rFonts w:ascii="Times New Roman" w:hAnsi="Times New Roman" w:cs="Times New Roman"/>
          <w:i/>
          <w:iCs/>
          <w:sz w:val="28"/>
          <w:szCs w:val="28"/>
        </w:rPr>
        <w:t>Berners</w:t>
      </w:r>
      <w:proofErr w:type="spellEnd"/>
      <w:r w:rsidR="004D22DB" w:rsidRPr="00FE21B5">
        <w:rPr>
          <w:rFonts w:ascii="Times New Roman" w:hAnsi="Times New Roman" w:cs="Times New Roman"/>
          <w:i/>
          <w:iCs/>
          <w:sz w:val="28"/>
          <w:szCs w:val="28"/>
        </w:rPr>
        <w:t>-Lee</w:t>
      </w:r>
      <w:r w:rsidR="00FD059B">
        <w:rPr>
          <w:rFonts w:ascii="Times New Roman" w:hAnsi="Times New Roman" w:cs="Times New Roman"/>
          <w:i/>
          <w:iCs/>
          <w:sz w:val="28"/>
          <w:szCs w:val="28"/>
        </w:rPr>
        <w:t>,</w:t>
      </w:r>
      <w:r w:rsidR="004D22DB">
        <w:rPr>
          <w:rFonts w:ascii="Times New Roman" w:hAnsi="Times New Roman" w:cs="Times New Roman"/>
          <w:sz w:val="28"/>
          <w:szCs w:val="28"/>
        </w:rPr>
        <w:t xml:space="preserve"> insieme ad altri scienziati</w:t>
      </w:r>
      <w:r w:rsidR="00FD059B">
        <w:rPr>
          <w:rFonts w:ascii="Times New Roman" w:hAnsi="Times New Roman" w:cs="Times New Roman"/>
          <w:sz w:val="28"/>
          <w:szCs w:val="28"/>
        </w:rPr>
        <w:t>,</w:t>
      </w:r>
      <w:r w:rsidR="004D22DB">
        <w:rPr>
          <w:rFonts w:ascii="Times New Roman" w:hAnsi="Times New Roman" w:cs="Times New Roman"/>
          <w:sz w:val="28"/>
          <w:szCs w:val="28"/>
        </w:rPr>
        <w:t xml:space="preserve"> sta lavorando oggi</w:t>
      </w:r>
      <w:r w:rsidR="00BE399E">
        <w:rPr>
          <w:rFonts w:ascii="Times New Roman" w:hAnsi="Times New Roman" w:cs="Times New Roman"/>
          <w:sz w:val="28"/>
          <w:szCs w:val="28"/>
        </w:rPr>
        <w:t xml:space="preserve"> ad un progetto chiamato </w:t>
      </w:r>
      <w:r w:rsidR="00BE399E" w:rsidRPr="00BE399E">
        <w:rPr>
          <w:rFonts w:ascii="Times New Roman" w:hAnsi="Times New Roman" w:cs="Times New Roman"/>
          <w:i/>
          <w:iCs/>
          <w:sz w:val="28"/>
          <w:szCs w:val="28"/>
        </w:rPr>
        <w:t>Solid</w:t>
      </w:r>
      <w:r w:rsidR="00BE399E">
        <w:rPr>
          <w:rFonts w:ascii="Times New Roman" w:hAnsi="Times New Roman" w:cs="Times New Roman"/>
          <w:sz w:val="28"/>
          <w:szCs w:val="28"/>
        </w:rPr>
        <w:t xml:space="preserve"> per </w:t>
      </w:r>
      <w:proofErr w:type="spellStart"/>
      <w:r w:rsidR="00BE399E">
        <w:rPr>
          <w:rFonts w:ascii="Times New Roman" w:hAnsi="Times New Roman" w:cs="Times New Roman"/>
          <w:sz w:val="28"/>
          <w:szCs w:val="28"/>
        </w:rPr>
        <w:t>ridecentrare</w:t>
      </w:r>
      <w:proofErr w:type="spellEnd"/>
      <w:r w:rsidR="00BE399E">
        <w:rPr>
          <w:rFonts w:ascii="Times New Roman" w:hAnsi="Times New Roman" w:cs="Times New Roman"/>
          <w:sz w:val="28"/>
          <w:szCs w:val="28"/>
        </w:rPr>
        <w:t xml:space="preserve"> il web e renderlo di nuovo uno spazio libero.</w:t>
      </w:r>
      <w:r w:rsidR="004D22DB">
        <w:rPr>
          <w:rFonts w:ascii="Times New Roman" w:hAnsi="Times New Roman" w:cs="Times New Roman"/>
          <w:sz w:val="28"/>
          <w:szCs w:val="28"/>
        </w:rPr>
        <w:t xml:space="preserve"> </w:t>
      </w:r>
      <w:r w:rsidR="00584B1D">
        <w:rPr>
          <w:rFonts w:ascii="Times New Roman" w:hAnsi="Times New Roman" w:cs="Times New Roman"/>
          <w:sz w:val="28"/>
          <w:szCs w:val="28"/>
        </w:rPr>
        <w:t>È</w:t>
      </w:r>
      <w:r w:rsidR="00BE399E">
        <w:rPr>
          <w:rFonts w:ascii="Times New Roman" w:hAnsi="Times New Roman" w:cs="Times New Roman"/>
          <w:sz w:val="28"/>
          <w:szCs w:val="28"/>
        </w:rPr>
        <w:t xml:space="preserve"> emblematico che</w:t>
      </w:r>
      <w:r w:rsidR="00DF4B1B">
        <w:rPr>
          <w:rFonts w:ascii="Times New Roman" w:hAnsi="Times New Roman" w:cs="Times New Roman"/>
          <w:sz w:val="28"/>
          <w:szCs w:val="28"/>
        </w:rPr>
        <w:t>,</w:t>
      </w:r>
      <w:r w:rsidR="00BE399E">
        <w:rPr>
          <w:rFonts w:ascii="Times New Roman" w:hAnsi="Times New Roman" w:cs="Times New Roman"/>
          <w:sz w:val="28"/>
          <w:szCs w:val="28"/>
        </w:rPr>
        <w:t xml:space="preserve"> nel 1909</w:t>
      </w:r>
      <w:r w:rsidR="00DF4B1B">
        <w:rPr>
          <w:rFonts w:ascii="Times New Roman" w:hAnsi="Times New Roman" w:cs="Times New Roman"/>
          <w:sz w:val="28"/>
          <w:szCs w:val="28"/>
        </w:rPr>
        <w:t>,</w:t>
      </w:r>
      <w:r w:rsidR="00BE399E">
        <w:rPr>
          <w:rFonts w:ascii="Times New Roman" w:hAnsi="Times New Roman" w:cs="Times New Roman"/>
          <w:sz w:val="28"/>
          <w:szCs w:val="28"/>
        </w:rPr>
        <w:t xml:space="preserve"> </w:t>
      </w:r>
      <w:r w:rsidR="00FE21B5">
        <w:rPr>
          <w:rFonts w:ascii="Times New Roman" w:hAnsi="Times New Roman" w:cs="Times New Roman"/>
          <w:sz w:val="28"/>
          <w:szCs w:val="28"/>
        </w:rPr>
        <w:t>lo</w:t>
      </w:r>
      <w:r w:rsidR="00BE399E">
        <w:rPr>
          <w:rFonts w:ascii="Times New Roman" w:hAnsi="Times New Roman" w:cs="Times New Roman"/>
          <w:sz w:val="28"/>
          <w:szCs w:val="28"/>
        </w:rPr>
        <w:t xml:space="preserve"> scrittore britannico </w:t>
      </w:r>
      <w:r w:rsidR="00BE399E" w:rsidRPr="00FE21B5">
        <w:rPr>
          <w:rFonts w:ascii="Times New Roman" w:hAnsi="Times New Roman" w:cs="Times New Roman"/>
          <w:i/>
          <w:iCs/>
          <w:sz w:val="28"/>
          <w:szCs w:val="28"/>
        </w:rPr>
        <w:t>Forster</w:t>
      </w:r>
      <w:r w:rsidR="00BE399E">
        <w:rPr>
          <w:rFonts w:ascii="Times New Roman" w:hAnsi="Times New Roman" w:cs="Times New Roman"/>
          <w:sz w:val="28"/>
          <w:szCs w:val="28"/>
        </w:rPr>
        <w:t xml:space="preserve"> abbia scri</w:t>
      </w:r>
      <w:r w:rsidR="00AA5985">
        <w:rPr>
          <w:rFonts w:ascii="Times New Roman" w:hAnsi="Times New Roman" w:cs="Times New Roman"/>
          <w:sz w:val="28"/>
          <w:szCs w:val="28"/>
        </w:rPr>
        <w:t>tto</w:t>
      </w:r>
      <w:r w:rsidR="00BE399E">
        <w:rPr>
          <w:rFonts w:ascii="Times New Roman" w:hAnsi="Times New Roman" w:cs="Times New Roman"/>
          <w:sz w:val="28"/>
          <w:szCs w:val="28"/>
        </w:rPr>
        <w:t xml:space="preserve"> una storia di fantascienza intitolata “</w:t>
      </w:r>
      <w:r w:rsidR="00BE399E" w:rsidRPr="00081A13">
        <w:rPr>
          <w:rFonts w:ascii="Times New Roman" w:hAnsi="Times New Roman" w:cs="Times New Roman"/>
          <w:i/>
          <w:iCs/>
          <w:sz w:val="28"/>
          <w:szCs w:val="28"/>
        </w:rPr>
        <w:t xml:space="preserve">The machine </w:t>
      </w:r>
      <w:proofErr w:type="spellStart"/>
      <w:r w:rsidR="00BE399E" w:rsidRPr="00081A13">
        <w:rPr>
          <w:rFonts w:ascii="Times New Roman" w:hAnsi="Times New Roman" w:cs="Times New Roman"/>
          <w:i/>
          <w:iCs/>
          <w:sz w:val="28"/>
          <w:szCs w:val="28"/>
        </w:rPr>
        <w:t>stops</w:t>
      </w:r>
      <w:proofErr w:type="spellEnd"/>
      <w:r w:rsidR="00BE399E">
        <w:rPr>
          <w:rFonts w:ascii="Times New Roman" w:hAnsi="Times New Roman" w:cs="Times New Roman"/>
          <w:sz w:val="28"/>
          <w:szCs w:val="28"/>
        </w:rPr>
        <w:t>”</w:t>
      </w:r>
      <w:r w:rsidR="00DF4B1B">
        <w:rPr>
          <w:rFonts w:ascii="Times New Roman" w:hAnsi="Times New Roman" w:cs="Times New Roman"/>
          <w:sz w:val="28"/>
          <w:szCs w:val="28"/>
        </w:rPr>
        <w:t>,</w:t>
      </w:r>
      <w:r w:rsidR="00584B1D">
        <w:rPr>
          <w:rFonts w:ascii="Times New Roman" w:hAnsi="Times New Roman" w:cs="Times New Roman"/>
          <w:sz w:val="28"/>
          <w:szCs w:val="28"/>
        </w:rPr>
        <w:t xml:space="preserve"> </w:t>
      </w:r>
      <w:r w:rsidR="00AA5985">
        <w:rPr>
          <w:rFonts w:ascii="Times New Roman" w:hAnsi="Times New Roman" w:cs="Times New Roman"/>
          <w:sz w:val="28"/>
          <w:szCs w:val="28"/>
        </w:rPr>
        <w:t>in cui l’autore immagina che le persone vivono isolate accanto ad una macchina che provvede a tutti i loro bisogni.</w:t>
      </w:r>
      <w:r w:rsidR="00584B1D">
        <w:rPr>
          <w:rFonts w:ascii="Times New Roman" w:hAnsi="Times New Roman" w:cs="Times New Roman"/>
          <w:sz w:val="28"/>
          <w:szCs w:val="28"/>
        </w:rPr>
        <w:t xml:space="preserve"> </w:t>
      </w:r>
      <w:r w:rsidR="00AA5985">
        <w:rPr>
          <w:rFonts w:ascii="Times New Roman" w:hAnsi="Times New Roman" w:cs="Times New Roman"/>
          <w:sz w:val="28"/>
          <w:szCs w:val="28"/>
        </w:rPr>
        <w:t>Gli umani in tale racconto vivono connessi, pur rimanendo isolati, determinando in loro la paura delle esperienze dirette.</w:t>
      </w:r>
      <w:r w:rsidR="0099248B">
        <w:rPr>
          <w:rFonts w:ascii="Times New Roman" w:hAnsi="Times New Roman" w:cs="Times New Roman"/>
          <w:sz w:val="28"/>
          <w:szCs w:val="28"/>
        </w:rPr>
        <w:t xml:space="preserve"> </w:t>
      </w:r>
      <w:r w:rsidR="00AA5985">
        <w:rPr>
          <w:rFonts w:ascii="Times New Roman" w:hAnsi="Times New Roman" w:cs="Times New Roman"/>
          <w:sz w:val="28"/>
          <w:szCs w:val="28"/>
        </w:rPr>
        <w:t>Questo è il motivo per cui la tecnologia deve considerarsi “</w:t>
      </w:r>
      <w:proofErr w:type="spellStart"/>
      <w:r w:rsidR="00AA5985" w:rsidRPr="00AA5985">
        <w:rPr>
          <w:rFonts w:ascii="Times New Roman" w:hAnsi="Times New Roman" w:cs="Times New Roman"/>
          <w:i/>
          <w:iCs/>
          <w:sz w:val="28"/>
          <w:szCs w:val="28"/>
        </w:rPr>
        <w:t>as</w:t>
      </w:r>
      <w:proofErr w:type="spellEnd"/>
      <w:r w:rsidR="00AA5985" w:rsidRPr="00AA5985">
        <w:rPr>
          <w:rFonts w:ascii="Times New Roman" w:hAnsi="Times New Roman" w:cs="Times New Roman"/>
          <w:i/>
          <w:iCs/>
          <w:sz w:val="28"/>
          <w:szCs w:val="28"/>
        </w:rPr>
        <w:t xml:space="preserve"> a </w:t>
      </w:r>
      <w:proofErr w:type="spellStart"/>
      <w:r w:rsidR="00AA5985" w:rsidRPr="00AA5985">
        <w:rPr>
          <w:rFonts w:ascii="Times New Roman" w:hAnsi="Times New Roman" w:cs="Times New Roman"/>
          <w:i/>
          <w:iCs/>
          <w:sz w:val="28"/>
          <w:szCs w:val="28"/>
        </w:rPr>
        <w:t>tool</w:t>
      </w:r>
      <w:proofErr w:type="spellEnd"/>
      <w:r w:rsidR="00AA5985" w:rsidRPr="00AA5985">
        <w:rPr>
          <w:rFonts w:ascii="Times New Roman" w:hAnsi="Times New Roman" w:cs="Times New Roman"/>
          <w:i/>
          <w:iCs/>
          <w:sz w:val="28"/>
          <w:szCs w:val="28"/>
        </w:rPr>
        <w:t xml:space="preserve">, </w:t>
      </w:r>
      <w:proofErr w:type="spellStart"/>
      <w:r w:rsidR="00AA5985" w:rsidRPr="00AA5985">
        <w:rPr>
          <w:rFonts w:ascii="Times New Roman" w:hAnsi="Times New Roman" w:cs="Times New Roman"/>
          <w:i/>
          <w:iCs/>
          <w:sz w:val="28"/>
          <w:szCs w:val="28"/>
        </w:rPr>
        <w:t>not</w:t>
      </w:r>
      <w:proofErr w:type="spellEnd"/>
      <w:r w:rsidR="00AA5985" w:rsidRPr="00AA5985">
        <w:rPr>
          <w:rFonts w:ascii="Times New Roman" w:hAnsi="Times New Roman" w:cs="Times New Roman"/>
          <w:i/>
          <w:iCs/>
          <w:sz w:val="28"/>
          <w:szCs w:val="28"/>
        </w:rPr>
        <w:t xml:space="preserve"> a master</w:t>
      </w:r>
      <w:r w:rsidR="00AA5985" w:rsidRPr="00FE21B5">
        <w:rPr>
          <w:rFonts w:ascii="Times New Roman" w:hAnsi="Times New Roman" w:cs="Times New Roman"/>
          <w:sz w:val="28"/>
          <w:szCs w:val="28"/>
        </w:rPr>
        <w:t>”.</w:t>
      </w:r>
      <w:r w:rsidR="00AA5985">
        <w:rPr>
          <w:rFonts w:ascii="Times New Roman" w:hAnsi="Times New Roman" w:cs="Times New Roman"/>
          <w:sz w:val="28"/>
          <w:szCs w:val="28"/>
        </w:rPr>
        <w:t xml:space="preserve"> </w:t>
      </w:r>
    </w:p>
    <w:p w14:paraId="5F84287A" w14:textId="4EEB9979" w:rsidR="00C41E30" w:rsidRDefault="00AA5985" w:rsidP="00617630">
      <w:pPr>
        <w:spacing w:after="0"/>
        <w:jc w:val="both"/>
        <w:rPr>
          <w:rFonts w:ascii="Times New Roman" w:hAnsi="Times New Roman" w:cs="Times New Roman"/>
          <w:sz w:val="28"/>
          <w:szCs w:val="28"/>
        </w:rPr>
      </w:pPr>
      <w:r>
        <w:rPr>
          <w:rFonts w:ascii="Times New Roman" w:hAnsi="Times New Roman" w:cs="Times New Roman"/>
          <w:sz w:val="28"/>
          <w:szCs w:val="28"/>
        </w:rPr>
        <w:t>Ma dal punto di vista giuridico</w:t>
      </w:r>
      <w:r w:rsidR="00DF4B1B">
        <w:rPr>
          <w:rFonts w:ascii="Times New Roman" w:hAnsi="Times New Roman" w:cs="Times New Roman"/>
          <w:sz w:val="28"/>
          <w:szCs w:val="28"/>
        </w:rPr>
        <w:t>,</w:t>
      </w:r>
      <w:r>
        <w:rPr>
          <w:rFonts w:ascii="Times New Roman" w:hAnsi="Times New Roman" w:cs="Times New Roman"/>
          <w:sz w:val="28"/>
          <w:szCs w:val="28"/>
        </w:rPr>
        <w:t xml:space="preserve"> come deve considerarsi il rapporto uomo-macchina? </w:t>
      </w:r>
      <w:r w:rsidR="00BF1A2F">
        <w:rPr>
          <w:rFonts w:ascii="Times New Roman" w:hAnsi="Times New Roman" w:cs="Times New Roman"/>
          <w:sz w:val="28"/>
          <w:szCs w:val="28"/>
        </w:rPr>
        <w:t>Il</w:t>
      </w:r>
      <w:r>
        <w:rPr>
          <w:rFonts w:ascii="Times New Roman" w:hAnsi="Times New Roman" w:cs="Times New Roman"/>
          <w:sz w:val="28"/>
          <w:szCs w:val="28"/>
        </w:rPr>
        <w:t xml:space="preserve"> grande </w:t>
      </w:r>
      <w:r w:rsidRPr="00DF4B1B">
        <w:rPr>
          <w:rFonts w:ascii="Times New Roman" w:hAnsi="Times New Roman" w:cs="Times New Roman"/>
          <w:sz w:val="28"/>
          <w:szCs w:val="28"/>
        </w:rPr>
        <w:t xml:space="preserve">giurista </w:t>
      </w:r>
      <w:proofErr w:type="spellStart"/>
      <w:r w:rsidR="00E9630E" w:rsidRPr="00DF4B1B">
        <w:rPr>
          <w:rFonts w:ascii="Times New Roman" w:hAnsi="Times New Roman" w:cs="Times New Roman"/>
          <w:i/>
          <w:iCs/>
          <w:sz w:val="28"/>
          <w:szCs w:val="28"/>
        </w:rPr>
        <w:t>Gunther</w:t>
      </w:r>
      <w:proofErr w:type="spellEnd"/>
      <w:r w:rsidR="00E9630E" w:rsidRPr="00DF4B1B">
        <w:rPr>
          <w:rFonts w:ascii="Times New Roman" w:hAnsi="Times New Roman" w:cs="Times New Roman"/>
          <w:i/>
          <w:iCs/>
          <w:sz w:val="28"/>
          <w:szCs w:val="28"/>
        </w:rPr>
        <w:t xml:space="preserve"> </w:t>
      </w:r>
      <w:proofErr w:type="spellStart"/>
      <w:r w:rsidR="00E9630E" w:rsidRPr="00DF4B1B">
        <w:rPr>
          <w:rFonts w:ascii="Times New Roman" w:hAnsi="Times New Roman" w:cs="Times New Roman"/>
          <w:i/>
          <w:iCs/>
          <w:sz w:val="28"/>
          <w:szCs w:val="28"/>
        </w:rPr>
        <w:t>Teubner</w:t>
      </w:r>
      <w:proofErr w:type="spellEnd"/>
      <w:r w:rsidR="00E9630E" w:rsidRPr="00DF4B1B">
        <w:rPr>
          <w:rFonts w:ascii="Times New Roman" w:hAnsi="Times New Roman" w:cs="Times New Roman"/>
          <w:sz w:val="28"/>
          <w:szCs w:val="28"/>
        </w:rPr>
        <w:t xml:space="preserve"> </w:t>
      </w:r>
      <w:r w:rsidR="00081A13" w:rsidRPr="00DF4B1B">
        <w:rPr>
          <w:rFonts w:ascii="Times New Roman" w:hAnsi="Times New Roman" w:cs="Times New Roman"/>
          <w:sz w:val="28"/>
          <w:szCs w:val="28"/>
        </w:rPr>
        <w:t>ha</w:t>
      </w:r>
      <w:r w:rsidR="00DF4B1B">
        <w:rPr>
          <w:rFonts w:ascii="Times New Roman" w:hAnsi="Times New Roman" w:cs="Times New Roman"/>
          <w:sz w:val="28"/>
          <w:szCs w:val="28"/>
        </w:rPr>
        <w:t>,</w:t>
      </w:r>
      <w:r w:rsidR="00081A13" w:rsidRPr="00DF4B1B">
        <w:rPr>
          <w:rFonts w:ascii="Times New Roman" w:hAnsi="Times New Roman" w:cs="Times New Roman"/>
          <w:sz w:val="28"/>
          <w:szCs w:val="28"/>
        </w:rPr>
        <w:t xml:space="preserve"> per</w:t>
      </w:r>
      <w:r w:rsidR="00081A13">
        <w:rPr>
          <w:rFonts w:ascii="Times New Roman" w:hAnsi="Times New Roman" w:cs="Times New Roman"/>
          <w:sz w:val="28"/>
          <w:szCs w:val="28"/>
        </w:rPr>
        <w:t xml:space="preserve"> primo</w:t>
      </w:r>
      <w:r w:rsidR="00DF4B1B">
        <w:rPr>
          <w:rFonts w:ascii="Times New Roman" w:hAnsi="Times New Roman" w:cs="Times New Roman"/>
          <w:sz w:val="28"/>
          <w:szCs w:val="28"/>
        </w:rPr>
        <w:t>,</w:t>
      </w:r>
      <w:r w:rsidR="00081A13">
        <w:rPr>
          <w:rFonts w:ascii="Times New Roman" w:hAnsi="Times New Roman" w:cs="Times New Roman"/>
          <w:sz w:val="28"/>
          <w:szCs w:val="28"/>
        </w:rPr>
        <w:t xml:space="preserve"> affrontato il tema dell’algoritmo e degli agenti digitali autonomi, ossia di quelli che possono elaborare e prendere decisioni indipendentemente dal produttore e dall’utilizzatore del programma. Secondo tale autore</w:t>
      </w:r>
      <w:r w:rsidR="00DF4B1B">
        <w:rPr>
          <w:rFonts w:ascii="Times New Roman" w:hAnsi="Times New Roman" w:cs="Times New Roman"/>
          <w:sz w:val="28"/>
          <w:szCs w:val="28"/>
        </w:rPr>
        <w:t>,</w:t>
      </w:r>
      <w:r w:rsidR="00081A13">
        <w:rPr>
          <w:rFonts w:ascii="Times New Roman" w:hAnsi="Times New Roman" w:cs="Times New Roman"/>
          <w:sz w:val="28"/>
          <w:szCs w:val="28"/>
        </w:rPr>
        <w:t xml:space="preserve"> occorre analizzare il rapporto che si instaura tra l’uomo e il </w:t>
      </w:r>
      <w:r w:rsidR="00081A13" w:rsidRPr="00BF1A2F">
        <w:rPr>
          <w:rFonts w:ascii="Times New Roman" w:hAnsi="Times New Roman" w:cs="Times New Roman"/>
          <w:i/>
          <w:iCs/>
          <w:sz w:val="28"/>
          <w:szCs w:val="28"/>
        </w:rPr>
        <w:t>software</w:t>
      </w:r>
      <w:r w:rsidR="00081A13">
        <w:rPr>
          <w:rFonts w:ascii="Times New Roman" w:hAnsi="Times New Roman" w:cs="Times New Roman"/>
          <w:sz w:val="28"/>
          <w:szCs w:val="28"/>
        </w:rPr>
        <w:t xml:space="preserve"> utilizzato, nonché la distribuzione della responsabilità per danni cagionati nella sfera giuridica di coloro i quali hanno fatto affidamento incolpevole sulla dichiarazione dell’agente digitale autonomo, soprattutto se si tiene conto della prevalenza nel sistema della teoria oggettiva della dichiarazione di volontà.</w:t>
      </w:r>
      <w:r w:rsidR="00330771">
        <w:rPr>
          <w:rFonts w:ascii="Times New Roman" w:hAnsi="Times New Roman" w:cs="Times New Roman"/>
          <w:sz w:val="28"/>
          <w:szCs w:val="28"/>
        </w:rPr>
        <w:t xml:space="preserve"> </w:t>
      </w:r>
      <w:r w:rsidR="00081A13">
        <w:rPr>
          <w:rFonts w:ascii="Times New Roman" w:hAnsi="Times New Roman" w:cs="Times New Roman"/>
          <w:sz w:val="28"/>
          <w:szCs w:val="28"/>
        </w:rPr>
        <w:t xml:space="preserve">L’assistente digitale è diventato sempre meno un semplice </w:t>
      </w:r>
      <w:proofErr w:type="spellStart"/>
      <w:r w:rsidR="00081A13" w:rsidRPr="00081A13">
        <w:rPr>
          <w:rFonts w:ascii="Times New Roman" w:hAnsi="Times New Roman" w:cs="Times New Roman"/>
          <w:i/>
          <w:iCs/>
          <w:sz w:val="28"/>
          <w:szCs w:val="28"/>
        </w:rPr>
        <w:t>nuncius</w:t>
      </w:r>
      <w:proofErr w:type="spellEnd"/>
      <w:r w:rsidR="00081A13">
        <w:rPr>
          <w:rFonts w:ascii="Times New Roman" w:hAnsi="Times New Roman" w:cs="Times New Roman"/>
          <w:sz w:val="28"/>
          <w:szCs w:val="28"/>
        </w:rPr>
        <w:t xml:space="preserve"> della volontà della persona fisica. E</w:t>
      </w:r>
      <w:r w:rsidR="00FD059B">
        <w:rPr>
          <w:rFonts w:ascii="Times New Roman" w:hAnsi="Times New Roman" w:cs="Times New Roman"/>
          <w:sz w:val="28"/>
          <w:szCs w:val="28"/>
        </w:rPr>
        <w:t>,</w:t>
      </w:r>
      <w:r w:rsidR="00081A13">
        <w:rPr>
          <w:rFonts w:ascii="Times New Roman" w:hAnsi="Times New Roman" w:cs="Times New Roman"/>
          <w:sz w:val="28"/>
          <w:szCs w:val="28"/>
        </w:rPr>
        <w:t xml:space="preserve"> sicuramente</w:t>
      </w:r>
      <w:r w:rsidR="00FD059B">
        <w:rPr>
          <w:rFonts w:ascii="Times New Roman" w:hAnsi="Times New Roman" w:cs="Times New Roman"/>
          <w:sz w:val="28"/>
          <w:szCs w:val="28"/>
        </w:rPr>
        <w:t>,</w:t>
      </w:r>
      <w:r w:rsidR="00081A13">
        <w:rPr>
          <w:rFonts w:ascii="Times New Roman" w:hAnsi="Times New Roman" w:cs="Times New Roman"/>
          <w:sz w:val="28"/>
          <w:szCs w:val="28"/>
        </w:rPr>
        <w:t xml:space="preserve"> non è tale quando è capace di prendere decisioni autonome </w:t>
      </w:r>
      <w:r w:rsidR="003A4A3A">
        <w:rPr>
          <w:rFonts w:ascii="Times New Roman" w:hAnsi="Times New Roman" w:cs="Times New Roman"/>
          <w:sz w:val="28"/>
          <w:szCs w:val="28"/>
        </w:rPr>
        <w:t>e</w:t>
      </w:r>
      <w:r w:rsidR="00DF4B1B">
        <w:rPr>
          <w:rFonts w:ascii="Times New Roman" w:hAnsi="Times New Roman" w:cs="Times New Roman"/>
          <w:sz w:val="28"/>
          <w:szCs w:val="28"/>
        </w:rPr>
        <w:t>,</w:t>
      </w:r>
      <w:r w:rsidR="00081A13">
        <w:rPr>
          <w:rFonts w:ascii="Times New Roman" w:hAnsi="Times New Roman" w:cs="Times New Roman"/>
          <w:sz w:val="28"/>
          <w:szCs w:val="28"/>
        </w:rPr>
        <w:t xml:space="preserve"> in quanto tale</w:t>
      </w:r>
      <w:r w:rsidR="00DF4B1B">
        <w:rPr>
          <w:rFonts w:ascii="Times New Roman" w:hAnsi="Times New Roman" w:cs="Times New Roman"/>
          <w:sz w:val="28"/>
          <w:szCs w:val="28"/>
        </w:rPr>
        <w:t>,</w:t>
      </w:r>
      <w:r w:rsidR="00081A13">
        <w:rPr>
          <w:rFonts w:ascii="Times New Roman" w:hAnsi="Times New Roman" w:cs="Times New Roman"/>
          <w:sz w:val="28"/>
          <w:szCs w:val="28"/>
        </w:rPr>
        <w:t xml:space="preserve"> causare danni a terzi. Le categorie che vengono in rilievo sono chiaramente la rappresentanza e il rapporto associativo uomo/macchina.</w:t>
      </w:r>
      <w:r w:rsidR="00584B1D">
        <w:rPr>
          <w:rFonts w:ascii="Times New Roman" w:hAnsi="Times New Roman" w:cs="Times New Roman"/>
          <w:sz w:val="28"/>
          <w:szCs w:val="28"/>
        </w:rPr>
        <w:t xml:space="preserve"> </w:t>
      </w:r>
      <w:r w:rsidR="00E77158">
        <w:rPr>
          <w:rFonts w:ascii="Times New Roman" w:hAnsi="Times New Roman" w:cs="Times New Roman"/>
          <w:sz w:val="28"/>
          <w:szCs w:val="28"/>
        </w:rPr>
        <w:t>O</w:t>
      </w:r>
      <w:r w:rsidR="00A71E2A">
        <w:rPr>
          <w:rFonts w:ascii="Times New Roman" w:hAnsi="Times New Roman" w:cs="Times New Roman"/>
          <w:sz w:val="28"/>
          <w:szCs w:val="28"/>
        </w:rPr>
        <w:t>ccorrerà soffermarsi sul nuovo concetto di informazione</w:t>
      </w:r>
      <w:r w:rsidR="00BF1A2F">
        <w:rPr>
          <w:rFonts w:ascii="Times New Roman" w:hAnsi="Times New Roman" w:cs="Times New Roman"/>
          <w:sz w:val="28"/>
          <w:szCs w:val="28"/>
        </w:rPr>
        <w:t>,</w:t>
      </w:r>
      <w:r w:rsidR="00A71E2A">
        <w:rPr>
          <w:rFonts w:ascii="Times New Roman" w:hAnsi="Times New Roman" w:cs="Times New Roman"/>
          <w:sz w:val="28"/>
          <w:szCs w:val="28"/>
        </w:rPr>
        <w:t xml:space="preserve"> sempre più alterata non solo dalle c</w:t>
      </w:r>
      <w:r w:rsidR="00FE21B5">
        <w:rPr>
          <w:rFonts w:ascii="Times New Roman" w:hAnsi="Times New Roman" w:cs="Times New Roman"/>
          <w:sz w:val="28"/>
          <w:szCs w:val="28"/>
        </w:rPr>
        <w:t>.</w:t>
      </w:r>
      <w:r w:rsidR="00A71E2A">
        <w:rPr>
          <w:rFonts w:ascii="Times New Roman" w:hAnsi="Times New Roman" w:cs="Times New Roman"/>
          <w:sz w:val="28"/>
          <w:szCs w:val="28"/>
        </w:rPr>
        <w:t>d</w:t>
      </w:r>
      <w:r w:rsidR="00FE21B5">
        <w:rPr>
          <w:rFonts w:ascii="Times New Roman" w:hAnsi="Times New Roman" w:cs="Times New Roman"/>
          <w:sz w:val="28"/>
          <w:szCs w:val="28"/>
        </w:rPr>
        <w:t>.</w:t>
      </w:r>
      <w:r w:rsidR="00A71E2A">
        <w:rPr>
          <w:rFonts w:ascii="Times New Roman" w:hAnsi="Times New Roman" w:cs="Times New Roman"/>
          <w:sz w:val="28"/>
          <w:szCs w:val="28"/>
        </w:rPr>
        <w:t xml:space="preserve"> </w:t>
      </w:r>
      <w:proofErr w:type="spellStart"/>
      <w:r w:rsidR="00A71E2A" w:rsidRPr="00D358CA">
        <w:rPr>
          <w:rFonts w:ascii="Times New Roman" w:hAnsi="Times New Roman" w:cs="Times New Roman"/>
          <w:i/>
          <w:iCs/>
          <w:sz w:val="28"/>
          <w:szCs w:val="28"/>
        </w:rPr>
        <w:t>fake</w:t>
      </w:r>
      <w:proofErr w:type="spellEnd"/>
      <w:r w:rsidR="00A71E2A" w:rsidRPr="00D358CA">
        <w:rPr>
          <w:rFonts w:ascii="Times New Roman" w:hAnsi="Times New Roman" w:cs="Times New Roman"/>
          <w:i/>
          <w:iCs/>
          <w:sz w:val="28"/>
          <w:szCs w:val="28"/>
        </w:rPr>
        <w:t xml:space="preserve"> news</w:t>
      </w:r>
      <w:r w:rsidR="00A71E2A">
        <w:rPr>
          <w:rFonts w:ascii="Times New Roman" w:hAnsi="Times New Roman" w:cs="Times New Roman"/>
          <w:sz w:val="28"/>
          <w:szCs w:val="28"/>
        </w:rPr>
        <w:t xml:space="preserve">, ma dalla </w:t>
      </w:r>
      <w:r w:rsidR="00A71E2A" w:rsidRPr="00FE21B5">
        <w:rPr>
          <w:rFonts w:ascii="Times New Roman" w:hAnsi="Times New Roman" w:cs="Times New Roman"/>
          <w:sz w:val="28"/>
          <w:szCs w:val="28"/>
        </w:rPr>
        <w:t>c</w:t>
      </w:r>
      <w:r w:rsidR="00FE21B5" w:rsidRPr="00FE21B5">
        <w:rPr>
          <w:rFonts w:ascii="Times New Roman" w:hAnsi="Times New Roman" w:cs="Times New Roman"/>
          <w:sz w:val="28"/>
          <w:szCs w:val="28"/>
        </w:rPr>
        <w:t>.</w:t>
      </w:r>
      <w:r w:rsidR="00A71E2A" w:rsidRPr="00FE21B5">
        <w:rPr>
          <w:rFonts w:ascii="Times New Roman" w:hAnsi="Times New Roman" w:cs="Times New Roman"/>
          <w:sz w:val="28"/>
          <w:szCs w:val="28"/>
        </w:rPr>
        <w:t>d</w:t>
      </w:r>
      <w:r w:rsidR="00FE21B5" w:rsidRPr="00FE21B5">
        <w:rPr>
          <w:rFonts w:ascii="Times New Roman" w:hAnsi="Times New Roman" w:cs="Times New Roman"/>
          <w:sz w:val="28"/>
          <w:szCs w:val="28"/>
        </w:rPr>
        <w:t>.</w:t>
      </w:r>
      <w:r w:rsidR="00A71E2A" w:rsidRPr="00A71E2A">
        <w:rPr>
          <w:rFonts w:ascii="Times New Roman" w:hAnsi="Times New Roman" w:cs="Times New Roman"/>
          <w:b/>
          <w:bCs/>
          <w:sz w:val="28"/>
          <w:szCs w:val="28"/>
        </w:rPr>
        <w:t xml:space="preserve"> </w:t>
      </w:r>
      <w:r w:rsidR="00A71E2A" w:rsidRPr="00A6441A">
        <w:rPr>
          <w:rFonts w:ascii="Times New Roman" w:hAnsi="Times New Roman" w:cs="Times New Roman"/>
          <w:sz w:val="28"/>
          <w:szCs w:val="28"/>
        </w:rPr>
        <w:t>“</w:t>
      </w:r>
      <w:r w:rsidR="002E2ABE" w:rsidRPr="00A6441A">
        <w:rPr>
          <w:rFonts w:ascii="Times New Roman" w:hAnsi="Times New Roman" w:cs="Times New Roman"/>
          <w:i/>
          <w:iCs/>
          <w:sz w:val="28"/>
          <w:szCs w:val="28"/>
        </w:rPr>
        <w:t>information</w:t>
      </w:r>
      <w:r w:rsidR="00A71E2A" w:rsidRPr="00A6441A">
        <w:rPr>
          <w:rFonts w:ascii="Times New Roman" w:hAnsi="Times New Roman" w:cs="Times New Roman"/>
          <w:i/>
          <w:iCs/>
          <w:sz w:val="28"/>
          <w:szCs w:val="28"/>
        </w:rPr>
        <w:t xml:space="preserve"> </w:t>
      </w:r>
      <w:proofErr w:type="spellStart"/>
      <w:r w:rsidR="002E2ABE" w:rsidRPr="00A6441A">
        <w:rPr>
          <w:rFonts w:ascii="Times New Roman" w:hAnsi="Times New Roman" w:cs="Times New Roman"/>
          <w:i/>
          <w:iCs/>
          <w:sz w:val="28"/>
          <w:szCs w:val="28"/>
        </w:rPr>
        <w:t>pollution</w:t>
      </w:r>
      <w:proofErr w:type="spellEnd"/>
      <w:r w:rsidR="00584B1D" w:rsidRPr="00A6441A">
        <w:rPr>
          <w:rFonts w:ascii="Times New Roman" w:hAnsi="Times New Roman" w:cs="Times New Roman"/>
          <w:sz w:val="28"/>
          <w:szCs w:val="28"/>
        </w:rPr>
        <w:t>”</w:t>
      </w:r>
      <w:r w:rsidR="00A71E2A" w:rsidRPr="00A6441A">
        <w:rPr>
          <w:rFonts w:ascii="Times New Roman" w:hAnsi="Times New Roman" w:cs="Times New Roman"/>
          <w:sz w:val="28"/>
          <w:szCs w:val="28"/>
        </w:rPr>
        <w:t>,</w:t>
      </w:r>
      <w:r w:rsidR="00A71E2A" w:rsidRPr="00FE21B5">
        <w:rPr>
          <w:rFonts w:ascii="Times New Roman" w:hAnsi="Times New Roman" w:cs="Times New Roman"/>
          <w:sz w:val="28"/>
          <w:szCs w:val="28"/>
        </w:rPr>
        <w:t xml:space="preserve"> </w:t>
      </w:r>
      <w:r w:rsidR="00A71E2A" w:rsidRPr="00A71E2A">
        <w:rPr>
          <w:rFonts w:ascii="Times New Roman" w:hAnsi="Times New Roman" w:cs="Times New Roman"/>
          <w:sz w:val="28"/>
          <w:szCs w:val="28"/>
        </w:rPr>
        <w:t>ossia dall’inquina</w:t>
      </w:r>
      <w:r w:rsidR="00A71E2A">
        <w:rPr>
          <w:rFonts w:ascii="Times New Roman" w:hAnsi="Times New Roman" w:cs="Times New Roman"/>
          <w:sz w:val="28"/>
          <w:szCs w:val="28"/>
        </w:rPr>
        <w:t xml:space="preserve">mento delle informazioni. </w:t>
      </w:r>
      <w:r w:rsidR="00AF09A1">
        <w:rPr>
          <w:rFonts w:ascii="Times New Roman" w:hAnsi="Times New Roman" w:cs="Times New Roman"/>
          <w:sz w:val="28"/>
          <w:szCs w:val="28"/>
        </w:rPr>
        <w:t xml:space="preserve">Tale </w:t>
      </w:r>
      <w:r w:rsidR="00584B1D">
        <w:rPr>
          <w:rFonts w:ascii="Times New Roman" w:hAnsi="Times New Roman" w:cs="Times New Roman"/>
          <w:sz w:val="28"/>
          <w:szCs w:val="28"/>
        </w:rPr>
        <w:t>concetto si</w:t>
      </w:r>
      <w:r w:rsidR="00A71E2A">
        <w:rPr>
          <w:rFonts w:ascii="Times New Roman" w:hAnsi="Times New Roman" w:cs="Times New Roman"/>
          <w:sz w:val="28"/>
          <w:szCs w:val="28"/>
        </w:rPr>
        <w:t xml:space="preserve"> </w:t>
      </w:r>
      <w:r w:rsidR="00A71E2A">
        <w:rPr>
          <w:rFonts w:ascii="Times New Roman" w:hAnsi="Times New Roman" w:cs="Times New Roman"/>
          <w:sz w:val="28"/>
          <w:szCs w:val="28"/>
        </w:rPr>
        <w:lastRenderedPageBreak/>
        <w:t>declina nei fenomeni di</w:t>
      </w:r>
      <w:r w:rsidR="00FE21B5">
        <w:rPr>
          <w:rFonts w:ascii="Times New Roman" w:hAnsi="Times New Roman" w:cs="Times New Roman"/>
          <w:sz w:val="28"/>
          <w:szCs w:val="28"/>
        </w:rPr>
        <w:t xml:space="preserve"> </w:t>
      </w:r>
      <w:proofErr w:type="spellStart"/>
      <w:r w:rsidR="00A71E2A" w:rsidRPr="00A71E2A">
        <w:rPr>
          <w:rFonts w:ascii="Times New Roman" w:hAnsi="Times New Roman" w:cs="Times New Roman"/>
          <w:i/>
          <w:iCs/>
          <w:sz w:val="28"/>
          <w:szCs w:val="28"/>
        </w:rPr>
        <w:t>clickbait</w:t>
      </w:r>
      <w:proofErr w:type="spellEnd"/>
      <w:r w:rsidR="00A71E2A" w:rsidRPr="00A71E2A">
        <w:rPr>
          <w:rFonts w:ascii="Times New Roman" w:hAnsi="Times New Roman" w:cs="Times New Roman"/>
          <w:i/>
          <w:iCs/>
          <w:sz w:val="28"/>
          <w:szCs w:val="28"/>
        </w:rPr>
        <w:t xml:space="preserve">, </w:t>
      </w:r>
      <w:proofErr w:type="spellStart"/>
      <w:r w:rsidR="00A71E2A" w:rsidRPr="00A71E2A">
        <w:rPr>
          <w:rFonts w:ascii="Times New Roman" w:hAnsi="Times New Roman" w:cs="Times New Roman"/>
          <w:i/>
          <w:iCs/>
          <w:sz w:val="28"/>
          <w:szCs w:val="28"/>
        </w:rPr>
        <w:t>sloppy</w:t>
      </w:r>
      <w:proofErr w:type="spellEnd"/>
      <w:r w:rsidR="00A71E2A" w:rsidRPr="00A71E2A">
        <w:rPr>
          <w:rFonts w:ascii="Times New Roman" w:hAnsi="Times New Roman" w:cs="Times New Roman"/>
          <w:i/>
          <w:iCs/>
          <w:sz w:val="28"/>
          <w:szCs w:val="28"/>
        </w:rPr>
        <w:t xml:space="preserve"> </w:t>
      </w:r>
      <w:proofErr w:type="spellStart"/>
      <w:r w:rsidR="00A71E2A" w:rsidRPr="00A71E2A">
        <w:rPr>
          <w:rFonts w:ascii="Times New Roman" w:hAnsi="Times New Roman" w:cs="Times New Roman"/>
          <w:i/>
          <w:iCs/>
          <w:sz w:val="28"/>
          <w:szCs w:val="28"/>
        </w:rPr>
        <w:t>journalism</w:t>
      </w:r>
      <w:proofErr w:type="spellEnd"/>
      <w:r w:rsidR="00584B1D">
        <w:rPr>
          <w:rFonts w:ascii="Times New Roman" w:hAnsi="Times New Roman" w:cs="Times New Roman"/>
          <w:i/>
          <w:iCs/>
          <w:sz w:val="28"/>
          <w:szCs w:val="28"/>
        </w:rPr>
        <w:t xml:space="preserve">, </w:t>
      </w:r>
      <w:proofErr w:type="spellStart"/>
      <w:r w:rsidR="00A71E2A" w:rsidRPr="00A71E2A">
        <w:rPr>
          <w:rFonts w:ascii="Times New Roman" w:hAnsi="Times New Roman" w:cs="Times New Roman"/>
          <w:i/>
          <w:iCs/>
          <w:sz w:val="28"/>
          <w:szCs w:val="28"/>
        </w:rPr>
        <w:t>misleading</w:t>
      </w:r>
      <w:proofErr w:type="spellEnd"/>
      <w:r w:rsidR="00A71E2A" w:rsidRPr="00A71E2A">
        <w:rPr>
          <w:rFonts w:ascii="Times New Roman" w:hAnsi="Times New Roman" w:cs="Times New Roman"/>
          <w:i/>
          <w:iCs/>
          <w:sz w:val="28"/>
          <w:szCs w:val="28"/>
        </w:rPr>
        <w:t xml:space="preserve"> </w:t>
      </w:r>
      <w:proofErr w:type="spellStart"/>
      <w:r w:rsidR="00A71E2A" w:rsidRPr="00A71E2A">
        <w:rPr>
          <w:rFonts w:ascii="Times New Roman" w:hAnsi="Times New Roman" w:cs="Times New Roman"/>
          <w:i/>
          <w:iCs/>
          <w:sz w:val="28"/>
          <w:szCs w:val="28"/>
        </w:rPr>
        <w:t>headings</w:t>
      </w:r>
      <w:proofErr w:type="spellEnd"/>
      <w:r w:rsidR="00A71E2A" w:rsidRPr="00A71E2A">
        <w:rPr>
          <w:rFonts w:ascii="Times New Roman" w:hAnsi="Times New Roman" w:cs="Times New Roman"/>
          <w:i/>
          <w:iCs/>
          <w:sz w:val="28"/>
          <w:szCs w:val="28"/>
        </w:rPr>
        <w:t xml:space="preserve">, </w:t>
      </w:r>
      <w:proofErr w:type="spellStart"/>
      <w:r w:rsidR="00A71E2A" w:rsidRPr="00A71E2A">
        <w:rPr>
          <w:rFonts w:ascii="Times New Roman" w:hAnsi="Times New Roman" w:cs="Times New Roman"/>
          <w:i/>
          <w:iCs/>
          <w:sz w:val="28"/>
          <w:szCs w:val="28"/>
        </w:rPr>
        <w:t>biased</w:t>
      </w:r>
      <w:proofErr w:type="spellEnd"/>
      <w:r w:rsidR="00A71E2A" w:rsidRPr="00A71E2A">
        <w:rPr>
          <w:rFonts w:ascii="Times New Roman" w:hAnsi="Times New Roman" w:cs="Times New Roman"/>
          <w:i/>
          <w:iCs/>
          <w:sz w:val="28"/>
          <w:szCs w:val="28"/>
        </w:rPr>
        <w:t xml:space="preserve"> news and </w:t>
      </w:r>
      <w:proofErr w:type="spellStart"/>
      <w:r w:rsidR="00A71E2A" w:rsidRPr="00A71E2A">
        <w:rPr>
          <w:rFonts w:ascii="Times New Roman" w:hAnsi="Times New Roman" w:cs="Times New Roman"/>
          <w:i/>
          <w:iCs/>
          <w:sz w:val="28"/>
          <w:szCs w:val="28"/>
        </w:rPr>
        <w:t>filter</w:t>
      </w:r>
      <w:proofErr w:type="spellEnd"/>
      <w:r w:rsidR="00A71E2A" w:rsidRPr="00A71E2A">
        <w:rPr>
          <w:rFonts w:ascii="Times New Roman" w:hAnsi="Times New Roman" w:cs="Times New Roman"/>
          <w:i/>
          <w:iCs/>
          <w:sz w:val="28"/>
          <w:szCs w:val="28"/>
        </w:rPr>
        <w:t xml:space="preserve"> </w:t>
      </w:r>
      <w:proofErr w:type="spellStart"/>
      <w:r w:rsidR="00A71E2A" w:rsidRPr="00A71E2A">
        <w:rPr>
          <w:rFonts w:ascii="Times New Roman" w:hAnsi="Times New Roman" w:cs="Times New Roman"/>
          <w:i/>
          <w:iCs/>
          <w:sz w:val="28"/>
          <w:szCs w:val="28"/>
        </w:rPr>
        <w:t>bubble</w:t>
      </w:r>
      <w:proofErr w:type="spellEnd"/>
      <w:r w:rsidR="00A71E2A" w:rsidRPr="00A71E2A">
        <w:rPr>
          <w:rFonts w:ascii="Times New Roman" w:hAnsi="Times New Roman" w:cs="Times New Roman"/>
          <w:i/>
          <w:iCs/>
          <w:sz w:val="28"/>
          <w:szCs w:val="28"/>
        </w:rPr>
        <w:t>.</w:t>
      </w:r>
      <w:r w:rsidR="00A71E2A">
        <w:rPr>
          <w:rFonts w:ascii="Times New Roman" w:hAnsi="Times New Roman" w:cs="Times New Roman"/>
          <w:sz w:val="28"/>
          <w:szCs w:val="28"/>
        </w:rPr>
        <w:t xml:space="preserve"> Sono tutti processi che contengono notizie false</w:t>
      </w:r>
      <w:r w:rsidR="00FD059B">
        <w:rPr>
          <w:rFonts w:ascii="Times New Roman" w:hAnsi="Times New Roman" w:cs="Times New Roman"/>
          <w:sz w:val="28"/>
          <w:szCs w:val="28"/>
        </w:rPr>
        <w:t xml:space="preserve">, </w:t>
      </w:r>
      <w:r w:rsidR="00A71E2A">
        <w:rPr>
          <w:rFonts w:ascii="Times New Roman" w:hAnsi="Times New Roman" w:cs="Times New Roman"/>
          <w:sz w:val="28"/>
          <w:szCs w:val="28"/>
        </w:rPr>
        <w:t xml:space="preserve">notizie manipolate o </w:t>
      </w:r>
      <w:r w:rsidR="00584B1D">
        <w:rPr>
          <w:rFonts w:ascii="Times New Roman" w:hAnsi="Times New Roman" w:cs="Times New Roman"/>
          <w:sz w:val="28"/>
          <w:szCs w:val="28"/>
        </w:rPr>
        <w:t>informazioni modellate</w:t>
      </w:r>
      <w:r w:rsidR="00A71E2A">
        <w:rPr>
          <w:rFonts w:ascii="Times New Roman" w:hAnsi="Times New Roman" w:cs="Times New Roman"/>
          <w:sz w:val="28"/>
          <w:szCs w:val="28"/>
        </w:rPr>
        <w:t xml:space="preserve"> </w:t>
      </w:r>
      <w:r w:rsidR="00584B1D">
        <w:rPr>
          <w:rFonts w:ascii="Times New Roman" w:hAnsi="Times New Roman" w:cs="Times New Roman"/>
          <w:sz w:val="28"/>
          <w:szCs w:val="28"/>
        </w:rPr>
        <w:t xml:space="preserve">su </w:t>
      </w:r>
      <w:proofErr w:type="spellStart"/>
      <w:r w:rsidR="00584B1D">
        <w:rPr>
          <w:rFonts w:ascii="Times New Roman" w:hAnsi="Times New Roman" w:cs="Times New Roman"/>
          <w:sz w:val="28"/>
          <w:szCs w:val="28"/>
        </w:rPr>
        <w:t>profilazioni</w:t>
      </w:r>
      <w:proofErr w:type="spellEnd"/>
      <w:r w:rsidR="00A71E2A">
        <w:rPr>
          <w:rFonts w:ascii="Times New Roman" w:hAnsi="Times New Roman" w:cs="Times New Roman"/>
          <w:sz w:val="28"/>
          <w:szCs w:val="28"/>
        </w:rPr>
        <w:t xml:space="preserve"> del soggetto che effettua delle ricerche sul web</w:t>
      </w:r>
      <w:r w:rsidR="00FD059B">
        <w:rPr>
          <w:rFonts w:ascii="Times New Roman" w:hAnsi="Times New Roman" w:cs="Times New Roman"/>
          <w:sz w:val="28"/>
          <w:szCs w:val="28"/>
        </w:rPr>
        <w:t>,</w:t>
      </w:r>
      <w:r w:rsidR="00A71E2A">
        <w:rPr>
          <w:rFonts w:ascii="Times New Roman" w:hAnsi="Times New Roman" w:cs="Times New Roman"/>
          <w:sz w:val="28"/>
          <w:szCs w:val="28"/>
        </w:rPr>
        <w:t xml:space="preserve"> riuscendo a trovare le informazioni sempre più corrispondenti alla propria formazione culturale e ai propri interessi</w:t>
      </w:r>
      <w:r w:rsidR="00FD059B">
        <w:rPr>
          <w:rFonts w:ascii="Times New Roman" w:hAnsi="Times New Roman" w:cs="Times New Roman"/>
          <w:sz w:val="28"/>
          <w:szCs w:val="28"/>
        </w:rPr>
        <w:t xml:space="preserve">, </w:t>
      </w:r>
      <w:r w:rsidR="00A71E2A">
        <w:rPr>
          <w:rFonts w:ascii="Times New Roman" w:hAnsi="Times New Roman" w:cs="Times New Roman"/>
          <w:sz w:val="28"/>
          <w:szCs w:val="28"/>
        </w:rPr>
        <w:t>con una selezione subdola di dati che avviene a sua insaputa.</w:t>
      </w:r>
      <w:r w:rsidR="009A3C67">
        <w:rPr>
          <w:rFonts w:ascii="Times New Roman" w:hAnsi="Times New Roman" w:cs="Times New Roman"/>
          <w:sz w:val="28"/>
          <w:szCs w:val="28"/>
        </w:rPr>
        <w:t xml:space="preserve"> Siamo in una dimensione bel lontana dalla </w:t>
      </w:r>
      <w:proofErr w:type="spellStart"/>
      <w:r w:rsidR="009A3C67" w:rsidRPr="00AF09A1">
        <w:rPr>
          <w:rFonts w:ascii="Times New Roman" w:hAnsi="Times New Roman" w:cs="Times New Roman"/>
          <w:i/>
          <w:iCs/>
          <w:sz w:val="28"/>
          <w:szCs w:val="28"/>
        </w:rPr>
        <w:t>parres</w:t>
      </w:r>
      <w:r w:rsidR="00AF09A1">
        <w:rPr>
          <w:rFonts w:ascii="Times New Roman" w:hAnsi="Times New Roman" w:cs="Times New Roman"/>
          <w:i/>
          <w:iCs/>
          <w:sz w:val="28"/>
          <w:szCs w:val="28"/>
        </w:rPr>
        <w:t>ì</w:t>
      </w:r>
      <w:r w:rsidR="009A3C67" w:rsidRPr="00AF09A1">
        <w:rPr>
          <w:rFonts w:ascii="Times New Roman" w:hAnsi="Times New Roman" w:cs="Times New Roman"/>
          <w:i/>
          <w:iCs/>
          <w:sz w:val="28"/>
          <w:szCs w:val="28"/>
        </w:rPr>
        <w:t>a</w:t>
      </w:r>
      <w:proofErr w:type="spellEnd"/>
      <w:r w:rsidR="009A3C67">
        <w:rPr>
          <w:rFonts w:ascii="Times New Roman" w:hAnsi="Times New Roman" w:cs="Times New Roman"/>
          <w:sz w:val="28"/>
          <w:szCs w:val="28"/>
        </w:rPr>
        <w:t>, ossia d</w:t>
      </w:r>
      <w:r w:rsidR="00FD059B">
        <w:rPr>
          <w:rFonts w:ascii="Times New Roman" w:hAnsi="Times New Roman" w:cs="Times New Roman"/>
          <w:sz w:val="28"/>
          <w:szCs w:val="28"/>
        </w:rPr>
        <w:t>a</w:t>
      </w:r>
      <w:r w:rsidR="009A3C67">
        <w:rPr>
          <w:rFonts w:ascii="Times New Roman" w:hAnsi="Times New Roman" w:cs="Times New Roman"/>
          <w:sz w:val="28"/>
          <w:szCs w:val="28"/>
        </w:rPr>
        <w:t xml:space="preserve">lla verità di cui parlavano i greci nel sistema democratico della </w:t>
      </w:r>
      <w:r w:rsidR="009A3C67" w:rsidRPr="00FE21B5">
        <w:rPr>
          <w:rFonts w:ascii="Times New Roman" w:hAnsi="Times New Roman" w:cs="Times New Roman"/>
          <w:i/>
          <w:iCs/>
          <w:sz w:val="28"/>
          <w:szCs w:val="28"/>
        </w:rPr>
        <w:t>polis</w:t>
      </w:r>
      <w:r w:rsidR="009A3C67">
        <w:rPr>
          <w:rFonts w:ascii="Times New Roman" w:hAnsi="Times New Roman" w:cs="Times New Roman"/>
          <w:sz w:val="28"/>
          <w:szCs w:val="28"/>
        </w:rPr>
        <w:t>.</w:t>
      </w:r>
    </w:p>
    <w:p w14:paraId="0AE3BDA7" w14:textId="77777777" w:rsidR="00FD059B" w:rsidRDefault="00FD059B" w:rsidP="00617630">
      <w:pPr>
        <w:spacing w:after="0"/>
        <w:jc w:val="both"/>
        <w:rPr>
          <w:rFonts w:ascii="Times New Roman" w:hAnsi="Times New Roman" w:cs="Times New Roman"/>
          <w:sz w:val="28"/>
          <w:szCs w:val="28"/>
        </w:rPr>
      </w:pPr>
    </w:p>
    <w:p w14:paraId="523B8B22" w14:textId="6D1AB327" w:rsidR="00741057" w:rsidRDefault="002E2ABE" w:rsidP="004E38E8">
      <w:pPr>
        <w:jc w:val="both"/>
        <w:rPr>
          <w:rFonts w:ascii="Times New Roman" w:hAnsi="Times New Roman" w:cs="Times New Roman"/>
          <w:sz w:val="28"/>
          <w:szCs w:val="28"/>
        </w:rPr>
      </w:pPr>
      <w:r>
        <w:rPr>
          <w:rFonts w:ascii="Times New Roman" w:hAnsi="Times New Roman" w:cs="Times New Roman"/>
          <w:sz w:val="28"/>
          <w:szCs w:val="28"/>
        </w:rPr>
        <w:t>Luciano Floridi, docente di Filosofia ed Etica dell’Informazione a Oxford, nel suo libro “</w:t>
      </w:r>
      <w:r w:rsidRPr="002E2ABE">
        <w:rPr>
          <w:rFonts w:ascii="Times New Roman" w:hAnsi="Times New Roman" w:cs="Times New Roman"/>
          <w:i/>
          <w:iCs/>
          <w:sz w:val="28"/>
          <w:szCs w:val="28"/>
        </w:rPr>
        <w:t>Pensare l’</w:t>
      </w:r>
      <w:proofErr w:type="spellStart"/>
      <w:r w:rsidRPr="002E2ABE">
        <w:rPr>
          <w:rFonts w:ascii="Times New Roman" w:hAnsi="Times New Roman" w:cs="Times New Roman"/>
          <w:i/>
          <w:iCs/>
          <w:sz w:val="28"/>
          <w:szCs w:val="28"/>
        </w:rPr>
        <w:t>infosfera</w:t>
      </w:r>
      <w:proofErr w:type="spellEnd"/>
      <w:r>
        <w:rPr>
          <w:rFonts w:ascii="Times New Roman" w:hAnsi="Times New Roman" w:cs="Times New Roman"/>
          <w:sz w:val="28"/>
          <w:szCs w:val="28"/>
        </w:rPr>
        <w:t>”, sostiene che viviamo ormai in un mondo virtuale, l’</w:t>
      </w:r>
      <w:proofErr w:type="spellStart"/>
      <w:r w:rsidRPr="00FE21B5">
        <w:rPr>
          <w:rFonts w:ascii="Times New Roman" w:hAnsi="Times New Roman" w:cs="Times New Roman"/>
          <w:i/>
          <w:iCs/>
          <w:sz w:val="28"/>
          <w:szCs w:val="28"/>
        </w:rPr>
        <w:t>infosfera</w:t>
      </w:r>
      <w:proofErr w:type="spellEnd"/>
      <w:r>
        <w:rPr>
          <w:rFonts w:ascii="Times New Roman" w:hAnsi="Times New Roman" w:cs="Times New Roman"/>
          <w:sz w:val="28"/>
          <w:szCs w:val="28"/>
        </w:rPr>
        <w:t xml:space="preserve"> appunto, in cui tutti siamo degli </w:t>
      </w:r>
      <w:proofErr w:type="spellStart"/>
      <w:r w:rsidRPr="00FE21B5">
        <w:rPr>
          <w:rFonts w:ascii="Times New Roman" w:hAnsi="Times New Roman" w:cs="Times New Roman"/>
          <w:i/>
          <w:iCs/>
          <w:sz w:val="28"/>
          <w:szCs w:val="28"/>
        </w:rPr>
        <w:t>inforgs</w:t>
      </w:r>
      <w:proofErr w:type="spellEnd"/>
      <w:r>
        <w:rPr>
          <w:rFonts w:ascii="Times New Roman" w:hAnsi="Times New Roman" w:cs="Times New Roman"/>
          <w:sz w:val="28"/>
          <w:szCs w:val="28"/>
        </w:rPr>
        <w:t>, organismi del sostrato informazionale</w:t>
      </w:r>
      <w:r w:rsidR="00E00049">
        <w:rPr>
          <w:rStyle w:val="Rimandonotaapidipagina"/>
          <w:rFonts w:ascii="Times New Roman" w:hAnsi="Times New Roman" w:cs="Times New Roman"/>
          <w:sz w:val="28"/>
          <w:szCs w:val="28"/>
        </w:rPr>
        <w:footnoteReference w:id="8"/>
      </w:r>
      <w:r>
        <w:rPr>
          <w:rFonts w:ascii="Times New Roman" w:hAnsi="Times New Roman" w:cs="Times New Roman"/>
          <w:sz w:val="28"/>
          <w:szCs w:val="28"/>
        </w:rPr>
        <w:t>. La postmodernità rifugge sempre più dalle cose</w:t>
      </w:r>
      <w:r w:rsidR="00FD059B">
        <w:rPr>
          <w:rFonts w:ascii="Times New Roman" w:hAnsi="Times New Roman" w:cs="Times New Roman"/>
          <w:sz w:val="28"/>
          <w:szCs w:val="28"/>
        </w:rPr>
        <w:t>,</w:t>
      </w:r>
      <w:r>
        <w:rPr>
          <w:rFonts w:ascii="Times New Roman" w:hAnsi="Times New Roman" w:cs="Times New Roman"/>
          <w:sz w:val="28"/>
          <w:szCs w:val="28"/>
        </w:rPr>
        <w:t xml:space="preserve"> per andare verso relazioni con inarrestabile astrazione dal materiale. Siamo passati da una posizione ontologica assoluta</w:t>
      </w:r>
      <w:r w:rsidR="00FE21B5">
        <w:rPr>
          <w:rFonts w:ascii="Times New Roman" w:hAnsi="Times New Roman" w:cs="Times New Roman"/>
          <w:sz w:val="28"/>
          <w:szCs w:val="28"/>
        </w:rPr>
        <w:t xml:space="preserve"> – </w:t>
      </w:r>
      <w:r>
        <w:rPr>
          <w:rFonts w:ascii="Times New Roman" w:hAnsi="Times New Roman" w:cs="Times New Roman"/>
          <w:sz w:val="28"/>
          <w:szCs w:val="28"/>
        </w:rPr>
        <w:t>modellata su un mondo letto in termini aristotelici (c</w:t>
      </w:r>
      <w:r w:rsidR="00FE21B5">
        <w:rPr>
          <w:rFonts w:ascii="Times New Roman" w:hAnsi="Times New Roman" w:cs="Times New Roman"/>
          <w:sz w:val="28"/>
          <w:szCs w:val="28"/>
        </w:rPr>
        <w:t>.</w:t>
      </w:r>
      <w:r>
        <w:rPr>
          <w:rFonts w:ascii="Times New Roman" w:hAnsi="Times New Roman" w:cs="Times New Roman"/>
          <w:sz w:val="28"/>
          <w:szCs w:val="28"/>
        </w:rPr>
        <w:t>d</w:t>
      </w:r>
      <w:r w:rsidR="00FE21B5">
        <w:rPr>
          <w:rFonts w:ascii="Times New Roman" w:hAnsi="Times New Roman" w:cs="Times New Roman"/>
          <w:sz w:val="28"/>
          <w:szCs w:val="28"/>
        </w:rPr>
        <w:t>.</w:t>
      </w:r>
      <w:r>
        <w:rPr>
          <w:rFonts w:ascii="Times New Roman" w:hAnsi="Times New Roman" w:cs="Times New Roman"/>
          <w:sz w:val="28"/>
          <w:szCs w:val="28"/>
        </w:rPr>
        <w:t xml:space="preserve"> primato della cosa) e </w:t>
      </w:r>
      <w:r w:rsidRPr="00FE21B5">
        <w:rPr>
          <w:rFonts w:ascii="Times New Roman" w:hAnsi="Times New Roman" w:cs="Times New Roman"/>
          <w:sz w:val="28"/>
          <w:szCs w:val="28"/>
        </w:rPr>
        <w:t>newtoniani</w:t>
      </w:r>
      <w:r>
        <w:rPr>
          <w:rFonts w:ascii="Times New Roman" w:hAnsi="Times New Roman" w:cs="Times New Roman"/>
          <w:sz w:val="28"/>
          <w:szCs w:val="28"/>
        </w:rPr>
        <w:t xml:space="preserve"> (primato nello spazio e nel tempo)</w:t>
      </w:r>
      <w:r w:rsidR="00FE21B5">
        <w:rPr>
          <w:rFonts w:ascii="Times New Roman" w:hAnsi="Times New Roman" w:cs="Times New Roman"/>
          <w:sz w:val="28"/>
          <w:szCs w:val="28"/>
        </w:rPr>
        <w:t xml:space="preserve"> – </w:t>
      </w:r>
      <w:r>
        <w:rPr>
          <w:rFonts w:ascii="Times New Roman" w:hAnsi="Times New Roman" w:cs="Times New Roman"/>
          <w:sz w:val="28"/>
          <w:szCs w:val="28"/>
        </w:rPr>
        <w:t>a quella epistemologica-relazionale, dominante nell’</w:t>
      </w:r>
      <w:proofErr w:type="spellStart"/>
      <w:r w:rsidRPr="00FE21B5">
        <w:rPr>
          <w:rFonts w:ascii="Times New Roman" w:hAnsi="Times New Roman" w:cs="Times New Roman"/>
          <w:i/>
          <w:iCs/>
          <w:sz w:val="28"/>
          <w:szCs w:val="28"/>
        </w:rPr>
        <w:t>infosfera</w:t>
      </w:r>
      <w:proofErr w:type="spellEnd"/>
      <w:r w:rsidR="00FD059B">
        <w:rPr>
          <w:rFonts w:ascii="Times New Roman" w:hAnsi="Times New Roman" w:cs="Times New Roman"/>
          <w:sz w:val="28"/>
          <w:szCs w:val="28"/>
        </w:rPr>
        <w:t>;</w:t>
      </w:r>
      <w:r>
        <w:rPr>
          <w:rFonts w:ascii="Times New Roman" w:hAnsi="Times New Roman" w:cs="Times New Roman"/>
          <w:sz w:val="28"/>
          <w:szCs w:val="28"/>
        </w:rPr>
        <w:t xml:space="preserve"> un </w:t>
      </w:r>
      <w:proofErr w:type="spellStart"/>
      <w:r>
        <w:rPr>
          <w:rFonts w:ascii="Times New Roman" w:hAnsi="Times New Roman" w:cs="Times New Roman"/>
          <w:sz w:val="28"/>
          <w:szCs w:val="28"/>
        </w:rPr>
        <w:t>costruzionismo</w:t>
      </w:r>
      <w:proofErr w:type="spellEnd"/>
      <w:r>
        <w:rPr>
          <w:rFonts w:ascii="Times New Roman" w:hAnsi="Times New Roman" w:cs="Times New Roman"/>
          <w:sz w:val="28"/>
          <w:szCs w:val="28"/>
        </w:rPr>
        <w:t xml:space="preserve"> di ispirazione neo-Kantiana</w:t>
      </w:r>
      <w:r w:rsidR="00FD059B">
        <w:rPr>
          <w:rFonts w:ascii="Times New Roman" w:hAnsi="Times New Roman" w:cs="Times New Roman"/>
          <w:sz w:val="28"/>
          <w:szCs w:val="28"/>
        </w:rPr>
        <w:t>,</w:t>
      </w:r>
      <w:r>
        <w:rPr>
          <w:rFonts w:ascii="Times New Roman" w:hAnsi="Times New Roman" w:cs="Times New Roman"/>
          <w:sz w:val="28"/>
          <w:szCs w:val="28"/>
        </w:rPr>
        <w:t xml:space="preserve"> definito come </w:t>
      </w:r>
      <w:r w:rsidR="009A7FCA">
        <w:rPr>
          <w:rFonts w:ascii="Times New Roman" w:hAnsi="Times New Roman" w:cs="Times New Roman"/>
          <w:sz w:val="28"/>
          <w:szCs w:val="28"/>
        </w:rPr>
        <w:t>p</w:t>
      </w:r>
      <w:r>
        <w:rPr>
          <w:rFonts w:ascii="Times New Roman" w:hAnsi="Times New Roman" w:cs="Times New Roman"/>
          <w:sz w:val="28"/>
          <w:szCs w:val="28"/>
        </w:rPr>
        <w:t xml:space="preserve">rocesso di modellizzazione </w:t>
      </w:r>
      <w:r w:rsidR="00AE28D9">
        <w:rPr>
          <w:rFonts w:ascii="Times New Roman" w:hAnsi="Times New Roman" w:cs="Times New Roman"/>
          <w:sz w:val="28"/>
          <w:szCs w:val="28"/>
        </w:rPr>
        <w:t>(non</w:t>
      </w:r>
      <w:r>
        <w:rPr>
          <w:rFonts w:ascii="Times New Roman" w:hAnsi="Times New Roman" w:cs="Times New Roman"/>
          <w:sz w:val="28"/>
          <w:szCs w:val="28"/>
        </w:rPr>
        <w:t xml:space="preserve"> copia platonica del modello) che dà forma alla realtà</w:t>
      </w:r>
      <w:r w:rsidR="00FE21B5">
        <w:rPr>
          <w:rFonts w:ascii="Times New Roman" w:hAnsi="Times New Roman" w:cs="Times New Roman"/>
          <w:sz w:val="28"/>
          <w:szCs w:val="28"/>
        </w:rPr>
        <w:t>,</w:t>
      </w:r>
      <w:r>
        <w:rPr>
          <w:rFonts w:ascii="Times New Roman" w:hAnsi="Times New Roman" w:cs="Times New Roman"/>
          <w:sz w:val="28"/>
          <w:szCs w:val="28"/>
        </w:rPr>
        <w:t xml:space="preserve"> rendendola intelligibile. Se Cartesio affermava “</w:t>
      </w:r>
      <w:r w:rsidRPr="00FE21B5">
        <w:rPr>
          <w:rFonts w:ascii="Times New Roman" w:hAnsi="Times New Roman" w:cs="Times New Roman"/>
          <w:i/>
          <w:iCs/>
          <w:sz w:val="28"/>
          <w:szCs w:val="28"/>
        </w:rPr>
        <w:t>cogito ergo sum</w:t>
      </w:r>
      <w:r>
        <w:rPr>
          <w:rFonts w:ascii="Times New Roman" w:hAnsi="Times New Roman" w:cs="Times New Roman"/>
          <w:sz w:val="28"/>
          <w:szCs w:val="28"/>
        </w:rPr>
        <w:t>”, oggi possiamo dire “</w:t>
      </w:r>
      <w:proofErr w:type="spellStart"/>
      <w:r w:rsidR="00AE28D9" w:rsidRPr="00FE21B5">
        <w:rPr>
          <w:rFonts w:ascii="Times New Roman" w:hAnsi="Times New Roman" w:cs="Times New Roman"/>
          <w:i/>
          <w:iCs/>
          <w:sz w:val="28"/>
          <w:szCs w:val="28"/>
        </w:rPr>
        <w:t>videor</w:t>
      </w:r>
      <w:proofErr w:type="spellEnd"/>
      <w:r w:rsidR="00AE28D9" w:rsidRPr="00FE21B5">
        <w:rPr>
          <w:rFonts w:ascii="Times New Roman" w:hAnsi="Times New Roman" w:cs="Times New Roman"/>
          <w:i/>
          <w:iCs/>
          <w:sz w:val="28"/>
          <w:szCs w:val="28"/>
        </w:rPr>
        <w:t xml:space="preserve"> ergo</w:t>
      </w:r>
      <w:r w:rsidR="009A7FCA" w:rsidRPr="00FE21B5">
        <w:rPr>
          <w:rFonts w:ascii="Times New Roman" w:hAnsi="Times New Roman" w:cs="Times New Roman"/>
          <w:i/>
          <w:iCs/>
          <w:sz w:val="28"/>
          <w:szCs w:val="28"/>
        </w:rPr>
        <w:t xml:space="preserve"> sum</w:t>
      </w:r>
      <w:r>
        <w:rPr>
          <w:rFonts w:ascii="Times New Roman" w:hAnsi="Times New Roman" w:cs="Times New Roman"/>
          <w:sz w:val="28"/>
          <w:szCs w:val="28"/>
        </w:rPr>
        <w:t xml:space="preserve">”: la costruzione del sé </w:t>
      </w:r>
      <w:r w:rsidR="000764B6">
        <w:rPr>
          <w:rFonts w:ascii="Times New Roman" w:hAnsi="Times New Roman" w:cs="Times New Roman"/>
          <w:sz w:val="28"/>
          <w:szCs w:val="28"/>
        </w:rPr>
        <w:t>(</w:t>
      </w:r>
      <w:r>
        <w:rPr>
          <w:rFonts w:ascii="Times New Roman" w:hAnsi="Times New Roman" w:cs="Times New Roman"/>
          <w:sz w:val="28"/>
          <w:szCs w:val="28"/>
        </w:rPr>
        <w:t>c</w:t>
      </w:r>
      <w:r w:rsidR="00FE21B5">
        <w:rPr>
          <w:rFonts w:ascii="Times New Roman" w:hAnsi="Times New Roman" w:cs="Times New Roman"/>
          <w:sz w:val="28"/>
          <w:szCs w:val="28"/>
        </w:rPr>
        <w:t>.</w:t>
      </w:r>
      <w:r>
        <w:rPr>
          <w:rFonts w:ascii="Times New Roman" w:hAnsi="Times New Roman" w:cs="Times New Roman"/>
          <w:sz w:val="28"/>
          <w:szCs w:val="28"/>
        </w:rPr>
        <w:t>d</w:t>
      </w:r>
      <w:r w:rsidR="00FE21B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A7FCA">
        <w:rPr>
          <w:rFonts w:ascii="Times New Roman" w:hAnsi="Times New Roman" w:cs="Times New Roman"/>
          <w:i/>
          <w:iCs/>
          <w:sz w:val="28"/>
          <w:szCs w:val="28"/>
        </w:rPr>
        <w:t>Bildung</w:t>
      </w:r>
      <w:proofErr w:type="spellEnd"/>
      <w:r w:rsidR="000764B6">
        <w:rPr>
          <w:rFonts w:ascii="Times New Roman" w:hAnsi="Times New Roman" w:cs="Times New Roman"/>
          <w:i/>
          <w:iCs/>
          <w:sz w:val="28"/>
          <w:szCs w:val="28"/>
        </w:rPr>
        <w:t>)</w:t>
      </w:r>
      <w:r>
        <w:rPr>
          <w:rFonts w:ascii="Times New Roman" w:hAnsi="Times New Roman" w:cs="Times New Roman"/>
          <w:sz w:val="28"/>
          <w:szCs w:val="28"/>
        </w:rPr>
        <w:t xml:space="preserve"> passa attraverso lo strumento digitale</w:t>
      </w:r>
      <w:r w:rsidR="00FD059B">
        <w:rPr>
          <w:rFonts w:ascii="Times New Roman" w:hAnsi="Times New Roman" w:cs="Times New Roman"/>
          <w:sz w:val="28"/>
          <w:szCs w:val="28"/>
        </w:rPr>
        <w:t>. I</w:t>
      </w:r>
      <w:r>
        <w:rPr>
          <w:rFonts w:ascii="Times New Roman" w:hAnsi="Times New Roman" w:cs="Times New Roman"/>
          <w:sz w:val="28"/>
          <w:szCs w:val="28"/>
        </w:rPr>
        <w:t xml:space="preserve">l </w:t>
      </w:r>
      <w:proofErr w:type="spellStart"/>
      <w:r w:rsidRPr="00FE21B5">
        <w:rPr>
          <w:rFonts w:ascii="Times New Roman" w:hAnsi="Times New Roman" w:cs="Times New Roman"/>
          <w:i/>
          <w:iCs/>
          <w:sz w:val="28"/>
          <w:szCs w:val="28"/>
        </w:rPr>
        <w:t>selfie</w:t>
      </w:r>
      <w:proofErr w:type="spellEnd"/>
      <w:r>
        <w:rPr>
          <w:rFonts w:ascii="Times New Roman" w:hAnsi="Times New Roman" w:cs="Times New Roman"/>
          <w:sz w:val="28"/>
          <w:szCs w:val="28"/>
        </w:rPr>
        <w:t xml:space="preserve"> è il sentirsi, il realizzarsi nello sguardo dell’altro, </w:t>
      </w:r>
      <w:proofErr w:type="spellStart"/>
      <w:r w:rsidRPr="009A7FCA">
        <w:rPr>
          <w:rFonts w:ascii="Times New Roman" w:hAnsi="Times New Roman" w:cs="Times New Roman"/>
          <w:i/>
          <w:iCs/>
          <w:sz w:val="28"/>
          <w:szCs w:val="28"/>
        </w:rPr>
        <w:t>Leib</w:t>
      </w:r>
      <w:proofErr w:type="spellEnd"/>
      <w:r w:rsidRPr="009A7FCA">
        <w:rPr>
          <w:rFonts w:ascii="Times New Roman" w:hAnsi="Times New Roman" w:cs="Times New Roman"/>
          <w:i/>
          <w:iCs/>
          <w:sz w:val="28"/>
          <w:szCs w:val="28"/>
        </w:rPr>
        <w:t xml:space="preserve"> a </w:t>
      </w:r>
      <w:proofErr w:type="spellStart"/>
      <w:r w:rsidRPr="009A7FCA">
        <w:rPr>
          <w:rFonts w:ascii="Times New Roman" w:hAnsi="Times New Roman" w:cs="Times New Roman"/>
          <w:i/>
          <w:iCs/>
          <w:sz w:val="28"/>
          <w:szCs w:val="28"/>
        </w:rPr>
        <w:t>Korper</w:t>
      </w:r>
      <w:proofErr w:type="spellEnd"/>
      <w:r w:rsidRPr="009A7FCA">
        <w:rPr>
          <w:rFonts w:ascii="Times New Roman" w:hAnsi="Times New Roman" w:cs="Times New Roman"/>
          <w:i/>
          <w:iCs/>
          <w:sz w:val="28"/>
          <w:szCs w:val="28"/>
        </w:rPr>
        <w:t xml:space="preserve">, </w:t>
      </w:r>
      <w:r w:rsidR="009A7FCA" w:rsidRPr="009A7FCA">
        <w:rPr>
          <w:rFonts w:ascii="Times New Roman" w:hAnsi="Times New Roman" w:cs="Times New Roman"/>
          <w:sz w:val="28"/>
          <w:szCs w:val="28"/>
        </w:rPr>
        <w:t xml:space="preserve">la pietrificazione del </w:t>
      </w:r>
      <w:r w:rsidR="009A7FCA">
        <w:rPr>
          <w:rFonts w:ascii="Times New Roman" w:hAnsi="Times New Roman" w:cs="Times New Roman"/>
          <w:sz w:val="28"/>
          <w:szCs w:val="28"/>
        </w:rPr>
        <w:t xml:space="preserve">sé, di cui parla </w:t>
      </w:r>
      <w:r w:rsidR="009A7FCA" w:rsidRPr="00FE21B5">
        <w:rPr>
          <w:rFonts w:ascii="Times New Roman" w:hAnsi="Times New Roman" w:cs="Times New Roman"/>
          <w:i/>
          <w:iCs/>
          <w:sz w:val="28"/>
          <w:szCs w:val="28"/>
        </w:rPr>
        <w:t>Sartre</w:t>
      </w:r>
      <w:r w:rsidR="009A7FCA">
        <w:rPr>
          <w:rFonts w:ascii="Times New Roman" w:hAnsi="Times New Roman" w:cs="Times New Roman"/>
          <w:sz w:val="28"/>
          <w:szCs w:val="28"/>
        </w:rPr>
        <w:t xml:space="preserve"> in pagine memorabili di “</w:t>
      </w:r>
      <w:r w:rsidR="009A7FCA" w:rsidRPr="00FE21B5">
        <w:rPr>
          <w:rFonts w:ascii="Times New Roman" w:hAnsi="Times New Roman" w:cs="Times New Roman"/>
          <w:i/>
          <w:iCs/>
          <w:sz w:val="28"/>
          <w:szCs w:val="28"/>
        </w:rPr>
        <w:t>L’essere e il nulla</w:t>
      </w:r>
      <w:r w:rsidR="009A7FCA">
        <w:rPr>
          <w:rFonts w:ascii="Times New Roman" w:hAnsi="Times New Roman" w:cs="Times New Roman"/>
          <w:sz w:val="28"/>
          <w:szCs w:val="28"/>
        </w:rPr>
        <w:t xml:space="preserve">”. Il </w:t>
      </w:r>
      <w:proofErr w:type="spellStart"/>
      <w:r w:rsidR="009A7FCA" w:rsidRPr="00FE21B5">
        <w:rPr>
          <w:rFonts w:ascii="Times New Roman" w:hAnsi="Times New Roman" w:cs="Times New Roman"/>
          <w:i/>
          <w:iCs/>
          <w:sz w:val="28"/>
          <w:szCs w:val="28"/>
        </w:rPr>
        <w:t>selfie</w:t>
      </w:r>
      <w:proofErr w:type="spellEnd"/>
      <w:r w:rsidR="009A7FCA">
        <w:rPr>
          <w:rFonts w:ascii="Times New Roman" w:hAnsi="Times New Roman" w:cs="Times New Roman"/>
          <w:sz w:val="28"/>
          <w:szCs w:val="28"/>
        </w:rPr>
        <w:t xml:space="preserve"> è l’esposizione del corpo </w:t>
      </w:r>
      <w:r w:rsidR="009A7FCA" w:rsidRPr="00FE21B5">
        <w:rPr>
          <w:rFonts w:ascii="Times New Roman" w:hAnsi="Times New Roman" w:cs="Times New Roman"/>
          <w:i/>
          <w:iCs/>
          <w:sz w:val="28"/>
          <w:szCs w:val="28"/>
        </w:rPr>
        <w:t>online</w:t>
      </w:r>
      <w:r w:rsidR="00FE21B5">
        <w:rPr>
          <w:rFonts w:ascii="Times New Roman" w:hAnsi="Times New Roman" w:cs="Times New Roman"/>
          <w:sz w:val="28"/>
          <w:szCs w:val="28"/>
        </w:rPr>
        <w:t>,</w:t>
      </w:r>
      <w:r w:rsidR="009A7FCA">
        <w:rPr>
          <w:rFonts w:ascii="Times New Roman" w:hAnsi="Times New Roman" w:cs="Times New Roman"/>
          <w:sz w:val="28"/>
          <w:szCs w:val="28"/>
        </w:rPr>
        <w:t xml:space="preserve"> che </w:t>
      </w:r>
      <w:r w:rsidR="0031445D">
        <w:rPr>
          <w:rFonts w:ascii="Times New Roman" w:hAnsi="Times New Roman" w:cs="Times New Roman"/>
          <w:sz w:val="28"/>
          <w:szCs w:val="28"/>
        </w:rPr>
        <w:t xml:space="preserve">ha </w:t>
      </w:r>
      <w:r w:rsidR="009A7FCA">
        <w:rPr>
          <w:rFonts w:ascii="Times New Roman" w:hAnsi="Times New Roman" w:cs="Times New Roman"/>
          <w:sz w:val="28"/>
          <w:szCs w:val="28"/>
        </w:rPr>
        <w:t>come</w:t>
      </w:r>
      <w:r w:rsidR="00A52ED8">
        <w:rPr>
          <w:rFonts w:ascii="Times New Roman" w:hAnsi="Times New Roman" w:cs="Times New Roman"/>
          <w:sz w:val="28"/>
          <w:szCs w:val="28"/>
        </w:rPr>
        <w:t xml:space="preserve"> </w:t>
      </w:r>
      <w:r w:rsidR="009A7FCA">
        <w:rPr>
          <w:rFonts w:ascii="Times New Roman" w:hAnsi="Times New Roman" w:cs="Times New Roman"/>
          <w:sz w:val="28"/>
          <w:szCs w:val="28"/>
        </w:rPr>
        <w:t xml:space="preserve">unità di misura i </w:t>
      </w:r>
      <w:proofErr w:type="spellStart"/>
      <w:r w:rsidR="009A7FCA" w:rsidRPr="00FE21B5">
        <w:rPr>
          <w:rFonts w:ascii="Times New Roman" w:hAnsi="Times New Roman" w:cs="Times New Roman"/>
          <w:i/>
          <w:iCs/>
          <w:sz w:val="28"/>
          <w:szCs w:val="28"/>
        </w:rPr>
        <w:t>like</w:t>
      </w:r>
      <w:r w:rsidR="00FE21B5">
        <w:rPr>
          <w:rFonts w:ascii="Times New Roman" w:hAnsi="Times New Roman" w:cs="Times New Roman"/>
          <w:i/>
          <w:iCs/>
          <w:sz w:val="28"/>
          <w:szCs w:val="28"/>
        </w:rPr>
        <w:t>s</w:t>
      </w:r>
      <w:proofErr w:type="spellEnd"/>
      <w:r w:rsidR="009A7FCA">
        <w:rPr>
          <w:rFonts w:ascii="Times New Roman" w:hAnsi="Times New Roman" w:cs="Times New Roman"/>
          <w:sz w:val="28"/>
          <w:szCs w:val="28"/>
        </w:rPr>
        <w:t>. Un famoso psichiatra</w:t>
      </w:r>
      <w:r w:rsidR="000764B6">
        <w:rPr>
          <w:rFonts w:ascii="Times New Roman" w:hAnsi="Times New Roman" w:cs="Times New Roman"/>
          <w:sz w:val="28"/>
          <w:szCs w:val="28"/>
        </w:rPr>
        <w:t>,</w:t>
      </w:r>
      <w:r w:rsidR="009A7FCA">
        <w:rPr>
          <w:rFonts w:ascii="Times New Roman" w:hAnsi="Times New Roman" w:cs="Times New Roman"/>
          <w:sz w:val="28"/>
          <w:szCs w:val="28"/>
        </w:rPr>
        <w:t xml:space="preserve"> Giovanni </w:t>
      </w:r>
      <w:proofErr w:type="spellStart"/>
      <w:r w:rsidR="009A7FCA">
        <w:rPr>
          <w:rFonts w:ascii="Times New Roman" w:hAnsi="Times New Roman" w:cs="Times New Roman"/>
          <w:sz w:val="28"/>
          <w:szCs w:val="28"/>
        </w:rPr>
        <w:t>Stanghellini</w:t>
      </w:r>
      <w:proofErr w:type="spellEnd"/>
      <w:r w:rsidR="000764B6">
        <w:rPr>
          <w:rFonts w:ascii="Times New Roman" w:hAnsi="Times New Roman" w:cs="Times New Roman"/>
          <w:sz w:val="28"/>
          <w:szCs w:val="28"/>
        </w:rPr>
        <w:t>,</w:t>
      </w:r>
      <w:r w:rsidR="009A7FCA">
        <w:rPr>
          <w:rFonts w:ascii="Times New Roman" w:hAnsi="Times New Roman" w:cs="Times New Roman"/>
          <w:sz w:val="28"/>
          <w:szCs w:val="28"/>
        </w:rPr>
        <w:t xml:space="preserve"> parla di “</w:t>
      </w:r>
      <w:proofErr w:type="spellStart"/>
      <w:r w:rsidR="009A7FCA" w:rsidRPr="008F7CCF">
        <w:rPr>
          <w:rFonts w:ascii="Times New Roman" w:hAnsi="Times New Roman" w:cs="Times New Roman"/>
          <w:i/>
          <w:iCs/>
          <w:sz w:val="28"/>
          <w:szCs w:val="28"/>
        </w:rPr>
        <w:t>selfie</w:t>
      </w:r>
      <w:proofErr w:type="spellEnd"/>
      <w:r w:rsidR="009A7FCA" w:rsidRPr="008F7CCF">
        <w:rPr>
          <w:rFonts w:ascii="Times New Roman" w:hAnsi="Times New Roman" w:cs="Times New Roman"/>
          <w:i/>
          <w:iCs/>
          <w:sz w:val="28"/>
          <w:szCs w:val="28"/>
        </w:rPr>
        <w:t xml:space="preserve"> come sentirsi nello sguardo dell’altro, l’altro è l’unica possibilità di essere riconosciuti</w:t>
      </w:r>
      <w:r w:rsidR="009A7FCA" w:rsidRPr="00FE21B5">
        <w:rPr>
          <w:rFonts w:ascii="Times New Roman" w:hAnsi="Times New Roman" w:cs="Times New Roman"/>
          <w:sz w:val="28"/>
          <w:szCs w:val="28"/>
        </w:rPr>
        <w:t>”.</w:t>
      </w:r>
      <w:r w:rsidR="00AE6493" w:rsidRPr="00FE21B5">
        <w:rPr>
          <w:rFonts w:ascii="Times New Roman" w:hAnsi="Times New Roman" w:cs="Times New Roman"/>
          <w:sz w:val="28"/>
          <w:szCs w:val="28"/>
        </w:rPr>
        <w:t xml:space="preserve"> </w:t>
      </w:r>
    </w:p>
    <w:p w14:paraId="38BA5356" w14:textId="5F1BDEAF" w:rsidR="003B06A7" w:rsidRDefault="00AE6493" w:rsidP="003B06A7">
      <w:pPr>
        <w:spacing w:after="0"/>
        <w:jc w:val="both"/>
        <w:rPr>
          <w:rFonts w:ascii="Times New Roman" w:hAnsi="Times New Roman" w:cs="Times New Roman"/>
          <w:sz w:val="28"/>
          <w:szCs w:val="28"/>
        </w:rPr>
      </w:pPr>
      <w:r>
        <w:rPr>
          <w:rFonts w:ascii="Times New Roman" w:hAnsi="Times New Roman" w:cs="Times New Roman"/>
          <w:sz w:val="28"/>
          <w:szCs w:val="28"/>
        </w:rPr>
        <w:t>Tutto questo a che prezzo per l’uomo? Il c</w:t>
      </w:r>
      <w:r w:rsidR="00FE21B5">
        <w:rPr>
          <w:rFonts w:ascii="Times New Roman" w:hAnsi="Times New Roman" w:cs="Times New Roman"/>
          <w:sz w:val="28"/>
          <w:szCs w:val="28"/>
        </w:rPr>
        <w:t>.</w:t>
      </w:r>
      <w:r>
        <w:rPr>
          <w:rFonts w:ascii="Times New Roman" w:hAnsi="Times New Roman" w:cs="Times New Roman"/>
          <w:sz w:val="28"/>
          <w:szCs w:val="28"/>
        </w:rPr>
        <w:t>d</w:t>
      </w:r>
      <w:r w:rsidR="00FE21B5">
        <w:rPr>
          <w:rFonts w:ascii="Times New Roman" w:hAnsi="Times New Roman" w:cs="Times New Roman"/>
          <w:sz w:val="28"/>
          <w:szCs w:val="28"/>
        </w:rPr>
        <w:t>.</w:t>
      </w:r>
      <w:r>
        <w:rPr>
          <w:rFonts w:ascii="Times New Roman" w:hAnsi="Times New Roman" w:cs="Times New Roman"/>
          <w:sz w:val="28"/>
          <w:szCs w:val="28"/>
        </w:rPr>
        <w:t xml:space="preserve"> “</w:t>
      </w:r>
      <w:r w:rsidRPr="00431306">
        <w:rPr>
          <w:rFonts w:ascii="Times New Roman" w:hAnsi="Times New Roman" w:cs="Times New Roman"/>
          <w:i/>
          <w:iCs/>
          <w:sz w:val="28"/>
          <w:szCs w:val="28"/>
        </w:rPr>
        <w:t xml:space="preserve">effetto </w:t>
      </w:r>
      <w:proofErr w:type="spellStart"/>
      <w:r w:rsidRPr="00431306">
        <w:rPr>
          <w:rFonts w:ascii="Times New Roman" w:hAnsi="Times New Roman" w:cs="Times New Roman"/>
          <w:i/>
          <w:iCs/>
          <w:sz w:val="28"/>
          <w:szCs w:val="28"/>
        </w:rPr>
        <w:t>Flynn</w:t>
      </w:r>
      <w:proofErr w:type="spellEnd"/>
      <w:r>
        <w:rPr>
          <w:rFonts w:ascii="Times New Roman" w:hAnsi="Times New Roman" w:cs="Times New Roman"/>
          <w:sz w:val="28"/>
          <w:szCs w:val="28"/>
        </w:rPr>
        <w:t xml:space="preserve">” ci dovrebbe far riflettere: </w:t>
      </w:r>
      <w:r w:rsidRPr="009A3C67">
        <w:rPr>
          <w:rFonts w:ascii="Times New Roman" w:hAnsi="Times New Roman" w:cs="Times New Roman"/>
          <w:i/>
          <w:iCs/>
          <w:sz w:val="28"/>
          <w:szCs w:val="28"/>
        </w:rPr>
        <w:t xml:space="preserve">Richard </w:t>
      </w:r>
      <w:proofErr w:type="spellStart"/>
      <w:r w:rsidRPr="009A3C67">
        <w:rPr>
          <w:rFonts w:ascii="Times New Roman" w:hAnsi="Times New Roman" w:cs="Times New Roman"/>
          <w:i/>
          <w:iCs/>
          <w:sz w:val="28"/>
          <w:szCs w:val="28"/>
        </w:rPr>
        <w:t>Flynn</w:t>
      </w:r>
      <w:proofErr w:type="spellEnd"/>
      <w:r>
        <w:rPr>
          <w:rFonts w:ascii="Times New Roman" w:hAnsi="Times New Roman" w:cs="Times New Roman"/>
          <w:sz w:val="28"/>
          <w:szCs w:val="28"/>
        </w:rPr>
        <w:t xml:space="preserve"> ha condotto uno studio tra il 1990 e il 2009</w:t>
      </w:r>
      <w:r w:rsidR="003B06A7">
        <w:rPr>
          <w:rFonts w:ascii="Times New Roman" w:hAnsi="Times New Roman" w:cs="Times New Roman"/>
          <w:sz w:val="28"/>
          <w:szCs w:val="28"/>
        </w:rPr>
        <w:t>,</w:t>
      </w:r>
      <w:r>
        <w:rPr>
          <w:rFonts w:ascii="Times New Roman" w:hAnsi="Times New Roman" w:cs="Times New Roman"/>
          <w:sz w:val="28"/>
          <w:szCs w:val="28"/>
        </w:rPr>
        <w:t xml:space="preserve"> dimostrando che il quoziente intellettivo </w:t>
      </w:r>
      <w:r w:rsidR="003B06A7">
        <w:rPr>
          <w:rFonts w:ascii="Times New Roman" w:hAnsi="Times New Roman" w:cs="Times New Roman"/>
          <w:sz w:val="28"/>
          <w:szCs w:val="28"/>
        </w:rPr>
        <w:t>(</w:t>
      </w:r>
      <w:r>
        <w:rPr>
          <w:rFonts w:ascii="Times New Roman" w:hAnsi="Times New Roman" w:cs="Times New Roman"/>
          <w:sz w:val="28"/>
          <w:szCs w:val="28"/>
        </w:rPr>
        <w:t>Qi</w:t>
      </w:r>
      <w:r w:rsidR="003B06A7">
        <w:rPr>
          <w:rFonts w:ascii="Times New Roman" w:hAnsi="Times New Roman" w:cs="Times New Roman"/>
          <w:sz w:val="28"/>
          <w:szCs w:val="28"/>
        </w:rPr>
        <w:t>)</w:t>
      </w:r>
      <w:r>
        <w:rPr>
          <w:rFonts w:ascii="Times New Roman" w:hAnsi="Times New Roman" w:cs="Times New Roman"/>
          <w:sz w:val="28"/>
          <w:szCs w:val="28"/>
        </w:rPr>
        <w:t xml:space="preserve"> stia cominciando lentamente, ma inesorabilmente</w:t>
      </w:r>
      <w:r w:rsidR="00FE21B5">
        <w:rPr>
          <w:rFonts w:ascii="Times New Roman" w:hAnsi="Times New Roman" w:cs="Times New Roman"/>
          <w:sz w:val="28"/>
          <w:szCs w:val="28"/>
        </w:rPr>
        <w:t>,</w:t>
      </w:r>
      <w:r>
        <w:rPr>
          <w:rFonts w:ascii="Times New Roman" w:hAnsi="Times New Roman" w:cs="Times New Roman"/>
          <w:sz w:val="28"/>
          <w:szCs w:val="28"/>
        </w:rPr>
        <w:t xml:space="preserve"> a calare. Un calo costante che</w:t>
      </w:r>
      <w:r w:rsidR="003B06A7">
        <w:rPr>
          <w:rFonts w:ascii="Times New Roman" w:hAnsi="Times New Roman" w:cs="Times New Roman"/>
          <w:sz w:val="28"/>
          <w:szCs w:val="28"/>
        </w:rPr>
        <w:t>,</w:t>
      </w:r>
      <w:r>
        <w:rPr>
          <w:rFonts w:ascii="Times New Roman" w:hAnsi="Times New Roman" w:cs="Times New Roman"/>
          <w:sz w:val="28"/>
          <w:szCs w:val="28"/>
        </w:rPr>
        <w:t xml:space="preserve"> oggi</w:t>
      </w:r>
      <w:r w:rsidR="003B06A7">
        <w:rPr>
          <w:rFonts w:ascii="Times New Roman" w:hAnsi="Times New Roman" w:cs="Times New Roman"/>
          <w:sz w:val="28"/>
          <w:szCs w:val="28"/>
        </w:rPr>
        <w:t>,</w:t>
      </w:r>
      <w:r>
        <w:rPr>
          <w:rFonts w:ascii="Times New Roman" w:hAnsi="Times New Roman" w:cs="Times New Roman"/>
          <w:sz w:val="28"/>
          <w:szCs w:val="28"/>
        </w:rPr>
        <w:t xml:space="preserve"> è diventato un vero e proprio tracoll</w:t>
      </w:r>
      <w:r w:rsidR="00A84CF1">
        <w:rPr>
          <w:rFonts w:ascii="Times New Roman" w:hAnsi="Times New Roman" w:cs="Times New Roman"/>
          <w:sz w:val="28"/>
          <w:szCs w:val="28"/>
        </w:rPr>
        <w:t>o</w:t>
      </w:r>
      <w:r>
        <w:rPr>
          <w:rFonts w:ascii="Times New Roman" w:hAnsi="Times New Roman" w:cs="Times New Roman"/>
          <w:sz w:val="28"/>
          <w:szCs w:val="28"/>
        </w:rPr>
        <w:t>, se pensiamo alla percentuale di persone afflitte dal c</w:t>
      </w:r>
      <w:r w:rsidR="00FE21B5">
        <w:rPr>
          <w:rFonts w:ascii="Times New Roman" w:hAnsi="Times New Roman" w:cs="Times New Roman"/>
          <w:sz w:val="28"/>
          <w:szCs w:val="28"/>
        </w:rPr>
        <w:t>.</w:t>
      </w:r>
      <w:r>
        <w:rPr>
          <w:rFonts w:ascii="Times New Roman" w:hAnsi="Times New Roman" w:cs="Times New Roman"/>
          <w:sz w:val="28"/>
          <w:szCs w:val="28"/>
        </w:rPr>
        <w:t>d</w:t>
      </w:r>
      <w:r w:rsidR="00FE21B5">
        <w:rPr>
          <w:rFonts w:ascii="Times New Roman" w:hAnsi="Times New Roman" w:cs="Times New Roman"/>
          <w:sz w:val="28"/>
          <w:szCs w:val="28"/>
        </w:rPr>
        <w:t>.</w:t>
      </w:r>
      <w:r>
        <w:rPr>
          <w:rFonts w:ascii="Times New Roman" w:hAnsi="Times New Roman" w:cs="Times New Roman"/>
          <w:sz w:val="28"/>
          <w:szCs w:val="28"/>
        </w:rPr>
        <w:t xml:space="preserve"> “</w:t>
      </w:r>
      <w:r w:rsidR="00FE21B5">
        <w:rPr>
          <w:rFonts w:ascii="Times New Roman" w:hAnsi="Times New Roman" w:cs="Times New Roman"/>
          <w:sz w:val="28"/>
          <w:szCs w:val="28"/>
        </w:rPr>
        <w:t>analfabetismo</w:t>
      </w:r>
      <w:r>
        <w:rPr>
          <w:rFonts w:ascii="Times New Roman" w:hAnsi="Times New Roman" w:cs="Times New Roman"/>
          <w:sz w:val="28"/>
          <w:szCs w:val="28"/>
        </w:rPr>
        <w:t xml:space="preserve"> funzionale”</w:t>
      </w:r>
      <w:r w:rsidR="00AE28D9">
        <w:rPr>
          <w:rFonts w:ascii="Times New Roman" w:hAnsi="Times New Roman" w:cs="Times New Roman"/>
          <w:sz w:val="28"/>
          <w:szCs w:val="28"/>
        </w:rPr>
        <w:t xml:space="preserve"> </w:t>
      </w:r>
      <w:r w:rsidR="009A3C67">
        <w:rPr>
          <w:rFonts w:ascii="Times New Roman" w:hAnsi="Times New Roman" w:cs="Times New Roman"/>
          <w:sz w:val="28"/>
          <w:szCs w:val="28"/>
        </w:rPr>
        <w:t>(sanno leggere, ma non capiscono il senso</w:t>
      </w:r>
      <w:r w:rsidR="00FE21B5">
        <w:rPr>
          <w:rFonts w:ascii="Times New Roman" w:hAnsi="Times New Roman" w:cs="Times New Roman"/>
          <w:sz w:val="28"/>
          <w:szCs w:val="28"/>
        </w:rPr>
        <w:t>,</w:t>
      </w:r>
      <w:r w:rsidR="009A3C67">
        <w:rPr>
          <w:rFonts w:ascii="Times New Roman" w:hAnsi="Times New Roman" w:cs="Times New Roman"/>
          <w:sz w:val="28"/>
          <w:szCs w:val="28"/>
        </w:rPr>
        <w:t xml:space="preserve"> né sono in grado di rielaborarlo</w:t>
      </w:r>
      <w:r w:rsidR="0031445D">
        <w:rPr>
          <w:rFonts w:ascii="Times New Roman" w:hAnsi="Times New Roman" w:cs="Times New Roman"/>
          <w:sz w:val="28"/>
          <w:szCs w:val="28"/>
        </w:rPr>
        <w:t>)</w:t>
      </w:r>
      <w:r w:rsidR="009A3C67">
        <w:rPr>
          <w:rFonts w:ascii="Times New Roman" w:hAnsi="Times New Roman" w:cs="Times New Roman"/>
          <w:sz w:val="28"/>
          <w:szCs w:val="28"/>
        </w:rPr>
        <w:t>.</w:t>
      </w:r>
      <w:r w:rsidR="00E94B3A">
        <w:rPr>
          <w:rFonts w:ascii="Times New Roman" w:hAnsi="Times New Roman" w:cs="Times New Roman"/>
          <w:sz w:val="28"/>
          <w:szCs w:val="28"/>
        </w:rPr>
        <w:t xml:space="preserve"> I giovani hanno oggi molte informazioni e poca conoscenza, o meglio</w:t>
      </w:r>
      <w:r w:rsidR="003B06A7">
        <w:rPr>
          <w:rFonts w:ascii="Times New Roman" w:hAnsi="Times New Roman" w:cs="Times New Roman"/>
          <w:sz w:val="28"/>
          <w:szCs w:val="28"/>
        </w:rPr>
        <w:t>,</w:t>
      </w:r>
      <w:r w:rsidR="00E94B3A">
        <w:rPr>
          <w:rFonts w:ascii="Times New Roman" w:hAnsi="Times New Roman" w:cs="Times New Roman"/>
          <w:sz w:val="28"/>
          <w:szCs w:val="28"/>
        </w:rPr>
        <w:t xml:space="preserve"> una “conoscenza irrelata e non correlata”.</w:t>
      </w:r>
      <w:r w:rsidR="009A3C67">
        <w:rPr>
          <w:rFonts w:ascii="Times New Roman" w:hAnsi="Times New Roman" w:cs="Times New Roman"/>
          <w:sz w:val="28"/>
          <w:szCs w:val="28"/>
        </w:rPr>
        <w:t xml:space="preserve"> Le nuove tecnologie digitali</w:t>
      </w:r>
      <w:r w:rsidR="00FE21B5">
        <w:rPr>
          <w:rFonts w:ascii="Times New Roman" w:hAnsi="Times New Roman" w:cs="Times New Roman"/>
          <w:sz w:val="28"/>
          <w:szCs w:val="28"/>
        </w:rPr>
        <w:t>,</w:t>
      </w:r>
      <w:r w:rsidR="009A3C67">
        <w:rPr>
          <w:rFonts w:ascii="Times New Roman" w:hAnsi="Times New Roman" w:cs="Times New Roman"/>
          <w:sz w:val="28"/>
          <w:szCs w:val="28"/>
        </w:rPr>
        <w:t xml:space="preserve"> specialmente per i più giovani</w:t>
      </w:r>
      <w:r w:rsidR="00FE21B5">
        <w:rPr>
          <w:rFonts w:ascii="Times New Roman" w:hAnsi="Times New Roman" w:cs="Times New Roman"/>
          <w:sz w:val="28"/>
          <w:szCs w:val="28"/>
        </w:rPr>
        <w:t>,</w:t>
      </w:r>
      <w:r w:rsidR="009A3C67">
        <w:rPr>
          <w:rFonts w:ascii="Times New Roman" w:hAnsi="Times New Roman" w:cs="Times New Roman"/>
          <w:sz w:val="28"/>
          <w:szCs w:val="28"/>
        </w:rPr>
        <w:t xml:space="preserve"> rappresentano un </w:t>
      </w:r>
      <w:r w:rsidR="009A3C67">
        <w:rPr>
          <w:rFonts w:ascii="Times New Roman" w:hAnsi="Times New Roman" w:cs="Times New Roman"/>
          <w:sz w:val="28"/>
          <w:szCs w:val="28"/>
        </w:rPr>
        <w:lastRenderedPageBreak/>
        <w:t>potentissimo e pervasivo elemento di degradazione delle facoltà cognitive, emotiv</w:t>
      </w:r>
      <w:r w:rsidR="00FE21B5">
        <w:rPr>
          <w:rFonts w:ascii="Times New Roman" w:hAnsi="Times New Roman" w:cs="Times New Roman"/>
          <w:sz w:val="28"/>
          <w:szCs w:val="28"/>
        </w:rPr>
        <w:t>e</w:t>
      </w:r>
      <w:r w:rsidR="009A3C67">
        <w:rPr>
          <w:rFonts w:ascii="Times New Roman" w:hAnsi="Times New Roman" w:cs="Times New Roman"/>
          <w:sz w:val="28"/>
          <w:szCs w:val="28"/>
        </w:rPr>
        <w:t xml:space="preserve"> e relazional</w:t>
      </w:r>
      <w:r w:rsidR="00FE21B5">
        <w:rPr>
          <w:rFonts w:ascii="Times New Roman" w:hAnsi="Times New Roman" w:cs="Times New Roman"/>
          <w:sz w:val="28"/>
          <w:szCs w:val="28"/>
        </w:rPr>
        <w:t>i</w:t>
      </w:r>
      <w:r w:rsidR="009A3C67">
        <w:rPr>
          <w:rFonts w:ascii="Times New Roman" w:hAnsi="Times New Roman" w:cs="Times New Roman"/>
          <w:sz w:val="28"/>
          <w:szCs w:val="28"/>
        </w:rPr>
        <w:t>. Perché questo accade</w:t>
      </w:r>
      <w:r w:rsidR="003B06A7">
        <w:rPr>
          <w:rFonts w:ascii="Times New Roman" w:hAnsi="Times New Roman" w:cs="Times New Roman"/>
          <w:sz w:val="28"/>
          <w:szCs w:val="28"/>
        </w:rPr>
        <w:t>,</w:t>
      </w:r>
      <w:r w:rsidR="009A3C67">
        <w:rPr>
          <w:rFonts w:ascii="Times New Roman" w:hAnsi="Times New Roman" w:cs="Times New Roman"/>
          <w:sz w:val="28"/>
          <w:szCs w:val="28"/>
        </w:rPr>
        <w:t xml:space="preserve"> quali sono le ragioni?</w:t>
      </w:r>
    </w:p>
    <w:p w14:paraId="07C1896A" w14:textId="77777777" w:rsidR="003B06A7" w:rsidRDefault="009A3C67" w:rsidP="003B06A7">
      <w:pPr>
        <w:spacing w:after="0"/>
        <w:jc w:val="both"/>
        <w:rPr>
          <w:rFonts w:ascii="Times New Roman" w:hAnsi="Times New Roman" w:cs="Times New Roman"/>
          <w:sz w:val="28"/>
          <w:szCs w:val="28"/>
        </w:rPr>
      </w:pPr>
      <w:r>
        <w:rPr>
          <w:rFonts w:ascii="Times New Roman" w:hAnsi="Times New Roman" w:cs="Times New Roman"/>
          <w:sz w:val="28"/>
          <w:szCs w:val="28"/>
        </w:rPr>
        <w:t xml:space="preserve">Il neurobiologo </w:t>
      </w:r>
      <w:r w:rsidRPr="009A3C67">
        <w:rPr>
          <w:rFonts w:ascii="Times New Roman" w:hAnsi="Times New Roman" w:cs="Times New Roman"/>
          <w:i/>
          <w:iCs/>
          <w:sz w:val="28"/>
          <w:szCs w:val="28"/>
        </w:rPr>
        <w:t>Laurent Alexandre</w:t>
      </w:r>
      <w:r w:rsidR="00AE28D9" w:rsidRPr="00FE21B5">
        <w:rPr>
          <w:rStyle w:val="Rimandonotaapidipagina"/>
          <w:rFonts w:ascii="Times New Roman" w:hAnsi="Times New Roman" w:cs="Times New Roman"/>
          <w:sz w:val="28"/>
          <w:szCs w:val="28"/>
        </w:rPr>
        <w:footnoteReference w:id="9"/>
      </w:r>
      <w:r w:rsidR="00AE28D9">
        <w:rPr>
          <w:rFonts w:ascii="Times New Roman" w:hAnsi="Times New Roman" w:cs="Times New Roman"/>
          <w:i/>
          <w:iCs/>
          <w:sz w:val="28"/>
          <w:szCs w:val="28"/>
        </w:rPr>
        <w:t xml:space="preserve"> </w:t>
      </w:r>
      <w:r>
        <w:rPr>
          <w:rFonts w:ascii="Times New Roman" w:hAnsi="Times New Roman" w:cs="Times New Roman"/>
          <w:sz w:val="28"/>
          <w:szCs w:val="28"/>
        </w:rPr>
        <w:t>ritiene che la ragione risieda in questa considerazione: “</w:t>
      </w:r>
      <w:r w:rsidRPr="009A3C67">
        <w:rPr>
          <w:rFonts w:ascii="Times New Roman" w:hAnsi="Times New Roman" w:cs="Times New Roman"/>
          <w:i/>
          <w:iCs/>
          <w:sz w:val="28"/>
          <w:szCs w:val="28"/>
        </w:rPr>
        <w:t xml:space="preserve">laddove il libro favoriva una </w:t>
      </w:r>
      <w:r>
        <w:rPr>
          <w:rFonts w:ascii="Times New Roman" w:hAnsi="Times New Roman" w:cs="Times New Roman"/>
          <w:i/>
          <w:iCs/>
          <w:sz w:val="28"/>
          <w:szCs w:val="28"/>
        </w:rPr>
        <w:t>concentrazione duratura e creativa</w:t>
      </w:r>
      <w:r w:rsidR="008F7CCF">
        <w:rPr>
          <w:rFonts w:ascii="Times New Roman" w:hAnsi="Times New Roman" w:cs="Times New Roman"/>
          <w:i/>
          <w:iCs/>
          <w:sz w:val="28"/>
          <w:szCs w:val="28"/>
        </w:rPr>
        <w:t>, internet incoraggia la rapidità, il campionamento distratto di piccoli frammenti di informazioni provenienti da fonti diverse</w:t>
      </w:r>
      <w:r w:rsidR="008F7CCF" w:rsidRPr="000764B6">
        <w:rPr>
          <w:rFonts w:ascii="Times New Roman" w:hAnsi="Times New Roman" w:cs="Times New Roman"/>
          <w:sz w:val="28"/>
          <w:szCs w:val="28"/>
        </w:rPr>
        <w:t>”.</w:t>
      </w:r>
      <w:r w:rsidR="008F7CCF">
        <w:rPr>
          <w:rFonts w:ascii="Times New Roman" w:hAnsi="Times New Roman" w:cs="Times New Roman"/>
          <w:sz w:val="28"/>
          <w:szCs w:val="28"/>
        </w:rPr>
        <w:t xml:space="preserve"> Il processo che consiste nell’immagazzinare i dati, creando così la memoria, per poi elaborarli, creando un ordine diverso</w:t>
      </w:r>
      <w:r w:rsidR="003B06A7">
        <w:rPr>
          <w:rFonts w:ascii="Times New Roman" w:hAnsi="Times New Roman" w:cs="Times New Roman"/>
          <w:sz w:val="28"/>
          <w:szCs w:val="28"/>
        </w:rPr>
        <w:t>,</w:t>
      </w:r>
      <w:r w:rsidR="008F7CCF">
        <w:rPr>
          <w:rFonts w:ascii="Times New Roman" w:hAnsi="Times New Roman" w:cs="Times New Roman"/>
          <w:sz w:val="28"/>
          <w:szCs w:val="28"/>
        </w:rPr>
        <w:t xml:space="preserve"> si chiama “apprendimento”. </w:t>
      </w:r>
    </w:p>
    <w:p w14:paraId="6504EBD6" w14:textId="77777777" w:rsidR="003B06A7" w:rsidRDefault="008F7CCF" w:rsidP="003B06A7">
      <w:pPr>
        <w:spacing w:after="0"/>
        <w:jc w:val="both"/>
        <w:rPr>
          <w:rFonts w:ascii="Times New Roman" w:hAnsi="Times New Roman" w:cs="Times New Roman"/>
          <w:sz w:val="28"/>
          <w:szCs w:val="28"/>
        </w:rPr>
      </w:pPr>
      <w:r>
        <w:rPr>
          <w:rFonts w:ascii="Times New Roman" w:hAnsi="Times New Roman" w:cs="Times New Roman"/>
          <w:sz w:val="28"/>
          <w:szCs w:val="28"/>
        </w:rPr>
        <w:t>Il problema è che oggi è l’intelligenza artificiale ad occuparsi del processo di immagazzinamento dei dati</w:t>
      </w:r>
      <w:r w:rsidR="003B06A7">
        <w:rPr>
          <w:rFonts w:ascii="Times New Roman" w:hAnsi="Times New Roman" w:cs="Times New Roman"/>
          <w:sz w:val="28"/>
          <w:szCs w:val="28"/>
        </w:rPr>
        <w:t xml:space="preserve"> (</w:t>
      </w:r>
      <w:r>
        <w:rPr>
          <w:rFonts w:ascii="Times New Roman" w:hAnsi="Times New Roman" w:cs="Times New Roman"/>
          <w:sz w:val="28"/>
          <w:szCs w:val="28"/>
        </w:rPr>
        <w:t>memoria ed elaborazione dei dati</w:t>
      </w:r>
      <w:r w:rsidR="003B06A7">
        <w:rPr>
          <w:rFonts w:ascii="Times New Roman" w:hAnsi="Times New Roman" w:cs="Times New Roman"/>
          <w:sz w:val="28"/>
          <w:szCs w:val="28"/>
        </w:rPr>
        <w:t>),</w:t>
      </w:r>
      <w:r>
        <w:rPr>
          <w:rFonts w:ascii="Times New Roman" w:hAnsi="Times New Roman" w:cs="Times New Roman"/>
          <w:sz w:val="28"/>
          <w:szCs w:val="28"/>
        </w:rPr>
        <w:t xml:space="preserve"> con l’intelligenza umana ridotta a svolgere un ruolo ausiliario e sempre più ininfluente. </w:t>
      </w:r>
    </w:p>
    <w:p w14:paraId="722AE178" w14:textId="77777777" w:rsidR="00DB7A63" w:rsidRDefault="008F7CCF" w:rsidP="003B06A7">
      <w:pPr>
        <w:spacing w:after="0"/>
        <w:jc w:val="both"/>
        <w:rPr>
          <w:rFonts w:ascii="Times New Roman" w:hAnsi="Times New Roman" w:cs="Times New Roman"/>
          <w:sz w:val="28"/>
          <w:szCs w:val="28"/>
        </w:rPr>
      </w:pPr>
      <w:r>
        <w:rPr>
          <w:rFonts w:ascii="Times New Roman" w:hAnsi="Times New Roman" w:cs="Times New Roman"/>
          <w:sz w:val="28"/>
          <w:szCs w:val="28"/>
        </w:rPr>
        <w:t>Ecco che</w:t>
      </w:r>
      <w:r w:rsidR="003B06A7">
        <w:rPr>
          <w:rFonts w:ascii="Times New Roman" w:hAnsi="Times New Roman" w:cs="Times New Roman"/>
          <w:sz w:val="28"/>
          <w:szCs w:val="28"/>
        </w:rPr>
        <w:t>,</w:t>
      </w:r>
      <w:r>
        <w:rPr>
          <w:rFonts w:ascii="Times New Roman" w:hAnsi="Times New Roman" w:cs="Times New Roman"/>
          <w:sz w:val="28"/>
          <w:szCs w:val="28"/>
        </w:rPr>
        <w:t xml:space="preserve"> allora</w:t>
      </w:r>
      <w:r w:rsidR="003B06A7">
        <w:rPr>
          <w:rFonts w:ascii="Times New Roman" w:hAnsi="Times New Roman" w:cs="Times New Roman"/>
          <w:sz w:val="28"/>
          <w:szCs w:val="28"/>
        </w:rPr>
        <w:t>,</w:t>
      </w:r>
      <w:r>
        <w:rPr>
          <w:rFonts w:ascii="Times New Roman" w:hAnsi="Times New Roman" w:cs="Times New Roman"/>
          <w:sz w:val="28"/>
          <w:szCs w:val="28"/>
        </w:rPr>
        <w:t xml:space="preserve"> abbiamo assistito alla nascita del GPT3, </w:t>
      </w:r>
      <w:r w:rsidRPr="008F7CCF">
        <w:rPr>
          <w:rFonts w:ascii="Times New Roman" w:hAnsi="Times New Roman" w:cs="Times New Roman"/>
          <w:i/>
          <w:iCs/>
          <w:sz w:val="28"/>
          <w:szCs w:val="28"/>
        </w:rPr>
        <w:t xml:space="preserve">Generative </w:t>
      </w:r>
      <w:proofErr w:type="spellStart"/>
      <w:r w:rsidRPr="008F7CCF">
        <w:rPr>
          <w:rFonts w:ascii="Times New Roman" w:hAnsi="Times New Roman" w:cs="Times New Roman"/>
          <w:i/>
          <w:iCs/>
          <w:sz w:val="28"/>
          <w:szCs w:val="28"/>
        </w:rPr>
        <w:t>Pre-trained</w:t>
      </w:r>
      <w:proofErr w:type="spellEnd"/>
      <w:r w:rsidRPr="008F7CCF">
        <w:rPr>
          <w:rFonts w:ascii="Times New Roman" w:hAnsi="Times New Roman" w:cs="Times New Roman"/>
          <w:i/>
          <w:iCs/>
          <w:sz w:val="28"/>
          <w:szCs w:val="28"/>
        </w:rPr>
        <w:t xml:space="preserve"> Transformer</w:t>
      </w:r>
      <w:r w:rsidR="00AE28D9">
        <w:rPr>
          <w:rFonts w:ascii="Times New Roman" w:hAnsi="Times New Roman" w:cs="Times New Roman"/>
          <w:i/>
          <w:iCs/>
          <w:sz w:val="28"/>
          <w:szCs w:val="28"/>
        </w:rPr>
        <w:t>:</w:t>
      </w:r>
      <w:r>
        <w:rPr>
          <w:rFonts w:ascii="Times New Roman" w:hAnsi="Times New Roman" w:cs="Times New Roman"/>
          <w:i/>
          <w:iCs/>
          <w:sz w:val="28"/>
          <w:szCs w:val="28"/>
        </w:rPr>
        <w:t xml:space="preserve"> </w:t>
      </w:r>
      <w:r w:rsidRPr="008F7CCF">
        <w:rPr>
          <w:rFonts w:ascii="Times New Roman" w:hAnsi="Times New Roman" w:cs="Times New Roman"/>
          <w:sz w:val="28"/>
          <w:szCs w:val="28"/>
        </w:rPr>
        <w:t>l’11 giugno 2020</w:t>
      </w:r>
      <w:r>
        <w:rPr>
          <w:rFonts w:ascii="Times New Roman" w:hAnsi="Times New Roman" w:cs="Times New Roman"/>
          <w:sz w:val="28"/>
          <w:szCs w:val="28"/>
        </w:rPr>
        <w:t xml:space="preserve"> è stata presentata GPT3, un’intelligenza artificiale in grado di scrivere un romanzo nello stile dello scrittore che si preferisce,</w:t>
      </w:r>
      <w:r w:rsidR="00110495">
        <w:rPr>
          <w:rFonts w:ascii="Times New Roman" w:hAnsi="Times New Roman" w:cs="Times New Roman"/>
          <w:sz w:val="28"/>
          <w:szCs w:val="28"/>
        </w:rPr>
        <w:t xml:space="preserve"> che</w:t>
      </w:r>
      <w:r>
        <w:rPr>
          <w:rFonts w:ascii="Times New Roman" w:hAnsi="Times New Roman" w:cs="Times New Roman"/>
          <w:sz w:val="28"/>
          <w:szCs w:val="28"/>
        </w:rPr>
        <w:t xml:space="preserve"> scrive in pochi istanti il racconto che si preferisce. Ricorda il generatore automatico di lettere d’amore che </w:t>
      </w:r>
      <w:r w:rsidRPr="005361C8">
        <w:rPr>
          <w:rFonts w:ascii="Times New Roman" w:hAnsi="Times New Roman" w:cs="Times New Roman"/>
          <w:i/>
          <w:iCs/>
          <w:sz w:val="28"/>
          <w:szCs w:val="28"/>
        </w:rPr>
        <w:t xml:space="preserve">Alan </w:t>
      </w:r>
      <w:proofErr w:type="spellStart"/>
      <w:r w:rsidRPr="005361C8">
        <w:rPr>
          <w:rFonts w:ascii="Times New Roman" w:hAnsi="Times New Roman" w:cs="Times New Roman"/>
          <w:i/>
          <w:iCs/>
          <w:sz w:val="28"/>
          <w:szCs w:val="28"/>
        </w:rPr>
        <w:t>Turing</w:t>
      </w:r>
      <w:proofErr w:type="spellEnd"/>
      <w:r w:rsidR="00330771">
        <w:rPr>
          <w:rFonts w:ascii="Times New Roman" w:hAnsi="Times New Roman" w:cs="Times New Roman"/>
          <w:sz w:val="28"/>
          <w:szCs w:val="28"/>
        </w:rPr>
        <w:t xml:space="preserve"> sperimentò nel 1952 a Manchester. </w:t>
      </w:r>
    </w:p>
    <w:p w14:paraId="51CE8E02" w14:textId="77777777" w:rsidR="004647F4" w:rsidRDefault="00330771" w:rsidP="003B06A7">
      <w:pPr>
        <w:spacing w:after="0"/>
        <w:jc w:val="both"/>
        <w:rPr>
          <w:rFonts w:ascii="Times New Roman" w:hAnsi="Times New Roman" w:cs="Times New Roman"/>
          <w:sz w:val="28"/>
          <w:szCs w:val="28"/>
        </w:rPr>
      </w:pPr>
      <w:r>
        <w:rPr>
          <w:rFonts w:ascii="Times New Roman" w:hAnsi="Times New Roman" w:cs="Times New Roman"/>
          <w:sz w:val="28"/>
          <w:szCs w:val="28"/>
        </w:rPr>
        <w:t xml:space="preserve">GPT3 è la terza versione di un progetto di ricerca di un laboratorio fondato a San Francisco nel 2015, </w:t>
      </w:r>
      <w:r w:rsidRPr="005361C8">
        <w:rPr>
          <w:rFonts w:ascii="Times New Roman" w:hAnsi="Times New Roman" w:cs="Times New Roman"/>
          <w:i/>
          <w:iCs/>
          <w:sz w:val="28"/>
          <w:szCs w:val="28"/>
        </w:rPr>
        <w:t>Open AI</w:t>
      </w:r>
      <w:r>
        <w:rPr>
          <w:rFonts w:ascii="Times New Roman" w:hAnsi="Times New Roman" w:cs="Times New Roman"/>
          <w:sz w:val="28"/>
          <w:szCs w:val="28"/>
        </w:rPr>
        <w:t>, che</w:t>
      </w:r>
      <w:r w:rsidR="00110495">
        <w:rPr>
          <w:rFonts w:ascii="Times New Roman" w:hAnsi="Times New Roman" w:cs="Times New Roman"/>
          <w:sz w:val="28"/>
          <w:szCs w:val="28"/>
        </w:rPr>
        <w:t>,</w:t>
      </w:r>
      <w:r>
        <w:rPr>
          <w:rFonts w:ascii="Times New Roman" w:hAnsi="Times New Roman" w:cs="Times New Roman"/>
          <w:sz w:val="28"/>
          <w:szCs w:val="28"/>
        </w:rPr>
        <w:t xml:space="preserve"> tra i fondatori</w:t>
      </w:r>
      <w:r w:rsidR="00110495">
        <w:rPr>
          <w:rFonts w:ascii="Times New Roman" w:hAnsi="Times New Roman" w:cs="Times New Roman"/>
          <w:sz w:val="28"/>
          <w:szCs w:val="28"/>
        </w:rPr>
        <w:t>,</w:t>
      </w:r>
      <w:r>
        <w:rPr>
          <w:rFonts w:ascii="Times New Roman" w:hAnsi="Times New Roman" w:cs="Times New Roman"/>
          <w:sz w:val="28"/>
          <w:szCs w:val="28"/>
        </w:rPr>
        <w:t xml:space="preserve"> ha </w:t>
      </w:r>
      <w:proofErr w:type="spellStart"/>
      <w:r w:rsidRPr="00110495">
        <w:rPr>
          <w:rFonts w:ascii="Times New Roman" w:hAnsi="Times New Roman" w:cs="Times New Roman"/>
          <w:i/>
          <w:iCs/>
          <w:sz w:val="28"/>
          <w:szCs w:val="28"/>
        </w:rPr>
        <w:t>Elon</w:t>
      </w:r>
      <w:proofErr w:type="spellEnd"/>
      <w:r w:rsidRPr="00110495">
        <w:rPr>
          <w:rFonts w:ascii="Times New Roman" w:hAnsi="Times New Roman" w:cs="Times New Roman"/>
          <w:i/>
          <w:iCs/>
          <w:sz w:val="28"/>
          <w:szCs w:val="28"/>
        </w:rPr>
        <w:t xml:space="preserve"> </w:t>
      </w:r>
      <w:proofErr w:type="spellStart"/>
      <w:r w:rsidRPr="00110495">
        <w:rPr>
          <w:rFonts w:ascii="Times New Roman" w:hAnsi="Times New Roman" w:cs="Times New Roman"/>
          <w:i/>
          <w:iCs/>
          <w:sz w:val="28"/>
          <w:szCs w:val="28"/>
        </w:rPr>
        <w:t>Musk</w:t>
      </w:r>
      <w:proofErr w:type="spellEnd"/>
      <w:r>
        <w:rPr>
          <w:rFonts w:ascii="Times New Roman" w:hAnsi="Times New Roman" w:cs="Times New Roman"/>
          <w:sz w:val="28"/>
          <w:szCs w:val="28"/>
        </w:rPr>
        <w:t xml:space="preserve"> e tra i finanziatori </w:t>
      </w:r>
      <w:r w:rsidRPr="00110495">
        <w:rPr>
          <w:rFonts w:ascii="Times New Roman" w:hAnsi="Times New Roman" w:cs="Times New Roman"/>
          <w:i/>
          <w:iCs/>
          <w:sz w:val="28"/>
          <w:szCs w:val="28"/>
        </w:rPr>
        <w:t>Microsoft</w:t>
      </w:r>
      <w:r>
        <w:rPr>
          <w:rFonts w:ascii="Times New Roman" w:hAnsi="Times New Roman" w:cs="Times New Roman"/>
          <w:sz w:val="28"/>
          <w:szCs w:val="28"/>
        </w:rPr>
        <w:t xml:space="preserve">. </w:t>
      </w:r>
    </w:p>
    <w:p w14:paraId="389EA57B" w14:textId="282C97F6" w:rsidR="00DB7A63" w:rsidRDefault="00330771" w:rsidP="003B06A7">
      <w:pPr>
        <w:spacing w:after="0"/>
        <w:jc w:val="both"/>
        <w:rPr>
          <w:rFonts w:ascii="Times New Roman" w:hAnsi="Times New Roman" w:cs="Times New Roman"/>
          <w:sz w:val="28"/>
          <w:szCs w:val="28"/>
        </w:rPr>
      </w:pPr>
      <w:r>
        <w:rPr>
          <w:rFonts w:ascii="Times New Roman" w:hAnsi="Times New Roman" w:cs="Times New Roman"/>
          <w:sz w:val="28"/>
          <w:szCs w:val="28"/>
        </w:rPr>
        <w:t xml:space="preserve">Non è trascorso nemmeno un anno e GPT3 non scrive romanzi, ma è già utilizzato da oltre 10.000 sviluppatori ed è presente in oltre 300 applicazioni. </w:t>
      </w:r>
    </w:p>
    <w:p w14:paraId="49D3983F" w14:textId="77777777" w:rsidR="00DB7A63" w:rsidRDefault="000E3BF5" w:rsidP="003B06A7">
      <w:pPr>
        <w:spacing w:after="0"/>
        <w:jc w:val="both"/>
        <w:rPr>
          <w:rFonts w:ascii="Times New Roman" w:hAnsi="Times New Roman" w:cs="Times New Roman"/>
          <w:sz w:val="28"/>
          <w:szCs w:val="28"/>
        </w:rPr>
      </w:pPr>
      <w:r>
        <w:rPr>
          <w:rFonts w:ascii="Times New Roman" w:hAnsi="Times New Roman" w:cs="Times New Roman"/>
          <w:sz w:val="28"/>
          <w:szCs w:val="28"/>
        </w:rPr>
        <w:t xml:space="preserve">Rientrano in questo processo le risposte ancora semplici di </w:t>
      </w:r>
      <w:proofErr w:type="spellStart"/>
      <w:r w:rsidRPr="005361C8">
        <w:rPr>
          <w:rFonts w:ascii="Times New Roman" w:hAnsi="Times New Roman" w:cs="Times New Roman"/>
          <w:i/>
          <w:iCs/>
          <w:sz w:val="28"/>
          <w:szCs w:val="28"/>
        </w:rPr>
        <w:t>Alexa</w:t>
      </w:r>
      <w:proofErr w:type="spellEnd"/>
      <w:r>
        <w:rPr>
          <w:rFonts w:ascii="Times New Roman" w:hAnsi="Times New Roman" w:cs="Times New Roman"/>
          <w:sz w:val="28"/>
          <w:szCs w:val="28"/>
        </w:rPr>
        <w:t xml:space="preserve"> e </w:t>
      </w:r>
      <w:r w:rsidRPr="005361C8">
        <w:rPr>
          <w:rFonts w:ascii="Times New Roman" w:hAnsi="Times New Roman" w:cs="Times New Roman"/>
          <w:i/>
          <w:iCs/>
          <w:sz w:val="28"/>
          <w:szCs w:val="28"/>
        </w:rPr>
        <w:t>Siri</w:t>
      </w:r>
      <w:r>
        <w:rPr>
          <w:rFonts w:ascii="Times New Roman" w:hAnsi="Times New Roman" w:cs="Times New Roman"/>
          <w:sz w:val="28"/>
          <w:szCs w:val="28"/>
        </w:rPr>
        <w:t xml:space="preserve"> nei nostri </w:t>
      </w:r>
      <w:proofErr w:type="spellStart"/>
      <w:r w:rsidRPr="00185035">
        <w:rPr>
          <w:rFonts w:ascii="Times New Roman" w:hAnsi="Times New Roman" w:cs="Times New Roman"/>
          <w:i/>
          <w:iCs/>
          <w:sz w:val="28"/>
          <w:szCs w:val="28"/>
        </w:rPr>
        <w:t>smartphone</w:t>
      </w:r>
      <w:proofErr w:type="spellEnd"/>
      <w:r>
        <w:rPr>
          <w:rFonts w:ascii="Times New Roman" w:hAnsi="Times New Roman" w:cs="Times New Roman"/>
          <w:sz w:val="28"/>
          <w:szCs w:val="28"/>
        </w:rPr>
        <w:t xml:space="preserve"> e gli assistenti vocali, i dialoghi non facili con </w:t>
      </w:r>
      <w:r w:rsidR="005361C8">
        <w:rPr>
          <w:rFonts w:ascii="Times New Roman" w:hAnsi="Times New Roman" w:cs="Times New Roman"/>
          <w:sz w:val="28"/>
          <w:szCs w:val="28"/>
        </w:rPr>
        <w:t xml:space="preserve">le </w:t>
      </w:r>
      <w:proofErr w:type="spellStart"/>
      <w:r w:rsidR="005361C8" w:rsidRPr="005361C8">
        <w:rPr>
          <w:rFonts w:ascii="Times New Roman" w:hAnsi="Times New Roman" w:cs="Times New Roman"/>
          <w:i/>
          <w:iCs/>
          <w:sz w:val="28"/>
          <w:szCs w:val="28"/>
        </w:rPr>
        <w:t>chatbot</w:t>
      </w:r>
      <w:proofErr w:type="spellEnd"/>
      <w:r>
        <w:rPr>
          <w:rFonts w:ascii="Times New Roman" w:hAnsi="Times New Roman" w:cs="Times New Roman"/>
          <w:sz w:val="28"/>
          <w:szCs w:val="28"/>
        </w:rPr>
        <w:t xml:space="preserve"> quando andiamo sul sito della nostra banca o di una grande azienda che fornisce telefonia, acqua e luce</w:t>
      </w:r>
      <w:r w:rsidR="00185035">
        <w:rPr>
          <w:rFonts w:ascii="Times New Roman" w:hAnsi="Times New Roman" w:cs="Times New Roman"/>
          <w:sz w:val="28"/>
          <w:szCs w:val="28"/>
        </w:rPr>
        <w:t xml:space="preserve">; </w:t>
      </w:r>
      <w:r w:rsidR="00A52ED8">
        <w:rPr>
          <w:rFonts w:ascii="Times New Roman" w:hAnsi="Times New Roman" w:cs="Times New Roman"/>
          <w:sz w:val="28"/>
          <w:szCs w:val="28"/>
        </w:rPr>
        <w:t>qui</w:t>
      </w:r>
      <w:r>
        <w:rPr>
          <w:rFonts w:ascii="Times New Roman" w:hAnsi="Times New Roman" w:cs="Times New Roman"/>
          <w:sz w:val="28"/>
          <w:szCs w:val="28"/>
        </w:rPr>
        <w:t xml:space="preserve"> sappiamo di dialogare con un risponditore automatico.</w:t>
      </w:r>
      <w:r w:rsidR="00083159">
        <w:rPr>
          <w:rFonts w:ascii="Times New Roman" w:hAnsi="Times New Roman" w:cs="Times New Roman"/>
          <w:sz w:val="28"/>
          <w:szCs w:val="28"/>
        </w:rPr>
        <w:t xml:space="preserve"> </w:t>
      </w:r>
    </w:p>
    <w:p w14:paraId="40D206A6" w14:textId="393F3B52" w:rsidR="00185035" w:rsidRDefault="000E3BF5" w:rsidP="003B06A7">
      <w:pPr>
        <w:spacing w:after="0"/>
        <w:jc w:val="both"/>
        <w:rPr>
          <w:rFonts w:ascii="Times New Roman" w:hAnsi="Times New Roman" w:cs="Times New Roman"/>
          <w:sz w:val="28"/>
          <w:szCs w:val="28"/>
        </w:rPr>
      </w:pPr>
      <w:r>
        <w:rPr>
          <w:rFonts w:ascii="Times New Roman" w:hAnsi="Times New Roman" w:cs="Times New Roman"/>
          <w:sz w:val="28"/>
          <w:szCs w:val="28"/>
        </w:rPr>
        <w:t>Il confine tra umano e artificiale nel GPT3</w:t>
      </w:r>
      <w:r w:rsidR="00083159">
        <w:rPr>
          <w:rFonts w:ascii="Times New Roman" w:hAnsi="Times New Roman" w:cs="Times New Roman"/>
          <w:sz w:val="28"/>
          <w:szCs w:val="28"/>
        </w:rPr>
        <w:t xml:space="preserve"> è meno netto, impercettibile, sarà sempre più difficile distinguere volti, suoni e testi creati da un’intelligenza artificiale da quelli reali.</w:t>
      </w:r>
      <w:r w:rsidR="005361C8">
        <w:rPr>
          <w:rFonts w:ascii="Times New Roman" w:hAnsi="Times New Roman" w:cs="Times New Roman"/>
          <w:sz w:val="28"/>
          <w:szCs w:val="28"/>
        </w:rPr>
        <w:t xml:space="preserve"> </w:t>
      </w:r>
    </w:p>
    <w:p w14:paraId="006C9176" w14:textId="77777777" w:rsidR="00185035" w:rsidRDefault="005361C8" w:rsidP="003B06A7">
      <w:pPr>
        <w:spacing w:after="0"/>
        <w:jc w:val="both"/>
        <w:rPr>
          <w:rFonts w:ascii="Times New Roman" w:hAnsi="Times New Roman" w:cs="Times New Roman"/>
          <w:sz w:val="28"/>
          <w:szCs w:val="28"/>
        </w:rPr>
      </w:pPr>
      <w:r>
        <w:rPr>
          <w:rFonts w:ascii="Times New Roman" w:hAnsi="Times New Roman" w:cs="Times New Roman"/>
          <w:sz w:val="28"/>
          <w:szCs w:val="28"/>
        </w:rPr>
        <w:t>È</w:t>
      </w:r>
      <w:r w:rsidR="0012683C">
        <w:rPr>
          <w:rFonts w:ascii="Times New Roman" w:hAnsi="Times New Roman" w:cs="Times New Roman"/>
          <w:sz w:val="28"/>
          <w:szCs w:val="28"/>
        </w:rPr>
        <w:t xml:space="preserve"> innegabile la difficoltà di lettura di algoritmi che utilizzano grandi quantità di dati (</w:t>
      </w:r>
      <w:r w:rsidR="0012683C" w:rsidRPr="005361C8">
        <w:rPr>
          <w:rFonts w:ascii="Times New Roman" w:hAnsi="Times New Roman" w:cs="Times New Roman"/>
          <w:i/>
          <w:iCs/>
          <w:sz w:val="28"/>
          <w:szCs w:val="28"/>
        </w:rPr>
        <w:t>big data</w:t>
      </w:r>
      <w:r w:rsidR="0012683C">
        <w:rPr>
          <w:rFonts w:ascii="Times New Roman" w:hAnsi="Times New Roman" w:cs="Times New Roman"/>
          <w:sz w:val="28"/>
          <w:szCs w:val="28"/>
        </w:rPr>
        <w:t xml:space="preserve">) e, in misura crescente, si caratterizzano per l’impiego di tecnologie basate sull’intelligenza artificiale che non si limitano a seguire fedelmente le istruzioni del programmatore, ma diventano intelligenza </w:t>
      </w:r>
      <w:proofErr w:type="spellStart"/>
      <w:r w:rsidR="0012683C" w:rsidRPr="0012683C">
        <w:rPr>
          <w:rFonts w:ascii="Times New Roman" w:hAnsi="Times New Roman" w:cs="Times New Roman"/>
          <w:i/>
          <w:iCs/>
          <w:sz w:val="28"/>
          <w:szCs w:val="28"/>
        </w:rPr>
        <w:t>spontane</w:t>
      </w:r>
      <w:r w:rsidR="0012683C">
        <w:rPr>
          <w:rFonts w:ascii="Times New Roman" w:hAnsi="Times New Roman" w:cs="Times New Roman"/>
          <w:i/>
          <w:iCs/>
          <w:sz w:val="28"/>
          <w:szCs w:val="28"/>
        </w:rPr>
        <w:t>u</w:t>
      </w:r>
      <w:r w:rsidR="0012683C" w:rsidRPr="0012683C">
        <w:rPr>
          <w:rFonts w:ascii="Times New Roman" w:hAnsi="Times New Roman" w:cs="Times New Roman"/>
          <w:i/>
          <w:iCs/>
          <w:sz w:val="28"/>
          <w:szCs w:val="28"/>
        </w:rPr>
        <w:t>s</w:t>
      </w:r>
      <w:proofErr w:type="spellEnd"/>
      <w:r w:rsidR="0012683C">
        <w:rPr>
          <w:rFonts w:ascii="Times New Roman" w:hAnsi="Times New Roman" w:cs="Times New Roman"/>
          <w:i/>
          <w:iCs/>
          <w:sz w:val="28"/>
          <w:szCs w:val="28"/>
        </w:rPr>
        <w:t>,</w:t>
      </w:r>
      <w:r w:rsidR="0012683C">
        <w:rPr>
          <w:rFonts w:ascii="Times New Roman" w:hAnsi="Times New Roman" w:cs="Times New Roman"/>
          <w:sz w:val="28"/>
          <w:szCs w:val="28"/>
        </w:rPr>
        <w:t xml:space="preserve"> </w:t>
      </w:r>
      <w:proofErr w:type="spellStart"/>
      <w:r w:rsidR="0012683C">
        <w:rPr>
          <w:rFonts w:ascii="Times New Roman" w:hAnsi="Times New Roman" w:cs="Times New Roman"/>
          <w:sz w:val="28"/>
          <w:szCs w:val="28"/>
        </w:rPr>
        <w:t>autocreativa</w:t>
      </w:r>
      <w:proofErr w:type="spellEnd"/>
      <w:r w:rsidR="00AE28D9">
        <w:rPr>
          <w:rFonts w:ascii="Times New Roman" w:hAnsi="Times New Roman" w:cs="Times New Roman"/>
          <w:sz w:val="28"/>
          <w:szCs w:val="28"/>
        </w:rPr>
        <w:t xml:space="preserve">, </w:t>
      </w:r>
      <w:proofErr w:type="spellStart"/>
      <w:r w:rsidR="0012683C">
        <w:rPr>
          <w:rFonts w:ascii="Times New Roman" w:hAnsi="Times New Roman" w:cs="Times New Roman"/>
          <w:sz w:val="28"/>
          <w:szCs w:val="28"/>
        </w:rPr>
        <w:t>autoevolutiva</w:t>
      </w:r>
      <w:proofErr w:type="spellEnd"/>
      <w:r w:rsidR="0012683C">
        <w:rPr>
          <w:rFonts w:ascii="Times New Roman" w:hAnsi="Times New Roman" w:cs="Times New Roman"/>
          <w:sz w:val="28"/>
          <w:szCs w:val="28"/>
        </w:rPr>
        <w:t>, inventando soluzioni e percorsi inediti, con il risultato che neppure colui che ha fornito le istruzioni alla macchina attraverso l’algoritmo è pienamente in grado di ripercorrere il processo decisionale e offrire una spiegazione comprensibile.</w:t>
      </w:r>
      <w:r w:rsidR="00AE28D9">
        <w:rPr>
          <w:rFonts w:ascii="Times New Roman" w:hAnsi="Times New Roman" w:cs="Times New Roman"/>
          <w:sz w:val="28"/>
          <w:szCs w:val="28"/>
        </w:rPr>
        <w:t xml:space="preserve"> </w:t>
      </w:r>
    </w:p>
    <w:p w14:paraId="376F082F" w14:textId="33F49140" w:rsidR="00A71E2A" w:rsidRPr="00212D99" w:rsidRDefault="0012683C" w:rsidP="003B06A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Il problema del carattere non neutrale dell’algoritmo</w:t>
      </w:r>
      <w:r w:rsidR="00185035">
        <w:rPr>
          <w:rFonts w:ascii="Times New Roman" w:hAnsi="Times New Roman" w:cs="Times New Roman"/>
          <w:sz w:val="28"/>
          <w:szCs w:val="28"/>
        </w:rPr>
        <w:t>,</w:t>
      </w:r>
      <w:r>
        <w:rPr>
          <w:rFonts w:ascii="Times New Roman" w:hAnsi="Times New Roman" w:cs="Times New Roman"/>
          <w:sz w:val="28"/>
          <w:szCs w:val="28"/>
        </w:rPr>
        <w:t xml:space="preserve"> e la sua scarsa trasparenza</w:t>
      </w:r>
      <w:r w:rsidR="00185035">
        <w:rPr>
          <w:rFonts w:ascii="Times New Roman" w:hAnsi="Times New Roman" w:cs="Times New Roman"/>
          <w:sz w:val="28"/>
          <w:szCs w:val="28"/>
        </w:rPr>
        <w:t>,</w:t>
      </w:r>
      <w:r>
        <w:rPr>
          <w:rFonts w:ascii="Times New Roman" w:hAnsi="Times New Roman" w:cs="Times New Roman"/>
          <w:sz w:val="28"/>
          <w:szCs w:val="28"/>
        </w:rPr>
        <w:t xml:space="preserve"> assume un ruolo centrale nel dibattito giuridico recente, da qui il pericolo che la società possa diventare una grande, unica scatola nera, una “</w:t>
      </w:r>
      <w:proofErr w:type="spellStart"/>
      <w:r w:rsidRPr="00251EA4">
        <w:rPr>
          <w:rFonts w:ascii="Times New Roman" w:hAnsi="Times New Roman" w:cs="Times New Roman"/>
          <w:i/>
          <w:iCs/>
          <w:sz w:val="28"/>
          <w:szCs w:val="28"/>
        </w:rPr>
        <w:t>black</w:t>
      </w:r>
      <w:proofErr w:type="spellEnd"/>
      <w:r w:rsidRPr="00251EA4">
        <w:rPr>
          <w:rFonts w:ascii="Times New Roman" w:hAnsi="Times New Roman" w:cs="Times New Roman"/>
          <w:i/>
          <w:iCs/>
          <w:sz w:val="28"/>
          <w:szCs w:val="28"/>
        </w:rPr>
        <w:t xml:space="preserve"> box society</w:t>
      </w:r>
      <w:r>
        <w:rPr>
          <w:rFonts w:ascii="Times New Roman" w:hAnsi="Times New Roman" w:cs="Times New Roman"/>
          <w:sz w:val="28"/>
          <w:szCs w:val="28"/>
        </w:rPr>
        <w:t>”</w:t>
      </w:r>
      <w:r w:rsidR="00AE28D9">
        <w:rPr>
          <w:rStyle w:val="Rimandonotaapidipagina"/>
          <w:rFonts w:ascii="Times New Roman" w:hAnsi="Times New Roman" w:cs="Times New Roman"/>
          <w:sz w:val="28"/>
          <w:szCs w:val="28"/>
        </w:rPr>
        <w:footnoteReference w:id="10"/>
      </w:r>
      <w:r w:rsidR="00212D99">
        <w:rPr>
          <w:rFonts w:ascii="Times New Roman" w:hAnsi="Times New Roman" w:cs="Times New Roman"/>
          <w:sz w:val="28"/>
          <w:szCs w:val="28"/>
        </w:rPr>
        <w:t>.</w:t>
      </w:r>
    </w:p>
    <w:p w14:paraId="53309972" w14:textId="2122E77E" w:rsidR="00251EA4" w:rsidRPr="00212D99" w:rsidRDefault="00212D99" w:rsidP="004E38E8">
      <w:pPr>
        <w:jc w:val="both"/>
        <w:rPr>
          <w:rFonts w:ascii="Times New Roman" w:hAnsi="Times New Roman" w:cs="Times New Roman"/>
          <w:sz w:val="28"/>
          <w:szCs w:val="28"/>
        </w:rPr>
      </w:pPr>
      <w:r w:rsidRPr="00212D99">
        <w:rPr>
          <w:rFonts w:ascii="Times New Roman" w:hAnsi="Times New Roman" w:cs="Times New Roman"/>
          <w:sz w:val="28"/>
          <w:szCs w:val="28"/>
        </w:rPr>
        <w:t>È</w:t>
      </w:r>
      <w:r w:rsidR="00251EA4" w:rsidRPr="00212D99">
        <w:rPr>
          <w:rFonts w:ascii="Times New Roman" w:hAnsi="Times New Roman" w:cs="Times New Roman"/>
          <w:sz w:val="28"/>
          <w:szCs w:val="28"/>
        </w:rPr>
        <w:t xml:space="preserve"> il c</w:t>
      </w:r>
      <w:r w:rsidR="005361C8">
        <w:rPr>
          <w:rFonts w:ascii="Times New Roman" w:hAnsi="Times New Roman" w:cs="Times New Roman"/>
          <w:sz w:val="28"/>
          <w:szCs w:val="28"/>
        </w:rPr>
        <w:t>.</w:t>
      </w:r>
      <w:r w:rsidR="00251EA4" w:rsidRPr="00212D99">
        <w:rPr>
          <w:rFonts w:ascii="Times New Roman" w:hAnsi="Times New Roman" w:cs="Times New Roman"/>
          <w:sz w:val="28"/>
          <w:szCs w:val="28"/>
        </w:rPr>
        <w:t>d</w:t>
      </w:r>
      <w:r w:rsidR="005361C8">
        <w:rPr>
          <w:rFonts w:ascii="Times New Roman" w:hAnsi="Times New Roman" w:cs="Times New Roman"/>
          <w:sz w:val="28"/>
          <w:szCs w:val="28"/>
        </w:rPr>
        <w:t>.</w:t>
      </w:r>
      <w:r w:rsidR="00251EA4" w:rsidRPr="00212D99">
        <w:rPr>
          <w:rFonts w:ascii="Times New Roman" w:hAnsi="Times New Roman" w:cs="Times New Roman"/>
          <w:sz w:val="28"/>
          <w:szCs w:val="28"/>
        </w:rPr>
        <w:t xml:space="preserve"> “</w:t>
      </w:r>
      <w:proofErr w:type="spellStart"/>
      <w:r w:rsidR="00251EA4" w:rsidRPr="00212D99">
        <w:rPr>
          <w:rFonts w:ascii="Times New Roman" w:hAnsi="Times New Roman" w:cs="Times New Roman"/>
          <w:i/>
          <w:iCs/>
          <w:sz w:val="28"/>
          <w:szCs w:val="28"/>
        </w:rPr>
        <w:t>surveillance</w:t>
      </w:r>
      <w:proofErr w:type="spellEnd"/>
      <w:r w:rsidR="00251EA4" w:rsidRPr="00212D99">
        <w:rPr>
          <w:rFonts w:ascii="Times New Roman" w:hAnsi="Times New Roman" w:cs="Times New Roman"/>
          <w:i/>
          <w:iCs/>
          <w:sz w:val="28"/>
          <w:szCs w:val="28"/>
        </w:rPr>
        <w:t xml:space="preserve"> </w:t>
      </w:r>
      <w:proofErr w:type="spellStart"/>
      <w:r w:rsidR="00251EA4" w:rsidRPr="00212D99">
        <w:rPr>
          <w:rFonts w:ascii="Times New Roman" w:hAnsi="Times New Roman" w:cs="Times New Roman"/>
          <w:i/>
          <w:iCs/>
          <w:sz w:val="28"/>
          <w:szCs w:val="28"/>
        </w:rPr>
        <w:t>capitalism</w:t>
      </w:r>
      <w:proofErr w:type="spellEnd"/>
      <w:r w:rsidR="00251EA4" w:rsidRPr="005361C8">
        <w:rPr>
          <w:rFonts w:ascii="Times New Roman" w:hAnsi="Times New Roman" w:cs="Times New Roman"/>
          <w:sz w:val="28"/>
          <w:szCs w:val="28"/>
        </w:rPr>
        <w:t>”</w:t>
      </w:r>
      <w:r w:rsidR="00251EA4" w:rsidRPr="00212D99">
        <w:rPr>
          <w:rFonts w:ascii="Times New Roman" w:hAnsi="Times New Roman" w:cs="Times New Roman"/>
          <w:sz w:val="28"/>
          <w:szCs w:val="28"/>
        </w:rPr>
        <w:t xml:space="preserve"> di cui parla </w:t>
      </w:r>
      <w:r w:rsidR="00251EA4" w:rsidRPr="005361C8">
        <w:rPr>
          <w:rFonts w:ascii="Times New Roman" w:hAnsi="Times New Roman" w:cs="Times New Roman"/>
          <w:i/>
          <w:iCs/>
          <w:sz w:val="28"/>
          <w:szCs w:val="28"/>
        </w:rPr>
        <w:t>S</w:t>
      </w:r>
      <w:r w:rsidRPr="005361C8">
        <w:rPr>
          <w:rFonts w:ascii="Times New Roman" w:hAnsi="Times New Roman" w:cs="Times New Roman"/>
          <w:i/>
          <w:iCs/>
          <w:sz w:val="28"/>
          <w:szCs w:val="28"/>
        </w:rPr>
        <w:t xml:space="preserve">. </w:t>
      </w:r>
      <w:proofErr w:type="spellStart"/>
      <w:r w:rsidR="00251EA4" w:rsidRPr="005361C8">
        <w:rPr>
          <w:rFonts w:ascii="Times New Roman" w:hAnsi="Times New Roman" w:cs="Times New Roman"/>
          <w:i/>
          <w:iCs/>
          <w:sz w:val="28"/>
          <w:szCs w:val="28"/>
        </w:rPr>
        <w:t>Zuboff</w:t>
      </w:r>
      <w:proofErr w:type="spellEnd"/>
      <w:r>
        <w:rPr>
          <w:rStyle w:val="Rimandonotaapidipagina"/>
          <w:rFonts w:ascii="Times New Roman" w:hAnsi="Times New Roman" w:cs="Times New Roman"/>
          <w:sz w:val="28"/>
          <w:szCs w:val="28"/>
        </w:rPr>
        <w:footnoteReference w:id="11"/>
      </w:r>
      <w:r>
        <w:rPr>
          <w:rFonts w:ascii="Times New Roman" w:hAnsi="Times New Roman" w:cs="Times New Roman"/>
          <w:sz w:val="28"/>
          <w:szCs w:val="28"/>
        </w:rPr>
        <w:t>.</w:t>
      </w:r>
    </w:p>
    <w:p w14:paraId="2C6670F4" w14:textId="77777777" w:rsidR="002E3E82" w:rsidRDefault="00A84CF1" w:rsidP="00663936">
      <w:pPr>
        <w:spacing w:after="0"/>
        <w:jc w:val="both"/>
        <w:rPr>
          <w:rFonts w:ascii="Times New Roman" w:hAnsi="Times New Roman" w:cs="Times New Roman"/>
          <w:sz w:val="28"/>
          <w:szCs w:val="28"/>
        </w:rPr>
      </w:pPr>
      <w:r w:rsidRPr="00A84CF1">
        <w:rPr>
          <w:rFonts w:ascii="Times New Roman" w:hAnsi="Times New Roman" w:cs="Times New Roman"/>
          <w:sz w:val="28"/>
          <w:szCs w:val="28"/>
        </w:rPr>
        <w:t>Sulla base della complessità d</w:t>
      </w:r>
      <w:r>
        <w:rPr>
          <w:rFonts w:ascii="Times New Roman" w:hAnsi="Times New Roman" w:cs="Times New Roman"/>
          <w:sz w:val="28"/>
          <w:szCs w:val="28"/>
        </w:rPr>
        <w:t>i tali considerazioni</w:t>
      </w:r>
      <w:r w:rsidR="005361C8">
        <w:rPr>
          <w:rFonts w:ascii="Times New Roman" w:hAnsi="Times New Roman" w:cs="Times New Roman"/>
          <w:sz w:val="28"/>
          <w:szCs w:val="28"/>
        </w:rPr>
        <w:t>,</w:t>
      </w:r>
      <w:r>
        <w:rPr>
          <w:rFonts w:ascii="Times New Roman" w:hAnsi="Times New Roman" w:cs="Times New Roman"/>
          <w:sz w:val="28"/>
          <w:szCs w:val="28"/>
        </w:rPr>
        <w:t xml:space="preserve"> la Commissione Europea ha elaborato il </w:t>
      </w:r>
      <w:r w:rsidRPr="00A84CF1">
        <w:rPr>
          <w:rFonts w:ascii="Times New Roman" w:hAnsi="Times New Roman" w:cs="Times New Roman"/>
          <w:i/>
          <w:iCs/>
          <w:sz w:val="28"/>
          <w:szCs w:val="28"/>
        </w:rPr>
        <w:t>Digital Service</w:t>
      </w:r>
      <w:r w:rsidR="00125AE2">
        <w:rPr>
          <w:rFonts w:ascii="Times New Roman" w:hAnsi="Times New Roman" w:cs="Times New Roman"/>
          <w:i/>
          <w:iCs/>
          <w:sz w:val="28"/>
          <w:szCs w:val="28"/>
        </w:rPr>
        <w:t>s</w:t>
      </w:r>
      <w:r w:rsidRPr="00A84CF1">
        <w:rPr>
          <w:rFonts w:ascii="Times New Roman" w:hAnsi="Times New Roman" w:cs="Times New Roman"/>
          <w:i/>
          <w:iCs/>
          <w:sz w:val="28"/>
          <w:szCs w:val="28"/>
        </w:rPr>
        <w:t xml:space="preserve"> </w:t>
      </w:r>
      <w:proofErr w:type="spellStart"/>
      <w:r w:rsidRPr="00A84CF1">
        <w:rPr>
          <w:rFonts w:ascii="Times New Roman" w:hAnsi="Times New Roman" w:cs="Times New Roman"/>
          <w:i/>
          <w:iCs/>
          <w:sz w:val="28"/>
          <w:szCs w:val="28"/>
        </w:rPr>
        <w:t>Act</w:t>
      </w:r>
      <w:proofErr w:type="spellEnd"/>
      <w:r>
        <w:rPr>
          <w:rFonts w:ascii="Times New Roman" w:hAnsi="Times New Roman" w:cs="Times New Roman"/>
          <w:sz w:val="28"/>
          <w:szCs w:val="28"/>
        </w:rPr>
        <w:t xml:space="preserve"> che</w:t>
      </w:r>
      <w:r w:rsidR="00AA31AC">
        <w:rPr>
          <w:rFonts w:ascii="Times New Roman" w:hAnsi="Times New Roman" w:cs="Times New Roman"/>
          <w:sz w:val="28"/>
          <w:szCs w:val="28"/>
        </w:rPr>
        <w:t>,</w:t>
      </w:r>
      <w:r>
        <w:rPr>
          <w:rFonts w:ascii="Times New Roman" w:hAnsi="Times New Roman" w:cs="Times New Roman"/>
          <w:sz w:val="28"/>
          <w:szCs w:val="28"/>
        </w:rPr>
        <w:t xml:space="preserve"> considerando essenziale </w:t>
      </w:r>
      <w:r w:rsidRPr="00AA31AC">
        <w:rPr>
          <w:rFonts w:ascii="Times New Roman" w:hAnsi="Times New Roman" w:cs="Times New Roman"/>
          <w:i/>
          <w:iCs/>
          <w:sz w:val="28"/>
          <w:szCs w:val="28"/>
        </w:rPr>
        <w:t>“la legalità</w:t>
      </w:r>
      <w:r>
        <w:rPr>
          <w:rFonts w:ascii="Times New Roman" w:hAnsi="Times New Roman" w:cs="Times New Roman"/>
          <w:sz w:val="28"/>
          <w:szCs w:val="28"/>
        </w:rPr>
        <w:t xml:space="preserve"> </w:t>
      </w:r>
      <w:r w:rsidRPr="00AA31AC">
        <w:rPr>
          <w:rFonts w:ascii="Times New Roman" w:hAnsi="Times New Roman" w:cs="Times New Roman"/>
          <w:i/>
          <w:iCs/>
          <w:sz w:val="28"/>
          <w:szCs w:val="28"/>
        </w:rPr>
        <w:t>procedimentale della conservazione dei dati</w:t>
      </w:r>
      <w:r w:rsidR="00212D99">
        <w:rPr>
          <w:rFonts w:ascii="Times New Roman" w:hAnsi="Times New Roman" w:cs="Times New Roman"/>
          <w:sz w:val="28"/>
          <w:szCs w:val="28"/>
        </w:rPr>
        <w:t>”</w:t>
      </w:r>
      <w:r>
        <w:rPr>
          <w:rFonts w:ascii="Times New Roman" w:hAnsi="Times New Roman" w:cs="Times New Roman"/>
          <w:sz w:val="28"/>
          <w:szCs w:val="28"/>
        </w:rPr>
        <w:t>, il c</w:t>
      </w:r>
      <w:r w:rsidR="00FC4093">
        <w:rPr>
          <w:rFonts w:ascii="Times New Roman" w:hAnsi="Times New Roman" w:cs="Times New Roman"/>
          <w:sz w:val="28"/>
          <w:szCs w:val="28"/>
        </w:rPr>
        <w:t>.</w:t>
      </w:r>
      <w:r>
        <w:rPr>
          <w:rFonts w:ascii="Times New Roman" w:hAnsi="Times New Roman" w:cs="Times New Roman"/>
          <w:sz w:val="28"/>
          <w:szCs w:val="28"/>
        </w:rPr>
        <w:t>d</w:t>
      </w:r>
      <w:r w:rsidR="00FC4093">
        <w:rPr>
          <w:rFonts w:ascii="Times New Roman" w:hAnsi="Times New Roman" w:cs="Times New Roman"/>
          <w:sz w:val="28"/>
          <w:szCs w:val="28"/>
        </w:rPr>
        <w:t>.</w:t>
      </w:r>
      <w:r>
        <w:rPr>
          <w:rFonts w:ascii="Times New Roman" w:hAnsi="Times New Roman" w:cs="Times New Roman"/>
          <w:sz w:val="28"/>
          <w:szCs w:val="28"/>
        </w:rPr>
        <w:t xml:space="preserve"> </w:t>
      </w:r>
      <w:r w:rsidRPr="00A84CF1">
        <w:rPr>
          <w:rFonts w:ascii="Times New Roman" w:hAnsi="Times New Roman" w:cs="Times New Roman"/>
          <w:i/>
          <w:iCs/>
          <w:sz w:val="28"/>
          <w:szCs w:val="28"/>
        </w:rPr>
        <w:t xml:space="preserve">Digital Due </w:t>
      </w:r>
      <w:proofErr w:type="spellStart"/>
      <w:r w:rsidRPr="00A84CF1">
        <w:rPr>
          <w:rFonts w:ascii="Times New Roman" w:hAnsi="Times New Roman" w:cs="Times New Roman"/>
          <w:i/>
          <w:iCs/>
          <w:sz w:val="28"/>
          <w:szCs w:val="28"/>
        </w:rPr>
        <w:t>Process</w:t>
      </w:r>
      <w:proofErr w:type="spellEnd"/>
      <w:r w:rsidRPr="00A84CF1">
        <w:rPr>
          <w:rFonts w:ascii="Times New Roman" w:hAnsi="Times New Roman" w:cs="Times New Roman"/>
          <w:i/>
          <w:iCs/>
          <w:sz w:val="28"/>
          <w:szCs w:val="28"/>
        </w:rPr>
        <w:t>,</w:t>
      </w:r>
      <w:r>
        <w:rPr>
          <w:rFonts w:ascii="Times New Roman" w:hAnsi="Times New Roman" w:cs="Times New Roman"/>
          <w:sz w:val="28"/>
          <w:szCs w:val="28"/>
        </w:rPr>
        <w:t xml:space="preserve"> predispone una tutela del cittadino basata su due principi</w:t>
      </w:r>
      <w:r w:rsidR="00212D99">
        <w:rPr>
          <w:rFonts w:ascii="Times New Roman" w:hAnsi="Times New Roman" w:cs="Times New Roman"/>
          <w:sz w:val="28"/>
          <w:szCs w:val="28"/>
        </w:rPr>
        <w:t xml:space="preserve"> </w:t>
      </w:r>
      <w:r>
        <w:rPr>
          <w:rFonts w:ascii="Times New Roman" w:hAnsi="Times New Roman" w:cs="Times New Roman"/>
          <w:sz w:val="28"/>
          <w:szCs w:val="28"/>
        </w:rPr>
        <w:t xml:space="preserve">fondamentali: </w:t>
      </w:r>
      <w:r w:rsidRPr="00A6441A">
        <w:rPr>
          <w:rFonts w:ascii="Times New Roman" w:hAnsi="Times New Roman" w:cs="Times New Roman"/>
          <w:sz w:val="28"/>
          <w:szCs w:val="28"/>
        </w:rPr>
        <w:t xml:space="preserve">il principio dell’autodeterminazione del singolo e il principio di responsabilizzazione delle piattaforme digitali. </w:t>
      </w:r>
    </w:p>
    <w:p w14:paraId="61647DCE" w14:textId="30EA6D0E" w:rsidR="00663936" w:rsidRDefault="00A84CF1" w:rsidP="00663936">
      <w:pPr>
        <w:spacing w:after="0"/>
        <w:jc w:val="both"/>
        <w:rPr>
          <w:rFonts w:ascii="Times New Roman" w:hAnsi="Times New Roman" w:cs="Times New Roman"/>
          <w:sz w:val="28"/>
          <w:szCs w:val="28"/>
        </w:rPr>
      </w:pPr>
      <w:r>
        <w:rPr>
          <w:rFonts w:ascii="Times New Roman" w:hAnsi="Times New Roman" w:cs="Times New Roman"/>
          <w:sz w:val="28"/>
          <w:szCs w:val="28"/>
        </w:rPr>
        <w:t>Sono questi i binari lungo i quali dovranno essere definite</w:t>
      </w:r>
      <w:r w:rsidR="00A6441A">
        <w:rPr>
          <w:rFonts w:ascii="Times New Roman" w:hAnsi="Times New Roman" w:cs="Times New Roman"/>
          <w:sz w:val="28"/>
          <w:szCs w:val="28"/>
        </w:rPr>
        <w:t>,</w:t>
      </w:r>
      <w:r>
        <w:rPr>
          <w:rFonts w:ascii="Times New Roman" w:hAnsi="Times New Roman" w:cs="Times New Roman"/>
          <w:sz w:val="28"/>
          <w:szCs w:val="28"/>
        </w:rPr>
        <w:t xml:space="preserve"> a livello europeo</w:t>
      </w:r>
      <w:r w:rsidR="00A6441A">
        <w:rPr>
          <w:rFonts w:ascii="Times New Roman" w:hAnsi="Times New Roman" w:cs="Times New Roman"/>
          <w:sz w:val="28"/>
          <w:szCs w:val="28"/>
        </w:rPr>
        <w:t>,</w:t>
      </w:r>
      <w:r>
        <w:rPr>
          <w:rFonts w:ascii="Times New Roman" w:hAnsi="Times New Roman" w:cs="Times New Roman"/>
          <w:sz w:val="28"/>
          <w:szCs w:val="28"/>
        </w:rPr>
        <w:t xml:space="preserve"> le norme che saranno determinanti per costruire un corretto rapporto uomo-macchina.</w:t>
      </w:r>
      <w:r w:rsidR="00AA31AC">
        <w:rPr>
          <w:rFonts w:ascii="Times New Roman" w:hAnsi="Times New Roman" w:cs="Times New Roman"/>
          <w:sz w:val="28"/>
          <w:szCs w:val="28"/>
        </w:rPr>
        <w:t xml:space="preserve"> </w:t>
      </w:r>
    </w:p>
    <w:p w14:paraId="60EFECF9" w14:textId="0D729765" w:rsidR="00A6441A" w:rsidRDefault="000E6D75" w:rsidP="00663936">
      <w:pPr>
        <w:spacing w:after="0"/>
        <w:jc w:val="both"/>
        <w:rPr>
          <w:rFonts w:ascii="Times New Roman" w:hAnsi="Times New Roman" w:cs="Times New Roman"/>
          <w:sz w:val="28"/>
          <w:szCs w:val="28"/>
        </w:rPr>
      </w:pPr>
      <w:r>
        <w:rPr>
          <w:rFonts w:ascii="Times New Roman" w:hAnsi="Times New Roman" w:cs="Times New Roman"/>
          <w:sz w:val="28"/>
          <w:szCs w:val="28"/>
        </w:rPr>
        <w:t>Sul piano della qualità e del livello della regolamentazione</w:t>
      </w:r>
      <w:r w:rsidR="002E3E82">
        <w:rPr>
          <w:rStyle w:val="Rimandonotaapidipagina"/>
          <w:rFonts w:ascii="Times New Roman" w:hAnsi="Times New Roman" w:cs="Times New Roman"/>
          <w:sz w:val="28"/>
          <w:szCs w:val="28"/>
        </w:rPr>
        <w:footnoteReference w:id="12"/>
      </w:r>
      <w:r w:rsidR="00A6441A">
        <w:rPr>
          <w:rFonts w:ascii="Times New Roman" w:hAnsi="Times New Roman" w:cs="Times New Roman"/>
          <w:sz w:val="28"/>
          <w:szCs w:val="28"/>
        </w:rPr>
        <w:t>,</w:t>
      </w:r>
      <w:r>
        <w:rPr>
          <w:rFonts w:ascii="Times New Roman" w:hAnsi="Times New Roman" w:cs="Times New Roman"/>
          <w:sz w:val="28"/>
          <w:szCs w:val="28"/>
        </w:rPr>
        <w:t xml:space="preserve"> si distingue tra auto-regolazione, co-regolazione ed </w:t>
      </w:r>
      <w:proofErr w:type="spellStart"/>
      <w:r>
        <w:rPr>
          <w:rFonts w:ascii="Times New Roman" w:hAnsi="Times New Roman" w:cs="Times New Roman"/>
          <w:sz w:val="28"/>
          <w:szCs w:val="28"/>
        </w:rPr>
        <w:t>eteroregolazione</w:t>
      </w:r>
      <w:proofErr w:type="spellEnd"/>
      <w:r>
        <w:rPr>
          <w:rFonts w:ascii="Times New Roman" w:hAnsi="Times New Roman" w:cs="Times New Roman"/>
          <w:sz w:val="28"/>
          <w:szCs w:val="28"/>
        </w:rPr>
        <w:t xml:space="preserve">, ponendosi il problema se e in che in termini la regolamentazione dei </w:t>
      </w:r>
      <w:r w:rsidRPr="00A6441A">
        <w:rPr>
          <w:rFonts w:ascii="Times New Roman" w:hAnsi="Times New Roman" w:cs="Times New Roman"/>
          <w:i/>
          <w:iCs/>
          <w:sz w:val="28"/>
          <w:szCs w:val="28"/>
        </w:rPr>
        <w:t>social</w:t>
      </w:r>
      <w:r w:rsidR="00A6441A" w:rsidRPr="00A6441A">
        <w:rPr>
          <w:rFonts w:ascii="Times New Roman" w:hAnsi="Times New Roman" w:cs="Times New Roman"/>
          <w:i/>
          <w:iCs/>
          <w:sz w:val="28"/>
          <w:szCs w:val="28"/>
        </w:rPr>
        <w:t xml:space="preserve"> </w:t>
      </w:r>
      <w:r w:rsidRPr="00A6441A">
        <w:rPr>
          <w:rFonts w:ascii="Times New Roman" w:hAnsi="Times New Roman" w:cs="Times New Roman"/>
          <w:i/>
          <w:iCs/>
          <w:sz w:val="28"/>
          <w:szCs w:val="28"/>
        </w:rPr>
        <w:t>network</w:t>
      </w:r>
      <w:r>
        <w:rPr>
          <w:rFonts w:ascii="Times New Roman" w:hAnsi="Times New Roman" w:cs="Times New Roman"/>
          <w:sz w:val="28"/>
          <w:szCs w:val="28"/>
        </w:rPr>
        <w:t xml:space="preserve"> debba essere affidata alle grandi società monopoliste de</w:t>
      </w:r>
      <w:r w:rsidR="00AA31AC">
        <w:rPr>
          <w:rFonts w:ascii="Times New Roman" w:hAnsi="Times New Roman" w:cs="Times New Roman"/>
          <w:sz w:val="28"/>
          <w:szCs w:val="28"/>
        </w:rPr>
        <w:t>l</w:t>
      </w:r>
      <w:r>
        <w:rPr>
          <w:rFonts w:ascii="Times New Roman" w:hAnsi="Times New Roman" w:cs="Times New Roman"/>
          <w:sz w:val="28"/>
          <w:szCs w:val="28"/>
        </w:rPr>
        <w:t xml:space="preserve"> web</w:t>
      </w:r>
      <w:r w:rsidR="00A6441A">
        <w:rPr>
          <w:rFonts w:ascii="Times New Roman" w:hAnsi="Times New Roman" w:cs="Times New Roman"/>
          <w:sz w:val="28"/>
          <w:szCs w:val="28"/>
        </w:rPr>
        <w:t>,</w:t>
      </w:r>
      <w:r>
        <w:rPr>
          <w:rFonts w:ascii="Times New Roman" w:hAnsi="Times New Roman" w:cs="Times New Roman"/>
          <w:sz w:val="28"/>
          <w:szCs w:val="28"/>
        </w:rPr>
        <w:t xml:space="preserve"> o se occorra un intervento più incisivo della normativa nazionale e sovranazionale. Sappiamo che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ha</w:t>
      </w:r>
      <w:r w:rsidR="00A6441A">
        <w:rPr>
          <w:rFonts w:ascii="Times New Roman" w:hAnsi="Times New Roman" w:cs="Times New Roman"/>
          <w:sz w:val="28"/>
          <w:szCs w:val="28"/>
        </w:rPr>
        <w:t>,</w:t>
      </w:r>
      <w:r>
        <w:rPr>
          <w:rFonts w:ascii="Times New Roman" w:hAnsi="Times New Roman" w:cs="Times New Roman"/>
          <w:sz w:val="28"/>
          <w:szCs w:val="28"/>
        </w:rPr>
        <w:t xml:space="preserve"> al suo interno</w:t>
      </w:r>
      <w:r w:rsidR="00A6441A">
        <w:rPr>
          <w:rFonts w:ascii="Times New Roman" w:hAnsi="Times New Roman" w:cs="Times New Roman"/>
          <w:sz w:val="28"/>
          <w:szCs w:val="28"/>
        </w:rPr>
        <w:t>,</w:t>
      </w:r>
      <w:r>
        <w:rPr>
          <w:rFonts w:ascii="Times New Roman" w:hAnsi="Times New Roman" w:cs="Times New Roman"/>
          <w:sz w:val="28"/>
          <w:szCs w:val="28"/>
        </w:rPr>
        <w:t xml:space="preserve"> sotto forma di </w:t>
      </w:r>
      <w:r w:rsidRPr="00A6441A">
        <w:rPr>
          <w:rFonts w:ascii="Times New Roman" w:hAnsi="Times New Roman" w:cs="Times New Roman"/>
          <w:i/>
          <w:iCs/>
          <w:sz w:val="28"/>
          <w:szCs w:val="28"/>
        </w:rPr>
        <w:t>trust</w:t>
      </w:r>
      <w:r w:rsidR="00A6441A">
        <w:rPr>
          <w:rFonts w:ascii="Times New Roman" w:hAnsi="Times New Roman" w:cs="Times New Roman"/>
          <w:i/>
          <w:iCs/>
          <w:sz w:val="28"/>
          <w:szCs w:val="28"/>
        </w:rPr>
        <w:t>,</w:t>
      </w:r>
      <w:r>
        <w:rPr>
          <w:rFonts w:ascii="Times New Roman" w:hAnsi="Times New Roman" w:cs="Times New Roman"/>
          <w:sz w:val="28"/>
          <w:szCs w:val="28"/>
        </w:rPr>
        <w:t xml:space="preserve"> il </w:t>
      </w:r>
      <w:proofErr w:type="spellStart"/>
      <w:r w:rsidRPr="000E6D75">
        <w:rPr>
          <w:rFonts w:ascii="Times New Roman" w:hAnsi="Times New Roman" w:cs="Times New Roman"/>
          <w:i/>
          <w:iCs/>
          <w:sz w:val="28"/>
          <w:szCs w:val="28"/>
        </w:rPr>
        <w:lastRenderedPageBreak/>
        <w:t>Facebook</w:t>
      </w:r>
      <w:proofErr w:type="spellEnd"/>
      <w:r w:rsidRPr="000E6D75">
        <w:rPr>
          <w:rFonts w:ascii="Times New Roman" w:hAnsi="Times New Roman" w:cs="Times New Roman"/>
          <w:i/>
          <w:iCs/>
          <w:sz w:val="28"/>
          <w:szCs w:val="28"/>
        </w:rPr>
        <w:t xml:space="preserve"> </w:t>
      </w:r>
      <w:proofErr w:type="spellStart"/>
      <w:r w:rsidRPr="000E6D75">
        <w:rPr>
          <w:rFonts w:ascii="Times New Roman" w:hAnsi="Times New Roman" w:cs="Times New Roman"/>
          <w:i/>
          <w:iCs/>
          <w:sz w:val="28"/>
          <w:szCs w:val="28"/>
        </w:rPr>
        <w:t>Oversight</w:t>
      </w:r>
      <w:proofErr w:type="spellEnd"/>
      <w:r w:rsidRPr="000E6D75">
        <w:rPr>
          <w:rFonts w:ascii="Times New Roman" w:hAnsi="Times New Roman" w:cs="Times New Roman"/>
          <w:i/>
          <w:iCs/>
          <w:sz w:val="28"/>
          <w:szCs w:val="28"/>
        </w:rPr>
        <w:t xml:space="preserve"> Board</w:t>
      </w:r>
      <w:r w:rsidR="00A6441A">
        <w:rPr>
          <w:rFonts w:ascii="Times New Roman" w:hAnsi="Times New Roman" w:cs="Times New Roman"/>
          <w:sz w:val="28"/>
          <w:szCs w:val="28"/>
        </w:rPr>
        <w:t xml:space="preserve">, </w:t>
      </w:r>
      <w:r>
        <w:rPr>
          <w:rFonts w:ascii="Times New Roman" w:hAnsi="Times New Roman" w:cs="Times New Roman"/>
          <w:sz w:val="28"/>
          <w:szCs w:val="28"/>
        </w:rPr>
        <w:t xml:space="preserve">che esamina le questioni poste dalla </w:t>
      </w:r>
      <w:r w:rsidRPr="00A6441A">
        <w:rPr>
          <w:rFonts w:ascii="Times New Roman" w:hAnsi="Times New Roman" w:cs="Times New Roman"/>
          <w:i/>
          <w:iCs/>
          <w:sz w:val="28"/>
          <w:szCs w:val="28"/>
        </w:rPr>
        <w:t>Community</w:t>
      </w:r>
      <w:r>
        <w:rPr>
          <w:rFonts w:ascii="Times New Roman" w:hAnsi="Times New Roman" w:cs="Times New Roman"/>
          <w:sz w:val="28"/>
          <w:szCs w:val="28"/>
        </w:rPr>
        <w:t xml:space="preserve">, ma occorre un intervento di </w:t>
      </w:r>
      <w:proofErr w:type="spellStart"/>
      <w:r>
        <w:rPr>
          <w:rFonts w:ascii="Times New Roman" w:hAnsi="Times New Roman" w:cs="Times New Roman"/>
          <w:sz w:val="28"/>
          <w:szCs w:val="28"/>
        </w:rPr>
        <w:t>eteroregolazione</w:t>
      </w:r>
      <w:proofErr w:type="spellEnd"/>
      <w:r>
        <w:rPr>
          <w:rFonts w:ascii="Times New Roman" w:hAnsi="Times New Roman" w:cs="Times New Roman"/>
          <w:sz w:val="28"/>
          <w:szCs w:val="28"/>
        </w:rPr>
        <w:t xml:space="preserve"> sovranazionale</w:t>
      </w:r>
      <w:r w:rsidR="00FC4093">
        <w:rPr>
          <w:rFonts w:ascii="Times New Roman" w:hAnsi="Times New Roman" w:cs="Times New Roman"/>
          <w:sz w:val="28"/>
          <w:szCs w:val="28"/>
        </w:rPr>
        <w:t>,</w:t>
      </w:r>
      <w:r>
        <w:rPr>
          <w:rFonts w:ascii="Times New Roman" w:hAnsi="Times New Roman" w:cs="Times New Roman"/>
          <w:sz w:val="28"/>
          <w:szCs w:val="28"/>
        </w:rPr>
        <w:t xml:space="preserve"> capace di impedire che pubbliche funzioni siano esercitate da poteri privati. </w:t>
      </w:r>
    </w:p>
    <w:p w14:paraId="6596D36E" w14:textId="1131A623" w:rsidR="00A6441A" w:rsidRDefault="000E6D75" w:rsidP="004E38E8">
      <w:pPr>
        <w:jc w:val="both"/>
        <w:rPr>
          <w:rFonts w:ascii="Times New Roman" w:hAnsi="Times New Roman" w:cs="Times New Roman"/>
          <w:sz w:val="28"/>
          <w:szCs w:val="28"/>
        </w:rPr>
      </w:pPr>
      <w:r>
        <w:rPr>
          <w:rFonts w:ascii="Times New Roman" w:hAnsi="Times New Roman" w:cs="Times New Roman"/>
          <w:sz w:val="28"/>
          <w:szCs w:val="28"/>
        </w:rPr>
        <w:t>In questa ottica</w:t>
      </w:r>
      <w:r w:rsidR="00FC4093">
        <w:rPr>
          <w:rFonts w:ascii="Times New Roman" w:hAnsi="Times New Roman" w:cs="Times New Roman"/>
          <w:sz w:val="28"/>
          <w:szCs w:val="28"/>
        </w:rPr>
        <w:t>,</w:t>
      </w:r>
      <w:r>
        <w:rPr>
          <w:rFonts w:ascii="Times New Roman" w:hAnsi="Times New Roman" w:cs="Times New Roman"/>
          <w:sz w:val="28"/>
          <w:szCs w:val="28"/>
        </w:rPr>
        <w:t xml:space="preserve"> il </w:t>
      </w:r>
      <w:r w:rsidRPr="00AA31AC">
        <w:rPr>
          <w:rFonts w:ascii="Times New Roman" w:hAnsi="Times New Roman" w:cs="Times New Roman"/>
          <w:i/>
          <w:iCs/>
          <w:sz w:val="28"/>
          <w:szCs w:val="28"/>
        </w:rPr>
        <w:t>Digital Service</w:t>
      </w:r>
      <w:r w:rsidR="00125AE2">
        <w:rPr>
          <w:rFonts w:ascii="Times New Roman" w:hAnsi="Times New Roman" w:cs="Times New Roman"/>
          <w:i/>
          <w:iCs/>
          <w:sz w:val="28"/>
          <w:szCs w:val="28"/>
        </w:rPr>
        <w:t>s</w:t>
      </w:r>
      <w:r>
        <w:rPr>
          <w:rFonts w:ascii="Times New Roman" w:hAnsi="Times New Roman" w:cs="Times New Roman"/>
          <w:sz w:val="28"/>
          <w:szCs w:val="28"/>
        </w:rPr>
        <w:t xml:space="preserve"> </w:t>
      </w:r>
      <w:proofErr w:type="spellStart"/>
      <w:r w:rsidRPr="00AA31AC">
        <w:rPr>
          <w:rFonts w:ascii="Times New Roman" w:hAnsi="Times New Roman" w:cs="Times New Roman"/>
          <w:i/>
          <w:iCs/>
          <w:sz w:val="28"/>
          <w:szCs w:val="28"/>
        </w:rPr>
        <w:t>Act</w:t>
      </w:r>
      <w:proofErr w:type="spellEnd"/>
      <w:r>
        <w:rPr>
          <w:rFonts w:ascii="Times New Roman" w:hAnsi="Times New Roman" w:cs="Times New Roman"/>
          <w:sz w:val="28"/>
          <w:szCs w:val="28"/>
        </w:rPr>
        <w:t xml:space="preserve">, attualmente a livello di proposta della Commissione, si pone l’obiettivo di prevenire il disordine normativo e di creare un mercato digitale </w:t>
      </w:r>
      <w:r w:rsidRPr="00A6441A">
        <w:rPr>
          <w:rFonts w:ascii="Times New Roman" w:hAnsi="Times New Roman" w:cs="Times New Roman"/>
          <w:i/>
          <w:iCs/>
          <w:sz w:val="28"/>
          <w:szCs w:val="28"/>
        </w:rPr>
        <w:t>online</w:t>
      </w:r>
      <w:r>
        <w:rPr>
          <w:rFonts w:ascii="Times New Roman" w:hAnsi="Times New Roman" w:cs="Times New Roman"/>
          <w:sz w:val="28"/>
          <w:szCs w:val="28"/>
        </w:rPr>
        <w:t xml:space="preserve"> sicuro ed affidabile</w:t>
      </w:r>
      <w:r w:rsidR="00117862">
        <w:rPr>
          <w:rStyle w:val="Rimandonotaapidipagina"/>
          <w:rFonts w:ascii="Times New Roman" w:hAnsi="Times New Roman" w:cs="Times New Roman"/>
          <w:sz w:val="28"/>
          <w:szCs w:val="28"/>
        </w:rPr>
        <w:footnoteReference w:id="13"/>
      </w:r>
      <w:r>
        <w:rPr>
          <w:rFonts w:ascii="Times New Roman" w:hAnsi="Times New Roman" w:cs="Times New Roman"/>
          <w:sz w:val="28"/>
          <w:szCs w:val="28"/>
        </w:rPr>
        <w:t>. Nella nuova regolazione delle piattaforme digitali</w:t>
      </w:r>
      <w:r w:rsidR="00FC4093">
        <w:rPr>
          <w:rFonts w:ascii="Times New Roman" w:hAnsi="Times New Roman" w:cs="Times New Roman"/>
          <w:sz w:val="28"/>
          <w:szCs w:val="28"/>
        </w:rPr>
        <w:t xml:space="preserve">, </w:t>
      </w:r>
      <w:r>
        <w:rPr>
          <w:rFonts w:ascii="Times New Roman" w:hAnsi="Times New Roman" w:cs="Times New Roman"/>
          <w:sz w:val="28"/>
          <w:szCs w:val="28"/>
        </w:rPr>
        <w:t xml:space="preserve">la Commissione </w:t>
      </w:r>
      <w:r w:rsidR="00A6441A">
        <w:rPr>
          <w:rFonts w:ascii="Times New Roman" w:hAnsi="Times New Roman" w:cs="Times New Roman"/>
          <w:sz w:val="28"/>
          <w:szCs w:val="28"/>
        </w:rPr>
        <w:t>e</w:t>
      </w:r>
      <w:r>
        <w:rPr>
          <w:rFonts w:ascii="Times New Roman" w:hAnsi="Times New Roman" w:cs="Times New Roman"/>
          <w:sz w:val="28"/>
          <w:szCs w:val="28"/>
        </w:rPr>
        <w:t xml:space="preserve">uropea sta cercando di affermare </w:t>
      </w:r>
      <w:r w:rsidR="00B74B0A">
        <w:rPr>
          <w:rFonts w:ascii="Times New Roman" w:hAnsi="Times New Roman" w:cs="Times New Roman"/>
          <w:sz w:val="28"/>
          <w:szCs w:val="28"/>
        </w:rPr>
        <w:t xml:space="preserve">uno </w:t>
      </w:r>
      <w:r w:rsidR="00B74B0A" w:rsidRPr="00B74B0A">
        <w:rPr>
          <w:rFonts w:ascii="Times New Roman" w:hAnsi="Times New Roman" w:cs="Times New Roman"/>
          <w:i/>
          <w:iCs/>
          <w:sz w:val="28"/>
          <w:szCs w:val="28"/>
        </w:rPr>
        <w:t xml:space="preserve">Standard Europeo </w:t>
      </w:r>
      <w:proofErr w:type="spellStart"/>
      <w:r w:rsidR="00B74B0A" w:rsidRPr="00B74B0A">
        <w:rPr>
          <w:rFonts w:ascii="Times New Roman" w:hAnsi="Times New Roman" w:cs="Times New Roman"/>
          <w:i/>
          <w:iCs/>
          <w:sz w:val="28"/>
          <w:szCs w:val="28"/>
        </w:rPr>
        <w:t>Regolatorio</w:t>
      </w:r>
      <w:proofErr w:type="spellEnd"/>
      <w:r>
        <w:rPr>
          <w:rFonts w:ascii="Times New Roman" w:hAnsi="Times New Roman" w:cs="Times New Roman"/>
          <w:sz w:val="28"/>
          <w:szCs w:val="28"/>
        </w:rPr>
        <w:t xml:space="preserve"> </w:t>
      </w:r>
      <w:r w:rsidR="00B74B0A">
        <w:rPr>
          <w:rFonts w:ascii="Times New Roman" w:hAnsi="Times New Roman" w:cs="Times New Roman"/>
          <w:sz w:val="28"/>
          <w:szCs w:val="28"/>
        </w:rPr>
        <w:t>per la definizione del nuovo capitalismo digitale</w:t>
      </w:r>
      <w:r w:rsidR="00A6441A">
        <w:rPr>
          <w:rFonts w:ascii="Times New Roman" w:hAnsi="Times New Roman" w:cs="Times New Roman"/>
          <w:sz w:val="28"/>
          <w:szCs w:val="28"/>
        </w:rPr>
        <w:t>,</w:t>
      </w:r>
      <w:r w:rsidR="00B74B0A">
        <w:rPr>
          <w:rFonts w:ascii="Times New Roman" w:hAnsi="Times New Roman" w:cs="Times New Roman"/>
          <w:sz w:val="28"/>
          <w:szCs w:val="28"/>
        </w:rPr>
        <w:t xml:space="preserve"> che si basi su un concetto di “</w:t>
      </w:r>
      <w:r w:rsidR="00B74B0A" w:rsidRPr="00AA31AC">
        <w:rPr>
          <w:rFonts w:ascii="Times New Roman" w:hAnsi="Times New Roman" w:cs="Times New Roman"/>
          <w:i/>
          <w:iCs/>
          <w:sz w:val="28"/>
          <w:szCs w:val="28"/>
        </w:rPr>
        <w:t>sicurezza funzionale</w:t>
      </w:r>
      <w:r w:rsidR="00B74B0A" w:rsidRPr="00FC4093">
        <w:rPr>
          <w:rFonts w:ascii="Times New Roman" w:hAnsi="Times New Roman" w:cs="Times New Roman"/>
          <w:sz w:val="28"/>
          <w:szCs w:val="28"/>
        </w:rPr>
        <w:t>”</w:t>
      </w:r>
      <w:r w:rsidR="00B74B0A">
        <w:rPr>
          <w:rFonts w:ascii="Times New Roman" w:hAnsi="Times New Roman" w:cs="Times New Roman"/>
          <w:sz w:val="28"/>
          <w:szCs w:val="28"/>
        </w:rPr>
        <w:t xml:space="preserve">, </w:t>
      </w:r>
      <w:r w:rsidR="00B74B0A" w:rsidRPr="00B74B0A">
        <w:rPr>
          <w:rFonts w:ascii="Times New Roman" w:hAnsi="Times New Roman" w:cs="Times New Roman"/>
          <w:i/>
          <w:iCs/>
          <w:sz w:val="28"/>
          <w:szCs w:val="28"/>
        </w:rPr>
        <w:t>security by desig</w:t>
      </w:r>
      <w:r w:rsidR="00212D99">
        <w:rPr>
          <w:rFonts w:ascii="Times New Roman" w:hAnsi="Times New Roman" w:cs="Times New Roman"/>
          <w:i/>
          <w:iCs/>
          <w:sz w:val="28"/>
          <w:szCs w:val="28"/>
        </w:rPr>
        <w:t>n</w:t>
      </w:r>
      <w:r w:rsidR="00B74B0A">
        <w:rPr>
          <w:rFonts w:ascii="Times New Roman" w:hAnsi="Times New Roman" w:cs="Times New Roman"/>
          <w:i/>
          <w:iCs/>
          <w:sz w:val="28"/>
          <w:szCs w:val="28"/>
        </w:rPr>
        <w:t xml:space="preserve">. </w:t>
      </w:r>
      <w:r w:rsidR="00B74B0A" w:rsidRPr="00B74B0A">
        <w:rPr>
          <w:rFonts w:ascii="Times New Roman" w:hAnsi="Times New Roman" w:cs="Times New Roman"/>
          <w:sz w:val="28"/>
          <w:szCs w:val="28"/>
        </w:rPr>
        <w:t xml:space="preserve">La </w:t>
      </w:r>
      <w:r w:rsidR="00B74B0A">
        <w:rPr>
          <w:rFonts w:ascii="Times New Roman" w:hAnsi="Times New Roman" w:cs="Times New Roman"/>
          <w:sz w:val="28"/>
          <w:szCs w:val="28"/>
        </w:rPr>
        <w:t>Commissione europea sollecita gli Stati membri non con regole, ma con obiettivi</w:t>
      </w:r>
      <w:r w:rsidR="00FC4093">
        <w:rPr>
          <w:rFonts w:ascii="Times New Roman" w:hAnsi="Times New Roman" w:cs="Times New Roman"/>
          <w:sz w:val="28"/>
          <w:szCs w:val="28"/>
        </w:rPr>
        <w:t>,</w:t>
      </w:r>
      <w:r w:rsidR="00B74B0A">
        <w:rPr>
          <w:rFonts w:ascii="Times New Roman" w:hAnsi="Times New Roman" w:cs="Times New Roman"/>
          <w:sz w:val="28"/>
          <w:szCs w:val="28"/>
        </w:rPr>
        <w:t xml:space="preserve"> per far diventare l’Europa un </w:t>
      </w:r>
      <w:proofErr w:type="spellStart"/>
      <w:r w:rsidR="00B74B0A" w:rsidRPr="00FC4093">
        <w:rPr>
          <w:rFonts w:ascii="Times New Roman" w:hAnsi="Times New Roman" w:cs="Times New Roman"/>
          <w:i/>
          <w:iCs/>
          <w:sz w:val="28"/>
          <w:szCs w:val="28"/>
        </w:rPr>
        <w:t>Hub</w:t>
      </w:r>
      <w:proofErr w:type="spellEnd"/>
      <w:r w:rsidR="00B74B0A">
        <w:rPr>
          <w:rFonts w:ascii="Times New Roman" w:hAnsi="Times New Roman" w:cs="Times New Roman"/>
          <w:sz w:val="28"/>
          <w:szCs w:val="28"/>
        </w:rPr>
        <w:t xml:space="preserve"> di regole digitali, il protagon</w:t>
      </w:r>
      <w:r w:rsidR="00E60B3E">
        <w:rPr>
          <w:rFonts w:ascii="Times New Roman" w:hAnsi="Times New Roman" w:cs="Times New Roman"/>
          <w:sz w:val="28"/>
          <w:szCs w:val="28"/>
        </w:rPr>
        <w:t>i</w:t>
      </w:r>
      <w:r w:rsidR="00B74B0A">
        <w:rPr>
          <w:rFonts w:ascii="Times New Roman" w:hAnsi="Times New Roman" w:cs="Times New Roman"/>
          <w:sz w:val="28"/>
          <w:szCs w:val="28"/>
        </w:rPr>
        <w:t xml:space="preserve">sta della trasformazione digitale ed ecologica entro il 2030. In un’epoca caratterizzata da un eccesso di informazioni, </w:t>
      </w:r>
      <w:r w:rsidR="00FC4093">
        <w:rPr>
          <w:rFonts w:ascii="Times New Roman" w:hAnsi="Times New Roman" w:cs="Times New Roman"/>
          <w:sz w:val="28"/>
          <w:szCs w:val="28"/>
        </w:rPr>
        <w:t xml:space="preserve">la </w:t>
      </w:r>
      <w:r w:rsidR="00B74B0A" w:rsidRPr="00FC4093">
        <w:rPr>
          <w:rFonts w:ascii="Times New Roman" w:hAnsi="Times New Roman" w:cs="Times New Roman"/>
          <w:sz w:val="28"/>
          <w:szCs w:val="28"/>
        </w:rPr>
        <w:t>c</w:t>
      </w:r>
      <w:r w:rsidR="00FC4093" w:rsidRPr="00FC4093">
        <w:rPr>
          <w:rFonts w:ascii="Times New Roman" w:hAnsi="Times New Roman" w:cs="Times New Roman"/>
          <w:sz w:val="28"/>
          <w:szCs w:val="28"/>
        </w:rPr>
        <w:t>.</w:t>
      </w:r>
      <w:r w:rsidR="00B74B0A" w:rsidRPr="00FC4093">
        <w:rPr>
          <w:rFonts w:ascii="Times New Roman" w:hAnsi="Times New Roman" w:cs="Times New Roman"/>
          <w:sz w:val="28"/>
          <w:szCs w:val="28"/>
        </w:rPr>
        <w:t>d</w:t>
      </w:r>
      <w:r w:rsidR="00FC4093" w:rsidRPr="00FC4093">
        <w:rPr>
          <w:rFonts w:ascii="Times New Roman" w:hAnsi="Times New Roman" w:cs="Times New Roman"/>
          <w:sz w:val="28"/>
          <w:szCs w:val="28"/>
        </w:rPr>
        <w:t>.</w:t>
      </w:r>
      <w:r w:rsidR="00B74B0A" w:rsidRPr="00B74B0A">
        <w:rPr>
          <w:rFonts w:ascii="Times New Roman" w:hAnsi="Times New Roman" w:cs="Times New Roman"/>
          <w:i/>
          <w:iCs/>
          <w:sz w:val="28"/>
          <w:szCs w:val="28"/>
        </w:rPr>
        <w:t xml:space="preserve"> </w:t>
      </w:r>
      <w:proofErr w:type="spellStart"/>
      <w:r w:rsidR="00B74B0A" w:rsidRPr="00B74B0A">
        <w:rPr>
          <w:rFonts w:ascii="Times New Roman" w:hAnsi="Times New Roman" w:cs="Times New Roman"/>
          <w:i/>
          <w:iCs/>
          <w:sz w:val="28"/>
          <w:szCs w:val="28"/>
        </w:rPr>
        <w:t>Infodemia</w:t>
      </w:r>
      <w:proofErr w:type="spellEnd"/>
      <w:r w:rsidR="00212D99">
        <w:rPr>
          <w:rFonts w:ascii="Times New Roman" w:hAnsi="Times New Roman" w:cs="Times New Roman"/>
          <w:i/>
          <w:iCs/>
          <w:sz w:val="28"/>
          <w:szCs w:val="28"/>
        </w:rPr>
        <w:t>,</w:t>
      </w:r>
      <w:r w:rsidR="00B74B0A">
        <w:rPr>
          <w:rFonts w:ascii="Times New Roman" w:hAnsi="Times New Roman" w:cs="Times New Roman"/>
          <w:i/>
          <w:iCs/>
          <w:sz w:val="28"/>
          <w:szCs w:val="28"/>
        </w:rPr>
        <w:t xml:space="preserve"> </w:t>
      </w:r>
      <w:r w:rsidR="00B74B0A" w:rsidRPr="00B74B0A">
        <w:rPr>
          <w:rFonts w:ascii="Times New Roman" w:hAnsi="Times New Roman" w:cs="Times New Roman"/>
          <w:sz w:val="28"/>
          <w:szCs w:val="28"/>
        </w:rPr>
        <w:t>è</w:t>
      </w:r>
      <w:r w:rsidR="00B74B0A">
        <w:rPr>
          <w:rFonts w:ascii="Times New Roman" w:hAnsi="Times New Roman" w:cs="Times New Roman"/>
          <w:sz w:val="28"/>
          <w:szCs w:val="28"/>
        </w:rPr>
        <w:t xml:space="preserve"> necessaria anche un’igiene informativa: secondo Vittorio Loreto,</w:t>
      </w:r>
      <w:r w:rsidR="00776EF1">
        <w:rPr>
          <w:rFonts w:ascii="Times New Roman" w:hAnsi="Times New Roman" w:cs="Times New Roman"/>
          <w:sz w:val="28"/>
          <w:szCs w:val="28"/>
        </w:rPr>
        <w:t xml:space="preserve"> </w:t>
      </w:r>
      <w:r w:rsidR="00B74B0A">
        <w:rPr>
          <w:rFonts w:ascii="Times New Roman" w:hAnsi="Times New Roman" w:cs="Times New Roman"/>
          <w:sz w:val="28"/>
          <w:szCs w:val="28"/>
        </w:rPr>
        <w:t>fisico della materia presso l’Unive</w:t>
      </w:r>
      <w:r w:rsidR="00475941">
        <w:rPr>
          <w:rFonts w:ascii="Times New Roman" w:hAnsi="Times New Roman" w:cs="Times New Roman"/>
          <w:sz w:val="28"/>
          <w:szCs w:val="28"/>
        </w:rPr>
        <w:t>r</w:t>
      </w:r>
      <w:r w:rsidR="00B74B0A">
        <w:rPr>
          <w:rFonts w:ascii="Times New Roman" w:hAnsi="Times New Roman" w:cs="Times New Roman"/>
          <w:sz w:val="28"/>
          <w:szCs w:val="28"/>
        </w:rPr>
        <w:t>sità La Sapienza di Roma, che collabora ad un progetto di ricerca definito “</w:t>
      </w:r>
      <w:r w:rsidR="00B74B0A" w:rsidRPr="0092641A">
        <w:rPr>
          <w:rFonts w:ascii="Times New Roman" w:hAnsi="Times New Roman" w:cs="Times New Roman"/>
          <w:i/>
          <w:iCs/>
          <w:sz w:val="28"/>
          <w:szCs w:val="28"/>
        </w:rPr>
        <w:t>Cartesio,</w:t>
      </w:r>
      <w:r w:rsidR="00212D99">
        <w:rPr>
          <w:rFonts w:ascii="Times New Roman" w:hAnsi="Times New Roman" w:cs="Times New Roman"/>
          <w:i/>
          <w:iCs/>
          <w:sz w:val="28"/>
          <w:szCs w:val="28"/>
        </w:rPr>
        <w:t xml:space="preserve"> </w:t>
      </w:r>
      <w:r w:rsidR="00B74B0A" w:rsidRPr="0092641A">
        <w:rPr>
          <w:rFonts w:ascii="Times New Roman" w:hAnsi="Times New Roman" w:cs="Times New Roman"/>
          <w:i/>
          <w:iCs/>
          <w:sz w:val="28"/>
          <w:szCs w:val="28"/>
        </w:rPr>
        <w:t>ergo news</w:t>
      </w:r>
      <w:r w:rsidR="00B74B0A">
        <w:rPr>
          <w:rFonts w:ascii="Times New Roman" w:hAnsi="Times New Roman" w:cs="Times New Roman"/>
          <w:sz w:val="28"/>
          <w:szCs w:val="28"/>
        </w:rPr>
        <w:t>”, se il dubbio è l’inizio del</w:t>
      </w:r>
      <w:r w:rsidR="00475941">
        <w:rPr>
          <w:rFonts w:ascii="Times New Roman" w:hAnsi="Times New Roman" w:cs="Times New Roman"/>
          <w:sz w:val="28"/>
          <w:szCs w:val="28"/>
        </w:rPr>
        <w:t>la</w:t>
      </w:r>
      <w:r w:rsidR="00B74B0A">
        <w:rPr>
          <w:rFonts w:ascii="Times New Roman" w:hAnsi="Times New Roman" w:cs="Times New Roman"/>
          <w:sz w:val="28"/>
          <w:szCs w:val="28"/>
        </w:rPr>
        <w:t xml:space="preserve"> conoscenza, occorrono sistemi per valutare l’affidabilità di una notizia.</w:t>
      </w:r>
      <w:r w:rsidR="00475941">
        <w:rPr>
          <w:rFonts w:ascii="Times New Roman" w:hAnsi="Times New Roman" w:cs="Times New Roman"/>
          <w:sz w:val="28"/>
          <w:szCs w:val="28"/>
        </w:rPr>
        <w:t xml:space="preserve"> Viviamo attualmente in delle “bolle informative”, con i c</w:t>
      </w:r>
      <w:r w:rsidR="00FC4093">
        <w:rPr>
          <w:rFonts w:ascii="Times New Roman" w:hAnsi="Times New Roman" w:cs="Times New Roman"/>
          <w:sz w:val="28"/>
          <w:szCs w:val="28"/>
        </w:rPr>
        <w:t>.</w:t>
      </w:r>
      <w:r w:rsidR="00475941">
        <w:rPr>
          <w:rFonts w:ascii="Times New Roman" w:hAnsi="Times New Roman" w:cs="Times New Roman"/>
          <w:sz w:val="28"/>
          <w:szCs w:val="28"/>
        </w:rPr>
        <w:t>d</w:t>
      </w:r>
      <w:r w:rsidR="00FC4093">
        <w:rPr>
          <w:rFonts w:ascii="Times New Roman" w:hAnsi="Times New Roman" w:cs="Times New Roman"/>
          <w:sz w:val="28"/>
          <w:szCs w:val="28"/>
        </w:rPr>
        <w:t>.</w:t>
      </w:r>
      <w:r w:rsidR="00475941">
        <w:rPr>
          <w:rFonts w:ascii="Times New Roman" w:hAnsi="Times New Roman" w:cs="Times New Roman"/>
          <w:sz w:val="28"/>
          <w:szCs w:val="28"/>
        </w:rPr>
        <w:t xml:space="preserve"> “</w:t>
      </w:r>
      <w:r w:rsidR="00475941" w:rsidRPr="0092641A">
        <w:rPr>
          <w:rFonts w:ascii="Times New Roman" w:hAnsi="Times New Roman" w:cs="Times New Roman"/>
          <w:i/>
          <w:iCs/>
          <w:sz w:val="28"/>
          <w:szCs w:val="28"/>
        </w:rPr>
        <w:t>sistemi di raccomandazione</w:t>
      </w:r>
      <w:r w:rsidR="00475941">
        <w:rPr>
          <w:rFonts w:ascii="Times New Roman" w:hAnsi="Times New Roman" w:cs="Times New Roman"/>
          <w:sz w:val="28"/>
          <w:szCs w:val="28"/>
        </w:rPr>
        <w:t xml:space="preserve">” che non consentono di esplorare </w:t>
      </w:r>
      <w:r w:rsidR="00475941" w:rsidRPr="00D14DA1">
        <w:rPr>
          <w:rFonts w:ascii="Times New Roman" w:hAnsi="Times New Roman" w:cs="Times New Roman"/>
          <w:i/>
          <w:iCs/>
          <w:sz w:val="28"/>
          <w:szCs w:val="28"/>
        </w:rPr>
        <w:t>“l’Adiacente</w:t>
      </w:r>
      <w:r w:rsidR="00475941">
        <w:rPr>
          <w:rFonts w:ascii="Times New Roman" w:hAnsi="Times New Roman" w:cs="Times New Roman"/>
          <w:sz w:val="28"/>
          <w:szCs w:val="28"/>
        </w:rPr>
        <w:t xml:space="preserve"> </w:t>
      </w:r>
      <w:r w:rsidR="00475941" w:rsidRPr="00D14DA1">
        <w:rPr>
          <w:rFonts w:ascii="Times New Roman" w:hAnsi="Times New Roman" w:cs="Times New Roman"/>
          <w:i/>
          <w:iCs/>
          <w:sz w:val="28"/>
          <w:szCs w:val="28"/>
        </w:rPr>
        <w:t>possibile</w:t>
      </w:r>
      <w:r w:rsidR="00475941">
        <w:rPr>
          <w:rFonts w:ascii="Times New Roman" w:hAnsi="Times New Roman" w:cs="Times New Roman"/>
          <w:sz w:val="28"/>
          <w:szCs w:val="28"/>
        </w:rPr>
        <w:t>”.</w:t>
      </w:r>
      <w:r w:rsidR="00B74B0A">
        <w:rPr>
          <w:rFonts w:ascii="Times New Roman" w:hAnsi="Times New Roman" w:cs="Times New Roman"/>
          <w:sz w:val="28"/>
          <w:szCs w:val="28"/>
        </w:rPr>
        <w:t xml:space="preserve"> </w:t>
      </w:r>
    </w:p>
    <w:p w14:paraId="5ED1CECF" w14:textId="77777777" w:rsidR="00A6441A" w:rsidRDefault="00475941" w:rsidP="00A6441A">
      <w:pPr>
        <w:spacing w:after="0"/>
        <w:jc w:val="both"/>
        <w:rPr>
          <w:rFonts w:ascii="Times New Roman" w:hAnsi="Times New Roman" w:cs="Times New Roman"/>
          <w:sz w:val="28"/>
          <w:szCs w:val="28"/>
        </w:rPr>
      </w:pPr>
      <w:r>
        <w:rPr>
          <w:rFonts w:ascii="Times New Roman" w:hAnsi="Times New Roman" w:cs="Times New Roman"/>
          <w:sz w:val="28"/>
          <w:szCs w:val="28"/>
        </w:rPr>
        <w:t xml:space="preserve">Ma come controllare la qualità dell’informazione? Sono sufficienti gli appositi </w:t>
      </w:r>
      <w:r w:rsidRPr="00A6441A">
        <w:rPr>
          <w:rFonts w:ascii="Times New Roman" w:hAnsi="Times New Roman" w:cs="Times New Roman"/>
          <w:i/>
          <w:iCs/>
          <w:sz w:val="28"/>
          <w:szCs w:val="28"/>
        </w:rPr>
        <w:t>software</w:t>
      </w:r>
      <w:r>
        <w:rPr>
          <w:rFonts w:ascii="Times New Roman" w:hAnsi="Times New Roman" w:cs="Times New Roman"/>
          <w:sz w:val="28"/>
          <w:szCs w:val="28"/>
        </w:rPr>
        <w:t xml:space="preserve"> per controllare la tracciabilità della notizia?  Possiamo parlare di graduazione delle falsità informative? Il fisico Pa</w:t>
      </w:r>
      <w:r w:rsidR="00F16D69">
        <w:rPr>
          <w:rFonts w:ascii="Times New Roman" w:hAnsi="Times New Roman" w:cs="Times New Roman"/>
          <w:sz w:val="28"/>
          <w:szCs w:val="28"/>
        </w:rPr>
        <w:t>u</w:t>
      </w:r>
      <w:r>
        <w:rPr>
          <w:rFonts w:ascii="Times New Roman" w:hAnsi="Times New Roman" w:cs="Times New Roman"/>
          <w:sz w:val="28"/>
          <w:szCs w:val="28"/>
        </w:rPr>
        <w:t>li</w:t>
      </w:r>
      <w:r w:rsidR="00F16D69">
        <w:rPr>
          <w:rFonts w:ascii="Times New Roman" w:hAnsi="Times New Roman" w:cs="Times New Roman"/>
          <w:sz w:val="28"/>
          <w:szCs w:val="28"/>
        </w:rPr>
        <w:t>,</w:t>
      </w:r>
      <w:r w:rsidR="00AA31AC">
        <w:rPr>
          <w:rFonts w:ascii="Times New Roman" w:hAnsi="Times New Roman" w:cs="Times New Roman"/>
          <w:sz w:val="28"/>
          <w:szCs w:val="28"/>
        </w:rPr>
        <w:t xml:space="preserve"> </w:t>
      </w:r>
      <w:r w:rsidR="00F16D69">
        <w:rPr>
          <w:rFonts w:ascii="Times New Roman" w:hAnsi="Times New Roman" w:cs="Times New Roman"/>
          <w:sz w:val="28"/>
          <w:szCs w:val="28"/>
        </w:rPr>
        <w:t>fondatore della meccanica quantistica,</w:t>
      </w:r>
      <w:r>
        <w:rPr>
          <w:rFonts w:ascii="Times New Roman" w:hAnsi="Times New Roman" w:cs="Times New Roman"/>
          <w:sz w:val="28"/>
          <w:szCs w:val="28"/>
        </w:rPr>
        <w:t xml:space="preserve"> parlava di “</w:t>
      </w:r>
      <w:proofErr w:type="spellStart"/>
      <w:r w:rsidRPr="0092641A">
        <w:rPr>
          <w:rFonts w:ascii="Times New Roman" w:hAnsi="Times New Roman" w:cs="Times New Roman"/>
          <w:i/>
          <w:iCs/>
          <w:sz w:val="28"/>
          <w:szCs w:val="28"/>
        </w:rPr>
        <w:t>nothing</w:t>
      </w:r>
      <w:proofErr w:type="spellEnd"/>
      <w:r w:rsidRPr="0092641A">
        <w:rPr>
          <w:rFonts w:ascii="Times New Roman" w:hAnsi="Times New Roman" w:cs="Times New Roman"/>
          <w:i/>
          <w:iCs/>
          <w:sz w:val="28"/>
          <w:szCs w:val="28"/>
        </w:rPr>
        <w:t xml:space="preserve"> in </w:t>
      </w:r>
      <w:proofErr w:type="spellStart"/>
      <w:r w:rsidRPr="0092641A">
        <w:rPr>
          <w:rFonts w:ascii="Times New Roman" w:hAnsi="Times New Roman" w:cs="Times New Roman"/>
          <w:i/>
          <w:iCs/>
          <w:sz w:val="28"/>
          <w:szCs w:val="28"/>
        </w:rPr>
        <w:t>wrong</w:t>
      </w:r>
      <w:proofErr w:type="spellEnd"/>
      <w:r>
        <w:rPr>
          <w:rFonts w:ascii="Times New Roman" w:hAnsi="Times New Roman" w:cs="Times New Roman"/>
          <w:sz w:val="28"/>
          <w:szCs w:val="28"/>
        </w:rPr>
        <w:t>”</w:t>
      </w:r>
      <w:r w:rsidR="00A6441A">
        <w:rPr>
          <w:rFonts w:ascii="Times New Roman" w:hAnsi="Times New Roman" w:cs="Times New Roman"/>
          <w:sz w:val="28"/>
          <w:szCs w:val="28"/>
        </w:rPr>
        <w:t>;</w:t>
      </w:r>
      <w:r>
        <w:rPr>
          <w:rFonts w:ascii="Times New Roman" w:hAnsi="Times New Roman" w:cs="Times New Roman"/>
          <w:sz w:val="28"/>
          <w:szCs w:val="28"/>
        </w:rPr>
        <w:t xml:space="preserve"> noi possiamo parlare di “</w:t>
      </w:r>
      <w:proofErr w:type="spellStart"/>
      <w:r w:rsidRPr="0092641A">
        <w:rPr>
          <w:rFonts w:ascii="Times New Roman" w:hAnsi="Times New Roman" w:cs="Times New Roman"/>
          <w:i/>
          <w:iCs/>
          <w:sz w:val="28"/>
          <w:szCs w:val="28"/>
        </w:rPr>
        <w:t>nothing</w:t>
      </w:r>
      <w:proofErr w:type="spellEnd"/>
      <w:r w:rsidRPr="0092641A">
        <w:rPr>
          <w:rFonts w:ascii="Times New Roman" w:hAnsi="Times New Roman" w:cs="Times New Roman"/>
          <w:i/>
          <w:iCs/>
          <w:sz w:val="28"/>
          <w:szCs w:val="28"/>
        </w:rPr>
        <w:t xml:space="preserve"> in </w:t>
      </w:r>
      <w:proofErr w:type="spellStart"/>
      <w:r w:rsidRPr="0092641A">
        <w:rPr>
          <w:rFonts w:ascii="Times New Roman" w:hAnsi="Times New Roman" w:cs="Times New Roman"/>
          <w:i/>
          <w:iCs/>
          <w:sz w:val="28"/>
          <w:szCs w:val="28"/>
        </w:rPr>
        <w:t>fake</w:t>
      </w:r>
      <w:proofErr w:type="spellEnd"/>
      <w:r>
        <w:rPr>
          <w:rFonts w:ascii="Times New Roman" w:hAnsi="Times New Roman" w:cs="Times New Roman"/>
          <w:sz w:val="28"/>
          <w:szCs w:val="28"/>
        </w:rPr>
        <w:t xml:space="preserve">”? </w:t>
      </w:r>
    </w:p>
    <w:p w14:paraId="7EE02D00" w14:textId="77777777" w:rsidR="00F3531B" w:rsidRDefault="00475941" w:rsidP="00A6441A">
      <w:pPr>
        <w:spacing w:after="0"/>
        <w:jc w:val="both"/>
        <w:rPr>
          <w:rFonts w:ascii="Times New Roman" w:hAnsi="Times New Roman" w:cs="Times New Roman"/>
          <w:sz w:val="28"/>
          <w:szCs w:val="28"/>
        </w:rPr>
      </w:pPr>
      <w:r>
        <w:rPr>
          <w:rFonts w:ascii="Times New Roman" w:hAnsi="Times New Roman" w:cs="Times New Roman"/>
          <w:sz w:val="28"/>
          <w:szCs w:val="28"/>
        </w:rPr>
        <w:t xml:space="preserve">Ognuno di noi è alle prese con </w:t>
      </w:r>
      <w:r w:rsidRPr="00A6441A">
        <w:rPr>
          <w:rFonts w:ascii="Times New Roman" w:hAnsi="Times New Roman" w:cs="Times New Roman"/>
          <w:i/>
          <w:iCs/>
          <w:sz w:val="28"/>
          <w:szCs w:val="28"/>
        </w:rPr>
        <w:t>cookie</w:t>
      </w:r>
      <w:r w:rsidR="00A6441A">
        <w:rPr>
          <w:rFonts w:ascii="Times New Roman" w:hAnsi="Times New Roman" w:cs="Times New Roman"/>
          <w:i/>
          <w:iCs/>
          <w:sz w:val="28"/>
          <w:szCs w:val="28"/>
        </w:rPr>
        <w:t>s</w:t>
      </w:r>
      <w:r>
        <w:rPr>
          <w:rFonts w:ascii="Times New Roman" w:hAnsi="Times New Roman" w:cs="Times New Roman"/>
          <w:sz w:val="28"/>
          <w:szCs w:val="28"/>
        </w:rPr>
        <w:t xml:space="preserve"> di funzionalità, </w:t>
      </w:r>
      <w:r w:rsidRPr="00A6441A">
        <w:rPr>
          <w:rFonts w:ascii="Times New Roman" w:hAnsi="Times New Roman" w:cs="Times New Roman"/>
          <w:i/>
          <w:iCs/>
          <w:sz w:val="28"/>
          <w:szCs w:val="28"/>
        </w:rPr>
        <w:t>cookie</w:t>
      </w:r>
      <w:r w:rsidR="00A6441A">
        <w:rPr>
          <w:rFonts w:ascii="Times New Roman" w:hAnsi="Times New Roman" w:cs="Times New Roman"/>
          <w:i/>
          <w:iCs/>
          <w:sz w:val="28"/>
          <w:szCs w:val="28"/>
        </w:rPr>
        <w:t>s</w:t>
      </w:r>
      <w:r>
        <w:rPr>
          <w:rFonts w:ascii="Times New Roman" w:hAnsi="Times New Roman" w:cs="Times New Roman"/>
          <w:sz w:val="28"/>
          <w:szCs w:val="28"/>
        </w:rPr>
        <w:t xml:space="preserve"> analitici e </w:t>
      </w:r>
      <w:r w:rsidRPr="00A6441A">
        <w:rPr>
          <w:rFonts w:ascii="Times New Roman" w:hAnsi="Times New Roman" w:cs="Times New Roman"/>
          <w:i/>
          <w:iCs/>
          <w:sz w:val="28"/>
          <w:szCs w:val="28"/>
        </w:rPr>
        <w:t>cookie</w:t>
      </w:r>
      <w:r w:rsidR="00A6441A">
        <w:rPr>
          <w:rFonts w:ascii="Times New Roman" w:hAnsi="Times New Roman" w:cs="Times New Roman"/>
          <w:i/>
          <w:iCs/>
          <w:sz w:val="28"/>
          <w:szCs w:val="28"/>
        </w:rPr>
        <w:t>s</w:t>
      </w:r>
      <w:r>
        <w:rPr>
          <w:rFonts w:ascii="Times New Roman" w:hAnsi="Times New Roman" w:cs="Times New Roman"/>
          <w:sz w:val="28"/>
          <w:szCs w:val="28"/>
        </w:rPr>
        <w:t xml:space="preserve"> di </w:t>
      </w:r>
      <w:proofErr w:type="spellStart"/>
      <w:r>
        <w:rPr>
          <w:rFonts w:ascii="Times New Roman" w:hAnsi="Times New Roman" w:cs="Times New Roman"/>
          <w:sz w:val="28"/>
          <w:szCs w:val="28"/>
        </w:rPr>
        <w:t>profilazione</w:t>
      </w:r>
      <w:proofErr w:type="spellEnd"/>
      <w:r>
        <w:rPr>
          <w:rFonts w:ascii="Times New Roman" w:hAnsi="Times New Roman" w:cs="Times New Roman"/>
          <w:sz w:val="28"/>
          <w:szCs w:val="28"/>
        </w:rPr>
        <w:t xml:space="preserve"> di terze parti. Per prestare il proprio consenso</w:t>
      </w:r>
      <w:r w:rsidR="00A6441A">
        <w:rPr>
          <w:rFonts w:ascii="Times New Roman" w:hAnsi="Times New Roman" w:cs="Times New Roman"/>
          <w:sz w:val="28"/>
          <w:szCs w:val="28"/>
        </w:rPr>
        <w:t>,</w:t>
      </w:r>
      <w:r>
        <w:rPr>
          <w:rFonts w:ascii="Times New Roman" w:hAnsi="Times New Roman" w:cs="Times New Roman"/>
          <w:sz w:val="28"/>
          <w:szCs w:val="28"/>
        </w:rPr>
        <w:t xml:space="preserve"> siamo costretti a consultare </w:t>
      </w:r>
      <w:r>
        <w:rPr>
          <w:rFonts w:ascii="Times New Roman" w:hAnsi="Times New Roman" w:cs="Times New Roman"/>
          <w:sz w:val="28"/>
          <w:szCs w:val="28"/>
        </w:rPr>
        <w:lastRenderedPageBreak/>
        <w:t xml:space="preserve">la </w:t>
      </w:r>
      <w:r w:rsidRPr="00FC4093">
        <w:rPr>
          <w:rFonts w:ascii="Times New Roman" w:hAnsi="Times New Roman" w:cs="Times New Roman"/>
          <w:i/>
          <w:iCs/>
          <w:sz w:val="28"/>
          <w:szCs w:val="28"/>
        </w:rPr>
        <w:t>Cookie policy</w:t>
      </w:r>
      <w:r>
        <w:rPr>
          <w:rFonts w:ascii="Times New Roman" w:hAnsi="Times New Roman" w:cs="Times New Roman"/>
          <w:sz w:val="28"/>
          <w:szCs w:val="28"/>
        </w:rPr>
        <w:t xml:space="preserve">, con la automatica conseguenza che, chiudendo il </w:t>
      </w:r>
      <w:r w:rsidRPr="00A6441A">
        <w:rPr>
          <w:rFonts w:ascii="Times New Roman" w:hAnsi="Times New Roman" w:cs="Times New Roman"/>
          <w:i/>
          <w:iCs/>
          <w:sz w:val="28"/>
          <w:szCs w:val="28"/>
        </w:rPr>
        <w:t>banner</w:t>
      </w:r>
      <w:r>
        <w:rPr>
          <w:rFonts w:ascii="Times New Roman" w:hAnsi="Times New Roman" w:cs="Times New Roman"/>
          <w:sz w:val="28"/>
          <w:szCs w:val="28"/>
        </w:rPr>
        <w:t xml:space="preserve"> o accedendo a qualunque elemento del sito,</w:t>
      </w:r>
      <w:r w:rsidR="00F16D69">
        <w:rPr>
          <w:rFonts w:ascii="Times New Roman" w:hAnsi="Times New Roman" w:cs="Times New Roman"/>
          <w:sz w:val="28"/>
          <w:szCs w:val="28"/>
        </w:rPr>
        <w:t xml:space="preserve"> </w:t>
      </w:r>
      <w:r>
        <w:rPr>
          <w:rFonts w:ascii="Times New Roman" w:hAnsi="Times New Roman" w:cs="Times New Roman"/>
          <w:sz w:val="28"/>
          <w:szCs w:val="28"/>
        </w:rPr>
        <w:t>acco</w:t>
      </w:r>
      <w:r w:rsidR="00AA31AC">
        <w:rPr>
          <w:rFonts w:ascii="Times New Roman" w:hAnsi="Times New Roman" w:cs="Times New Roman"/>
          <w:sz w:val="28"/>
          <w:szCs w:val="28"/>
        </w:rPr>
        <w:t>n</w:t>
      </w:r>
      <w:r>
        <w:rPr>
          <w:rFonts w:ascii="Times New Roman" w:hAnsi="Times New Roman" w:cs="Times New Roman"/>
          <w:sz w:val="28"/>
          <w:szCs w:val="28"/>
        </w:rPr>
        <w:t xml:space="preserve">sentiamo automaticamente all’uso dei </w:t>
      </w:r>
      <w:r w:rsidRPr="00A6441A">
        <w:rPr>
          <w:rFonts w:ascii="Times New Roman" w:hAnsi="Times New Roman" w:cs="Times New Roman"/>
          <w:i/>
          <w:iCs/>
          <w:sz w:val="28"/>
          <w:szCs w:val="28"/>
        </w:rPr>
        <w:t>cookie</w:t>
      </w:r>
      <w:r w:rsidR="00A6441A" w:rsidRPr="00A6441A">
        <w:rPr>
          <w:rFonts w:ascii="Times New Roman" w:hAnsi="Times New Roman" w:cs="Times New Roman"/>
          <w:i/>
          <w:iCs/>
          <w:sz w:val="28"/>
          <w:szCs w:val="28"/>
        </w:rPr>
        <w:t>s</w:t>
      </w:r>
      <w:r>
        <w:rPr>
          <w:rFonts w:ascii="Times New Roman" w:hAnsi="Times New Roman" w:cs="Times New Roman"/>
          <w:sz w:val="28"/>
          <w:szCs w:val="28"/>
        </w:rPr>
        <w:t xml:space="preserve">. </w:t>
      </w:r>
    </w:p>
    <w:p w14:paraId="6A393D09" w14:textId="792B57B3" w:rsidR="0042552E" w:rsidRDefault="00475941" w:rsidP="00A6441A">
      <w:pPr>
        <w:spacing w:after="0"/>
        <w:jc w:val="both"/>
        <w:rPr>
          <w:rFonts w:ascii="Times New Roman" w:hAnsi="Times New Roman" w:cs="Times New Roman"/>
          <w:sz w:val="28"/>
          <w:szCs w:val="28"/>
        </w:rPr>
      </w:pPr>
      <w:r>
        <w:rPr>
          <w:rFonts w:ascii="Times New Roman" w:hAnsi="Times New Roman" w:cs="Times New Roman"/>
          <w:sz w:val="28"/>
          <w:szCs w:val="28"/>
        </w:rPr>
        <w:t>La credibilità, la decentralizzazione</w:t>
      </w:r>
      <w:r w:rsidR="00A6441A">
        <w:rPr>
          <w:rFonts w:ascii="Times New Roman" w:hAnsi="Times New Roman" w:cs="Times New Roman"/>
          <w:sz w:val="28"/>
          <w:szCs w:val="28"/>
        </w:rPr>
        <w:t xml:space="preserve"> e </w:t>
      </w:r>
      <w:r>
        <w:rPr>
          <w:rFonts w:ascii="Times New Roman" w:hAnsi="Times New Roman" w:cs="Times New Roman"/>
          <w:sz w:val="28"/>
          <w:szCs w:val="28"/>
        </w:rPr>
        <w:t>l’intermediazione sono presenti nei c</w:t>
      </w:r>
      <w:r w:rsidR="00FC4093">
        <w:rPr>
          <w:rFonts w:ascii="Times New Roman" w:hAnsi="Times New Roman" w:cs="Times New Roman"/>
          <w:sz w:val="28"/>
          <w:szCs w:val="28"/>
        </w:rPr>
        <w:t>.</w:t>
      </w:r>
      <w:r>
        <w:rPr>
          <w:rFonts w:ascii="Times New Roman" w:hAnsi="Times New Roman" w:cs="Times New Roman"/>
          <w:sz w:val="28"/>
          <w:szCs w:val="28"/>
        </w:rPr>
        <w:t>d</w:t>
      </w:r>
      <w:r w:rsidR="00FC409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475941">
        <w:rPr>
          <w:rFonts w:ascii="Times New Roman" w:hAnsi="Times New Roman" w:cs="Times New Roman"/>
          <w:i/>
          <w:iCs/>
          <w:sz w:val="28"/>
          <w:szCs w:val="28"/>
        </w:rPr>
        <w:t>filter</w:t>
      </w:r>
      <w:proofErr w:type="spellEnd"/>
      <w:r w:rsidRPr="00475941">
        <w:rPr>
          <w:rFonts w:ascii="Times New Roman" w:hAnsi="Times New Roman" w:cs="Times New Roman"/>
          <w:i/>
          <w:iCs/>
          <w:sz w:val="28"/>
          <w:szCs w:val="28"/>
        </w:rPr>
        <w:t xml:space="preserve"> </w:t>
      </w:r>
      <w:proofErr w:type="spellStart"/>
      <w:r w:rsidRPr="00475941">
        <w:rPr>
          <w:rFonts w:ascii="Times New Roman" w:hAnsi="Times New Roman" w:cs="Times New Roman"/>
          <w:i/>
          <w:iCs/>
          <w:sz w:val="28"/>
          <w:szCs w:val="28"/>
        </w:rPr>
        <w:t>bubbles</w:t>
      </w:r>
      <w:proofErr w:type="spellEnd"/>
      <w:r>
        <w:rPr>
          <w:rFonts w:ascii="Times New Roman" w:hAnsi="Times New Roman" w:cs="Times New Roman"/>
          <w:sz w:val="28"/>
          <w:szCs w:val="28"/>
        </w:rPr>
        <w:t>”,</w:t>
      </w:r>
      <w:r w:rsidR="004D6535">
        <w:rPr>
          <w:rFonts w:ascii="Times New Roman" w:hAnsi="Times New Roman" w:cs="Times New Roman"/>
          <w:sz w:val="28"/>
          <w:szCs w:val="28"/>
        </w:rPr>
        <w:t xml:space="preserve"> “</w:t>
      </w:r>
      <w:r>
        <w:rPr>
          <w:rFonts w:ascii="Times New Roman" w:hAnsi="Times New Roman" w:cs="Times New Roman"/>
          <w:sz w:val="28"/>
          <w:szCs w:val="28"/>
        </w:rPr>
        <w:t xml:space="preserve">gabbie </w:t>
      </w:r>
      <w:r w:rsidR="00C75508">
        <w:rPr>
          <w:rFonts w:ascii="Times New Roman" w:hAnsi="Times New Roman" w:cs="Times New Roman"/>
          <w:sz w:val="28"/>
          <w:szCs w:val="28"/>
        </w:rPr>
        <w:t>v</w:t>
      </w:r>
      <w:r>
        <w:rPr>
          <w:rFonts w:ascii="Times New Roman" w:hAnsi="Times New Roman" w:cs="Times New Roman"/>
          <w:sz w:val="28"/>
          <w:szCs w:val="28"/>
        </w:rPr>
        <w:t xml:space="preserve">irtuali”, in cui gli algoritmi rinchiudono gli utenti, raccogliendo dati e preferenze sulla base di precedenti </w:t>
      </w:r>
      <w:r w:rsidRPr="00F3531B">
        <w:rPr>
          <w:rFonts w:ascii="Times New Roman" w:hAnsi="Times New Roman" w:cs="Times New Roman"/>
          <w:i/>
          <w:iCs/>
          <w:sz w:val="28"/>
          <w:szCs w:val="28"/>
        </w:rPr>
        <w:t>click</w:t>
      </w:r>
      <w:r>
        <w:rPr>
          <w:rFonts w:ascii="Times New Roman" w:hAnsi="Times New Roman" w:cs="Times New Roman"/>
          <w:sz w:val="28"/>
          <w:szCs w:val="28"/>
        </w:rPr>
        <w:t>, cronologia delle ricerche e localizzazioni</w:t>
      </w:r>
      <w:r w:rsidR="00F3531B">
        <w:rPr>
          <w:rStyle w:val="Rimandonotaapidipagina"/>
          <w:rFonts w:ascii="Times New Roman" w:hAnsi="Times New Roman" w:cs="Times New Roman"/>
          <w:sz w:val="28"/>
          <w:szCs w:val="28"/>
        </w:rPr>
        <w:footnoteReference w:id="14"/>
      </w:r>
      <w:r>
        <w:rPr>
          <w:rFonts w:ascii="Times New Roman" w:hAnsi="Times New Roman" w:cs="Times New Roman"/>
          <w:sz w:val="28"/>
          <w:szCs w:val="28"/>
        </w:rPr>
        <w:t xml:space="preserve">. La dottrina </w:t>
      </w:r>
      <w:r w:rsidR="00C75508">
        <w:rPr>
          <w:rFonts w:ascii="Times New Roman" w:hAnsi="Times New Roman" w:cs="Times New Roman"/>
          <w:sz w:val="28"/>
          <w:szCs w:val="28"/>
        </w:rPr>
        <w:t>parla di disordini dell’informazione, di varie categorie di disturbi dell’informazion</w:t>
      </w:r>
      <w:r w:rsidR="003264F0">
        <w:rPr>
          <w:rFonts w:ascii="Times New Roman" w:hAnsi="Times New Roman" w:cs="Times New Roman"/>
          <w:sz w:val="28"/>
          <w:szCs w:val="28"/>
        </w:rPr>
        <w:t>e,</w:t>
      </w:r>
      <w:r w:rsidR="00C75508">
        <w:rPr>
          <w:rFonts w:ascii="Times New Roman" w:hAnsi="Times New Roman" w:cs="Times New Roman"/>
          <w:sz w:val="28"/>
          <w:szCs w:val="28"/>
        </w:rPr>
        <w:t xml:space="preserve"> distinguendo tra “</w:t>
      </w:r>
      <w:r w:rsidR="00C75508" w:rsidRPr="0092641A">
        <w:rPr>
          <w:rFonts w:ascii="Times New Roman" w:hAnsi="Times New Roman" w:cs="Times New Roman"/>
          <w:i/>
          <w:iCs/>
          <w:sz w:val="28"/>
          <w:szCs w:val="28"/>
        </w:rPr>
        <w:t>disinformazione</w:t>
      </w:r>
      <w:r w:rsidR="00C75508" w:rsidRPr="00FC4093">
        <w:rPr>
          <w:rFonts w:ascii="Times New Roman" w:hAnsi="Times New Roman" w:cs="Times New Roman"/>
          <w:sz w:val="28"/>
          <w:szCs w:val="28"/>
        </w:rPr>
        <w:t>”</w:t>
      </w:r>
      <w:r w:rsidR="00C75508" w:rsidRPr="0092641A">
        <w:rPr>
          <w:rFonts w:ascii="Times New Roman" w:hAnsi="Times New Roman" w:cs="Times New Roman"/>
          <w:i/>
          <w:iCs/>
          <w:sz w:val="28"/>
          <w:szCs w:val="28"/>
        </w:rPr>
        <w:t>,</w:t>
      </w:r>
      <w:r w:rsidR="004D6535">
        <w:rPr>
          <w:rFonts w:ascii="Times New Roman" w:hAnsi="Times New Roman" w:cs="Times New Roman"/>
          <w:i/>
          <w:iCs/>
          <w:sz w:val="28"/>
          <w:szCs w:val="28"/>
        </w:rPr>
        <w:t xml:space="preserve"> </w:t>
      </w:r>
      <w:r w:rsidR="00C75508" w:rsidRPr="00FC4093">
        <w:rPr>
          <w:rFonts w:ascii="Times New Roman" w:hAnsi="Times New Roman" w:cs="Times New Roman"/>
          <w:sz w:val="28"/>
          <w:szCs w:val="28"/>
        </w:rPr>
        <w:t>“</w:t>
      </w:r>
      <w:proofErr w:type="spellStart"/>
      <w:r w:rsidR="00C75508" w:rsidRPr="0092641A">
        <w:rPr>
          <w:rFonts w:ascii="Times New Roman" w:hAnsi="Times New Roman" w:cs="Times New Roman"/>
          <w:i/>
          <w:iCs/>
          <w:sz w:val="28"/>
          <w:szCs w:val="28"/>
        </w:rPr>
        <w:t>misinformazione</w:t>
      </w:r>
      <w:proofErr w:type="spellEnd"/>
      <w:r w:rsidR="00C75508" w:rsidRPr="00FC4093">
        <w:rPr>
          <w:rFonts w:ascii="Times New Roman" w:hAnsi="Times New Roman" w:cs="Times New Roman"/>
          <w:sz w:val="28"/>
          <w:szCs w:val="28"/>
        </w:rPr>
        <w:t>”</w:t>
      </w:r>
      <w:r w:rsidR="0042552E">
        <w:rPr>
          <w:rFonts w:ascii="Times New Roman" w:hAnsi="Times New Roman" w:cs="Times New Roman"/>
          <w:sz w:val="28"/>
          <w:szCs w:val="28"/>
        </w:rPr>
        <w:t xml:space="preserve"> </w:t>
      </w:r>
      <w:r w:rsidR="00C75508" w:rsidRPr="00FC4093">
        <w:rPr>
          <w:rFonts w:ascii="Times New Roman" w:hAnsi="Times New Roman" w:cs="Times New Roman"/>
          <w:sz w:val="28"/>
          <w:szCs w:val="28"/>
        </w:rPr>
        <w:t>e</w:t>
      </w:r>
      <w:r w:rsidR="00C75508" w:rsidRPr="0092641A">
        <w:rPr>
          <w:rFonts w:ascii="Times New Roman" w:hAnsi="Times New Roman" w:cs="Times New Roman"/>
          <w:i/>
          <w:iCs/>
          <w:sz w:val="28"/>
          <w:szCs w:val="28"/>
        </w:rPr>
        <w:t xml:space="preserve"> “</w:t>
      </w:r>
      <w:proofErr w:type="spellStart"/>
      <w:r w:rsidR="00C75508" w:rsidRPr="0092641A">
        <w:rPr>
          <w:rFonts w:ascii="Times New Roman" w:hAnsi="Times New Roman" w:cs="Times New Roman"/>
          <w:i/>
          <w:iCs/>
          <w:sz w:val="28"/>
          <w:szCs w:val="28"/>
        </w:rPr>
        <w:t>malainformazione</w:t>
      </w:r>
      <w:proofErr w:type="spellEnd"/>
      <w:r w:rsidR="00C75508">
        <w:rPr>
          <w:rFonts w:ascii="Times New Roman" w:hAnsi="Times New Roman" w:cs="Times New Roman"/>
          <w:sz w:val="28"/>
          <w:szCs w:val="28"/>
        </w:rPr>
        <w:t xml:space="preserve">”. </w:t>
      </w:r>
    </w:p>
    <w:p w14:paraId="37CCBD37" w14:textId="622DB371" w:rsidR="00AF09A1" w:rsidRDefault="00C75508" w:rsidP="00A6441A">
      <w:pPr>
        <w:spacing w:after="0"/>
        <w:jc w:val="both"/>
        <w:rPr>
          <w:rFonts w:ascii="Times New Roman" w:hAnsi="Times New Roman" w:cs="Times New Roman"/>
          <w:sz w:val="28"/>
          <w:szCs w:val="28"/>
        </w:rPr>
      </w:pPr>
      <w:r>
        <w:rPr>
          <w:rFonts w:ascii="Times New Roman" w:hAnsi="Times New Roman" w:cs="Times New Roman"/>
          <w:sz w:val="28"/>
          <w:szCs w:val="28"/>
        </w:rPr>
        <w:t xml:space="preserve">Le stesse piattaforme digitali si stanno attrezzando per arginare tale fenomeno: ad esempio,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utilizza i c</w:t>
      </w:r>
      <w:r w:rsidR="0042552E">
        <w:rPr>
          <w:rFonts w:ascii="Times New Roman" w:hAnsi="Times New Roman" w:cs="Times New Roman"/>
          <w:sz w:val="28"/>
          <w:szCs w:val="28"/>
        </w:rPr>
        <w:t>.</w:t>
      </w:r>
      <w:r>
        <w:rPr>
          <w:rFonts w:ascii="Times New Roman" w:hAnsi="Times New Roman" w:cs="Times New Roman"/>
          <w:sz w:val="28"/>
          <w:szCs w:val="28"/>
        </w:rPr>
        <w:t>d</w:t>
      </w:r>
      <w:r w:rsidR="0042552E">
        <w:rPr>
          <w:rFonts w:ascii="Times New Roman" w:hAnsi="Times New Roman" w:cs="Times New Roman"/>
          <w:sz w:val="28"/>
          <w:szCs w:val="28"/>
        </w:rPr>
        <w:t>.</w:t>
      </w:r>
      <w:r>
        <w:rPr>
          <w:rFonts w:ascii="Times New Roman" w:hAnsi="Times New Roman" w:cs="Times New Roman"/>
          <w:sz w:val="28"/>
          <w:szCs w:val="28"/>
        </w:rPr>
        <w:t xml:space="preserve"> “</w:t>
      </w:r>
      <w:r w:rsidRPr="0092641A">
        <w:rPr>
          <w:rFonts w:ascii="Times New Roman" w:hAnsi="Times New Roman" w:cs="Times New Roman"/>
          <w:i/>
          <w:iCs/>
          <w:sz w:val="28"/>
          <w:szCs w:val="28"/>
        </w:rPr>
        <w:t xml:space="preserve">educational </w:t>
      </w:r>
      <w:proofErr w:type="spellStart"/>
      <w:r w:rsidRPr="0092641A">
        <w:rPr>
          <w:rFonts w:ascii="Times New Roman" w:hAnsi="Times New Roman" w:cs="Times New Roman"/>
          <w:i/>
          <w:iCs/>
          <w:sz w:val="28"/>
          <w:szCs w:val="28"/>
        </w:rPr>
        <w:t>pop-ups</w:t>
      </w:r>
      <w:proofErr w:type="spellEnd"/>
      <w:r>
        <w:rPr>
          <w:rFonts w:ascii="Times New Roman" w:hAnsi="Times New Roman" w:cs="Times New Roman"/>
          <w:sz w:val="28"/>
          <w:szCs w:val="28"/>
        </w:rPr>
        <w:t xml:space="preserve">”, </w:t>
      </w:r>
      <w:r w:rsidRPr="0042552E">
        <w:rPr>
          <w:rFonts w:ascii="Times New Roman" w:hAnsi="Times New Roman" w:cs="Times New Roman"/>
          <w:i/>
          <w:iCs/>
          <w:sz w:val="28"/>
          <w:szCs w:val="28"/>
        </w:rPr>
        <w:t xml:space="preserve">pop </w:t>
      </w:r>
      <w:proofErr w:type="spellStart"/>
      <w:r w:rsidRPr="0042552E">
        <w:rPr>
          <w:rFonts w:ascii="Times New Roman" w:hAnsi="Times New Roman" w:cs="Times New Roman"/>
          <w:i/>
          <w:iCs/>
          <w:sz w:val="28"/>
          <w:szCs w:val="28"/>
        </w:rPr>
        <w:t>up</w:t>
      </w:r>
      <w:r w:rsidR="0042552E">
        <w:rPr>
          <w:rFonts w:ascii="Times New Roman" w:hAnsi="Times New Roman" w:cs="Times New Roman"/>
          <w:i/>
          <w:iCs/>
          <w:sz w:val="28"/>
          <w:szCs w:val="28"/>
        </w:rPr>
        <w:t>s</w:t>
      </w:r>
      <w:proofErr w:type="spellEnd"/>
      <w:r>
        <w:rPr>
          <w:rFonts w:ascii="Times New Roman" w:hAnsi="Times New Roman" w:cs="Times New Roman"/>
          <w:sz w:val="28"/>
          <w:szCs w:val="28"/>
        </w:rPr>
        <w:t xml:space="preserve"> informativi con etichettature specifiche sulle notizie e con rimozione automatica dei contenuti falsi; </w:t>
      </w:r>
      <w:proofErr w:type="spellStart"/>
      <w:r>
        <w:rPr>
          <w:rFonts w:ascii="Times New Roman" w:hAnsi="Times New Roman" w:cs="Times New Roman"/>
          <w:sz w:val="28"/>
          <w:szCs w:val="28"/>
        </w:rPr>
        <w:t>Twitter</w:t>
      </w:r>
      <w:proofErr w:type="spellEnd"/>
      <w:r>
        <w:rPr>
          <w:rFonts w:ascii="Times New Roman" w:hAnsi="Times New Roman" w:cs="Times New Roman"/>
          <w:sz w:val="28"/>
          <w:szCs w:val="28"/>
        </w:rPr>
        <w:t xml:space="preserve"> distingue tra notizie </w:t>
      </w:r>
      <w:proofErr w:type="spellStart"/>
      <w:r w:rsidRPr="00782B2E">
        <w:rPr>
          <w:rFonts w:ascii="Times New Roman" w:hAnsi="Times New Roman" w:cs="Times New Roman"/>
          <w:i/>
          <w:iCs/>
          <w:sz w:val="28"/>
          <w:szCs w:val="28"/>
        </w:rPr>
        <w:t>misleading</w:t>
      </w:r>
      <w:proofErr w:type="spellEnd"/>
      <w:r w:rsidRPr="00782B2E">
        <w:rPr>
          <w:rFonts w:ascii="Times New Roman" w:hAnsi="Times New Roman" w:cs="Times New Roman"/>
          <w:i/>
          <w:iCs/>
          <w:sz w:val="28"/>
          <w:szCs w:val="28"/>
        </w:rPr>
        <w:t xml:space="preserve">, </w:t>
      </w:r>
      <w:proofErr w:type="spellStart"/>
      <w:r w:rsidRPr="00782B2E">
        <w:rPr>
          <w:rFonts w:ascii="Times New Roman" w:hAnsi="Times New Roman" w:cs="Times New Roman"/>
          <w:i/>
          <w:iCs/>
          <w:sz w:val="28"/>
          <w:szCs w:val="28"/>
        </w:rPr>
        <w:t>disputed</w:t>
      </w:r>
      <w:proofErr w:type="spellEnd"/>
      <w:r w:rsidRPr="00782B2E">
        <w:rPr>
          <w:rFonts w:ascii="Times New Roman" w:hAnsi="Times New Roman" w:cs="Times New Roman"/>
          <w:i/>
          <w:iCs/>
          <w:sz w:val="28"/>
          <w:szCs w:val="28"/>
        </w:rPr>
        <w:t xml:space="preserve"> and </w:t>
      </w:r>
      <w:proofErr w:type="spellStart"/>
      <w:r w:rsidRPr="00782B2E">
        <w:rPr>
          <w:rFonts w:ascii="Times New Roman" w:hAnsi="Times New Roman" w:cs="Times New Roman"/>
          <w:i/>
          <w:iCs/>
          <w:sz w:val="28"/>
          <w:szCs w:val="28"/>
        </w:rPr>
        <w:t>unverified</w:t>
      </w:r>
      <w:proofErr w:type="spellEnd"/>
      <w:r w:rsidR="0042552E">
        <w:rPr>
          <w:rFonts w:ascii="Times New Roman" w:hAnsi="Times New Roman" w:cs="Times New Roman"/>
          <w:i/>
          <w:iCs/>
          <w:sz w:val="28"/>
          <w:szCs w:val="28"/>
        </w:rPr>
        <w:t>,</w:t>
      </w:r>
      <w:r>
        <w:rPr>
          <w:rFonts w:ascii="Times New Roman" w:hAnsi="Times New Roman" w:cs="Times New Roman"/>
          <w:sz w:val="28"/>
          <w:szCs w:val="28"/>
        </w:rPr>
        <w:t xml:space="preserve"> con sistemi c</w:t>
      </w:r>
      <w:r w:rsidR="00FC4093">
        <w:rPr>
          <w:rFonts w:ascii="Times New Roman" w:hAnsi="Times New Roman" w:cs="Times New Roman"/>
          <w:sz w:val="28"/>
          <w:szCs w:val="28"/>
        </w:rPr>
        <w:t>.</w:t>
      </w:r>
      <w:r>
        <w:rPr>
          <w:rFonts w:ascii="Times New Roman" w:hAnsi="Times New Roman" w:cs="Times New Roman"/>
          <w:sz w:val="28"/>
          <w:szCs w:val="28"/>
        </w:rPr>
        <w:t>d</w:t>
      </w:r>
      <w:r w:rsidR="00FC4093">
        <w:rPr>
          <w:rFonts w:ascii="Times New Roman" w:hAnsi="Times New Roman" w:cs="Times New Roman"/>
          <w:sz w:val="28"/>
          <w:szCs w:val="28"/>
        </w:rPr>
        <w:t>.</w:t>
      </w:r>
      <w:r>
        <w:rPr>
          <w:rFonts w:ascii="Times New Roman" w:hAnsi="Times New Roman" w:cs="Times New Roman"/>
          <w:sz w:val="28"/>
          <w:szCs w:val="28"/>
        </w:rPr>
        <w:t xml:space="preserve"> di </w:t>
      </w:r>
      <w:r w:rsidRPr="0092641A">
        <w:rPr>
          <w:rFonts w:ascii="Times New Roman" w:hAnsi="Times New Roman" w:cs="Times New Roman"/>
          <w:i/>
          <w:iCs/>
          <w:sz w:val="28"/>
          <w:szCs w:val="28"/>
        </w:rPr>
        <w:t>Strike System</w:t>
      </w:r>
      <w:r>
        <w:rPr>
          <w:rFonts w:ascii="Times New Roman" w:hAnsi="Times New Roman" w:cs="Times New Roman"/>
          <w:sz w:val="28"/>
          <w:szCs w:val="28"/>
        </w:rPr>
        <w:t>, nel senso che</w:t>
      </w:r>
      <w:r w:rsidR="0042552E">
        <w:rPr>
          <w:rFonts w:ascii="Times New Roman" w:hAnsi="Times New Roman" w:cs="Times New Roman"/>
          <w:sz w:val="28"/>
          <w:szCs w:val="28"/>
        </w:rPr>
        <w:t>,</w:t>
      </w:r>
      <w:r>
        <w:rPr>
          <w:rFonts w:ascii="Times New Roman" w:hAnsi="Times New Roman" w:cs="Times New Roman"/>
          <w:sz w:val="28"/>
          <w:szCs w:val="28"/>
        </w:rPr>
        <w:t xml:space="preserve"> dopo alcuni richiami</w:t>
      </w:r>
      <w:r w:rsidR="0042552E">
        <w:rPr>
          <w:rFonts w:ascii="Times New Roman" w:hAnsi="Times New Roman" w:cs="Times New Roman"/>
          <w:sz w:val="28"/>
          <w:szCs w:val="28"/>
        </w:rPr>
        <w:t>,</w:t>
      </w:r>
      <w:r>
        <w:rPr>
          <w:rFonts w:ascii="Times New Roman" w:hAnsi="Times New Roman" w:cs="Times New Roman"/>
          <w:sz w:val="28"/>
          <w:szCs w:val="28"/>
        </w:rPr>
        <w:t xml:space="preserve"> vi è il blocco dell’account.</w:t>
      </w:r>
    </w:p>
    <w:p w14:paraId="7CA276F5" w14:textId="77777777" w:rsidR="0042552E" w:rsidRDefault="00C75508" w:rsidP="004E38E8">
      <w:pPr>
        <w:jc w:val="both"/>
        <w:rPr>
          <w:rFonts w:ascii="Times New Roman" w:hAnsi="Times New Roman" w:cs="Times New Roman"/>
          <w:sz w:val="28"/>
          <w:szCs w:val="28"/>
        </w:rPr>
      </w:pPr>
      <w:r w:rsidRPr="0042552E">
        <w:rPr>
          <w:rFonts w:ascii="Times New Roman" w:hAnsi="Times New Roman" w:cs="Times New Roman"/>
          <w:sz w:val="28"/>
          <w:szCs w:val="28"/>
        </w:rPr>
        <w:t>Ma quali rimedi possono/devono essere rimessi allo Stato</w:t>
      </w:r>
      <w:r w:rsidR="00AA31AC" w:rsidRPr="0042552E">
        <w:rPr>
          <w:rFonts w:ascii="Times New Roman" w:hAnsi="Times New Roman" w:cs="Times New Roman"/>
          <w:sz w:val="28"/>
          <w:szCs w:val="28"/>
        </w:rPr>
        <w:t xml:space="preserve"> e ad organismi sovranazionali</w:t>
      </w:r>
      <w:r w:rsidR="0042552E">
        <w:rPr>
          <w:rFonts w:ascii="Times New Roman" w:hAnsi="Times New Roman" w:cs="Times New Roman"/>
          <w:sz w:val="28"/>
          <w:szCs w:val="28"/>
        </w:rPr>
        <w:t>,</w:t>
      </w:r>
      <w:r w:rsidRPr="0042552E">
        <w:rPr>
          <w:rFonts w:ascii="Times New Roman" w:hAnsi="Times New Roman" w:cs="Times New Roman"/>
          <w:sz w:val="28"/>
          <w:szCs w:val="28"/>
        </w:rPr>
        <w:t xml:space="preserve"> e quali alle stesse piattaforme?</w:t>
      </w:r>
      <w:r>
        <w:rPr>
          <w:rFonts w:ascii="Times New Roman" w:hAnsi="Times New Roman" w:cs="Times New Roman"/>
          <w:sz w:val="28"/>
          <w:szCs w:val="28"/>
        </w:rPr>
        <w:t xml:space="preserve"> La comunicazione sui </w:t>
      </w:r>
      <w:r w:rsidRPr="0042552E">
        <w:rPr>
          <w:rFonts w:ascii="Times New Roman" w:hAnsi="Times New Roman" w:cs="Times New Roman"/>
          <w:i/>
          <w:iCs/>
          <w:sz w:val="28"/>
          <w:szCs w:val="28"/>
        </w:rPr>
        <w:t>social</w:t>
      </w:r>
      <w:r w:rsidR="0042552E" w:rsidRPr="0042552E">
        <w:rPr>
          <w:rFonts w:ascii="Times New Roman" w:hAnsi="Times New Roman" w:cs="Times New Roman"/>
          <w:i/>
          <w:iCs/>
          <w:sz w:val="28"/>
          <w:szCs w:val="28"/>
        </w:rPr>
        <w:t xml:space="preserve"> </w:t>
      </w:r>
      <w:r w:rsidRPr="0042552E">
        <w:rPr>
          <w:rFonts w:ascii="Times New Roman" w:hAnsi="Times New Roman" w:cs="Times New Roman"/>
          <w:i/>
          <w:iCs/>
          <w:sz w:val="28"/>
          <w:szCs w:val="28"/>
        </w:rPr>
        <w:t>network</w:t>
      </w:r>
      <w:r>
        <w:rPr>
          <w:rFonts w:ascii="Times New Roman" w:hAnsi="Times New Roman" w:cs="Times New Roman"/>
          <w:sz w:val="28"/>
          <w:szCs w:val="28"/>
        </w:rPr>
        <w:t xml:space="preserve">, infatti, è caratterizzata da pervasività ed invasività, dalla illimitatezza spazio/temporale, dalla disintermediazione e dalla semplificazione del messaggio. </w:t>
      </w:r>
    </w:p>
    <w:p w14:paraId="5580B6B8" w14:textId="1FA75F9C" w:rsidR="00C75508" w:rsidRDefault="00C75508" w:rsidP="004E38E8">
      <w:pPr>
        <w:jc w:val="both"/>
        <w:rPr>
          <w:rFonts w:ascii="Times New Roman" w:hAnsi="Times New Roman" w:cs="Times New Roman"/>
          <w:sz w:val="28"/>
          <w:szCs w:val="28"/>
        </w:rPr>
      </w:pPr>
      <w:r>
        <w:rPr>
          <w:rFonts w:ascii="Times New Roman" w:hAnsi="Times New Roman" w:cs="Times New Roman"/>
          <w:sz w:val="28"/>
          <w:szCs w:val="28"/>
        </w:rPr>
        <w:t>In Francia è stata approvata nel 2018 la legge n.</w:t>
      </w:r>
      <w:r w:rsidR="00FC4093">
        <w:rPr>
          <w:rFonts w:ascii="Times New Roman" w:hAnsi="Times New Roman" w:cs="Times New Roman"/>
          <w:sz w:val="28"/>
          <w:szCs w:val="28"/>
        </w:rPr>
        <w:t xml:space="preserve"> </w:t>
      </w:r>
      <w:r>
        <w:rPr>
          <w:rFonts w:ascii="Times New Roman" w:hAnsi="Times New Roman" w:cs="Times New Roman"/>
          <w:sz w:val="28"/>
          <w:szCs w:val="28"/>
        </w:rPr>
        <w:t>1202</w:t>
      </w:r>
      <w:r w:rsidR="0042552E">
        <w:rPr>
          <w:rFonts w:ascii="Times New Roman" w:hAnsi="Times New Roman" w:cs="Times New Roman"/>
          <w:sz w:val="28"/>
          <w:szCs w:val="28"/>
        </w:rPr>
        <w:t>,</w:t>
      </w:r>
      <w:r>
        <w:rPr>
          <w:rFonts w:ascii="Times New Roman" w:hAnsi="Times New Roman" w:cs="Times New Roman"/>
          <w:sz w:val="28"/>
          <w:szCs w:val="28"/>
        </w:rPr>
        <w:t xml:space="preserve"> contro la manipolazione dell’informazione</w:t>
      </w:r>
      <w:r w:rsidR="00FC4093">
        <w:rPr>
          <w:rFonts w:ascii="Times New Roman" w:hAnsi="Times New Roman" w:cs="Times New Roman"/>
          <w:sz w:val="28"/>
          <w:szCs w:val="28"/>
        </w:rPr>
        <w:t>;</w:t>
      </w:r>
      <w:r w:rsidR="00850BFF">
        <w:rPr>
          <w:rFonts w:ascii="Times New Roman" w:hAnsi="Times New Roman" w:cs="Times New Roman"/>
          <w:sz w:val="28"/>
          <w:szCs w:val="28"/>
        </w:rPr>
        <w:t xml:space="preserve"> </w:t>
      </w:r>
      <w:r w:rsidR="00952CBA">
        <w:rPr>
          <w:rFonts w:ascii="Times New Roman" w:hAnsi="Times New Roman" w:cs="Times New Roman"/>
          <w:sz w:val="28"/>
          <w:szCs w:val="28"/>
        </w:rPr>
        <w:t>in Germania è stata approvata il 30 giugno 2017 la legge sul</w:t>
      </w:r>
      <w:r w:rsidR="0042552E">
        <w:rPr>
          <w:rFonts w:ascii="Times New Roman" w:hAnsi="Times New Roman" w:cs="Times New Roman"/>
          <w:sz w:val="28"/>
          <w:szCs w:val="28"/>
        </w:rPr>
        <w:t>l’</w:t>
      </w:r>
      <w:proofErr w:type="spellStart"/>
      <w:r w:rsidR="00B44752">
        <w:rPr>
          <w:rFonts w:ascii="Times New Roman" w:hAnsi="Times New Roman" w:cs="Times New Roman"/>
          <w:i/>
          <w:iCs/>
          <w:sz w:val="28"/>
          <w:szCs w:val="28"/>
        </w:rPr>
        <w:t>h</w:t>
      </w:r>
      <w:r w:rsidR="00952CBA" w:rsidRPr="00E46CA2">
        <w:rPr>
          <w:rFonts w:ascii="Times New Roman" w:hAnsi="Times New Roman" w:cs="Times New Roman"/>
          <w:i/>
          <w:iCs/>
          <w:sz w:val="28"/>
          <w:szCs w:val="28"/>
        </w:rPr>
        <w:t>ate</w:t>
      </w:r>
      <w:proofErr w:type="spellEnd"/>
      <w:r w:rsidR="00952CBA" w:rsidRPr="00E46CA2">
        <w:rPr>
          <w:rFonts w:ascii="Times New Roman" w:hAnsi="Times New Roman" w:cs="Times New Roman"/>
          <w:i/>
          <w:iCs/>
          <w:sz w:val="28"/>
          <w:szCs w:val="28"/>
        </w:rPr>
        <w:t xml:space="preserve"> </w:t>
      </w:r>
      <w:proofErr w:type="spellStart"/>
      <w:r w:rsidR="00952CBA" w:rsidRPr="00E46CA2">
        <w:rPr>
          <w:rFonts w:ascii="Times New Roman" w:hAnsi="Times New Roman" w:cs="Times New Roman"/>
          <w:i/>
          <w:iCs/>
          <w:sz w:val="28"/>
          <w:szCs w:val="28"/>
        </w:rPr>
        <w:t>speech</w:t>
      </w:r>
      <w:proofErr w:type="spellEnd"/>
      <w:r w:rsidR="00FC4093">
        <w:rPr>
          <w:rFonts w:ascii="Times New Roman" w:hAnsi="Times New Roman" w:cs="Times New Roman"/>
          <w:i/>
          <w:iCs/>
          <w:sz w:val="28"/>
          <w:szCs w:val="28"/>
        </w:rPr>
        <w:t>,</w:t>
      </w:r>
      <w:r w:rsidR="00952CBA">
        <w:rPr>
          <w:rFonts w:ascii="Times New Roman" w:hAnsi="Times New Roman" w:cs="Times New Roman"/>
          <w:sz w:val="28"/>
          <w:szCs w:val="28"/>
        </w:rPr>
        <w:t xml:space="preserve"> prevedendo fattispecie criminose sulle figure già previste dal </w:t>
      </w:r>
      <w:proofErr w:type="gramStart"/>
      <w:r w:rsidR="00952CBA">
        <w:rPr>
          <w:rFonts w:ascii="Times New Roman" w:hAnsi="Times New Roman" w:cs="Times New Roman"/>
          <w:sz w:val="28"/>
          <w:szCs w:val="28"/>
        </w:rPr>
        <w:t>codice penale</w:t>
      </w:r>
      <w:proofErr w:type="gramEnd"/>
      <w:r w:rsidR="00952CBA">
        <w:rPr>
          <w:rFonts w:ascii="Times New Roman" w:hAnsi="Times New Roman" w:cs="Times New Roman"/>
          <w:sz w:val="28"/>
          <w:szCs w:val="28"/>
        </w:rPr>
        <w:t xml:space="preserve"> tedesco</w:t>
      </w:r>
      <w:r w:rsidR="0042552E">
        <w:rPr>
          <w:rFonts w:ascii="Times New Roman" w:hAnsi="Times New Roman" w:cs="Times New Roman"/>
          <w:sz w:val="28"/>
          <w:szCs w:val="28"/>
        </w:rPr>
        <w:t>,</w:t>
      </w:r>
      <w:r w:rsidR="00952CBA">
        <w:rPr>
          <w:rFonts w:ascii="Times New Roman" w:hAnsi="Times New Roman" w:cs="Times New Roman"/>
          <w:sz w:val="28"/>
          <w:szCs w:val="28"/>
        </w:rPr>
        <w:t xml:space="preserve"> con un </w:t>
      </w:r>
      <w:r w:rsidR="000D0E21">
        <w:rPr>
          <w:rFonts w:ascii="Times New Roman" w:hAnsi="Times New Roman" w:cs="Times New Roman"/>
          <w:sz w:val="28"/>
          <w:szCs w:val="28"/>
        </w:rPr>
        <w:t>sistema di “</w:t>
      </w:r>
      <w:proofErr w:type="spellStart"/>
      <w:r w:rsidR="000D0E21" w:rsidRPr="000D0E21">
        <w:rPr>
          <w:rFonts w:ascii="Times New Roman" w:hAnsi="Times New Roman" w:cs="Times New Roman"/>
          <w:i/>
          <w:iCs/>
          <w:sz w:val="28"/>
          <w:szCs w:val="28"/>
        </w:rPr>
        <w:t>notice</w:t>
      </w:r>
      <w:proofErr w:type="spellEnd"/>
      <w:r w:rsidR="000D0E21" w:rsidRPr="000D0E21">
        <w:rPr>
          <w:rFonts w:ascii="Times New Roman" w:hAnsi="Times New Roman" w:cs="Times New Roman"/>
          <w:i/>
          <w:iCs/>
          <w:sz w:val="28"/>
          <w:szCs w:val="28"/>
        </w:rPr>
        <w:t xml:space="preserve"> and take down</w:t>
      </w:r>
      <w:r w:rsidR="000D0E21">
        <w:rPr>
          <w:rFonts w:ascii="Times New Roman" w:hAnsi="Times New Roman" w:cs="Times New Roman"/>
          <w:sz w:val="28"/>
          <w:szCs w:val="28"/>
        </w:rPr>
        <w:t>”, ossia di reclamo da rivolgere alla stessa piattaforma, prima di un vero e proprio ricorso all’autorità giurisdizionale. In Italia</w:t>
      </w:r>
      <w:r w:rsidR="0042552E">
        <w:rPr>
          <w:rFonts w:ascii="Times New Roman" w:hAnsi="Times New Roman" w:cs="Times New Roman"/>
          <w:sz w:val="28"/>
          <w:szCs w:val="28"/>
        </w:rPr>
        <w:t>,</w:t>
      </w:r>
      <w:r w:rsidR="000D0E21">
        <w:rPr>
          <w:rFonts w:ascii="Times New Roman" w:hAnsi="Times New Roman" w:cs="Times New Roman"/>
          <w:sz w:val="28"/>
          <w:szCs w:val="28"/>
        </w:rPr>
        <w:t xml:space="preserve"> vi è stata la presentazione del disegno di legge Gambaro nel 2017, e di recente un nuovo DDL approvato alla </w:t>
      </w:r>
      <w:r w:rsidR="007A6977">
        <w:rPr>
          <w:rFonts w:ascii="Times New Roman" w:hAnsi="Times New Roman" w:cs="Times New Roman"/>
          <w:sz w:val="28"/>
          <w:szCs w:val="28"/>
        </w:rPr>
        <w:t>C</w:t>
      </w:r>
      <w:r w:rsidR="000D0E21">
        <w:rPr>
          <w:rFonts w:ascii="Times New Roman" w:hAnsi="Times New Roman" w:cs="Times New Roman"/>
          <w:sz w:val="28"/>
          <w:szCs w:val="28"/>
        </w:rPr>
        <w:t xml:space="preserve">amera e attualmente in discussione al Senato con la </w:t>
      </w:r>
      <w:r w:rsidR="000D0E21">
        <w:rPr>
          <w:rFonts w:ascii="Times New Roman" w:hAnsi="Times New Roman" w:cs="Times New Roman"/>
          <w:sz w:val="28"/>
          <w:szCs w:val="28"/>
        </w:rPr>
        <w:lastRenderedPageBreak/>
        <w:t xml:space="preserve">istituzione di una commissione parlamentare di inchiesta sulla diffusione massiva di informazioni false. Presso </w:t>
      </w:r>
      <w:proofErr w:type="spellStart"/>
      <w:r w:rsidR="000D0E21">
        <w:rPr>
          <w:rFonts w:ascii="Times New Roman" w:hAnsi="Times New Roman" w:cs="Times New Roman"/>
          <w:sz w:val="28"/>
          <w:szCs w:val="28"/>
        </w:rPr>
        <w:t>l’AgCom</w:t>
      </w:r>
      <w:proofErr w:type="spellEnd"/>
      <w:r w:rsidR="000D0E21">
        <w:rPr>
          <w:rFonts w:ascii="Times New Roman" w:hAnsi="Times New Roman" w:cs="Times New Roman"/>
          <w:sz w:val="28"/>
          <w:szCs w:val="28"/>
        </w:rPr>
        <w:t xml:space="preserve"> è stato istituito un tavolo Tecnico sulle piattaforme digitali e il pluralismo</w:t>
      </w:r>
      <w:r w:rsidR="00AF09A1">
        <w:rPr>
          <w:rFonts w:ascii="Times New Roman" w:hAnsi="Times New Roman" w:cs="Times New Roman"/>
          <w:sz w:val="28"/>
          <w:szCs w:val="28"/>
        </w:rPr>
        <w:t xml:space="preserve"> informativo</w:t>
      </w:r>
      <w:r w:rsidR="000D0E21">
        <w:rPr>
          <w:rFonts w:ascii="Times New Roman" w:hAnsi="Times New Roman" w:cs="Times New Roman"/>
          <w:sz w:val="28"/>
          <w:szCs w:val="28"/>
        </w:rPr>
        <w:t>, mentre al livello europeo è stato approvato</w:t>
      </w:r>
      <w:r w:rsidR="00B44752">
        <w:rPr>
          <w:rFonts w:ascii="Times New Roman" w:hAnsi="Times New Roman" w:cs="Times New Roman"/>
          <w:sz w:val="28"/>
          <w:szCs w:val="28"/>
        </w:rPr>
        <w:t>,</w:t>
      </w:r>
      <w:r w:rsidR="000D0E21">
        <w:rPr>
          <w:rFonts w:ascii="Times New Roman" w:hAnsi="Times New Roman" w:cs="Times New Roman"/>
          <w:sz w:val="28"/>
          <w:szCs w:val="28"/>
        </w:rPr>
        <w:t xml:space="preserve"> il 26 settembre 2018</w:t>
      </w:r>
      <w:r w:rsidR="00B44752">
        <w:rPr>
          <w:rFonts w:ascii="Times New Roman" w:hAnsi="Times New Roman" w:cs="Times New Roman"/>
          <w:sz w:val="28"/>
          <w:szCs w:val="28"/>
        </w:rPr>
        <w:t>,</w:t>
      </w:r>
      <w:r w:rsidR="000D0E21">
        <w:rPr>
          <w:rFonts w:ascii="Times New Roman" w:hAnsi="Times New Roman" w:cs="Times New Roman"/>
          <w:sz w:val="28"/>
          <w:szCs w:val="28"/>
        </w:rPr>
        <w:t xml:space="preserve"> il </w:t>
      </w:r>
      <w:r w:rsidR="000D0E21" w:rsidRPr="009770B5">
        <w:rPr>
          <w:rFonts w:ascii="Times New Roman" w:hAnsi="Times New Roman" w:cs="Times New Roman"/>
          <w:i/>
          <w:iCs/>
          <w:sz w:val="28"/>
          <w:szCs w:val="28"/>
        </w:rPr>
        <w:t xml:space="preserve">Code of </w:t>
      </w:r>
      <w:proofErr w:type="spellStart"/>
      <w:r w:rsidR="000D0E21" w:rsidRPr="009770B5">
        <w:rPr>
          <w:rFonts w:ascii="Times New Roman" w:hAnsi="Times New Roman" w:cs="Times New Roman"/>
          <w:i/>
          <w:iCs/>
          <w:sz w:val="28"/>
          <w:szCs w:val="28"/>
        </w:rPr>
        <w:t>Practice</w:t>
      </w:r>
      <w:proofErr w:type="spellEnd"/>
      <w:r w:rsidR="000D0E21" w:rsidRPr="009770B5">
        <w:rPr>
          <w:rFonts w:ascii="Times New Roman" w:hAnsi="Times New Roman" w:cs="Times New Roman"/>
          <w:i/>
          <w:iCs/>
          <w:sz w:val="28"/>
          <w:szCs w:val="28"/>
        </w:rPr>
        <w:t xml:space="preserve"> on </w:t>
      </w:r>
      <w:proofErr w:type="spellStart"/>
      <w:r w:rsidR="000D0E21" w:rsidRPr="009770B5">
        <w:rPr>
          <w:rFonts w:ascii="Times New Roman" w:hAnsi="Times New Roman" w:cs="Times New Roman"/>
          <w:i/>
          <w:iCs/>
          <w:sz w:val="28"/>
          <w:szCs w:val="28"/>
        </w:rPr>
        <w:t>Disinformation</w:t>
      </w:r>
      <w:proofErr w:type="spellEnd"/>
      <w:r w:rsidR="000D0E21">
        <w:rPr>
          <w:rFonts w:ascii="Times New Roman" w:hAnsi="Times New Roman" w:cs="Times New Roman"/>
          <w:sz w:val="28"/>
          <w:szCs w:val="28"/>
        </w:rPr>
        <w:t>.</w:t>
      </w:r>
    </w:p>
    <w:p w14:paraId="122D3E7B" w14:textId="6D943C62" w:rsidR="000D0E21" w:rsidRPr="00AA31AC" w:rsidRDefault="000D0E21" w:rsidP="00B44752">
      <w:pPr>
        <w:spacing w:after="0"/>
        <w:jc w:val="both"/>
        <w:rPr>
          <w:rFonts w:ascii="Times New Roman" w:hAnsi="Times New Roman" w:cs="Times New Roman"/>
          <w:sz w:val="28"/>
          <w:szCs w:val="28"/>
        </w:rPr>
      </w:pPr>
      <w:r>
        <w:rPr>
          <w:rFonts w:ascii="Times New Roman" w:hAnsi="Times New Roman" w:cs="Times New Roman"/>
          <w:sz w:val="28"/>
          <w:szCs w:val="28"/>
        </w:rPr>
        <w:t xml:space="preserve">Ma occorre chiedersi se vi sia la necessità di valutare la </w:t>
      </w:r>
      <w:r w:rsidRPr="003264F0">
        <w:rPr>
          <w:rFonts w:ascii="Times New Roman" w:hAnsi="Times New Roman" w:cs="Times New Roman"/>
          <w:i/>
          <w:iCs/>
          <w:sz w:val="28"/>
          <w:szCs w:val="28"/>
        </w:rPr>
        <w:t>privacy policy</w:t>
      </w:r>
      <w:r>
        <w:rPr>
          <w:rFonts w:ascii="Times New Roman" w:hAnsi="Times New Roman" w:cs="Times New Roman"/>
          <w:sz w:val="28"/>
          <w:szCs w:val="28"/>
        </w:rPr>
        <w:t xml:space="preserve"> in un sistema di </w:t>
      </w:r>
      <w:r w:rsidRPr="0092641A">
        <w:rPr>
          <w:rFonts w:ascii="Times New Roman" w:hAnsi="Times New Roman" w:cs="Times New Roman"/>
          <w:i/>
          <w:iCs/>
          <w:sz w:val="28"/>
          <w:szCs w:val="28"/>
        </w:rPr>
        <w:t xml:space="preserve">merger </w:t>
      </w:r>
      <w:r w:rsidR="00850BFF" w:rsidRPr="0092641A">
        <w:rPr>
          <w:rFonts w:ascii="Times New Roman" w:hAnsi="Times New Roman" w:cs="Times New Roman"/>
          <w:i/>
          <w:iCs/>
          <w:sz w:val="28"/>
          <w:szCs w:val="28"/>
        </w:rPr>
        <w:t>control</w:t>
      </w:r>
      <w:r w:rsidR="00B44752">
        <w:rPr>
          <w:rFonts w:ascii="Times New Roman" w:hAnsi="Times New Roman" w:cs="Times New Roman"/>
          <w:i/>
          <w:iCs/>
          <w:sz w:val="28"/>
          <w:szCs w:val="28"/>
        </w:rPr>
        <w:t>,</w:t>
      </w:r>
      <w:r>
        <w:rPr>
          <w:rFonts w:ascii="Times New Roman" w:hAnsi="Times New Roman" w:cs="Times New Roman"/>
          <w:sz w:val="28"/>
          <w:szCs w:val="28"/>
        </w:rPr>
        <w:t xml:space="preserve"> attraverso un’azione di collaborazione e di coordinamento tra le varie Autorità </w:t>
      </w:r>
      <w:proofErr w:type="spellStart"/>
      <w:r>
        <w:rPr>
          <w:rFonts w:ascii="Times New Roman" w:hAnsi="Times New Roman" w:cs="Times New Roman"/>
          <w:sz w:val="28"/>
          <w:szCs w:val="28"/>
        </w:rPr>
        <w:t>regolatorie</w:t>
      </w:r>
      <w:proofErr w:type="spellEnd"/>
      <w:r w:rsidR="00B44752">
        <w:rPr>
          <w:rFonts w:ascii="Times New Roman" w:hAnsi="Times New Roman" w:cs="Times New Roman"/>
          <w:sz w:val="28"/>
          <w:szCs w:val="28"/>
        </w:rPr>
        <w:t>,</w:t>
      </w:r>
      <w:r>
        <w:rPr>
          <w:rFonts w:ascii="Times New Roman" w:hAnsi="Times New Roman" w:cs="Times New Roman"/>
          <w:sz w:val="28"/>
          <w:szCs w:val="28"/>
        </w:rPr>
        <w:t xml:space="preserve"> e se sia necessario affiancare agli strumenti di </w:t>
      </w:r>
      <w:proofErr w:type="spellStart"/>
      <w:r w:rsidRPr="00950114">
        <w:rPr>
          <w:rFonts w:ascii="Times New Roman" w:hAnsi="Times New Roman" w:cs="Times New Roman"/>
          <w:i/>
          <w:iCs/>
          <w:sz w:val="28"/>
          <w:szCs w:val="28"/>
        </w:rPr>
        <w:t>enforcement</w:t>
      </w:r>
      <w:proofErr w:type="spellEnd"/>
      <w:r>
        <w:rPr>
          <w:rFonts w:ascii="Times New Roman" w:hAnsi="Times New Roman" w:cs="Times New Roman"/>
          <w:sz w:val="28"/>
          <w:szCs w:val="28"/>
        </w:rPr>
        <w:t xml:space="preserve"> una regolazione </w:t>
      </w:r>
      <w:r w:rsidRPr="00850BFF">
        <w:rPr>
          <w:rFonts w:ascii="Times New Roman" w:hAnsi="Times New Roman" w:cs="Times New Roman"/>
          <w:i/>
          <w:iCs/>
          <w:sz w:val="28"/>
          <w:szCs w:val="28"/>
        </w:rPr>
        <w:t>ex ante</w:t>
      </w:r>
      <w:r>
        <w:rPr>
          <w:rFonts w:ascii="Times New Roman" w:hAnsi="Times New Roman" w:cs="Times New Roman"/>
          <w:sz w:val="28"/>
          <w:szCs w:val="28"/>
        </w:rPr>
        <w:t xml:space="preserve"> con sistemi di </w:t>
      </w:r>
      <w:proofErr w:type="spellStart"/>
      <w:r w:rsidRPr="000D0E21">
        <w:rPr>
          <w:rFonts w:ascii="Times New Roman" w:hAnsi="Times New Roman" w:cs="Times New Roman"/>
          <w:i/>
          <w:iCs/>
          <w:sz w:val="28"/>
          <w:szCs w:val="28"/>
        </w:rPr>
        <w:t>pre-emptive</w:t>
      </w:r>
      <w:proofErr w:type="spellEnd"/>
      <w:r w:rsidRPr="000D0E21">
        <w:rPr>
          <w:rFonts w:ascii="Times New Roman" w:hAnsi="Times New Roman" w:cs="Times New Roman"/>
          <w:i/>
          <w:iCs/>
          <w:sz w:val="28"/>
          <w:szCs w:val="28"/>
        </w:rPr>
        <w:t xml:space="preserve"> </w:t>
      </w:r>
      <w:proofErr w:type="spellStart"/>
      <w:r w:rsidRPr="000D0E21">
        <w:rPr>
          <w:rFonts w:ascii="Times New Roman" w:hAnsi="Times New Roman" w:cs="Times New Roman"/>
          <w:i/>
          <w:iCs/>
          <w:sz w:val="28"/>
          <w:szCs w:val="28"/>
        </w:rPr>
        <w:t>remedy</w:t>
      </w:r>
      <w:proofErr w:type="spellEnd"/>
      <w:r w:rsidR="00AA31AC" w:rsidRPr="00AA31AC">
        <w:rPr>
          <w:rFonts w:ascii="Times New Roman" w:hAnsi="Times New Roman" w:cs="Times New Roman"/>
          <w:sz w:val="28"/>
          <w:szCs w:val="28"/>
        </w:rPr>
        <w:t>, ossia rimedi preventivi e proattivi</w:t>
      </w:r>
      <w:r w:rsidRPr="00AA31AC">
        <w:rPr>
          <w:rFonts w:ascii="Times New Roman" w:hAnsi="Times New Roman" w:cs="Times New Roman"/>
          <w:sz w:val="28"/>
          <w:szCs w:val="28"/>
        </w:rPr>
        <w:t>.</w:t>
      </w:r>
    </w:p>
    <w:p w14:paraId="4ECB856C" w14:textId="5A016A29" w:rsidR="000D0E21" w:rsidRDefault="000D0E21" w:rsidP="00B44752">
      <w:pPr>
        <w:spacing w:after="0"/>
        <w:jc w:val="both"/>
        <w:rPr>
          <w:rFonts w:ascii="Times New Roman" w:hAnsi="Times New Roman" w:cs="Times New Roman"/>
          <w:sz w:val="28"/>
          <w:szCs w:val="28"/>
        </w:rPr>
      </w:pPr>
      <w:r w:rsidRPr="000D0E21">
        <w:rPr>
          <w:rFonts w:ascii="Times New Roman" w:hAnsi="Times New Roman" w:cs="Times New Roman"/>
          <w:sz w:val="28"/>
          <w:szCs w:val="28"/>
        </w:rPr>
        <w:t>Soprattutto</w:t>
      </w:r>
      <w:r w:rsidR="00902836">
        <w:rPr>
          <w:rFonts w:ascii="Times New Roman" w:hAnsi="Times New Roman" w:cs="Times New Roman"/>
          <w:sz w:val="28"/>
          <w:szCs w:val="28"/>
        </w:rPr>
        <w:t xml:space="preserve"> </w:t>
      </w:r>
      <w:r>
        <w:rPr>
          <w:rFonts w:ascii="Times New Roman" w:hAnsi="Times New Roman" w:cs="Times New Roman"/>
          <w:sz w:val="28"/>
          <w:szCs w:val="28"/>
        </w:rPr>
        <w:t>chiarire che tipo di regolazione introdurre: funzionale o strutturale</w:t>
      </w:r>
      <w:r w:rsidR="00AA31AC">
        <w:rPr>
          <w:rFonts w:ascii="Times New Roman" w:hAnsi="Times New Roman" w:cs="Times New Roman"/>
          <w:sz w:val="28"/>
          <w:szCs w:val="28"/>
        </w:rPr>
        <w:t>?</w:t>
      </w:r>
      <w:r>
        <w:rPr>
          <w:rFonts w:ascii="Times New Roman" w:hAnsi="Times New Roman" w:cs="Times New Roman"/>
          <w:sz w:val="28"/>
          <w:szCs w:val="28"/>
        </w:rPr>
        <w:t xml:space="preserve"> Omogenea o differenziata a second</w:t>
      </w:r>
      <w:r w:rsidR="00AA31AC">
        <w:rPr>
          <w:rFonts w:ascii="Times New Roman" w:hAnsi="Times New Roman" w:cs="Times New Roman"/>
          <w:sz w:val="28"/>
          <w:szCs w:val="28"/>
        </w:rPr>
        <w:t>a</w:t>
      </w:r>
      <w:r>
        <w:rPr>
          <w:rFonts w:ascii="Times New Roman" w:hAnsi="Times New Roman" w:cs="Times New Roman"/>
          <w:sz w:val="28"/>
          <w:szCs w:val="28"/>
        </w:rPr>
        <w:t xml:space="preserve"> dei settori? </w:t>
      </w:r>
    </w:p>
    <w:p w14:paraId="7FFDDFDD" w14:textId="617FF0F4" w:rsidR="000D0E21" w:rsidRDefault="000D0E21" w:rsidP="00B44752">
      <w:pPr>
        <w:spacing w:after="0"/>
        <w:jc w:val="both"/>
        <w:rPr>
          <w:rFonts w:ascii="Times New Roman" w:hAnsi="Times New Roman" w:cs="Times New Roman"/>
          <w:sz w:val="28"/>
          <w:szCs w:val="28"/>
        </w:rPr>
      </w:pPr>
      <w:r>
        <w:rPr>
          <w:rFonts w:ascii="Times New Roman" w:hAnsi="Times New Roman" w:cs="Times New Roman"/>
          <w:sz w:val="28"/>
          <w:szCs w:val="28"/>
        </w:rPr>
        <w:t xml:space="preserve">Occorre un coordinamento a livello di regolamentazione euro-unitaria tra </w:t>
      </w:r>
      <w:r w:rsidRPr="009770B5">
        <w:rPr>
          <w:rFonts w:ascii="Times New Roman" w:hAnsi="Times New Roman" w:cs="Times New Roman"/>
          <w:i/>
          <w:iCs/>
          <w:sz w:val="28"/>
          <w:szCs w:val="28"/>
        </w:rPr>
        <w:t>Digital Service</w:t>
      </w:r>
      <w:r w:rsidR="00125AE2">
        <w:rPr>
          <w:rFonts w:ascii="Times New Roman" w:hAnsi="Times New Roman" w:cs="Times New Roman"/>
          <w:i/>
          <w:iCs/>
          <w:sz w:val="28"/>
          <w:szCs w:val="28"/>
        </w:rPr>
        <w:t>s</w:t>
      </w:r>
      <w:r w:rsidRPr="009770B5">
        <w:rPr>
          <w:rFonts w:ascii="Times New Roman" w:hAnsi="Times New Roman" w:cs="Times New Roman"/>
          <w:i/>
          <w:iCs/>
          <w:sz w:val="28"/>
          <w:szCs w:val="28"/>
        </w:rPr>
        <w:t xml:space="preserve"> </w:t>
      </w:r>
      <w:proofErr w:type="spellStart"/>
      <w:r w:rsidRPr="009770B5">
        <w:rPr>
          <w:rFonts w:ascii="Times New Roman" w:hAnsi="Times New Roman" w:cs="Times New Roman"/>
          <w:i/>
          <w:iCs/>
          <w:sz w:val="28"/>
          <w:szCs w:val="28"/>
        </w:rPr>
        <w:t>Act</w:t>
      </w:r>
      <w:proofErr w:type="spellEnd"/>
      <w:r w:rsidRPr="009770B5">
        <w:rPr>
          <w:rFonts w:ascii="Times New Roman" w:hAnsi="Times New Roman" w:cs="Times New Roman"/>
          <w:i/>
          <w:iCs/>
          <w:sz w:val="28"/>
          <w:szCs w:val="28"/>
        </w:rPr>
        <w:t xml:space="preserve">, Digital </w:t>
      </w:r>
      <w:proofErr w:type="spellStart"/>
      <w:r w:rsidRPr="009770B5">
        <w:rPr>
          <w:rFonts w:ascii="Times New Roman" w:hAnsi="Times New Roman" w:cs="Times New Roman"/>
          <w:i/>
          <w:iCs/>
          <w:sz w:val="28"/>
          <w:szCs w:val="28"/>
        </w:rPr>
        <w:t>Governace</w:t>
      </w:r>
      <w:proofErr w:type="spellEnd"/>
      <w:r w:rsidRPr="009770B5">
        <w:rPr>
          <w:rFonts w:ascii="Times New Roman" w:hAnsi="Times New Roman" w:cs="Times New Roman"/>
          <w:i/>
          <w:iCs/>
          <w:sz w:val="28"/>
          <w:szCs w:val="28"/>
        </w:rPr>
        <w:t xml:space="preserve"> </w:t>
      </w:r>
      <w:proofErr w:type="spellStart"/>
      <w:r w:rsidRPr="009770B5">
        <w:rPr>
          <w:rFonts w:ascii="Times New Roman" w:hAnsi="Times New Roman" w:cs="Times New Roman"/>
          <w:i/>
          <w:iCs/>
          <w:sz w:val="28"/>
          <w:szCs w:val="28"/>
        </w:rPr>
        <w:t>Act</w:t>
      </w:r>
      <w:proofErr w:type="spellEnd"/>
      <w:r w:rsidRPr="009770B5">
        <w:rPr>
          <w:rFonts w:ascii="Times New Roman" w:hAnsi="Times New Roman" w:cs="Times New Roman"/>
          <w:i/>
          <w:iCs/>
          <w:sz w:val="28"/>
          <w:szCs w:val="28"/>
        </w:rPr>
        <w:t xml:space="preserve"> </w:t>
      </w:r>
      <w:r w:rsidRPr="00DF23A1">
        <w:rPr>
          <w:rFonts w:ascii="Times New Roman" w:hAnsi="Times New Roman" w:cs="Times New Roman"/>
          <w:sz w:val="28"/>
          <w:szCs w:val="28"/>
        </w:rPr>
        <w:t>e</w:t>
      </w:r>
      <w:r w:rsidRPr="009770B5">
        <w:rPr>
          <w:rFonts w:ascii="Times New Roman" w:hAnsi="Times New Roman" w:cs="Times New Roman"/>
          <w:i/>
          <w:iCs/>
          <w:sz w:val="28"/>
          <w:szCs w:val="28"/>
        </w:rPr>
        <w:t xml:space="preserve"> Digital </w:t>
      </w:r>
      <w:proofErr w:type="spellStart"/>
      <w:r w:rsidRPr="009770B5">
        <w:rPr>
          <w:rFonts w:ascii="Times New Roman" w:hAnsi="Times New Roman" w:cs="Times New Roman"/>
          <w:i/>
          <w:iCs/>
          <w:sz w:val="28"/>
          <w:szCs w:val="28"/>
        </w:rPr>
        <w:t>Market</w:t>
      </w:r>
      <w:r w:rsidR="009211B4">
        <w:rPr>
          <w:rFonts w:ascii="Times New Roman" w:hAnsi="Times New Roman" w:cs="Times New Roman"/>
          <w:i/>
          <w:iCs/>
          <w:sz w:val="28"/>
          <w:szCs w:val="28"/>
        </w:rPr>
        <w:t>s</w:t>
      </w:r>
      <w:proofErr w:type="spellEnd"/>
      <w:r w:rsidRPr="009770B5">
        <w:rPr>
          <w:rFonts w:ascii="Times New Roman" w:hAnsi="Times New Roman" w:cs="Times New Roman"/>
          <w:i/>
          <w:iCs/>
          <w:sz w:val="28"/>
          <w:szCs w:val="28"/>
        </w:rPr>
        <w:t xml:space="preserve"> </w:t>
      </w:r>
      <w:proofErr w:type="spellStart"/>
      <w:r w:rsidRPr="009770B5">
        <w:rPr>
          <w:rFonts w:ascii="Times New Roman" w:hAnsi="Times New Roman" w:cs="Times New Roman"/>
          <w:i/>
          <w:iCs/>
          <w:sz w:val="28"/>
          <w:szCs w:val="28"/>
        </w:rPr>
        <w:t>Act</w:t>
      </w:r>
      <w:proofErr w:type="spellEnd"/>
      <w:r w:rsidR="00DF23A1">
        <w:rPr>
          <w:rFonts w:ascii="Times New Roman" w:hAnsi="Times New Roman" w:cs="Times New Roman"/>
          <w:i/>
          <w:iCs/>
          <w:sz w:val="28"/>
          <w:szCs w:val="28"/>
        </w:rPr>
        <w:t xml:space="preserve">; </w:t>
      </w:r>
      <w:r>
        <w:rPr>
          <w:rFonts w:ascii="Times New Roman" w:hAnsi="Times New Roman" w:cs="Times New Roman"/>
          <w:sz w:val="28"/>
          <w:szCs w:val="28"/>
        </w:rPr>
        <w:t>sono questi i tre elementi nel nuovo pilastro digitale europeo.</w:t>
      </w:r>
    </w:p>
    <w:p w14:paraId="66264BC6" w14:textId="77777777" w:rsidR="00DF23A1" w:rsidRDefault="009770B5" w:rsidP="00B44752">
      <w:pPr>
        <w:spacing w:after="0"/>
        <w:jc w:val="both"/>
        <w:rPr>
          <w:rFonts w:ascii="Times New Roman" w:hAnsi="Times New Roman" w:cs="Times New Roman"/>
          <w:sz w:val="28"/>
          <w:szCs w:val="28"/>
        </w:rPr>
      </w:pPr>
      <w:r>
        <w:rPr>
          <w:rFonts w:ascii="Times New Roman" w:hAnsi="Times New Roman" w:cs="Times New Roman"/>
          <w:sz w:val="28"/>
          <w:szCs w:val="28"/>
        </w:rPr>
        <w:t>Sempre più il processo di “monetizzazione dei dati”</w:t>
      </w:r>
      <w:r w:rsidR="00DF23A1">
        <w:rPr>
          <w:rFonts w:ascii="Times New Roman" w:hAnsi="Times New Roman" w:cs="Times New Roman"/>
          <w:sz w:val="28"/>
          <w:szCs w:val="28"/>
        </w:rPr>
        <w:t>,</w:t>
      </w:r>
      <w:r>
        <w:rPr>
          <w:rFonts w:ascii="Times New Roman" w:hAnsi="Times New Roman" w:cs="Times New Roman"/>
          <w:sz w:val="28"/>
          <w:szCs w:val="28"/>
        </w:rPr>
        <w:t xml:space="preserve"> nella </w:t>
      </w:r>
      <w:r w:rsidRPr="009770B5">
        <w:rPr>
          <w:rFonts w:ascii="Times New Roman" w:hAnsi="Times New Roman" w:cs="Times New Roman"/>
          <w:i/>
          <w:iCs/>
          <w:sz w:val="28"/>
          <w:szCs w:val="28"/>
        </w:rPr>
        <w:t xml:space="preserve">data </w:t>
      </w:r>
      <w:proofErr w:type="spellStart"/>
      <w:r w:rsidRPr="009770B5">
        <w:rPr>
          <w:rFonts w:ascii="Times New Roman" w:hAnsi="Times New Roman" w:cs="Times New Roman"/>
          <w:i/>
          <w:iCs/>
          <w:sz w:val="28"/>
          <w:szCs w:val="28"/>
        </w:rPr>
        <w:t>driven</w:t>
      </w:r>
      <w:proofErr w:type="spellEnd"/>
      <w:r w:rsidRPr="009770B5">
        <w:rPr>
          <w:rFonts w:ascii="Times New Roman" w:hAnsi="Times New Roman" w:cs="Times New Roman"/>
          <w:i/>
          <w:iCs/>
          <w:sz w:val="28"/>
          <w:szCs w:val="28"/>
        </w:rPr>
        <w:t xml:space="preserve"> economy</w:t>
      </w:r>
      <w:r w:rsidR="00DF23A1">
        <w:rPr>
          <w:rFonts w:ascii="Times New Roman" w:hAnsi="Times New Roman" w:cs="Times New Roman"/>
          <w:i/>
          <w:iCs/>
          <w:sz w:val="28"/>
          <w:szCs w:val="28"/>
        </w:rPr>
        <w:t>,</w:t>
      </w:r>
      <w:r>
        <w:rPr>
          <w:rFonts w:ascii="Times New Roman" w:hAnsi="Times New Roman" w:cs="Times New Roman"/>
          <w:i/>
          <w:iCs/>
          <w:sz w:val="28"/>
          <w:szCs w:val="28"/>
        </w:rPr>
        <w:t xml:space="preserve"> </w:t>
      </w:r>
      <w:r w:rsidRPr="009770B5">
        <w:rPr>
          <w:rFonts w:ascii="Times New Roman" w:hAnsi="Times New Roman" w:cs="Times New Roman"/>
          <w:sz w:val="28"/>
          <w:szCs w:val="28"/>
        </w:rPr>
        <w:t xml:space="preserve">pone una stretta relazione tra </w:t>
      </w:r>
      <w:r>
        <w:rPr>
          <w:rFonts w:ascii="Times New Roman" w:hAnsi="Times New Roman" w:cs="Times New Roman"/>
          <w:sz w:val="28"/>
          <w:szCs w:val="28"/>
        </w:rPr>
        <w:t>“informazione e concorrenza”, inducendoci a chiederci se le regole preposte alla tutela della concorrenza siano ancora adatte o vadano integrate per i mercati digitali</w:t>
      </w:r>
      <w:r w:rsidR="00902836">
        <w:rPr>
          <w:rFonts w:ascii="Times New Roman" w:hAnsi="Times New Roman" w:cs="Times New Roman"/>
          <w:sz w:val="28"/>
          <w:szCs w:val="28"/>
        </w:rPr>
        <w:t>.</w:t>
      </w:r>
      <w:r>
        <w:rPr>
          <w:rFonts w:ascii="Times New Roman" w:hAnsi="Times New Roman" w:cs="Times New Roman"/>
          <w:sz w:val="28"/>
          <w:szCs w:val="28"/>
        </w:rPr>
        <w:t xml:space="preserve"> Il primo problema è l’individuazione della nozione</w:t>
      </w:r>
      <w:r w:rsidR="00675943">
        <w:rPr>
          <w:rFonts w:ascii="Times New Roman" w:hAnsi="Times New Roman" w:cs="Times New Roman"/>
          <w:sz w:val="28"/>
          <w:szCs w:val="28"/>
        </w:rPr>
        <w:t xml:space="preserve"> di “quote di mercato”, “indici di concentrazione”,</w:t>
      </w:r>
      <w:r>
        <w:rPr>
          <w:rFonts w:ascii="Times New Roman" w:hAnsi="Times New Roman" w:cs="Times New Roman"/>
          <w:sz w:val="28"/>
          <w:szCs w:val="28"/>
        </w:rPr>
        <w:t xml:space="preserve"> di “</w:t>
      </w:r>
      <w:r w:rsidRPr="009770B5">
        <w:rPr>
          <w:rFonts w:ascii="Times New Roman" w:hAnsi="Times New Roman" w:cs="Times New Roman"/>
          <w:i/>
          <w:iCs/>
          <w:sz w:val="28"/>
          <w:szCs w:val="28"/>
        </w:rPr>
        <w:t>mercato rilevante</w:t>
      </w:r>
      <w:r w:rsidRPr="00DF23A1">
        <w:rPr>
          <w:rFonts w:ascii="Times New Roman" w:hAnsi="Times New Roman" w:cs="Times New Roman"/>
          <w:sz w:val="28"/>
          <w:szCs w:val="28"/>
        </w:rPr>
        <w:t>”</w:t>
      </w:r>
      <w:r w:rsidR="00850BFF">
        <w:rPr>
          <w:rFonts w:ascii="Times New Roman" w:hAnsi="Times New Roman" w:cs="Times New Roman"/>
          <w:i/>
          <w:iCs/>
          <w:sz w:val="28"/>
          <w:szCs w:val="28"/>
        </w:rPr>
        <w:t xml:space="preserve"> </w:t>
      </w:r>
      <w:r w:rsidRPr="009770B5">
        <w:rPr>
          <w:rFonts w:ascii="Times New Roman" w:hAnsi="Times New Roman" w:cs="Times New Roman"/>
          <w:sz w:val="28"/>
          <w:szCs w:val="28"/>
        </w:rPr>
        <w:t>per</w:t>
      </w:r>
      <w:r>
        <w:rPr>
          <w:rFonts w:ascii="Times New Roman" w:hAnsi="Times New Roman" w:cs="Times New Roman"/>
          <w:i/>
          <w:iCs/>
          <w:sz w:val="28"/>
          <w:szCs w:val="28"/>
        </w:rPr>
        <w:t xml:space="preserve"> </w:t>
      </w:r>
      <w:r w:rsidRPr="009770B5">
        <w:rPr>
          <w:rFonts w:ascii="Times New Roman" w:hAnsi="Times New Roman" w:cs="Times New Roman"/>
          <w:sz w:val="28"/>
          <w:szCs w:val="28"/>
        </w:rPr>
        <w:t>i</w:t>
      </w:r>
      <w:r>
        <w:rPr>
          <w:rFonts w:ascii="Times New Roman" w:hAnsi="Times New Roman" w:cs="Times New Roman"/>
          <w:i/>
          <w:iCs/>
          <w:sz w:val="28"/>
          <w:szCs w:val="28"/>
        </w:rPr>
        <w:t xml:space="preserve"> </w:t>
      </w:r>
      <w:r w:rsidRPr="009770B5">
        <w:rPr>
          <w:rFonts w:ascii="Times New Roman" w:hAnsi="Times New Roman" w:cs="Times New Roman"/>
          <w:sz w:val="28"/>
          <w:szCs w:val="28"/>
        </w:rPr>
        <w:t xml:space="preserve">mercati </w:t>
      </w:r>
      <w:r>
        <w:rPr>
          <w:rFonts w:ascii="Times New Roman" w:hAnsi="Times New Roman" w:cs="Times New Roman"/>
          <w:sz w:val="28"/>
          <w:szCs w:val="28"/>
        </w:rPr>
        <w:t>digitali, che sono “</w:t>
      </w:r>
      <w:r w:rsidRPr="0092641A">
        <w:rPr>
          <w:rFonts w:ascii="Times New Roman" w:hAnsi="Times New Roman" w:cs="Times New Roman"/>
          <w:i/>
          <w:iCs/>
          <w:sz w:val="28"/>
          <w:szCs w:val="28"/>
        </w:rPr>
        <w:t>mercati con struttur</w:t>
      </w:r>
      <w:r w:rsidR="00902836">
        <w:rPr>
          <w:rFonts w:ascii="Times New Roman" w:hAnsi="Times New Roman" w:cs="Times New Roman"/>
          <w:i/>
          <w:iCs/>
          <w:sz w:val="28"/>
          <w:szCs w:val="28"/>
        </w:rPr>
        <w:t>e</w:t>
      </w:r>
      <w:r w:rsidRPr="0092641A">
        <w:rPr>
          <w:rFonts w:ascii="Times New Roman" w:hAnsi="Times New Roman" w:cs="Times New Roman"/>
          <w:i/>
          <w:iCs/>
          <w:sz w:val="28"/>
          <w:szCs w:val="28"/>
        </w:rPr>
        <w:t xml:space="preserve"> </w:t>
      </w:r>
      <w:proofErr w:type="spellStart"/>
      <w:r w:rsidRPr="0092641A">
        <w:rPr>
          <w:rFonts w:ascii="Times New Roman" w:hAnsi="Times New Roman" w:cs="Times New Roman"/>
          <w:i/>
          <w:iCs/>
          <w:sz w:val="28"/>
          <w:szCs w:val="28"/>
        </w:rPr>
        <w:t>multiversant</w:t>
      </w:r>
      <w:r w:rsidR="00902836">
        <w:rPr>
          <w:rFonts w:ascii="Times New Roman" w:hAnsi="Times New Roman" w:cs="Times New Roman"/>
          <w:i/>
          <w:iCs/>
          <w:sz w:val="28"/>
          <w:szCs w:val="28"/>
        </w:rPr>
        <w:t>i</w:t>
      </w:r>
      <w:proofErr w:type="spellEnd"/>
      <w:r>
        <w:rPr>
          <w:rFonts w:ascii="Times New Roman" w:hAnsi="Times New Roman" w:cs="Times New Roman"/>
          <w:sz w:val="28"/>
          <w:szCs w:val="28"/>
        </w:rPr>
        <w:t>”, le c</w:t>
      </w:r>
      <w:r w:rsidR="00902836">
        <w:rPr>
          <w:rFonts w:ascii="Times New Roman" w:hAnsi="Times New Roman" w:cs="Times New Roman"/>
          <w:sz w:val="28"/>
          <w:szCs w:val="28"/>
        </w:rPr>
        <w:t>.</w:t>
      </w:r>
      <w:r>
        <w:rPr>
          <w:rFonts w:ascii="Times New Roman" w:hAnsi="Times New Roman" w:cs="Times New Roman"/>
          <w:sz w:val="28"/>
          <w:szCs w:val="28"/>
        </w:rPr>
        <w:t>d</w:t>
      </w:r>
      <w:r w:rsidR="00902836">
        <w:rPr>
          <w:rFonts w:ascii="Times New Roman" w:hAnsi="Times New Roman" w:cs="Times New Roman"/>
          <w:sz w:val="28"/>
          <w:szCs w:val="28"/>
        </w:rPr>
        <w:t>.</w:t>
      </w:r>
      <w:r>
        <w:rPr>
          <w:rFonts w:ascii="Times New Roman" w:hAnsi="Times New Roman" w:cs="Times New Roman"/>
          <w:sz w:val="28"/>
          <w:szCs w:val="28"/>
        </w:rPr>
        <w:t xml:space="preserve"> piattaforme di attenzione</w:t>
      </w:r>
      <w:r w:rsidR="00850BFF">
        <w:rPr>
          <w:rFonts w:ascii="Times New Roman" w:hAnsi="Times New Roman" w:cs="Times New Roman"/>
          <w:sz w:val="28"/>
          <w:szCs w:val="28"/>
        </w:rPr>
        <w:t xml:space="preserve"> </w:t>
      </w:r>
      <w:r w:rsidR="00DF23A1">
        <w:rPr>
          <w:rFonts w:ascii="Times New Roman" w:hAnsi="Times New Roman" w:cs="Times New Roman"/>
          <w:sz w:val="28"/>
          <w:szCs w:val="28"/>
        </w:rPr>
        <w:t>(</w:t>
      </w:r>
      <w:r w:rsidR="00850BFF">
        <w:rPr>
          <w:rFonts w:ascii="Times New Roman" w:hAnsi="Times New Roman" w:cs="Times New Roman"/>
          <w:sz w:val="28"/>
          <w:szCs w:val="28"/>
        </w:rPr>
        <w:t>“</w:t>
      </w:r>
      <w:proofErr w:type="spellStart"/>
      <w:r w:rsidRPr="009770B5">
        <w:rPr>
          <w:rFonts w:ascii="Times New Roman" w:hAnsi="Times New Roman" w:cs="Times New Roman"/>
          <w:i/>
          <w:iCs/>
          <w:sz w:val="28"/>
          <w:szCs w:val="28"/>
        </w:rPr>
        <w:t>attention</w:t>
      </w:r>
      <w:proofErr w:type="spellEnd"/>
      <w:r w:rsidRPr="009770B5">
        <w:rPr>
          <w:rFonts w:ascii="Times New Roman" w:hAnsi="Times New Roman" w:cs="Times New Roman"/>
          <w:i/>
          <w:iCs/>
          <w:sz w:val="28"/>
          <w:szCs w:val="28"/>
        </w:rPr>
        <w:t xml:space="preserve"> </w:t>
      </w:r>
      <w:proofErr w:type="spellStart"/>
      <w:r w:rsidRPr="009770B5">
        <w:rPr>
          <w:rFonts w:ascii="Times New Roman" w:hAnsi="Times New Roman" w:cs="Times New Roman"/>
          <w:i/>
          <w:iCs/>
          <w:sz w:val="28"/>
          <w:szCs w:val="28"/>
        </w:rPr>
        <w:t>platform</w:t>
      </w:r>
      <w:r w:rsidR="00DF23A1">
        <w:rPr>
          <w:rFonts w:ascii="Times New Roman" w:hAnsi="Times New Roman" w:cs="Times New Roman"/>
          <w:i/>
          <w:iCs/>
          <w:sz w:val="28"/>
          <w:szCs w:val="28"/>
        </w:rPr>
        <w:t>s</w:t>
      </w:r>
      <w:proofErr w:type="spellEnd"/>
      <w:r>
        <w:rPr>
          <w:rFonts w:ascii="Times New Roman" w:hAnsi="Times New Roman" w:cs="Times New Roman"/>
          <w:sz w:val="28"/>
          <w:szCs w:val="28"/>
        </w:rPr>
        <w:t>”</w:t>
      </w:r>
      <w:r w:rsidR="00DF23A1">
        <w:rPr>
          <w:rFonts w:ascii="Times New Roman" w:hAnsi="Times New Roman" w:cs="Times New Roman"/>
          <w:sz w:val="28"/>
          <w:szCs w:val="28"/>
        </w:rPr>
        <w:t xml:space="preserve">), </w:t>
      </w:r>
      <w:r>
        <w:rPr>
          <w:rFonts w:ascii="Times New Roman" w:hAnsi="Times New Roman" w:cs="Times New Roman"/>
          <w:sz w:val="28"/>
          <w:szCs w:val="28"/>
        </w:rPr>
        <w:t xml:space="preserve">con effetti di rete diretti e indiretti, </w:t>
      </w:r>
      <w:proofErr w:type="spellStart"/>
      <w:r w:rsidRPr="00902836">
        <w:rPr>
          <w:rFonts w:ascii="Times New Roman" w:hAnsi="Times New Roman" w:cs="Times New Roman"/>
          <w:i/>
          <w:iCs/>
          <w:sz w:val="28"/>
          <w:szCs w:val="28"/>
        </w:rPr>
        <w:t>switching</w:t>
      </w:r>
      <w:proofErr w:type="spellEnd"/>
      <w:r w:rsidRPr="00902836">
        <w:rPr>
          <w:rFonts w:ascii="Times New Roman" w:hAnsi="Times New Roman" w:cs="Times New Roman"/>
          <w:i/>
          <w:iCs/>
          <w:sz w:val="28"/>
          <w:szCs w:val="28"/>
        </w:rPr>
        <w:t xml:space="preserve"> benefits</w:t>
      </w:r>
      <w:r>
        <w:rPr>
          <w:rFonts w:ascii="Times New Roman" w:hAnsi="Times New Roman" w:cs="Times New Roman"/>
          <w:sz w:val="28"/>
          <w:szCs w:val="28"/>
        </w:rPr>
        <w:t xml:space="preserve"> and </w:t>
      </w:r>
      <w:proofErr w:type="spellStart"/>
      <w:r w:rsidRPr="00902836">
        <w:rPr>
          <w:rFonts w:ascii="Times New Roman" w:hAnsi="Times New Roman" w:cs="Times New Roman"/>
          <w:i/>
          <w:iCs/>
          <w:sz w:val="28"/>
          <w:szCs w:val="28"/>
        </w:rPr>
        <w:t>costs</w:t>
      </w:r>
      <w:proofErr w:type="spellEnd"/>
      <w:r>
        <w:rPr>
          <w:rFonts w:ascii="Times New Roman" w:hAnsi="Times New Roman" w:cs="Times New Roman"/>
          <w:sz w:val="28"/>
          <w:szCs w:val="28"/>
        </w:rPr>
        <w:t>, economie di scala e di scopo e con assenza di prezzo.</w:t>
      </w:r>
      <w:r w:rsidR="00AA31AC">
        <w:rPr>
          <w:rFonts w:ascii="Times New Roman" w:hAnsi="Times New Roman" w:cs="Times New Roman"/>
          <w:sz w:val="28"/>
          <w:szCs w:val="28"/>
        </w:rPr>
        <w:t xml:space="preserve"> </w:t>
      </w:r>
    </w:p>
    <w:p w14:paraId="0AC288FA" w14:textId="77777777" w:rsidR="00DF23A1" w:rsidRDefault="009770B5" w:rsidP="00B44752">
      <w:pPr>
        <w:spacing w:after="0"/>
        <w:jc w:val="both"/>
        <w:rPr>
          <w:rFonts w:ascii="Times New Roman" w:hAnsi="Times New Roman" w:cs="Times New Roman"/>
          <w:sz w:val="28"/>
          <w:szCs w:val="28"/>
        </w:rPr>
      </w:pPr>
      <w:r>
        <w:rPr>
          <w:rFonts w:ascii="Times New Roman" w:hAnsi="Times New Roman" w:cs="Times New Roman"/>
          <w:sz w:val="28"/>
          <w:szCs w:val="28"/>
        </w:rPr>
        <w:t>I dati personali sono utilizzati come “controprestazioni” per un servizio gratuito</w:t>
      </w:r>
      <w:r w:rsidR="0092641A">
        <w:rPr>
          <w:rFonts w:ascii="Times New Roman" w:hAnsi="Times New Roman" w:cs="Times New Roman"/>
          <w:sz w:val="28"/>
          <w:szCs w:val="28"/>
        </w:rPr>
        <w:t>.</w:t>
      </w:r>
      <w:r w:rsidR="00850BFF">
        <w:rPr>
          <w:rFonts w:ascii="Times New Roman" w:hAnsi="Times New Roman" w:cs="Times New Roman"/>
          <w:sz w:val="28"/>
          <w:szCs w:val="28"/>
        </w:rPr>
        <w:t xml:space="preserve"> </w:t>
      </w:r>
      <w:r w:rsidR="0092641A">
        <w:rPr>
          <w:rFonts w:ascii="Times New Roman" w:hAnsi="Times New Roman" w:cs="Times New Roman"/>
          <w:sz w:val="28"/>
          <w:szCs w:val="28"/>
        </w:rPr>
        <w:t>Il potere di mercato risiede non nel possesso dei dati, ma nel c</w:t>
      </w:r>
      <w:r w:rsidR="00902836">
        <w:rPr>
          <w:rFonts w:ascii="Times New Roman" w:hAnsi="Times New Roman" w:cs="Times New Roman"/>
          <w:sz w:val="28"/>
          <w:szCs w:val="28"/>
        </w:rPr>
        <w:t>.</w:t>
      </w:r>
      <w:r w:rsidR="0092641A">
        <w:rPr>
          <w:rFonts w:ascii="Times New Roman" w:hAnsi="Times New Roman" w:cs="Times New Roman"/>
          <w:sz w:val="28"/>
          <w:szCs w:val="28"/>
        </w:rPr>
        <w:t>d</w:t>
      </w:r>
      <w:r w:rsidR="00902836">
        <w:rPr>
          <w:rFonts w:ascii="Times New Roman" w:hAnsi="Times New Roman" w:cs="Times New Roman"/>
          <w:sz w:val="28"/>
          <w:szCs w:val="28"/>
        </w:rPr>
        <w:t>.</w:t>
      </w:r>
      <w:r w:rsidR="0092641A">
        <w:rPr>
          <w:rFonts w:ascii="Times New Roman" w:hAnsi="Times New Roman" w:cs="Times New Roman"/>
          <w:sz w:val="28"/>
          <w:szCs w:val="28"/>
        </w:rPr>
        <w:t xml:space="preserve"> “</w:t>
      </w:r>
      <w:r w:rsidR="0092641A" w:rsidRPr="0092641A">
        <w:rPr>
          <w:rFonts w:ascii="Times New Roman" w:hAnsi="Times New Roman" w:cs="Times New Roman"/>
          <w:i/>
          <w:iCs/>
          <w:sz w:val="28"/>
          <w:szCs w:val="28"/>
        </w:rPr>
        <w:t xml:space="preserve">data </w:t>
      </w:r>
      <w:proofErr w:type="spellStart"/>
      <w:r w:rsidR="0092641A" w:rsidRPr="0092641A">
        <w:rPr>
          <w:rFonts w:ascii="Times New Roman" w:hAnsi="Times New Roman" w:cs="Times New Roman"/>
          <w:i/>
          <w:iCs/>
          <w:sz w:val="28"/>
          <w:szCs w:val="28"/>
        </w:rPr>
        <w:t>mining</w:t>
      </w:r>
      <w:proofErr w:type="spellEnd"/>
      <w:r w:rsidR="0092641A" w:rsidRPr="00902836">
        <w:rPr>
          <w:rFonts w:ascii="Times New Roman" w:hAnsi="Times New Roman" w:cs="Times New Roman"/>
          <w:sz w:val="28"/>
          <w:szCs w:val="28"/>
        </w:rPr>
        <w:t>”,</w:t>
      </w:r>
      <w:r w:rsidR="0092641A">
        <w:rPr>
          <w:rFonts w:ascii="Times New Roman" w:hAnsi="Times New Roman" w:cs="Times New Roman"/>
          <w:i/>
          <w:iCs/>
          <w:sz w:val="28"/>
          <w:szCs w:val="28"/>
        </w:rPr>
        <w:t xml:space="preserve"> </w:t>
      </w:r>
      <w:r w:rsidR="0092641A" w:rsidRPr="0092641A">
        <w:rPr>
          <w:rFonts w:ascii="Times New Roman" w:hAnsi="Times New Roman" w:cs="Times New Roman"/>
          <w:sz w:val="28"/>
          <w:szCs w:val="28"/>
        </w:rPr>
        <w:t xml:space="preserve">ossia nella capacità </w:t>
      </w:r>
      <w:r w:rsidR="0092641A">
        <w:rPr>
          <w:rFonts w:ascii="Times New Roman" w:hAnsi="Times New Roman" w:cs="Times New Roman"/>
          <w:sz w:val="28"/>
          <w:szCs w:val="28"/>
        </w:rPr>
        <w:t xml:space="preserve">di estrarre valore dai dati, </w:t>
      </w:r>
      <w:r w:rsidR="00DF23A1">
        <w:rPr>
          <w:rFonts w:ascii="Times New Roman" w:hAnsi="Times New Roman" w:cs="Times New Roman"/>
          <w:sz w:val="28"/>
          <w:szCs w:val="28"/>
        </w:rPr>
        <w:t>(</w:t>
      </w:r>
      <w:r w:rsidR="0092641A">
        <w:rPr>
          <w:rFonts w:ascii="Times New Roman" w:hAnsi="Times New Roman" w:cs="Times New Roman"/>
          <w:sz w:val="28"/>
          <w:szCs w:val="28"/>
        </w:rPr>
        <w:t>TEST SSNDQ</w:t>
      </w:r>
      <w:r w:rsidR="00DF23A1">
        <w:rPr>
          <w:rFonts w:ascii="Times New Roman" w:hAnsi="Times New Roman" w:cs="Times New Roman"/>
          <w:sz w:val="28"/>
          <w:szCs w:val="28"/>
        </w:rPr>
        <w:t xml:space="preserve">: </w:t>
      </w:r>
      <w:r w:rsidR="0092641A">
        <w:rPr>
          <w:rFonts w:ascii="Times New Roman" w:hAnsi="Times New Roman" w:cs="Times New Roman"/>
          <w:sz w:val="28"/>
          <w:szCs w:val="28"/>
        </w:rPr>
        <w:t>“</w:t>
      </w:r>
      <w:r w:rsidR="0092641A" w:rsidRPr="0092641A">
        <w:rPr>
          <w:rFonts w:ascii="Times New Roman" w:hAnsi="Times New Roman" w:cs="Times New Roman"/>
          <w:i/>
          <w:iCs/>
          <w:sz w:val="28"/>
          <w:szCs w:val="28"/>
        </w:rPr>
        <w:t>small,</w:t>
      </w:r>
      <w:r w:rsidR="00850BFF">
        <w:rPr>
          <w:rFonts w:ascii="Times New Roman" w:hAnsi="Times New Roman" w:cs="Times New Roman"/>
          <w:i/>
          <w:iCs/>
          <w:sz w:val="28"/>
          <w:szCs w:val="28"/>
        </w:rPr>
        <w:t xml:space="preserve"> </w:t>
      </w:r>
      <w:proofErr w:type="spellStart"/>
      <w:r w:rsidR="0092641A" w:rsidRPr="0092641A">
        <w:rPr>
          <w:rFonts w:ascii="Times New Roman" w:hAnsi="Times New Roman" w:cs="Times New Roman"/>
          <w:i/>
          <w:iCs/>
          <w:sz w:val="28"/>
          <w:szCs w:val="28"/>
        </w:rPr>
        <w:t>but</w:t>
      </w:r>
      <w:proofErr w:type="spellEnd"/>
      <w:r w:rsidR="0092641A" w:rsidRPr="0092641A">
        <w:rPr>
          <w:rFonts w:ascii="Times New Roman" w:hAnsi="Times New Roman" w:cs="Times New Roman"/>
          <w:i/>
          <w:iCs/>
          <w:sz w:val="28"/>
          <w:szCs w:val="28"/>
        </w:rPr>
        <w:t xml:space="preserve"> </w:t>
      </w:r>
      <w:proofErr w:type="spellStart"/>
      <w:r w:rsidR="0092641A" w:rsidRPr="0092641A">
        <w:rPr>
          <w:rFonts w:ascii="Times New Roman" w:hAnsi="Times New Roman" w:cs="Times New Roman"/>
          <w:i/>
          <w:iCs/>
          <w:sz w:val="28"/>
          <w:szCs w:val="28"/>
        </w:rPr>
        <w:t>significant</w:t>
      </w:r>
      <w:proofErr w:type="spellEnd"/>
      <w:r w:rsidR="0092641A" w:rsidRPr="0092641A">
        <w:rPr>
          <w:rFonts w:ascii="Times New Roman" w:hAnsi="Times New Roman" w:cs="Times New Roman"/>
          <w:i/>
          <w:iCs/>
          <w:sz w:val="28"/>
          <w:szCs w:val="28"/>
        </w:rPr>
        <w:t xml:space="preserve"> non-</w:t>
      </w:r>
      <w:proofErr w:type="spellStart"/>
      <w:r w:rsidR="0092641A" w:rsidRPr="0092641A">
        <w:rPr>
          <w:rFonts w:ascii="Times New Roman" w:hAnsi="Times New Roman" w:cs="Times New Roman"/>
          <w:i/>
          <w:iCs/>
          <w:sz w:val="28"/>
          <w:szCs w:val="28"/>
        </w:rPr>
        <w:t>transitory</w:t>
      </w:r>
      <w:proofErr w:type="spellEnd"/>
      <w:r w:rsidR="0092641A" w:rsidRPr="0092641A">
        <w:rPr>
          <w:rFonts w:ascii="Times New Roman" w:hAnsi="Times New Roman" w:cs="Times New Roman"/>
          <w:i/>
          <w:iCs/>
          <w:sz w:val="28"/>
          <w:szCs w:val="28"/>
        </w:rPr>
        <w:t xml:space="preserve"> </w:t>
      </w:r>
      <w:proofErr w:type="spellStart"/>
      <w:r w:rsidR="0092641A" w:rsidRPr="0092641A">
        <w:rPr>
          <w:rFonts w:ascii="Times New Roman" w:hAnsi="Times New Roman" w:cs="Times New Roman"/>
          <w:i/>
          <w:iCs/>
          <w:sz w:val="28"/>
          <w:szCs w:val="28"/>
        </w:rPr>
        <w:t>decrease</w:t>
      </w:r>
      <w:proofErr w:type="spellEnd"/>
      <w:r w:rsidR="0092641A" w:rsidRPr="0092641A">
        <w:rPr>
          <w:rFonts w:ascii="Times New Roman" w:hAnsi="Times New Roman" w:cs="Times New Roman"/>
          <w:i/>
          <w:iCs/>
          <w:sz w:val="28"/>
          <w:szCs w:val="28"/>
        </w:rPr>
        <w:t xml:space="preserve"> in </w:t>
      </w:r>
      <w:proofErr w:type="spellStart"/>
      <w:r w:rsidR="0092641A" w:rsidRPr="0092641A">
        <w:rPr>
          <w:rFonts w:ascii="Times New Roman" w:hAnsi="Times New Roman" w:cs="Times New Roman"/>
          <w:i/>
          <w:iCs/>
          <w:sz w:val="28"/>
          <w:szCs w:val="28"/>
        </w:rPr>
        <w:t>quality</w:t>
      </w:r>
      <w:proofErr w:type="spellEnd"/>
      <w:r w:rsidR="0092641A" w:rsidRPr="0092641A">
        <w:rPr>
          <w:rFonts w:ascii="Times New Roman" w:hAnsi="Times New Roman" w:cs="Times New Roman"/>
          <w:sz w:val="28"/>
          <w:szCs w:val="28"/>
        </w:rPr>
        <w:t>”).</w:t>
      </w:r>
    </w:p>
    <w:p w14:paraId="7AA63D44" w14:textId="77777777" w:rsidR="00DF23A1" w:rsidRDefault="00DF23A1" w:rsidP="00B44752">
      <w:pPr>
        <w:spacing w:after="0"/>
        <w:jc w:val="both"/>
        <w:rPr>
          <w:rFonts w:ascii="Times New Roman" w:hAnsi="Times New Roman" w:cs="Times New Roman"/>
          <w:sz w:val="28"/>
          <w:szCs w:val="28"/>
        </w:rPr>
      </w:pPr>
    </w:p>
    <w:p w14:paraId="03070138" w14:textId="625B4AB9" w:rsidR="009770B5" w:rsidRPr="00DB05C2" w:rsidRDefault="0092641A" w:rsidP="00B44752">
      <w:pPr>
        <w:spacing w:after="0"/>
        <w:jc w:val="both"/>
        <w:rPr>
          <w:rFonts w:ascii="Times New Roman" w:hAnsi="Times New Roman" w:cs="Times New Roman"/>
          <w:i/>
          <w:iCs/>
          <w:sz w:val="28"/>
          <w:szCs w:val="28"/>
        </w:rPr>
      </w:pPr>
      <w:r w:rsidRPr="0092641A">
        <w:rPr>
          <w:rFonts w:ascii="Times New Roman" w:hAnsi="Times New Roman" w:cs="Times New Roman"/>
          <w:sz w:val="28"/>
          <w:szCs w:val="28"/>
        </w:rPr>
        <w:t xml:space="preserve">La tutela </w:t>
      </w:r>
      <w:r>
        <w:rPr>
          <w:rFonts w:ascii="Times New Roman" w:hAnsi="Times New Roman" w:cs="Times New Roman"/>
          <w:sz w:val="28"/>
          <w:szCs w:val="28"/>
        </w:rPr>
        <w:t>della privacy e la trasparenza sono</w:t>
      </w:r>
      <w:r w:rsidR="00902836">
        <w:rPr>
          <w:rFonts w:ascii="Times New Roman" w:hAnsi="Times New Roman" w:cs="Times New Roman"/>
          <w:sz w:val="28"/>
          <w:szCs w:val="28"/>
        </w:rPr>
        <w:t xml:space="preserve"> «</w:t>
      </w:r>
      <w:r>
        <w:rPr>
          <w:rFonts w:ascii="Times New Roman" w:hAnsi="Times New Roman" w:cs="Times New Roman"/>
          <w:sz w:val="28"/>
          <w:szCs w:val="28"/>
        </w:rPr>
        <w:t>fattori qualitativi del confronto concorrenzi</w:t>
      </w:r>
      <w:r w:rsidR="00337E29">
        <w:rPr>
          <w:rFonts w:ascii="Times New Roman" w:hAnsi="Times New Roman" w:cs="Times New Roman"/>
          <w:sz w:val="28"/>
          <w:szCs w:val="28"/>
        </w:rPr>
        <w:t>a</w:t>
      </w:r>
      <w:r>
        <w:rPr>
          <w:rFonts w:ascii="Times New Roman" w:hAnsi="Times New Roman" w:cs="Times New Roman"/>
          <w:sz w:val="28"/>
          <w:szCs w:val="28"/>
        </w:rPr>
        <w:t>le</w:t>
      </w:r>
      <w:r w:rsidR="00902836">
        <w:rPr>
          <w:rFonts w:ascii="Times New Roman" w:hAnsi="Times New Roman" w:cs="Times New Roman"/>
          <w:sz w:val="28"/>
          <w:szCs w:val="28"/>
        </w:rPr>
        <w:t>»</w:t>
      </w:r>
      <w:r>
        <w:rPr>
          <w:rFonts w:ascii="Times New Roman" w:hAnsi="Times New Roman" w:cs="Times New Roman"/>
          <w:sz w:val="28"/>
          <w:szCs w:val="28"/>
        </w:rPr>
        <w:t xml:space="preserve">, l’utente è concepito non solo come consumatore, ma anche come produttore di dati. Partendo da </w:t>
      </w:r>
      <w:r w:rsidR="00DB05C2" w:rsidRPr="00DB05C2">
        <w:rPr>
          <w:rFonts w:ascii="Times New Roman" w:hAnsi="Times New Roman" w:cs="Times New Roman"/>
          <w:i/>
          <w:iCs/>
          <w:sz w:val="28"/>
          <w:szCs w:val="28"/>
        </w:rPr>
        <w:t>R.</w:t>
      </w:r>
      <w:r w:rsidR="00DB05C2">
        <w:rPr>
          <w:rFonts w:ascii="Times New Roman" w:hAnsi="Times New Roman" w:cs="Times New Roman"/>
          <w:sz w:val="28"/>
          <w:szCs w:val="28"/>
        </w:rPr>
        <w:t xml:space="preserve"> </w:t>
      </w:r>
      <w:proofErr w:type="spellStart"/>
      <w:r w:rsidRPr="00902836">
        <w:rPr>
          <w:rFonts w:ascii="Times New Roman" w:hAnsi="Times New Roman" w:cs="Times New Roman"/>
          <w:i/>
          <w:iCs/>
          <w:sz w:val="28"/>
          <w:szCs w:val="28"/>
        </w:rPr>
        <w:t>Posner</w:t>
      </w:r>
      <w:proofErr w:type="spellEnd"/>
      <w:r>
        <w:rPr>
          <w:rFonts w:ascii="Times New Roman" w:hAnsi="Times New Roman" w:cs="Times New Roman"/>
          <w:sz w:val="28"/>
          <w:szCs w:val="28"/>
        </w:rPr>
        <w:t xml:space="preserve"> e </w:t>
      </w:r>
      <w:r w:rsidRPr="00DB05C2">
        <w:rPr>
          <w:rFonts w:ascii="Times New Roman" w:hAnsi="Times New Roman" w:cs="Times New Roman"/>
          <w:i/>
          <w:iCs/>
          <w:sz w:val="28"/>
          <w:szCs w:val="28"/>
        </w:rPr>
        <w:t>G</w:t>
      </w:r>
      <w:r w:rsidR="00DB05C2">
        <w:rPr>
          <w:rFonts w:ascii="Times New Roman" w:hAnsi="Times New Roman" w:cs="Times New Roman"/>
          <w:i/>
          <w:iCs/>
          <w:sz w:val="28"/>
          <w:szCs w:val="28"/>
        </w:rPr>
        <w:t xml:space="preserve">. </w:t>
      </w:r>
      <w:proofErr w:type="spellStart"/>
      <w:r w:rsidRPr="00902836">
        <w:rPr>
          <w:rFonts w:ascii="Times New Roman" w:hAnsi="Times New Roman" w:cs="Times New Roman"/>
          <w:i/>
          <w:iCs/>
          <w:sz w:val="28"/>
          <w:szCs w:val="28"/>
        </w:rPr>
        <w:t>Weyl</w:t>
      </w:r>
      <w:proofErr w:type="spellEnd"/>
      <w:r w:rsidR="00DB05C2" w:rsidRPr="00296BFE">
        <w:rPr>
          <w:rStyle w:val="Rimandonotaapidipagina"/>
          <w:rFonts w:ascii="Times New Roman" w:hAnsi="Times New Roman" w:cs="Times New Roman"/>
          <w:sz w:val="28"/>
          <w:szCs w:val="28"/>
        </w:rPr>
        <w:footnoteReference w:id="15"/>
      </w:r>
      <w:r w:rsidR="00902836">
        <w:rPr>
          <w:rFonts w:ascii="Times New Roman" w:hAnsi="Times New Roman" w:cs="Times New Roman"/>
          <w:sz w:val="28"/>
          <w:szCs w:val="28"/>
        </w:rPr>
        <w:t xml:space="preserve">, </w:t>
      </w:r>
      <w:r>
        <w:rPr>
          <w:rFonts w:ascii="Times New Roman" w:hAnsi="Times New Roman" w:cs="Times New Roman"/>
          <w:sz w:val="28"/>
          <w:szCs w:val="28"/>
        </w:rPr>
        <w:t xml:space="preserve">i dati personali non sono solo </w:t>
      </w:r>
      <w:r>
        <w:rPr>
          <w:rFonts w:ascii="Times New Roman" w:hAnsi="Times New Roman" w:cs="Times New Roman"/>
          <w:sz w:val="28"/>
          <w:szCs w:val="28"/>
        </w:rPr>
        <w:lastRenderedPageBreak/>
        <w:t xml:space="preserve">risorse, ma beni giuridici attinenti alla tutela dei diritti fondamentali della persona. Nelle controversie che hanno visto coinvolti </w:t>
      </w:r>
      <w:proofErr w:type="spellStart"/>
      <w:r>
        <w:rPr>
          <w:rFonts w:ascii="Times New Roman" w:hAnsi="Times New Roman" w:cs="Times New Roman"/>
          <w:sz w:val="28"/>
          <w:szCs w:val="28"/>
        </w:rPr>
        <w:t>Faceb</w:t>
      </w:r>
      <w:r w:rsidR="007E2E0C">
        <w:rPr>
          <w:rFonts w:ascii="Times New Roman" w:hAnsi="Times New Roman" w:cs="Times New Roman"/>
          <w:sz w:val="28"/>
          <w:szCs w:val="28"/>
        </w:rPr>
        <w:t>o</w:t>
      </w:r>
      <w:r>
        <w:rPr>
          <w:rFonts w:ascii="Times New Roman" w:hAnsi="Times New Roman" w:cs="Times New Roman"/>
          <w:sz w:val="28"/>
          <w:szCs w:val="28"/>
        </w:rPr>
        <w:t>ok</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l’AgCom</w:t>
      </w:r>
      <w:proofErr w:type="spellEnd"/>
      <w:r w:rsidR="00DF23A1">
        <w:rPr>
          <w:rFonts w:ascii="Times New Roman" w:hAnsi="Times New Roman" w:cs="Times New Roman"/>
          <w:sz w:val="28"/>
          <w:szCs w:val="28"/>
        </w:rPr>
        <w:t>,</w:t>
      </w:r>
      <w:r>
        <w:rPr>
          <w:rFonts w:ascii="Times New Roman" w:hAnsi="Times New Roman" w:cs="Times New Roman"/>
          <w:sz w:val="28"/>
          <w:szCs w:val="28"/>
        </w:rPr>
        <w:t xml:space="preserve"> è venut</w:t>
      </w:r>
      <w:r w:rsidR="00902836">
        <w:rPr>
          <w:rFonts w:ascii="Times New Roman" w:hAnsi="Times New Roman" w:cs="Times New Roman"/>
          <w:sz w:val="28"/>
          <w:szCs w:val="28"/>
        </w:rPr>
        <w:t>a</w:t>
      </w:r>
      <w:r>
        <w:rPr>
          <w:rFonts w:ascii="Times New Roman" w:hAnsi="Times New Roman" w:cs="Times New Roman"/>
          <w:sz w:val="28"/>
          <w:szCs w:val="28"/>
        </w:rPr>
        <w:t xml:space="preserve"> spesso in rilievo la violazione degli art</w:t>
      </w:r>
      <w:r w:rsidR="00850BFF">
        <w:rPr>
          <w:rFonts w:ascii="Times New Roman" w:hAnsi="Times New Roman" w:cs="Times New Roman"/>
          <w:sz w:val="28"/>
          <w:szCs w:val="28"/>
        </w:rPr>
        <w:t>t</w:t>
      </w:r>
      <w:r>
        <w:rPr>
          <w:rFonts w:ascii="Times New Roman" w:hAnsi="Times New Roman" w:cs="Times New Roman"/>
          <w:sz w:val="28"/>
          <w:szCs w:val="28"/>
        </w:rPr>
        <w:t>.</w:t>
      </w:r>
      <w:r w:rsidR="00850BFF">
        <w:rPr>
          <w:rFonts w:ascii="Times New Roman" w:hAnsi="Times New Roman" w:cs="Times New Roman"/>
          <w:sz w:val="28"/>
          <w:szCs w:val="28"/>
        </w:rPr>
        <w:t xml:space="preserve"> </w:t>
      </w:r>
      <w:r>
        <w:rPr>
          <w:rFonts w:ascii="Times New Roman" w:hAnsi="Times New Roman" w:cs="Times New Roman"/>
          <w:sz w:val="28"/>
          <w:szCs w:val="28"/>
        </w:rPr>
        <w:t>20, 21,</w:t>
      </w:r>
      <w:r w:rsidR="00850BFF">
        <w:rPr>
          <w:rFonts w:ascii="Times New Roman" w:hAnsi="Times New Roman" w:cs="Times New Roman"/>
          <w:sz w:val="28"/>
          <w:szCs w:val="28"/>
        </w:rPr>
        <w:t xml:space="preserve"> </w:t>
      </w:r>
      <w:r>
        <w:rPr>
          <w:rFonts w:ascii="Times New Roman" w:hAnsi="Times New Roman" w:cs="Times New Roman"/>
          <w:sz w:val="28"/>
          <w:szCs w:val="28"/>
        </w:rPr>
        <w:t>22,</w:t>
      </w:r>
      <w:r w:rsidR="00850BFF">
        <w:rPr>
          <w:rFonts w:ascii="Times New Roman" w:hAnsi="Times New Roman" w:cs="Times New Roman"/>
          <w:sz w:val="28"/>
          <w:szCs w:val="28"/>
        </w:rPr>
        <w:t xml:space="preserve"> </w:t>
      </w:r>
      <w:r>
        <w:rPr>
          <w:rFonts w:ascii="Times New Roman" w:hAnsi="Times New Roman" w:cs="Times New Roman"/>
          <w:sz w:val="28"/>
          <w:szCs w:val="28"/>
        </w:rPr>
        <w:t>24 e 25 del D</w:t>
      </w:r>
      <w:r w:rsidR="00850BFF">
        <w:rPr>
          <w:rFonts w:ascii="Times New Roman" w:hAnsi="Times New Roman" w:cs="Times New Roman"/>
          <w:sz w:val="28"/>
          <w:szCs w:val="28"/>
        </w:rPr>
        <w:t>.</w:t>
      </w:r>
      <w:r>
        <w:rPr>
          <w:rFonts w:ascii="Times New Roman" w:hAnsi="Times New Roman" w:cs="Times New Roman"/>
          <w:sz w:val="28"/>
          <w:szCs w:val="28"/>
        </w:rPr>
        <w:t>lgs</w:t>
      </w:r>
      <w:r w:rsidR="00850BFF">
        <w:rPr>
          <w:rFonts w:ascii="Times New Roman" w:hAnsi="Times New Roman" w:cs="Times New Roman"/>
          <w:sz w:val="28"/>
          <w:szCs w:val="28"/>
        </w:rPr>
        <w:t>.</w:t>
      </w:r>
      <w:r>
        <w:rPr>
          <w:rFonts w:ascii="Times New Roman" w:hAnsi="Times New Roman" w:cs="Times New Roman"/>
          <w:sz w:val="28"/>
          <w:szCs w:val="28"/>
        </w:rPr>
        <w:t xml:space="preserve"> n.</w:t>
      </w:r>
      <w:r w:rsidR="00850BFF">
        <w:rPr>
          <w:rFonts w:ascii="Times New Roman" w:hAnsi="Times New Roman" w:cs="Times New Roman"/>
          <w:sz w:val="28"/>
          <w:szCs w:val="28"/>
        </w:rPr>
        <w:t xml:space="preserve"> </w:t>
      </w:r>
      <w:r>
        <w:rPr>
          <w:rFonts w:ascii="Times New Roman" w:hAnsi="Times New Roman" w:cs="Times New Roman"/>
          <w:sz w:val="28"/>
          <w:szCs w:val="28"/>
        </w:rPr>
        <w:t>206/</w:t>
      </w:r>
      <w:r w:rsidR="00DF23A1">
        <w:rPr>
          <w:rFonts w:ascii="Times New Roman" w:hAnsi="Times New Roman" w:cs="Times New Roman"/>
          <w:sz w:val="28"/>
          <w:szCs w:val="28"/>
        </w:rPr>
        <w:t>20</w:t>
      </w:r>
      <w:r>
        <w:rPr>
          <w:rFonts w:ascii="Times New Roman" w:hAnsi="Times New Roman" w:cs="Times New Roman"/>
          <w:sz w:val="28"/>
          <w:szCs w:val="28"/>
        </w:rPr>
        <w:t>05, ossia la sanzione per pratiche commerciali ingannevoli e pratiche commerciali aggressive</w:t>
      </w:r>
      <w:r w:rsidR="00337E29">
        <w:rPr>
          <w:rFonts w:ascii="Times New Roman" w:hAnsi="Times New Roman" w:cs="Times New Roman"/>
          <w:sz w:val="28"/>
          <w:szCs w:val="28"/>
        </w:rPr>
        <w:t xml:space="preserve">, con abuso di posizione dominante di sfruttamento e </w:t>
      </w:r>
      <w:r w:rsidR="00337E29" w:rsidRPr="00DF23A1">
        <w:rPr>
          <w:rFonts w:ascii="Times New Roman" w:hAnsi="Times New Roman" w:cs="Times New Roman"/>
          <w:i/>
          <w:iCs/>
          <w:sz w:val="28"/>
          <w:szCs w:val="28"/>
        </w:rPr>
        <w:t>privacy policy</w:t>
      </w:r>
      <w:r w:rsidR="00337E29">
        <w:rPr>
          <w:rFonts w:ascii="Times New Roman" w:hAnsi="Times New Roman" w:cs="Times New Roman"/>
          <w:sz w:val="28"/>
          <w:szCs w:val="28"/>
        </w:rPr>
        <w:t xml:space="preserve"> in violazione dell’art.</w:t>
      </w:r>
      <w:r w:rsidR="00850BFF">
        <w:rPr>
          <w:rFonts w:ascii="Times New Roman" w:hAnsi="Times New Roman" w:cs="Times New Roman"/>
          <w:sz w:val="28"/>
          <w:szCs w:val="28"/>
        </w:rPr>
        <w:t xml:space="preserve"> </w:t>
      </w:r>
      <w:r w:rsidR="00337E29">
        <w:rPr>
          <w:rFonts w:ascii="Times New Roman" w:hAnsi="Times New Roman" w:cs="Times New Roman"/>
          <w:sz w:val="28"/>
          <w:szCs w:val="28"/>
        </w:rPr>
        <w:t xml:space="preserve">6 GDPR. Nelle sentenze del Tar Lazio </w:t>
      </w:r>
      <w:proofErr w:type="spellStart"/>
      <w:r w:rsidR="00337E29">
        <w:rPr>
          <w:rFonts w:ascii="Times New Roman" w:hAnsi="Times New Roman" w:cs="Times New Roman"/>
          <w:sz w:val="28"/>
          <w:szCs w:val="28"/>
        </w:rPr>
        <w:t>n</w:t>
      </w:r>
      <w:r w:rsidR="00850BFF">
        <w:rPr>
          <w:rFonts w:ascii="Times New Roman" w:hAnsi="Times New Roman" w:cs="Times New Roman"/>
          <w:sz w:val="28"/>
          <w:szCs w:val="28"/>
        </w:rPr>
        <w:t>n</w:t>
      </w:r>
      <w:proofErr w:type="spellEnd"/>
      <w:r w:rsidR="00337E29">
        <w:rPr>
          <w:rFonts w:ascii="Times New Roman" w:hAnsi="Times New Roman" w:cs="Times New Roman"/>
          <w:sz w:val="28"/>
          <w:szCs w:val="28"/>
        </w:rPr>
        <w:t>.</w:t>
      </w:r>
      <w:r w:rsidR="00850BFF">
        <w:rPr>
          <w:rFonts w:ascii="Times New Roman" w:hAnsi="Times New Roman" w:cs="Times New Roman"/>
          <w:sz w:val="28"/>
          <w:szCs w:val="28"/>
        </w:rPr>
        <w:t xml:space="preserve"> </w:t>
      </w:r>
      <w:r w:rsidR="00337E29">
        <w:rPr>
          <w:rFonts w:ascii="Times New Roman" w:hAnsi="Times New Roman" w:cs="Times New Roman"/>
          <w:sz w:val="28"/>
          <w:szCs w:val="28"/>
        </w:rPr>
        <w:t>260 e 261 del 10</w:t>
      </w:r>
      <w:r w:rsidR="00DF23A1">
        <w:rPr>
          <w:rFonts w:ascii="Times New Roman" w:hAnsi="Times New Roman" w:cs="Times New Roman"/>
          <w:sz w:val="28"/>
          <w:szCs w:val="28"/>
        </w:rPr>
        <w:t xml:space="preserve"> gennaio </w:t>
      </w:r>
      <w:r w:rsidR="00337E29">
        <w:rPr>
          <w:rFonts w:ascii="Times New Roman" w:hAnsi="Times New Roman" w:cs="Times New Roman"/>
          <w:sz w:val="28"/>
          <w:szCs w:val="28"/>
        </w:rPr>
        <w:t>2020</w:t>
      </w:r>
      <w:r w:rsidR="00DF23A1">
        <w:rPr>
          <w:rFonts w:ascii="Times New Roman" w:hAnsi="Times New Roman" w:cs="Times New Roman"/>
          <w:sz w:val="28"/>
          <w:szCs w:val="28"/>
        </w:rPr>
        <w:t>,</w:t>
      </w:r>
      <w:r w:rsidR="00337E29">
        <w:rPr>
          <w:rFonts w:ascii="Times New Roman" w:hAnsi="Times New Roman" w:cs="Times New Roman"/>
          <w:sz w:val="28"/>
          <w:szCs w:val="28"/>
        </w:rPr>
        <w:t xml:space="preserve"> si è fatto per la prima volta riferimento al “</w:t>
      </w:r>
      <w:r w:rsidR="00337E29" w:rsidRPr="00337E29">
        <w:rPr>
          <w:rFonts w:ascii="Times New Roman" w:hAnsi="Times New Roman" w:cs="Times New Roman"/>
          <w:i/>
          <w:iCs/>
          <w:sz w:val="28"/>
          <w:szCs w:val="28"/>
        </w:rPr>
        <w:t>fenomeno della patrimonializzazione del dato personale</w:t>
      </w:r>
      <w:r w:rsidR="00337E29" w:rsidRPr="00902836">
        <w:rPr>
          <w:rFonts w:ascii="Times New Roman" w:hAnsi="Times New Roman" w:cs="Times New Roman"/>
          <w:sz w:val="28"/>
          <w:szCs w:val="28"/>
        </w:rPr>
        <w:t>”</w:t>
      </w:r>
      <w:r w:rsidR="00850BFF">
        <w:rPr>
          <w:rFonts w:ascii="Times New Roman" w:hAnsi="Times New Roman" w:cs="Times New Roman"/>
          <w:i/>
          <w:iCs/>
          <w:sz w:val="28"/>
          <w:szCs w:val="28"/>
        </w:rPr>
        <w:t xml:space="preserve"> </w:t>
      </w:r>
      <w:r w:rsidR="00337E29" w:rsidRPr="00337E29">
        <w:rPr>
          <w:rFonts w:ascii="Times New Roman" w:hAnsi="Times New Roman" w:cs="Times New Roman"/>
          <w:sz w:val="28"/>
          <w:szCs w:val="28"/>
        </w:rPr>
        <w:t>e</w:t>
      </w:r>
      <w:r w:rsidR="00DF23A1">
        <w:rPr>
          <w:rFonts w:ascii="Times New Roman" w:hAnsi="Times New Roman" w:cs="Times New Roman"/>
          <w:sz w:val="28"/>
          <w:szCs w:val="28"/>
        </w:rPr>
        <w:t>,</w:t>
      </w:r>
      <w:r w:rsidR="00337E29" w:rsidRPr="00337E29">
        <w:rPr>
          <w:rFonts w:ascii="Times New Roman" w:hAnsi="Times New Roman" w:cs="Times New Roman"/>
          <w:sz w:val="28"/>
          <w:szCs w:val="28"/>
        </w:rPr>
        <w:t xml:space="preserve"> più recentemente</w:t>
      </w:r>
      <w:r w:rsidR="00DF23A1">
        <w:rPr>
          <w:rFonts w:ascii="Times New Roman" w:hAnsi="Times New Roman" w:cs="Times New Roman"/>
          <w:sz w:val="28"/>
          <w:szCs w:val="28"/>
        </w:rPr>
        <w:t>,</w:t>
      </w:r>
      <w:r w:rsidR="00337E29">
        <w:rPr>
          <w:rFonts w:ascii="Times New Roman" w:hAnsi="Times New Roman" w:cs="Times New Roman"/>
          <w:sz w:val="28"/>
          <w:szCs w:val="28"/>
        </w:rPr>
        <w:t xml:space="preserve"> il Consiglio di Stato</w:t>
      </w:r>
      <w:r w:rsidR="00902836">
        <w:rPr>
          <w:rFonts w:ascii="Times New Roman" w:hAnsi="Times New Roman" w:cs="Times New Roman"/>
          <w:sz w:val="28"/>
          <w:szCs w:val="28"/>
        </w:rPr>
        <w:t>,</w:t>
      </w:r>
      <w:r w:rsidR="00337E29">
        <w:rPr>
          <w:rFonts w:ascii="Times New Roman" w:hAnsi="Times New Roman" w:cs="Times New Roman"/>
          <w:sz w:val="28"/>
          <w:szCs w:val="28"/>
        </w:rPr>
        <w:t xml:space="preserve"> sez</w:t>
      </w:r>
      <w:r w:rsidR="00DF23A1">
        <w:rPr>
          <w:rFonts w:ascii="Times New Roman" w:hAnsi="Times New Roman" w:cs="Times New Roman"/>
          <w:sz w:val="28"/>
          <w:szCs w:val="28"/>
        </w:rPr>
        <w:t>.</w:t>
      </w:r>
      <w:r w:rsidR="00337E29">
        <w:rPr>
          <w:rFonts w:ascii="Times New Roman" w:hAnsi="Times New Roman" w:cs="Times New Roman"/>
          <w:sz w:val="28"/>
          <w:szCs w:val="28"/>
        </w:rPr>
        <w:t xml:space="preserve"> VI</w:t>
      </w:r>
      <w:r w:rsidR="00902836">
        <w:rPr>
          <w:rFonts w:ascii="Times New Roman" w:hAnsi="Times New Roman" w:cs="Times New Roman"/>
          <w:sz w:val="28"/>
          <w:szCs w:val="28"/>
        </w:rPr>
        <w:t>,</w:t>
      </w:r>
      <w:r w:rsidR="00337E29">
        <w:rPr>
          <w:rFonts w:ascii="Times New Roman" w:hAnsi="Times New Roman" w:cs="Times New Roman"/>
          <w:sz w:val="28"/>
          <w:szCs w:val="28"/>
        </w:rPr>
        <w:t xml:space="preserve"> con le sentenze </w:t>
      </w:r>
      <w:proofErr w:type="spellStart"/>
      <w:r w:rsidR="00337E29">
        <w:rPr>
          <w:rFonts w:ascii="Times New Roman" w:hAnsi="Times New Roman" w:cs="Times New Roman"/>
          <w:sz w:val="28"/>
          <w:szCs w:val="28"/>
        </w:rPr>
        <w:t>n</w:t>
      </w:r>
      <w:r w:rsidR="00902836">
        <w:rPr>
          <w:rFonts w:ascii="Times New Roman" w:hAnsi="Times New Roman" w:cs="Times New Roman"/>
          <w:sz w:val="28"/>
          <w:szCs w:val="28"/>
        </w:rPr>
        <w:t>n</w:t>
      </w:r>
      <w:proofErr w:type="spellEnd"/>
      <w:r w:rsidR="00337E29">
        <w:rPr>
          <w:rFonts w:ascii="Times New Roman" w:hAnsi="Times New Roman" w:cs="Times New Roman"/>
          <w:sz w:val="28"/>
          <w:szCs w:val="28"/>
        </w:rPr>
        <w:t>.</w:t>
      </w:r>
      <w:r w:rsidR="00850BFF">
        <w:rPr>
          <w:rFonts w:ascii="Times New Roman" w:hAnsi="Times New Roman" w:cs="Times New Roman"/>
          <w:sz w:val="28"/>
          <w:szCs w:val="28"/>
        </w:rPr>
        <w:t xml:space="preserve"> </w:t>
      </w:r>
      <w:r w:rsidR="00337E29">
        <w:rPr>
          <w:rFonts w:ascii="Times New Roman" w:hAnsi="Times New Roman" w:cs="Times New Roman"/>
          <w:sz w:val="28"/>
          <w:szCs w:val="28"/>
        </w:rPr>
        <w:t>2630 e 2631 del 29</w:t>
      </w:r>
      <w:r w:rsidR="00DF23A1">
        <w:rPr>
          <w:rFonts w:ascii="Times New Roman" w:hAnsi="Times New Roman" w:cs="Times New Roman"/>
          <w:sz w:val="28"/>
          <w:szCs w:val="28"/>
        </w:rPr>
        <w:t xml:space="preserve"> marzo </w:t>
      </w:r>
      <w:r w:rsidR="00337E29">
        <w:rPr>
          <w:rFonts w:ascii="Times New Roman" w:hAnsi="Times New Roman" w:cs="Times New Roman"/>
          <w:sz w:val="28"/>
          <w:szCs w:val="28"/>
        </w:rPr>
        <w:t>2021</w:t>
      </w:r>
      <w:r w:rsidR="00DF23A1">
        <w:rPr>
          <w:rFonts w:ascii="Times New Roman" w:hAnsi="Times New Roman" w:cs="Times New Roman"/>
          <w:sz w:val="28"/>
          <w:szCs w:val="28"/>
        </w:rPr>
        <w:t>,</w:t>
      </w:r>
      <w:r w:rsidR="00337E29">
        <w:rPr>
          <w:rFonts w:ascii="Times New Roman" w:hAnsi="Times New Roman" w:cs="Times New Roman"/>
          <w:sz w:val="28"/>
          <w:szCs w:val="28"/>
        </w:rPr>
        <w:t xml:space="preserve"> ha posto l’esigenza di garantire una “</w:t>
      </w:r>
      <w:r w:rsidR="00337E29" w:rsidRPr="00DF23A1">
        <w:rPr>
          <w:rFonts w:ascii="Times New Roman" w:hAnsi="Times New Roman" w:cs="Times New Roman"/>
          <w:i/>
          <w:iCs/>
          <w:sz w:val="28"/>
          <w:szCs w:val="28"/>
        </w:rPr>
        <w:t xml:space="preserve">tutela </w:t>
      </w:r>
      <w:proofErr w:type="spellStart"/>
      <w:r w:rsidR="00337E29" w:rsidRPr="00DF23A1">
        <w:rPr>
          <w:rFonts w:ascii="Times New Roman" w:hAnsi="Times New Roman" w:cs="Times New Roman"/>
          <w:i/>
          <w:iCs/>
          <w:sz w:val="28"/>
          <w:szCs w:val="28"/>
        </w:rPr>
        <w:t>multivello</w:t>
      </w:r>
      <w:proofErr w:type="spellEnd"/>
      <w:r w:rsidR="00337E29">
        <w:rPr>
          <w:rFonts w:ascii="Times New Roman" w:hAnsi="Times New Roman" w:cs="Times New Roman"/>
          <w:sz w:val="28"/>
          <w:szCs w:val="28"/>
        </w:rPr>
        <w:t xml:space="preserve">”, un sistema di tutela integrato che coinvolga in un </w:t>
      </w:r>
      <w:r w:rsidR="00337E29" w:rsidRPr="00850BFF">
        <w:rPr>
          <w:rFonts w:ascii="Times New Roman" w:hAnsi="Times New Roman" w:cs="Times New Roman"/>
          <w:i/>
          <w:iCs/>
          <w:sz w:val="28"/>
          <w:szCs w:val="28"/>
        </w:rPr>
        <w:t>unicum</w:t>
      </w:r>
      <w:r w:rsidR="00337E29">
        <w:rPr>
          <w:rFonts w:ascii="Times New Roman" w:hAnsi="Times New Roman" w:cs="Times New Roman"/>
          <w:sz w:val="28"/>
          <w:szCs w:val="28"/>
        </w:rPr>
        <w:t xml:space="preserve"> la privacy con il profilo consumeristico del fruitore del servizio digitale.</w:t>
      </w:r>
    </w:p>
    <w:p w14:paraId="191A9F73" w14:textId="044BB9BB" w:rsidR="00E46CA2" w:rsidRDefault="00E46CA2" w:rsidP="004E38E8">
      <w:pPr>
        <w:jc w:val="both"/>
        <w:rPr>
          <w:rFonts w:ascii="Times New Roman" w:hAnsi="Times New Roman" w:cs="Times New Roman"/>
          <w:sz w:val="28"/>
          <w:szCs w:val="28"/>
        </w:rPr>
      </w:pPr>
      <w:r>
        <w:rPr>
          <w:rFonts w:ascii="Times New Roman" w:hAnsi="Times New Roman" w:cs="Times New Roman"/>
          <w:sz w:val="28"/>
          <w:szCs w:val="28"/>
        </w:rPr>
        <w:t xml:space="preserve">Ma vediamo come il </w:t>
      </w:r>
      <w:r w:rsidRPr="00B14603">
        <w:rPr>
          <w:rFonts w:ascii="Times New Roman" w:hAnsi="Times New Roman" w:cs="Times New Roman"/>
          <w:i/>
          <w:iCs/>
          <w:sz w:val="28"/>
          <w:szCs w:val="28"/>
        </w:rPr>
        <w:t>Digital Service</w:t>
      </w:r>
      <w:r w:rsidR="00125AE2">
        <w:rPr>
          <w:rFonts w:ascii="Times New Roman" w:hAnsi="Times New Roman" w:cs="Times New Roman"/>
          <w:i/>
          <w:iCs/>
          <w:sz w:val="28"/>
          <w:szCs w:val="28"/>
        </w:rPr>
        <w:t>s</w:t>
      </w:r>
      <w:r w:rsidRPr="00B14603">
        <w:rPr>
          <w:rFonts w:ascii="Times New Roman" w:hAnsi="Times New Roman" w:cs="Times New Roman"/>
          <w:i/>
          <w:iCs/>
          <w:sz w:val="28"/>
          <w:szCs w:val="28"/>
        </w:rPr>
        <w:t xml:space="preserve"> </w:t>
      </w:r>
      <w:proofErr w:type="spellStart"/>
      <w:r w:rsidRPr="00B14603">
        <w:rPr>
          <w:rFonts w:ascii="Times New Roman" w:hAnsi="Times New Roman" w:cs="Times New Roman"/>
          <w:i/>
          <w:iCs/>
          <w:sz w:val="28"/>
          <w:szCs w:val="28"/>
        </w:rPr>
        <w:t>Act</w:t>
      </w:r>
      <w:proofErr w:type="spellEnd"/>
      <w:r>
        <w:rPr>
          <w:rFonts w:ascii="Times New Roman" w:hAnsi="Times New Roman" w:cs="Times New Roman"/>
          <w:sz w:val="28"/>
          <w:szCs w:val="28"/>
        </w:rPr>
        <w:t xml:space="preserve"> ha definito</w:t>
      </w:r>
      <w:r w:rsidR="001F427C">
        <w:rPr>
          <w:rFonts w:ascii="Times New Roman" w:hAnsi="Times New Roman" w:cs="Times New Roman"/>
          <w:sz w:val="28"/>
          <w:szCs w:val="28"/>
        </w:rPr>
        <w:t>,</w:t>
      </w:r>
      <w:r>
        <w:rPr>
          <w:rFonts w:ascii="Times New Roman" w:hAnsi="Times New Roman" w:cs="Times New Roman"/>
          <w:sz w:val="28"/>
          <w:szCs w:val="28"/>
        </w:rPr>
        <w:t xml:space="preserve"> da un punto di vista giuridico</w:t>
      </w:r>
      <w:r w:rsidR="001F427C">
        <w:rPr>
          <w:rFonts w:ascii="Times New Roman" w:hAnsi="Times New Roman" w:cs="Times New Roman"/>
          <w:sz w:val="28"/>
          <w:szCs w:val="28"/>
        </w:rPr>
        <w:t>,</w:t>
      </w:r>
      <w:r>
        <w:rPr>
          <w:rFonts w:ascii="Times New Roman" w:hAnsi="Times New Roman" w:cs="Times New Roman"/>
          <w:sz w:val="28"/>
          <w:szCs w:val="28"/>
        </w:rPr>
        <w:t xml:space="preserve"> i </w:t>
      </w:r>
      <w:r w:rsidRPr="001F427C">
        <w:rPr>
          <w:rFonts w:ascii="Times New Roman" w:hAnsi="Times New Roman" w:cs="Times New Roman"/>
          <w:i/>
          <w:iCs/>
          <w:sz w:val="28"/>
          <w:szCs w:val="28"/>
        </w:rPr>
        <w:t>social network</w:t>
      </w:r>
      <w:r>
        <w:rPr>
          <w:rFonts w:ascii="Times New Roman" w:hAnsi="Times New Roman" w:cs="Times New Roman"/>
          <w:sz w:val="28"/>
          <w:szCs w:val="28"/>
        </w:rPr>
        <w:t xml:space="preserve"> e come ha predisposto il sistema di tutela per fare poi un confronto con il </w:t>
      </w:r>
      <w:r w:rsidRPr="00B14603">
        <w:rPr>
          <w:rFonts w:ascii="Times New Roman" w:hAnsi="Times New Roman" w:cs="Times New Roman"/>
          <w:i/>
          <w:iCs/>
          <w:sz w:val="28"/>
          <w:szCs w:val="28"/>
        </w:rPr>
        <w:t xml:space="preserve">Digital </w:t>
      </w:r>
      <w:proofErr w:type="spellStart"/>
      <w:r w:rsidRPr="00B14603">
        <w:rPr>
          <w:rFonts w:ascii="Times New Roman" w:hAnsi="Times New Roman" w:cs="Times New Roman"/>
          <w:i/>
          <w:iCs/>
          <w:sz w:val="28"/>
          <w:szCs w:val="28"/>
        </w:rPr>
        <w:t>Market</w:t>
      </w:r>
      <w:r w:rsidR="009211B4">
        <w:rPr>
          <w:rFonts w:ascii="Times New Roman" w:hAnsi="Times New Roman" w:cs="Times New Roman"/>
          <w:i/>
          <w:iCs/>
          <w:sz w:val="28"/>
          <w:szCs w:val="28"/>
        </w:rPr>
        <w:t>s</w:t>
      </w:r>
      <w:proofErr w:type="spellEnd"/>
      <w:r w:rsidRPr="00B14603">
        <w:rPr>
          <w:rFonts w:ascii="Times New Roman" w:hAnsi="Times New Roman" w:cs="Times New Roman"/>
          <w:i/>
          <w:iCs/>
          <w:sz w:val="28"/>
          <w:szCs w:val="28"/>
        </w:rPr>
        <w:t xml:space="preserve"> </w:t>
      </w:r>
      <w:proofErr w:type="spellStart"/>
      <w:r w:rsidRPr="00B14603">
        <w:rPr>
          <w:rFonts w:ascii="Times New Roman" w:hAnsi="Times New Roman" w:cs="Times New Roman"/>
          <w:i/>
          <w:iCs/>
          <w:sz w:val="28"/>
          <w:szCs w:val="28"/>
        </w:rPr>
        <w:t>Act</w:t>
      </w:r>
      <w:proofErr w:type="spellEnd"/>
      <w:r>
        <w:rPr>
          <w:rFonts w:ascii="Times New Roman" w:hAnsi="Times New Roman" w:cs="Times New Roman"/>
          <w:sz w:val="28"/>
          <w:szCs w:val="28"/>
        </w:rPr>
        <w:t>, basato sui principi di equità e contendibilità, considerata la stretta connessione tra tutela della privacy e tutela della concorrenza.</w:t>
      </w:r>
    </w:p>
    <w:p w14:paraId="31291396" w14:textId="376CF195" w:rsidR="00950114" w:rsidRDefault="002C3F9B" w:rsidP="001F427C">
      <w:pPr>
        <w:spacing w:after="0"/>
        <w:jc w:val="both"/>
        <w:rPr>
          <w:rFonts w:ascii="Times New Roman" w:hAnsi="Times New Roman" w:cs="Times New Roman"/>
          <w:sz w:val="28"/>
          <w:szCs w:val="28"/>
        </w:rPr>
      </w:pPr>
      <w:r>
        <w:rPr>
          <w:rFonts w:ascii="Times New Roman" w:hAnsi="Times New Roman" w:cs="Times New Roman"/>
          <w:sz w:val="28"/>
          <w:szCs w:val="28"/>
        </w:rPr>
        <w:t xml:space="preserve">Nel primo </w:t>
      </w:r>
      <w:r w:rsidR="001F427C">
        <w:rPr>
          <w:rFonts w:ascii="Times New Roman" w:hAnsi="Times New Roman" w:cs="Times New Roman"/>
          <w:sz w:val="28"/>
          <w:szCs w:val="28"/>
        </w:rPr>
        <w:t>C</w:t>
      </w:r>
      <w:r>
        <w:rPr>
          <w:rFonts w:ascii="Times New Roman" w:hAnsi="Times New Roman" w:cs="Times New Roman"/>
          <w:sz w:val="28"/>
          <w:szCs w:val="28"/>
        </w:rPr>
        <w:t>onsiderando del Regolamento del parlamento Europeo e del Consiglio relativo a un mercato unico dei servizi digitali (legge sui servizi digitali) e che modifica la direttiva 2000/31/CE</w:t>
      </w:r>
      <w:r w:rsidR="001F427C">
        <w:rPr>
          <w:rFonts w:ascii="Times New Roman" w:hAnsi="Times New Roman" w:cs="Times New Roman"/>
          <w:sz w:val="28"/>
          <w:szCs w:val="28"/>
        </w:rPr>
        <w:t>,</w:t>
      </w:r>
      <w:r>
        <w:rPr>
          <w:rFonts w:ascii="Times New Roman" w:hAnsi="Times New Roman" w:cs="Times New Roman"/>
          <w:sz w:val="28"/>
          <w:szCs w:val="28"/>
        </w:rPr>
        <w:t xml:space="preserve"> si legge testualmente</w:t>
      </w:r>
      <w:r w:rsidR="00902836">
        <w:rPr>
          <w:rFonts w:ascii="Times New Roman" w:hAnsi="Times New Roman" w:cs="Times New Roman"/>
          <w:sz w:val="28"/>
          <w:szCs w:val="28"/>
        </w:rPr>
        <w:t>,</w:t>
      </w:r>
      <w:r>
        <w:rPr>
          <w:rFonts w:ascii="Times New Roman" w:hAnsi="Times New Roman" w:cs="Times New Roman"/>
          <w:sz w:val="28"/>
          <w:szCs w:val="28"/>
        </w:rPr>
        <w:t xml:space="preserve"> con un’esplicita dichiarazione di intenti</w:t>
      </w:r>
      <w:r w:rsidR="00902836">
        <w:rPr>
          <w:rFonts w:ascii="Times New Roman" w:hAnsi="Times New Roman" w:cs="Times New Roman"/>
          <w:sz w:val="28"/>
          <w:szCs w:val="28"/>
        </w:rPr>
        <w:t>,</w:t>
      </w:r>
      <w:r>
        <w:rPr>
          <w:rFonts w:ascii="Times New Roman" w:hAnsi="Times New Roman" w:cs="Times New Roman"/>
          <w:sz w:val="28"/>
          <w:szCs w:val="28"/>
        </w:rPr>
        <w:t xml:space="preserve"> che:</w:t>
      </w:r>
      <w:r w:rsidR="00950114">
        <w:rPr>
          <w:rFonts w:ascii="Times New Roman" w:hAnsi="Times New Roman" w:cs="Times New Roman"/>
          <w:sz w:val="28"/>
          <w:szCs w:val="28"/>
        </w:rPr>
        <w:t xml:space="preserve"> </w:t>
      </w:r>
    </w:p>
    <w:p w14:paraId="7BB7136C" w14:textId="7017F988" w:rsidR="002C3F9B" w:rsidRDefault="001F427C" w:rsidP="001F427C">
      <w:pPr>
        <w:spacing w:after="0"/>
        <w:jc w:val="both"/>
        <w:rPr>
          <w:rFonts w:ascii="Times New Roman" w:hAnsi="Times New Roman" w:cs="Times New Roman"/>
          <w:i/>
          <w:iCs/>
          <w:sz w:val="28"/>
          <w:szCs w:val="28"/>
        </w:rPr>
      </w:pPr>
      <w:r>
        <w:rPr>
          <w:rFonts w:ascii="Times New Roman" w:hAnsi="Times New Roman" w:cs="Times New Roman"/>
          <w:sz w:val="28"/>
          <w:szCs w:val="28"/>
        </w:rPr>
        <w:t>C</w:t>
      </w:r>
      <w:r w:rsidR="00950114">
        <w:rPr>
          <w:rFonts w:ascii="Times New Roman" w:hAnsi="Times New Roman" w:cs="Times New Roman"/>
          <w:sz w:val="28"/>
          <w:szCs w:val="28"/>
        </w:rPr>
        <w:t>onsiderando (1)</w:t>
      </w:r>
      <w:r w:rsidR="00850BFF">
        <w:rPr>
          <w:rFonts w:ascii="Times New Roman" w:hAnsi="Times New Roman" w:cs="Times New Roman"/>
          <w:sz w:val="28"/>
          <w:szCs w:val="28"/>
        </w:rPr>
        <w:t xml:space="preserve"> </w:t>
      </w:r>
      <w:r w:rsidR="00902836">
        <w:rPr>
          <w:rFonts w:ascii="Times New Roman" w:hAnsi="Times New Roman" w:cs="Times New Roman"/>
          <w:sz w:val="28"/>
          <w:szCs w:val="28"/>
        </w:rPr>
        <w:t>«</w:t>
      </w:r>
      <w:r w:rsidR="002C3F9B" w:rsidRPr="002C3F9B">
        <w:rPr>
          <w:rFonts w:ascii="Times New Roman" w:hAnsi="Times New Roman" w:cs="Times New Roman"/>
          <w:i/>
          <w:iCs/>
          <w:sz w:val="28"/>
          <w:szCs w:val="28"/>
        </w:rPr>
        <w:t>I servizi</w:t>
      </w:r>
      <w:r w:rsidR="002C3F9B">
        <w:rPr>
          <w:rFonts w:ascii="Times New Roman" w:hAnsi="Times New Roman" w:cs="Times New Roman"/>
          <w:sz w:val="28"/>
          <w:szCs w:val="28"/>
        </w:rPr>
        <w:t xml:space="preserve"> </w:t>
      </w:r>
      <w:r w:rsidR="002C3F9B" w:rsidRPr="002C3F9B">
        <w:rPr>
          <w:rFonts w:ascii="Times New Roman" w:hAnsi="Times New Roman" w:cs="Times New Roman"/>
          <w:i/>
          <w:iCs/>
          <w:sz w:val="28"/>
          <w:szCs w:val="28"/>
        </w:rPr>
        <w:t>della società dell’informazione</w:t>
      </w:r>
      <w:r w:rsidR="002C3F9B">
        <w:rPr>
          <w:rFonts w:ascii="Times New Roman" w:hAnsi="Times New Roman" w:cs="Times New Roman"/>
          <w:i/>
          <w:iCs/>
          <w:sz w:val="28"/>
          <w:szCs w:val="28"/>
        </w:rPr>
        <w:t xml:space="preserve"> e in particolare i servizi intermediari sono diventati</w:t>
      </w:r>
      <w:r w:rsidR="00950114">
        <w:rPr>
          <w:rFonts w:ascii="Times New Roman" w:hAnsi="Times New Roman" w:cs="Times New Roman"/>
          <w:i/>
          <w:iCs/>
          <w:sz w:val="28"/>
          <w:szCs w:val="28"/>
        </w:rPr>
        <w:t xml:space="preserve">, </w:t>
      </w:r>
      <w:r w:rsidR="002C3F9B">
        <w:rPr>
          <w:rFonts w:ascii="Times New Roman" w:hAnsi="Times New Roman" w:cs="Times New Roman"/>
          <w:i/>
          <w:iCs/>
          <w:sz w:val="28"/>
          <w:szCs w:val="28"/>
        </w:rPr>
        <w:t>una componente significativa dell’economia dell’Unione e della vita quotidiana dei suoi cittadini.</w:t>
      </w:r>
      <w:r w:rsidR="0045058B">
        <w:rPr>
          <w:rFonts w:ascii="Times New Roman" w:hAnsi="Times New Roman" w:cs="Times New Roman"/>
          <w:i/>
          <w:iCs/>
          <w:sz w:val="28"/>
          <w:szCs w:val="28"/>
        </w:rPr>
        <w:t xml:space="preserve"> </w:t>
      </w:r>
      <w:r w:rsidR="002C3F9B">
        <w:rPr>
          <w:rFonts w:ascii="Times New Roman" w:hAnsi="Times New Roman" w:cs="Times New Roman"/>
          <w:i/>
          <w:iCs/>
          <w:sz w:val="28"/>
          <w:szCs w:val="28"/>
        </w:rPr>
        <w:t xml:space="preserve">A vent’anni dell’adozione del quadro giuridico esistente applicabile a tali servizi stabilito nella direttiva 2000/31/CE del Parlamento </w:t>
      </w:r>
      <w:r w:rsidR="0045058B">
        <w:rPr>
          <w:rFonts w:ascii="Times New Roman" w:hAnsi="Times New Roman" w:cs="Times New Roman"/>
          <w:i/>
          <w:iCs/>
          <w:sz w:val="28"/>
          <w:szCs w:val="28"/>
        </w:rPr>
        <w:t>europeo e del Consiglio</w:t>
      </w:r>
      <w:r w:rsidR="00950114">
        <w:rPr>
          <w:rFonts w:ascii="Times New Roman" w:hAnsi="Times New Roman" w:cs="Times New Roman"/>
          <w:i/>
          <w:iCs/>
          <w:sz w:val="28"/>
          <w:szCs w:val="28"/>
        </w:rPr>
        <w:t xml:space="preserve">, modelli aziendali e servizi nuovi e innovativi, quali i social network e i mercati online, hanno consentito agli utenti commerciali e ai consumatori di accedere alle informazioni, diffonderle ed effettuare transazioni in modi nuovi. Attualmente la maggior parte dei cittadini dell’Unione utilizza tali servizi su base giornaliera. La </w:t>
      </w:r>
      <w:r w:rsidR="001F7A63">
        <w:rPr>
          <w:rFonts w:ascii="Times New Roman" w:hAnsi="Times New Roman" w:cs="Times New Roman"/>
          <w:i/>
          <w:iCs/>
          <w:sz w:val="28"/>
          <w:szCs w:val="28"/>
        </w:rPr>
        <w:t>trasformazione digitale e il maggior utilizzo di tali servizi hanno tuttavia anche dato origine a nuovi rischi e sfide sia per i singoli utenti sia per la società nel suo insieme</w:t>
      </w:r>
      <w:r w:rsidR="00902836">
        <w:rPr>
          <w:rFonts w:ascii="Times New Roman" w:hAnsi="Times New Roman" w:cs="Times New Roman"/>
          <w:i/>
          <w:iCs/>
          <w:sz w:val="28"/>
          <w:szCs w:val="28"/>
        </w:rPr>
        <w:t>».</w:t>
      </w:r>
    </w:p>
    <w:p w14:paraId="61B75160" w14:textId="118D427D" w:rsidR="007F00A9" w:rsidRDefault="001F427C" w:rsidP="004E38E8">
      <w:pPr>
        <w:jc w:val="both"/>
        <w:rPr>
          <w:rFonts w:ascii="Times New Roman" w:hAnsi="Times New Roman" w:cs="Times New Roman"/>
          <w:i/>
          <w:iCs/>
          <w:sz w:val="28"/>
          <w:szCs w:val="28"/>
        </w:rPr>
      </w:pPr>
      <w:r>
        <w:rPr>
          <w:rFonts w:ascii="Times New Roman" w:hAnsi="Times New Roman" w:cs="Times New Roman"/>
          <w:sz w:val="28"/>
          <w:szCs w:val="28"/>
        </w:rPr>
        <w:t>C</w:t>
      </w:r>
      <w:r w:rsidR="001F7A63" w:rsidRPr="001F7A63">
        <w:rPr>
          <w:rFonts w:ascii="Times New Roman" w:hAnsi="Times New Roman" w:cs="Times New Roman"/>
          <w:sz w:val="28"/>
          <w:szCs w:val="28"/>
        </w:rPr>
        <w:t>onsiderando</w:t>
      </w:r>
      <w:r w:rsidR="001F7A63">
        <w:rPr>
          <w:rFonts w:ascii="Times New Roman" w:hAnsi="Times New Roman" w:cs="Times New Roman"/>
          <w:i/>
          <w:iCs/>
          <w:sz w:val="28"/>
          <w:szCs w:val="28"/>
        </w:rPr>
        <w:t xml:space="preserve"> </w:t>
      </w:r>
      <w:r w:rsidR="001F7A63" w:rsidRPr="001F427C">
        <w:rPr>
          <w:rFonts w:ascii="Times New Roman" w:hAnsi="Times New Roman" w:cs="Times New Roman"/>
          <w:sz w:val="28"/>
          <w:szCs w:val="28"/>
        </w:rPr>
        <w:t>(2)</w:t>
      </w:r>
      <w:r w:rsidR="001F7A63">
        <w:rPr>
          <w:rFonts w:ascii="Times New Roman" w:hAnsi="Times New Roman" w:cs="Times New Roman"/>
          <w:sz w:val="28"/>
          <w:szCs w:val="28"/>
        </w:rPr>
        <w:t xml:space="preserve"> </w:t>
      </w:r>
      <w:r w:rsidR="00902836">
        <w:rPr>
          <w:rFonts w:ascii="Times New Roman" w:hAnsi="Times New Roman" w:cs="Times New Roman"/>
          <w:sz w:val="28"/>
          <w:szCs w:val="28"/>
        </w:rPr>
        <w:t>«</w:t>
      </w:r>
      <w:r w:rsidR="001F7A63" w:rsidRPr="001F7A63">
        <w:rPr>
          <w:rFonts w:ascii="Times New Roman" w:hAnsi="Times New Roman" w:cs="Times New Roman"/>
          <w:i/>
          <w:iCs/>
          <w:sz w:val="28"/>
          <w:szCs w:val="28"/>
        </w:rPr>
        <w:t xml:space="preserve">Gli Stati membri stanno sempre più </w:t>
      </w:r>
      <w:r w:rsidR="001F7A63">
        <w:rPr>
          <w:rFonts w:ascii="Times New Roman" w:hAnsi="Times New Roman" w:cs="Times New Roman"/>
          <w:i/>
          <w:iCs/>
          <w:sz w:val="28"/>
          <w:szCs w:val="28"/>
        </w:rPr>
        <w:t>introducendo,</w:t>
      </w:r>
      <w:r w:rsidR="007A6977">
        <w:rPr>
          <w:rFonts w:ascii="Times New Roman" w:hAnsi="Times New Roman" w:cs="Times New Roman"/>
          <w:i/>
          <w:iCs/>
          <w:sz w:val="28"/>
          <w:szCs w:val="28"/>
        </w:rPr>
        <w:t xml:space="preserve"> </w:t>
      </w:r>
      <w:r w:rsidR="001F7A63">
        <w:rPr>
          <w:rFonts w:ascii="Times New Roman" w:hAnsi="Times New Roman" w:cs="Times New Roman"/>
          <w:i/>
          <w:iCs/>
          <w:sz w:val="28"/>
          <w:szCs w:val="28"/>
        </w:rPr>
        <w:t xml:space="preserve">o stanno valutando di introdurre, legislazioni nazionali sulle materie disciplinate dal presente regolamento, imponendo in particolare obblighi di diligenza per i prestatori di servizi intermediari. Tenendo conto del carattere intrinsecamente transfrontaliero di </w:t>
      </w:r>
      <w:r w:rsidR="00675943">
        <w:rPr>
          <w:rFonts w:ascii="Times New Roman" w:hAnsi="Times New Roman" w:cs="Times New Roman"/>
          <w:i/>
          <w:iCs/>
          <w:sz w:val="28"/>
          <w:szCs w:val="28"/>
        </w:rPr>
        <w:t>I</w:t>
      </w:r>
      <w:r w:rsidR="001F7A63">
        <w:rPr>
          <w:rFonts w:ascii="Times New Roman" w:hAnsi="Times New Roman" w:cs="Times New Roman"/>
          <w:i/>
          <w:iCs/>
          <w:sz w:val="28"/>
          <w:szCs w:val="28"/>
        </w:rPr>
        <w:t>nternet</w:t>
      </w:r>
      <w:r w:rsidR="00675943">
        <w:rPr>
          <w:rFonts w:ascii="Times New Roman" w:hAnsi="Times New Roman" w:cs="Times New Roman"/>
          <w:i/>
          <w:iCs/>
          <w:sz w:val="28"/>
          <w:szCs w:val="28"/>
        </w:rPr>
        <w:t xml:space="preserve">, generalmente utilizzato per prestare i suddetti servizi, tali legislazioni nazionali </w:t>
      </w:r>
      <w:r w:rsidR="00675943">
        <w:rPr>
          <w:rFonts w:ascii="Times New Roman" w:hAnsi="Times New Roman" w:cs="Times New Roman"/>
          <w:i/>
          <w:iCs/>
          <w:sz w:val="28"/>
          <w:szCs w:val="28"/>
        </w:rPr>
        <w:lastRenderedPageBreak/>
        <w:t>divergenti incidono negativamente sul mercato interno, che, ai sensi dell’art.</w:t>
      </w:r>
      <w:r w:rsidR="00902836">
        <w:rPr>
          <w:rFonts w:ascii="Times New Roman" w:hAnsi="Times New Roman" w:cs="Times New Roman"/>
          <w:i/>
          <w:iCs/>
          <w:sz w:val="28"/>
          <w:szCs w:val="28"/>
        </w:rPr>
        <w:t xml:space="preserve"> </w:t>
      </w:r>
      <w:r w:rsidR="00675943">
        <w:rPr>
          <w:rFonts w:ascii="Times New Roman" w:hAnsi="Times New Roman" w:cs="Times New Roman"/>
          <w:i/>
          <w:iCs/>
          <w:sz w:val="28"/>
          <w:szCs w:val="28"/>
        </w:rPr>
        <w:t xml:space="preserve">26 del Trattato, comporta uno spazio senza frontiere interne, </w:t>
      </w:r>
      <w:r w:rsidR="007F00A9">
        <w:rPr>
          <w:rFonts w:ascii="Times New Roman" w:hAnsi="Times New Roman" w:cs="Times New Roman"/>
          <w:i/>
          <w:iCs/>
          <w:sz w:val="28"/>
          <w:szCs w:val="28"/>
        </w:rPr>
        <w:t xml:space="preserve">nel quale è assicurata la libera circolazione di merci e di servizi e la libertà di stabilimento. Le condizioni per le prestazioni dei servizi intermediari in tutto il mercato interno dovrebbero essere armonizzate in modo da offrire alle imprese accesso ai nuovi mercati e opportunità di sfruttare i vantaggi del mercato interno, consentendo </w:t>
      </w:r>
      <w:proofErr w:type="gramStart"/>
      <w:r w:rsidR="007F00A9">
        <w:rPr>
          <w:rFonts w:ascii="Times New Roman" w:hAnsi="Times New Roman" w:cs="Times New Roman"/>
          <w:i/>
          <w:iCs/>
          <w:sz w:val="28"/>
          <w:szCs w:val="28"/>
        </w:rPr>
        <w:t>nel contempo</w:t>
      </w:r>
      <w:proofErr w:type="gramEnd"/>
      <w:r w:rsidR="007F00A9">
        <w:rPr>
          <w:rFonts w:ascii="Times New Roman" w:hAnsi="Times New Roman" w:cs="Times New Roman"/>
          <w:i/>
          <w:iCs/>
          <w:sz w:val="28"/>
          <w:szCs w:val="28"/>
        </w:rPr>
        <w:t xml:space="preserve"> ai consumatori e agli altri destinatari dei servizi di disporre di una scelta più ampia</w:t>
      </w:r>
      <w:r w:rsidR="00902836">
        <w:rPr>
          <w:rFonts w:ascii="Times New Roman" w:hAnsi="Times New Roman" w:cs="Times New Roman"/>
          <w:i/>
          <w:iCs/>
          <w:sz w:val="28"/>
          <w:szCs w:val="28"/>
        </w:rPr>
        <w:t>».</w:t>
      </w:r>
    </w:p>
    <w:p w14:paraId="24725065" w14:textId="392DB706" w:rsidR="00E60B3E" w:rsidRPr="007E2E0C" w:rsidRDefault="007F00A9" w:rsidP="004E38E8">
      <w:pPr>
        <w:jc w:val="both"/>
        <w:rPr>
          <w:rFonts w:ascii="Times New Roman" w:hAnsi="Times New Roman" w:cs="Times New Roman"/>
          <w:b/>
          <w:bCs/>
          <w:sz w:val="28"/>
          <w:szCs w:val="28"/>
        </w:rPr>
      </w:pPr>
      <w:r w:rsidRPr="007F00A9">
        <w:rPr>
          <w:rFonts w:ascii="Times New Roman" w:hAnsi="Times New Roman" w:cs="Times New Roman"/>
          <w:sz w:val="28"/>
          <w:szCs w:val="28"/>
        </w:rPr>
        <w:t xml:space="preserve">Se in questi due primi considerando vengono prese </w:t>
      </w:r>
      <w:r>
        <w:rPr>
          <w:rFonts w:ascii="Times New Roman" w:hAnsi="Times New Roman" w:cs="Times New Roman"/>
          <w:sz w:val="28"/>
          <w:szCs w:val="28"/>
        </w:rPr>
        <w:t>in considerazione</w:t>
      </w:r>
      <w:r w:rsidR="00E60B3E">
        <w:rPr>
          <w:rFonts w:ascii="Times New Roman" w:hAnsi="Times New Roman" w:cs="Times New Roman"/>
          <w:sz w:val="28"/>
          <w:szCs w:val="28"/>
        </w:rPr>
        <w:t xml:space="preserve"> le ragioni del mercato</w:t>
      </w:r>
      <w:r w:rsidR="001F427C">
        <w:rPr>
          <w:rFonts w:ascii="Times New Roman" w:hAnsi="Times New Roman" w:cs="Times New Roman"/>
          <w:sz w:val="28"/>
          <w:szCs w:val="28"/>
        </w:rPr>
        <w:t>,</w:t>
      </w:r>
      <w:r w:rsidR="00E60B3E">
        <w:rPr>
          <w:rFonts w:ascii="Times New Roman" w:hAnsi="Times New Roman" w:cs="Times New Roman"/>
          <w:sz w:val="28"/>
          <w:szCs w:val="28"/>
        </w:rPr>
        <w:t xml:space="preserve"> nel </w:t>
      </w:r>
      <w:proofErr w:type="gramStart"/>
      <w:r w:rsidR="001F427C">
        <w:rPr>
          <w:rFonts w:ascii="Times New Roman" w:hAnsi="Times New Roman" w:cs="Times New Roman"/>
          <w:sz w:val="28"/>
          <w:szCs w:val="28"/>
        </w:rPr>
        <w:t>terzo</w:t>
      </w:r>
      <w:proofErr w:type="gramEnd"/>
      <w:r w:rsidR="001F427C">
        <w:rPr>
          <w:rFonts w:ascii="Times New Roman" w:hAnsi="Times New Roman" w:cs="Times New Roman"/>
          <w:sz w:val="28"/>
          <w:szCs w:val="28"/>
        </w:rPr>
        <w:t xml:space="preserve"> C</w:t>
      </w:r>
      <w:r w:rsidR="00E60B3E">
        <w:rPr>
          <w:rFonts w:ascii="Times New Roman" w:hAnsi="Times New Roman" w:cs="Times New Roman"/>
          <w:sz w:val="28"/>
          <w:szCs w:val="28"/>
        </w:rPr>
        <w:t>onsiderando viene in rilievo il profilo della “</w:t>
      </w:r>
      <w:r w:rsidR="00E60B3E" w:rsidRPr="001F427C">
        <w:rPr>
          <w:rFonts w:ascii="Times New Roman" w:hAnsi="Times New Roman" w:cs="Times New Roman"/>
          <w:sz w:val="28"/>
          <w:szCs w:val="28"/>
        </w:rPr>
        <w:t>responsabilità</w:t>
      </w:r>
      <w:r w:rsidR="00E60B3E" w:rsidRPr="00902836">
        <w:rPr>
          <w:rFonts w:ascii="Times New Roman" w:hAnsi="Times New Roman" w:cs="Times New Roman"/>
          <w:sz w:val="28"/>
          <w:szCs w:val="28"/>
        </w:rPr>
        <w:t>”:</w:t>
      </w:r>
    </w:p>
    <w:p w14:paraId="63C20341" w14:textId="3E9412CC" w:rsidR="001F7A63" w:rsidRDefault="001F427C" w:rsidP="004E38E8">
      <w:pPr>
        <w:jc w:val="both"/>
        <w:rPr>
          <w:rFonts w:ascii="Times New Roman" w:hAnsi="Times New Roman" w:cs="Times New Roman"/>
          <w:i/>
          <w:iCs/>
          <w:sz w:val="28"/>
          <w:szCs w:val="28"/>
        </w:rPr>
      </w:pPr>
      <w:r>
        <w:rPr>
          <w:rFonts w:ascii="Times New Roman" w:hAnsi="Times New Roman" w:cs="Times New Roman"/>
          <w:sz w:val="28"/>
          <w:szCs w:val="28"/>
        </w:rPr>
        <w:t xml:space="preserve">Considerando (3) </w:t>
      </w:r>
      <w:r w:rsidR="00902836">
        <w:rPr>
          <w:rFonts w:ascii="Times New Roman" w:hAnsi="Times New Roman" w:cs="Times New Roman"/>
          <w:sz w:val="28"/>
          <w:szCs w:val="28"/>
        </w:rPr>
        <w:t>«</w:t>
      </w:r>
      <w:r w:rsidR="00E60B3E" w:rsidRPr="00E60B3E">
        <w:rPr>
          <w:rFonts w:ascii="Times New Roman" w:hAnsi="Times New Roman" w:cs="Times New Roman"/>
          <w:i/>
          <w:iCs/>
          <w:sz w:val="28"/>
          <w:szCs w:val="28"/>
        </w:rPr>
        <w:t>Un comportamento responsabile</w:t>
      </w:r>
      <w:r w:rsidR="00E60B3E">
        <w:rPr>
          <w:rFonts w:ascii="Times New Roman" w:hAnsi="Times New Roman" w:cs="Times New Roman"/>
          <w:sz w:val="28"/>
          <w:szCs w:val="28"/>
        </w:rPr>
        <w:t xml:space="preserve"> </w:t>
      </w:r>
      <w:r w:rsidR="00E60B3E" w:rsidRPr="00E60B3E">
        <w:rPr>
          <w:rFonts w:ascii="Times New Roman" w:hAnsi="Times New Roman" w:cs="Times New Roman"/>
          <w:i/>
          <w:iCs/>
          <w:sz w:val="28"/>
          <w:szCs w:val="28"/>
        </w:rPr>
        <w:t>e diligente</w:t>
      </w:r>
      <w:r w:rsidR="00E60B3E">
        <w:rPr>
          <w:rFonts w:ascii="Times New Roman" w:hAnsi="Times New Roman" w:cs="Times New Roman"/>
          <w:sz w:val="28"/>
          <w:szCs w:val="28"/>
        </w:rPr>
        <w:t xml:space="preserve"> </w:t>
      </w:r>
      <w:r w:rsidR="00E60B3E" w:rsidRPr="00E60B3E">
        <w:rPr>
          <w:rFonts w:ascii="Times New Roman" w:hAnsi="Times New Roman" w:cs="Times New Roman"/>
          <w:i/>
          <w:iCs/>
          <w:sz w:val="28"/>
          <w:szCs w:val="28"/>
        </w:rPr>
        <w:t>da parte dei prestatori di servizi intermediari è essenziale per un ambiente online sicuro, prevedibile</w:t>
      </w:r>
      <w:r w:rsidR="00E60B3E">
        <w:rPr>
          <w:rFonts w:ascii="Times New Roman" w:hAnsi="Times New Roman" w:cs="Times New Roman"/>
          <w:i/>
          <w:iCs/>
          <w:sz w:val="28"/>
          <w:szCs w:val="28"/>
        </w:rPr>
        <w:t xml:space="preserve"> e affidabile e per consentire ai cittadini dell’Unione e ad altre persone di esercitare i loro diritti fondamentali garantiti dalla Carta dei diritti fondamentali dell’Unione </w:t>
      </w:r>
      <w:r w:rsidR="003F1073">
        <w:rPr>
          <w:rFonts w:ascii="Times New Roman" w:hAnsi="Times New Roman" w:cs="Times New Roman"/>
          <w:i/>
          <w:iCs/>
          <w:sz w:val="28"/>
          <w:szCs w:val="28"/>
        </w:rPr>
        <w:t>e</w:t>
      </w:r>
      <w:r w:rsidR="00E60B3E">
        <w:rPr>
          <w:rFonts w:ascii="Times New Roman" w:hAnsi="Times New Roman" w:cs="Times New Roman"/>
          <w:i/>
          <w:iCs/>
          <w:sz w:val="28"/>
          <w:szCs w:val="28"/>
        </w:rPr>
        <w:t>uropea, in particolare la libertà di espressione e di informazione, la libertà di impresa e il diritto alla non discrim</w:t>
      </w:r>
      <w:r w:rsidR="003F1073">
        <w:rPr>
          <w:rFonts w:ascii="Times New Roman" w:hAnsi="Times New Roman" w:cs="Times New Roman"/>
          <w:i/>
          <w:iCs/>
          <w:sz w:val="28"/>
          <w:szCs w:val="28"/>
        </w:rPr>
        <w:t>in</w:t>
      </w:r>
      <w:r w:rsidR="00E60B3E">
        <w:rPr>
          <w:rFonts w:ascii="Times New Roman" w:hAnsi="Times New Roman" w:cs="Times New Roman"/>
          <w:i/>
          <w:iCs/>
          <w:sz w:val="28"/>
          <w:szCs w:val="28"/>
        </w:rPr>
        <w:t>azione</w:t>
      </w:r>
      <w:r w:rsidR="00902836">
        <w:rPr>
          <w:rFonts w:ascii="Times New Roman" w:hAnsi="Times New Roman" w:cs="Times New Roman"/>
          <w:i/>
          <w:iCs/>
          <w:sz w:val="28"/>
          <w:szCs w:val="28"/>
        </w:rPr>
        <w:t>».</w:t>
      </w:r>
    </w:p>
    <w:p w14:paraId="080D9405" w14:textId="77777777" w:rsidR="001F427C" w:rsidRDefault="003F1073" w:rsidP="004E38E8">
      <w:pPr>
        <w:jc w:val="both"/>
        <w:rPr>
          <w:rFonts w:ascii="Times New Roman" w:hAnsi="Times New Roman" w:cs="Times New Roman"/>
          <w:i/>
          <w:iCs/>
          <w:sz w:val="28"/>
          <w:szCs w:val="28"/>
        </w:rPr>
      </w:pPr>
      <w:r w:rsidRPr="003F1073">
        <w:rPr>
          <w:rFonts w:ascii="Times New Roman" w:hAnsi="Times New Roman" w:cs="Times New Roman"/>
          <w:sz w:val="28"/>
          <w:szCs w:val="28"/>
        </w:rPr>
        <w:t xml:space="preserve">Da qui l’enunciazione della necessità di una regolamentazione </w:t>
      </w:r>
      <w:r>
        <w:rPr>
          <w:rFonts w:ascii="Times New Roman" w:hAnsi="Times New Roman" w:cs="Times New Roman"/>
          <w:sz w:val="28"/>
          <w:szCs w:val="28"/>
        </w:rPr>
        <w:t xml:space="preserve">euro-unitaria enunciata nel </w:t>
      </w:r>
      <w:r w:rsidR="001F427C">
        <w:rPr>
          <w:rFonts w:ascii="Times New Roman" w:hAnsi="Times New Roman" w:cs="Times New Roman"/>
          <w:sz w:val="28"/>
          <w:szCs w:val="28"/>
        </w:rPr>
        <w:t>C</w:t>
      </w:r>
      <w:r>
        <w:rPr>
          <w:rFonts w:ascii="Times New Roman" w:hAnsi="Times New Roman" w:cs="Times New Roman"/>
          <w:sz w:val="28"/>
          <w:szCs w:val="28"/>
        </w:rPr>
        <w:t xml:space="preserve">onsiderando (4): </w:t>
      </w:r>
      <w:r w:rsidR="00902836">
        <w:rPr>
          <w:rFonts w:ascii="Times New Roman" w:hAnsi="Times New Roman" w:cs="Times New Roman"/>
          <w:sz w:val="28"/>
          <w:szCs w:val="28"/>
        </w:rPr>
        <w:t>«</w:t>
      </w:r>
      <w:r w:rsidRPr="003F1073">
        <w:rPr>
          <w:rFonts w:ascii="Times New Roman" w:hAnsi="Times New Roman" w:cs="Times New Roman"/>
          <w:i/>
          <w:iCs/>
          <w:sz w:val="28"/>
          <w:szCs w:val="28"/>
        </w:rPr>
        <w:t xml:space="preserve">E’, pertanto, </w:t>
      </w:r>
      <w:r>
        <w:rPr>
          <w:rFonts w:ascii="Times New Roman" w:hAnsi="Times New Roman" w:cs="Times New Roman"/>
          <w:i/>
          <w:iCs/>
          <w:sz w:val="28"/>
          <w:szCs w:val="28"/>
        </w:rPr>
        <w:t>opportuno stabilire una serie mirata di norme obbligatorie uniformi, efficaci e proporzionate a livello dell’Unione, al fine di tutelare e migliorare il funzionamento del mercato interno. Il presente regolamento stabilisce le condizioni per lo sviluppo e l’espansione di servizi digitali innovativi nel mercato interno. Il ravvicinamento delle misure nazionali di regolamentazione a livello dell’Unione in materia di obblighi per i prestatori di servizi intermediari è necessario per evitare la frammentazione del mercato interno, porvi fine e garantir e la certezza del diritto,</w:t>
      </w:r>
      <w:r w:rsidR="002A44A7">
        <w:rPr>
          <w:rFonts w:ascii="Times New Roman" w:hAnsi="Times New Roman" w:cs="Times New Roman"/>
          <w:i/>
          <w:iCs/>
          <w:sz w:val="28"/>
          <w:szCs w:val="28"/>
        </w:rPr>
        <w:t xml:space="preserve"> </w:t>
      </w:r>
      <w:r>
        <w:rPr>
          <w:rFonts w:ascii="Times New Roman" w:hAnsi="Times New Roman" w:cs="Times New Roman"/>
          <w:i/>
          <w:iCs/>
          <w:sz w:val="28"/>
          <w:szCs w:val="28"/>
        </w:rPr>
        <w:t>così da ridurre l’incertezza per gli sviluppatori e promuovere l’interoperabilità.</w:t>
      </w:r>
      <w:r w:rsidR="0031445D">
        <w:rPr>
          <w:rFonts w:ascii="Times New Roman" w:hAnsi="Times New Roman" w:cs="Times New Roman"/>
          <w:i/>
          <w:iCs/>
          <w:sz w:val="28"/>
          <w:szCs w:val="28"/>
        </w:rPr>
        <w:t xml:space="preserve"> </w:t>
      </w:r>
      <w:r>
        <w:rPr>
          <w:rFonts w:ascii="Times New Roman" w:hAnsi="Times New Roman" w:cs="Times New Roman"/>
          <w:i/>
          <w:iCs/>
          <w:sz w:val="28"/>
          <w:szCs w:val="28"/>
        </w:rPr>
        <w:t>Il ricorso a prescrizioni tecnologicamente neutre dovrebbe stimolare l’innovazione anziché ostacolarla</w:t>
      </w:r>
      <w:r w:rsidR="00902836">
        <w:rPr>
          <w:rFonts w:ascii="Times New Roman" w:hAnsi="Times New Roman" w:cs="Times New Roman"/>
          <w:i/>
          <w:iCs/>
          <w:sz w:val="28"/>
          <w:szCs w:val="28"/>
        </w:rPr>
        <w:t>»</w:t>
      </w:r>
      <w:r w:rsidR="007A6977">
        <w:rPr>
          <w:rFonts w:ascii="Times New Roman" w:hAnsi="Times New Roman" w:cs="Times New Roman"/>
          <w:i/>
          <w:iCs/>
          <w:sz w:val="28"/>
          <w:szCs w:val="28"/>
        </w:rPr>
        <w:t xml:space="preserve">. </w:t>
      </w:r>
    </w:p>
    <w:p w14:paraId="57415AED" w14:textId="28CC8DB2" w:rsidR="003F1073" w:rsidRDefault="007A6977" w:rsidP="004E38E8">
      <w:pPr>
        <w:jc w:val="both"/>
        <w:rPr>
          <w:rFonts w:ascii="Times New Roman" w:hAnsi="Times New Roman" w:cs="Times New Roman"/>
          <w:sz w:val="28"/>
          <w:szCs w:val="28"/>
        </w:rPr>
      </w:pPr>
      <w:r w:rsidRPr="007A6977">
        <w:rPr>
          <w:rFonts w:ascii="Times New Roman" w:hAnsi="Times New Roman" w:cs="Times New Roman"/>
          <w:sz w:val="28"/>
          <w:szCs w:val="28"/>
        </w:rPr>
        <w:t xml:space="preserve">La </w:t>
      </w:r>
      <w:r>
        <w:rPr>
          <w:rFonts w:ascii="Times New Roman" w:hAnsi="Times New Roman" w:cs="Times New Roman"/>
          <w:sz w:val="28"/>
          <w:szCs w:val="28"/>
        </w:rPr>
        <w:t>necessità di una regolamentazione eurounitaria viene collegata al concetto di neutralità della tecnologia, laddove i servizi di intermediazione vengono distinti in servizi di “</w:t>
      </w:r>
      <w:r w:rsidRPr="007A6977">
        <w:rPr>
          <w:rFonts w:ascii="Times New Roman" w:hAnsi="Times New Roman" w:cs="Times New Roman"/>
          <w:i/>
          <w:iCs/>
          <w:sz w:val="28"/>
          <w:szCs w:val="28"/>
        </w:rPr>
        <w:t xml:space="preserve">mere </w:t>
      </w:r>
      <w:proofErr w:type="spellStart"/>
      <w:r w:rsidRPr="007A6977">
        <w:rPr>
          <w:rFonts w:ascii="Times New Roman" w:hAnsi="Times New Roman" w:cs="Times New Roman"/>
          <w:i/>
          <w:iCs/>
          <w:sz w:val="28"/>
          <w:szCs w:val="28"/>
        </w:rPr>
        <w:t>conduit</w:t>
      </w:r>
      <w:proofErr w:type="spellEnd"/>
      <w:r w:rsidRPr="00902836">
        <w:rPr>
          <w:rFonts w:ascii="Times New Roman" w:hAnsi="Times New Roman" w:cs="Times New Roman"/>
          <w:sz w:val="28"/>
          <w:szCs w:val="28"/>
        </w:rPr>
        <w:t>”,</w:t>
      </w:r>
      <w:r>
        <w:rPr>
          <w:rFonts w:ascii="Times New Roman" w:hAnsi="Times New Roman" w:cs="Times New Roman"/>
          <w:sz w:val="28"/>
          <w:szCs w:val="28"/>
        </w:rPr>
        <w:t xml:space="preserve"> ossia di semplice trasporto, “</w:t>
      </w:r>
      <w:proofErr w:type="spellStart"/>
      <w:r w:rsidRPr="007A6977">
        <w:rPr>
          <w:rFonts w:ascii="Times New Roman" w:hAnsi="Times New Roman" w:cs="Times New Roman"/>
          <w:i/>
          <w:iCs/>
          <w:sz w:val="28"/>
          <w:szCs w:val="28"/>
        </w:rPr>
        <w:t>caching</w:t>
      </w:r>
      <w:proofErr w:type="spellEnd"/>
      <w:r>
        <w:rPr>
          <w:rFonts w:ascii="Times New Roman" w:hAnsi="Times New Roman" w:cs="Times New Roman"/>
          <w:sz w:val="28"/>
          <w:szCs w:val="28"/>
        </w:rPr>
        <w:t>”, memorizzazione temporanea e di “</w:t>
      </w:r>
      <w:r w:rsidRPr="007A6977">
        <w:rPr>
          <w:rFonts w:ascii="Times New Roman" w:hAnsi="Times New Roman" w:cs="Times New Roman"/>
          <w:i/>
          <w:iCs/>
          <w:sz w:val="28"/>
          <w:szCs w:val="28"/>
        </w:rPr>
        <w:t>hosting</w:t>
      </w:r>
      <w:r w:rsidRPr="001F427C">
        <w:rPr>
          <w:rFonts w:ascii="Times New Roman" w:hAnsi="Times New Roman" w:cs="Times New Roman"/>
          <w:sz w:val="28"/>
          <w:szCs w:val="28"/>
        </w:rPr>
        <w:t>”,</w:t>
      </w:r>
      <w:r>
        <w:rPr>
          <w:rFonts w:ascii="Times New Roman" w:hAnsi="Times New Roman" w:cs="Times New Roman"/>
          <w:i/>
          <w:iCs/>
          <w:sz w:val="28"/>
          <w:szCs w:val="28"/>
        </w:rPr>
        <w:t xml:space="preserve"> </w:t>
      </w:r>
      <w:r w:rsidRPr="007A6977">
        <w:rPr>
          <w:rFonts w:ascii="Times New Roman" w:hAnsi="Times New Roman" w:cs="Times New Roman"/>
          <w:sz w:val="28"/>
          <w:szCs w:val="28"/>
        </w:rPr>
        <w:t>consistente</w:t>
      </w:r>
      <w:r>
        <w:rPr>
          <w:rFonts w:ascii="Times New Roman" w:hAnsi="Times New Roman" w:cs="Times New Roman"/>
          <w:sz w:val="28"/>
          <w:szCs w:val="28"/>
        </w:rPr>
        <w:t xml:space="preserve"> nel memorizzare informazioni fornite da un destinatario del servizio su richiesta di quest’ultimo.</w:t>
      </w:r>
      <w:r w:rsidR="002A44A7">
        <w:rPr>
          <w:rFonts w:ascii="Times New Roman" w:hAnsi="Times New Roman" w:cs="Times New Roman"/>
          <w:sz w:val="28"/>
          <w:szCs w:val="28"/>
        </w:rPr>
        <w:t xml:space="preserve"> </w:t>
      </w:r>
      <w:r>
        <w:rPr>
          <w:rFonts w:ascii="Times New Roman" w:hAnsi="Times New Roman" w:cs="Times New Roman"/>
          <w:sz w:val="28"/>
          <w:szCs w:val="28"/>
        </w:rPr>
        <w:t xml:space="preserve">Sono le definizioni dell’attività </w:t>
      </w:r>
      <w:proofErr w:type="gramStart"/>
      <w:r>
        <w:rPr>
          <w:rFonts w:ascii="Times New Roman" w:hAnsi="Times New Roman" w:cs="Times New Roman"/>
          <w:sz w:val="28"/>
          <w:szCs w:val="28"/>
        </w:rPr>
        <w:t>poste in essere</w:t>
      </w:r>
      <w:proofErr w:type="gramEnd"/>
      <w:r>
        <w:rPr>
          <w:rFonts w:ascii="Times New Roman" w:hAnsi="Times New Roman" w:cs="Times New Roman"/>
          <w:sz w:val="28"/>
          <w:szCs w:val="28"/>
        </w:rPr>
        <w:t xml:space="preserve"> dalle</w:t>
      </w:r>
      <w:r w:rsidR="002A44A7">
        <w:rPr>
          <w:rFonts w:ascii="Times New Roman" w:hAnsi="Times New Roman" w:cs="Times New Roman"/>
          <w:sz w:val="28"/>
          <w:szCs w:val="28"/>
        </w:rPr>
        <w:t xml:space="preserve"> piattaforme digitali</w:t>
      </w:r>
      <w:r w:rsidR="001F427C">
        <w:rPr>
          <w:rFonts w:ascii="Times New Roman" w:hAnsi="Times New Roman" w:cs="Times New Roman"/>
          <w:sz w:val="28"/>
          <w:szCs w:val="28"/>
        </w:rPr>
        <w:t>,</w:t>
      </w:r>
      <w:r w:rsidR="00624F18">
        <w:rPr>
          <w:rFonts w:ascii="Times New Roman" w:hAnsi="Times New Roman" w:cs="Times New Roman"/>
          <w:sz w:val="28"/>
          <w:szCs w:val="28"/>
        </w:rPr>
        <w:t xml:space="preserve"> definite giuridicamente per la prima volta </w:t>
      </w:r>
      <w:r w:rsidR="002A44A7">
        <w:rPr>
          <w:rFonts w:ascii="Times New Roman" w:hAnsi="Times New Roman" w:cs="Times New Roman"/>
          <w:sz w:val="28"/>
          <w:szCs w:val="28"/>
        </w:rPr>
        <w:t>nell’art.</w:t>
      </w:r>
      <w:r w:rsidR="00D53C63">
        <w:rPr>
          <w:rFonts w:ascii="Times New Roman" w:hAnsi="Times New Roman" w:cs="Times New Roman"/>
          <w:sz w:val="28"/>
          <w:szCs w:val="28"/>
        </w:rPr>
        <w:t xml:space="preserve"> </w:t>
      </w:r>
      <w:r w:rsidR="002A44A7">
        <w:rPr>
          <w:rFonts w:ascii="Times New Roman" w:hAnsi="Times New Roman" w:cs="Times New Roman"/>
          <w:sz w:val="28"/>
          <w:szCs w:val="28"/>
        </w:rPr>
        <w:t xml:space="preserve">2 del </w:t>
      </w:r>
      <w:r w:rsidR="002A44A7" w:rsidRPr="004E38E8">
        <w:rPr>
          <w:rFonts w:ascii="Times New Roman" w:hAnsi="Times New Roman" w:cs="Times New Roman"/>
          <w:i/>
          <w:iCs/>
          <w:sz w:val="28"/>
          <w:szCs w:val="28"/>
        </w:rPr>
        <w:t>Digital Service</w:t>
      </w:r>
      <w:r w:rsidR="00125AE2">
        <w:rPr>
          <w:rFonts w:ascii="Times New Roman" w:hAnsi="Times New Roman" w:cs="Times New Roman"/>
          <w:i/>
          <w:iCs/>
          <w:sz w:val="28"/>
          <w:szCs w:val="28"/>
        </w:rPr>
        <w:t>s</w:t>
      </w:r>
      <w:r w:rsidR="002A44A7" w:rsidRPr="004E38E8">
        <w:rPr>
          <w:rFonts w:ascii="Times New Roman" w:hAnsi="Times New Roman" w:cs="Times New Roman"/>
          <w:i/>
          <w:iCs/>
          <w:sz w:val="28"/>
          <w:szCs w:val="28"/>
        </w:rPr>
        <w:t xml:space="preserve"> </w:t>
      </w:r>
      <w:proofErr w:type="spellStart"/>
      <w:r w:rsidR="002A44A7" w:rsidRPr="004E38E8">
        <w:rPr>
          <w:rFonts w:ascii="Times New Roman" w:hAnsi="Times New Roman" w:cs="Times New Roman"/>
          <w:i/>
          <w:iCs/>
          <w:sz w:val="28"/>
          <w:szCs w:val="28"/>
        </w:rPr>
        <w:t>Act</w:t>
      </w:r>
      <w:proofErr w:type="spellEnd"/>
      <w:r w:rsidR="001F427C">
        <w:rPr>
          <w:rFonts w:ascii="Times New Roman" w:hAnsi="Times New Roman" w:cs="Times New Roman"/>
          <w:i/>
          <w:iCs/>
          <w:sz w:val="28"/>
          <w:szCs w:val="28"/>
        </w:rPr>
        <w:t>,</w:t>
      </w:r>
      <w:r w:rsidR="00624F18">
        <w:rPr>
          <w:rFonts w:ascii="Times New Roman" w:hAnsi="Times New Roman" w:cs="Times New Roman"/>
          <w:sz w:val="28"/>
          <w:szCs w:val="28"/>
        </w:rPr>
        <w:t xml:space="preserve"> assieme alla nozione</w:t>
      </w:r>
      <w:r w:rsidR="002A44A7">
        <w:rPr>
          <w:rFonts w:ascii="Times New Roman" w:hAnsi="Times New Roman" w:cs="Times New Roman"/>
          <w:sz w:val="28"/>
          <w:szCs w:val="28"/>
        </w:rPr>
        <w:t xml:space="preserve"> di “</w:t>
      </w:r>
      <w:r w:rsidR="002A44A7" w:rsidRPr="00106A33">
        <w:rPr>
          <w:rFonts w:ascii="Times New Roman" w:hAnsi="Times New Roman" w:cs="Times New Roman"/>
          <w:i/>
          <w:iCs/>
          <w:sz w:val="28"/>
          <w:szCs w:val="28"/>
        </w:rPr>
        <w:t>contenuto illegale</w:t>
      </w:r>
      <w:r w:rsidR="002A44A7">
        <w:rPr>
          <w:rFonts w:ascii="Times New Roman" w:hAnsi="Times New Roman" w:cs="Times New Roman"/>
          <w:sz w:val="28"/>
          <w:szCs w:val="28"/>
        </w:rPr>
        <w:t>”, rispettivamente nella lettera h) e g).</w:t>
      </w:r>
    </w:p>
    <w:p w14:paraId="7E89166C" w14:textId="12702A77" w:rsidR="002A44A7" w:rsidRDefault="002A44A7" w:rsidP="004E38E8">
      <w:pPr>
        <w:jc w:val="both"/>
        <w:rPr>
          <w:rFonts w:ascii="Times New Roman" w:hAnsi="Times New Roman" w:cs="Times New Roman"/>
          <w:i/>
          <w:iCs/>
          <w:sz w:val="28"/>
          <w:szCs w:val="28"/>
        </w:rPr>
      </w:pPr>
      <w:r>
        <w:rPr>
          <w:rFonts w:ascii="Times New Roman" w:hAnsi="Times New Roman" w:cs="Times New Roman"/>
          <w:sz w:val="28"/>
          <w:szCs w:val="28"/>
        </w:rPr>
        <w:t>La lettera h) dell’art.</w:t>
      </w:r>
      <w:r w:rsidR="00D53C63">
        <w:rPr>
          <w:rFonts w:ascii="Times New Roman" w:hAnsi="Times New Roman" w:cs="Times New Roman"/>
          <w:sz w:val="28"/>
          <w:szCs w:val="28"/>
        </w:rPr>
        <w:t xml:space="preserve"> </w:t>
      </w:r>
      <w:r>
        <w:rPr>
          <w:rFonts w:ascii="Times New Roman" w:hAnsi="Times New Roman" w:cs="Times New Roman"/>
          <w:sz w:val="28"/>
          <w:szCs w:val="28"/>
        </w:rPr>
        <w:t>2 recita espressamente:</w:t>
      </w:r>
      <w:r w:rsidR="00D53C63">
        <w:rPr>
          <w:rFonts w:ascii="Times New Roman" w:hAnsi="Times New Roman" w:cs="Times New Roman"/>
          <w:sz w:val="28"/>
          <w:szCs w:val="28"/>
        </w:rPr>
        <w:t xml:space="preserve"> </w:t>
      </w:r>
      <w:r w:rsidR="00902836">
        <w:rPr>
          <w:rFonts w:ascii="Times New Roman" w:hAnsi="Times New Roman" w:cs="Times New Roman"/>
          <w:sz w:val="28"/>
          <w:szCs w:val="28"/>
        </w:rPr>
        <w:t>«</w:t>
      </w:r>
      <w:r w:rsidRPr="002A44A7">
        <w:rPr>
          <w:rFonts w:ascii="Times New Roman" w:hAnsi="Times New Roman" w:cs="Times New Roman"/>
          <w:i/>
          <w:iCs/>
          <w:sz w:val="28"/>
          <w:szCs w:val="28"/>
        </w:rPr>
        <w:t>“piattaforma on line</w:t>
      </w:r>
      <w:r w:rsidR="00D53C63">
        <w:rPr>
          <w:rFonts w:ascii="Times New Roman" w:hAnsi="Times New Roman" w:cs="Times New Roman"/>
          <w:sz w:val="28"/>
          <w:szCs w:val="28"/>
        </w:rPr>
        <w:t>”</w:t>
      </w:r>
      <w:r>
        <w:rPr>
          <w:rFonts w:ascii="Times New Roman" w:hAnsi="Times New Roman" w:cs="Times New Roman"/>
          <w:sz w:val="28"/>
          <w:szCs w:val="28"/>
        </w:rPr>
        <w:t xml:space="preserve"> (è) </w:t>
      </w:r>
      <w:r w:rsidRPr="002A44A7">
        <w:rPr>
          <w:rFonts w:ascii="Times New Roman" w:hAnsi="Times New Roman" w:cs="Times New Roman"/>
          <w:i/>
          <w:iCs/>
          <w:sz w:val="28"/>
          <w:szCs w:val="28"/>
        </w:rPr>
        <w:t>un prestatore</w:t>
      </w:r>
      <w:r>
        <w:rPr>
          <w:rFonts w:ascii="Times New Roman" w:hAnsi="Times New Roman" w:cs="Times New Roman"/>
          <w:sz w:val="28"/>
          <w:szCs w:val="28"/>
        </w:rPr>
        <w:t xml:space="preserve"> </w:t>
      </w:r>
      <w:r w:rsidRPr="002A44A7">
        <w:rPr>
          <w:rFonts w:ascii="Times New Roman" w:hAnsi="Times New Roman" w:cs="Times New Roman"/>
          <w:i/>
          <w:iCs/>
          <w:sz w:val="28"/>
          <w:szCs w:val="28"/>
        </w:rPr>
        <w:t xml:space="preserve">di servizi di hosting </w:t>
      </w:r>
      <w:r>
        <w:rPr>
          <w:rFonts w:ascii="Times New Roman" w:hAnsi="Times New Roman" w:cs="Times New Roman"/>
          <w:i/>
          <w:iCs/>
          <w:sz w:val="28"/>
          <w:szCs w:val="28"/>
        </w:rPr>
        <w:t xml:space="preserve">che, su richiesta di un destinatario del servizio, memorizza e diffonde al pubblico informazioni, tranne qualora tale attività sia una funzione minore e puramente accessoria di un altro servizio, e, per ragioni oggettive e tecniche, non </w:t>
      </w:r>
      <w:r>
        <w:rPr>
          <w:rFonts w:ascii="Times New Roman" w:hAnsi="Times New Roman" w:cs="Times New Roman"/>
          <w:i/>
          <w:iCs/>
          <w:sz w:val="28"/>
          <w:szCs w:val="28"/>
        </w:rPr>
        <w:lastRenderedPageBreak/>
        <w:t>possa essere utilizzata senza tale altro servizio e a condizione che l’integrazione di tale funzione nell’altro servizio non sia un mezzo per eludere l’applicabilità del presente regolamento</w:t>
      </w:r>
      <w:r w:rsidR="00902836">
        <w:rPr>
          <w:rFonts w:ascii="Times New Roman" w:hAnsi="Times New Roman" w:cs="Times New Roman"/>
          <w:i/>
          <w:iCs/>
          <w:sz w:val="28"/>
          <w:szCs w:val="28"/>
        </w:rPr>
        <w:t>».</w:t>
      </w:r>
    </w:p>
    <w:p w14:paraId="183BF999" w14:textId="10F3C128" w:rsidR="002A44A7" w:rsidRDefault="002A44A7" w:rsidP="004E38E8">
      <w:pPr>
        <w:jc w:val="both"/>
        <w:rPr>
          <w:rFonts w:ascii="Times New Roman" w:hAnsi="Times New Roman" w:cs="Times New Roman"/>
          <w:i/>
          <w:iCs/>
          <w:sz w:val="28"/>
          <w:szCs w:val="28"/>
        </w:rPr>
      </w:pPr>
      <w:r w:rsidRPr="002A44A7">
        <w:rPr>
          <w:rFonts w:ascii="Times New Roman" w:hAnsi="Times New Roman" w:cs="Times New Roman"/>
          <w:sz w:val="28"/>
          <w:szCs w:val="28"/>
        </w:rPr>
        <w:t>La lettera</w:t>
      </w:r>
      <w:r>
        <w:rPr>
          <w:rFonts w:ascii="Times New Roman" w:hAnsi="Times New Roman" w:cs="Times New Roman"/>
          <w:i/>
          <w:iCs/>
          <w:sz w:val="28"/>
          <w:szCs w:val="28"/>
        </w:rPr>
        <w:t xml:space="preserve"> g) </w:t>
      </w:r>
      <w:r>
        <w:rPr>
          <w:rFonts w:ascii="Times New Roman" w:hAnsi="Times New Roman" w:cs="Times New Roman"/>
          <w:sz w:val="28"/>
          <w:szCs w:val="28"/>
        </w:rPr>
        <w:t>definisce “</w:t>
      </w:r>
      <w:r w:rsidRPr="00106A33">
        <w:rPr>
          <w:rFonts w:ascii="Times New Roman" w:hAnsi="Times New Roman" w:cs="Times New Roman"/>
          <w:i/>
          <w:iCs/>
          <w:sz w:val="28"/>
          <w:szCs w:val="28"/>
        </w:rPr>
        <w:t>contenuto illegale</w:t>
      </w:r>
      <w:r>
        <w:rPr>
          <w:rFonts w:ascii="Times New Roman" w:hAnsi="Times New Roman" w:cs="Times New Roman"/>
          <w:sz w:val="28"/>
          <w:szCs w:val="28"/>
        </w:rPr>
        <w:t xml:space="preserve">” </w:t>
      </w:r>
      <w:r w:rsidR="00677E92">
        <w:rPr>
          <w:rFonts w:ascii="Times New Roman" w:hAnsi="Times New Roman" w:cs="Times New Roman"/>
          <w:sz w:val="28"/>
          <w:szCs w:val="28"/>
        </w:rPr>
        <w:t>«</w:t>
      </w:r>
      <w:r w:rsidRPr="002A44A7">
        <w:rPr>
          <w:rFonts w:ascii="Times New Roman" w:hAnsi="Times New Roman" w:cs="Times New Roman"/>
          <w:i/>
          <w:iCs/>
          <w:sz w:val="28"/>
          <w:szCs w:val="28"/>
        </w:rPr>
        <w:t>qualsiasi informazione che, di per sé o in relazione ad un’attività, tra cui la vendita di prodotti o la prestazione di servizi, non è conforme alle disposizion</w:t>
      </w:r>
      <w:r w:rsidR="0031445D">
        <w:rPr>
          <w:rFonts w:ascii="Times New Roman" w:hAnsi="Times New Roman" w:cs="Times New Roman"/>
          <w:i/>
          <w:iCs/>
          <w:sz w:val="28"/>
          <w:szCs w:val="28"/>
        </w:rPr>
        <w:t xml:space="preserve">i </w:t>
      </w:r>
      <w:r w:rsidRPr="002A44A7">
        <w:rPr>
          <w:rFonts w:ascii="Times New Roman" w:hAnsi="Times New Roman" w:cs="Times New Roman"/>
          <w:i/>
          <w:iCs/>
          <w:sz w:val="28"/>
          <w:szCs w:val="28"/>
        </w:rPr>
        <w:t>normative dell’Unione o di uno Stato membro, indipende</w:t>
      </w:r>
      <w:r w:rsidR="00E722E2">
        <w:rPr>
          <w:rFonts w:ascii="Times New Roman" w:hAnsi="Times New Roman" w:cs="Times New Roman"/>
          <w:i/>
          <w:iCs/>
          <w:sz w:val="28"/>
          <w:szCs w:val="28"/>
        </w:rPr>
        <w:t>n</w:t>
      </w:r>
      <w:r w:rsidRPr="002A44A7">
        <w:rPr>
          <w:rFonts w:ascii="Times New Roman" w:hAnsi="Times New Roman" w:cs="Times New Roman"/>
          <w:i/>
          <w:iCs/>
          <w:sz w:val="28"/>
          <w:szCs w:val="28"/>
        </w:rPr>
        <w:t>temente dalla natura o dall’oggetto specifico di tali disposizion</w:t>
      </w:r>
      <w:r w:rsidR="00677E92">
        <w:rPr>
          <w:rFonts w:ascii="Times New Roman" w:hAnsi="Times New Roman" w:cs="Times New Roman"/>
          <w:i/>
          <w:iCs/>
          <w:sz w:val="28"/>
          <w:szCs w:val="28"/>
        </w:rPr>
        <w:t>i»</w:t>
      </w:r>
      <w:r w:rsidRPr="002A44A7">
        <w:rPr>
          <w:rFonts w:ascii="Times New Roman" w:hAnsi="Times New Roman" w:cs="Times New Roman"/>
          <w:i/>
          <w:iCs/>
          <w:sz w:val="28"/>
          <w:szCs w:val="28"/>
        </w:rPr>
        <w:t>.</w:t>
      </w:r>
    </w:p>
    <w:p w14:paraId="2A09682F" w14:textId="4A64BFBA" w:rsidR="00A629FD" w:rsidRPr="00D14DA1" w:rsidRDefault="0031445D" w:rsidP="001F427C">
      <w:pPr>
        <w:spacing w:after="0"/>
        <w:jc w:val="both"/>
        <w:rPr>
          <w:rFonts w:ascii="Times New Roman" w:hAnsi="Times New Roman" w:cs="Times New Roman"/>
          <w:sz w:val="28"/>
          <w:szCs w:val="28"/>
        </w:rPr>
      </w:pPr>
      <w:r w:rsidRPr="0031445D">
        <w:rPr>
          <w:rFonts w:ascii="Times New Roman" w:hAnsi="Times New Roman" w:cs="Times New Roman"/>
          <w:sz w:val="28"/>
          <w:szCs w:val="28"/>
        </w:rPr>
        <w:t xml:space="preserve">Se il criterio ispiratore del </w:t>
      </w:r>
      <w:r w:rsidRPr="0031445D">
        <w:rPr>
          <w:rFonts w:ascii="Times New Roman" w:hAnsi="Times New Roman" w:cs="Times New Roman"/>
          <w:i/>
          <w:iCs/>
          <w:sz w:val="28"/>
          <w:szCs w:val="28"/>
        </w:rPr>
        <w:t>Digital Service</w:t>
      </w:r>
      <w:r w:rsidR="00125AE2">
        <w:rPr>
          <w:rFonts w:ascii="Times New Roman" w:hAnsi="Times New Roman" w:cs="Times New Roman"/>
          <w:i/>
          <w:iCs/>
          <w:sz w:val="28"/>
          <w:szCs w:val="28"/>
        </w:rPr>
        <w:t>s</w:t>
      </w:r>
      <w:r w:rsidRPr="0031445D">
        <w:rPr>
          <w:rFonts w:ascii="Times New Roman" w:hAnsi="Times New Roman" w:cs="Times New Roman"/>
          <w:i/>
          <w:iCs/>
          <w:sz w:val="28"/>
          <w:szCs w:val="28"/>
        </w:rPr>
        <w:t xml:space="preserve"> </w:t>
      </w:r>
      <w:proofErr w:type="spellStart"/>
      <w:r w:rsidRPr="0031445D">
        <w:rPr>
          <w:rFonts w:ascii="Times New Roman" w:hAnsi="Times New Roman" w:cs="Times New Roman"/>
          <w:i/>
          <w:iCs/>
          <w:sz w:val="28"/>
          <w:szCs w:val="28"/>
        </w:rPr>
        <w:t>Act</w:t>
      </w:r>
      <w:proofErr w:type="spellEnd"/>
      <w:r w:rsidRPr="0031445D">
        <w:rPr>
          <w:rFonts w:ascii="Times New Roman" w:hAnsi="Times New Roman" w:cs="Times New Roman"/>
          <w:sz w:val="28"/>
          <w:szCs w:val="28"/>
        </w:rPr>
        <w:t xml:space="preserve"> è la responsabilizzazione</w:t>
      </w:r>
      <w:r>
        <w:rPr>
          <w:rFonts w:ascii="Times New Roman" w:hAnsi="Times New Roman" w:cs="Times New Roman"/>
          <w:sz w:val="28"/>
          <w:szCs w:val="28"/>
        </w:rPr>
        <w:t xml:space="preserve"> delle piattaforme digitali, è pur vero che resta in piedi </w:t>
      </w:r>
      <w:r w:rsidRPr="001F427C">
        <w:rPr>
          <w:rFonts w:ascii="Times New Roman" w:hAnsi="Times New Roman" w:cs="Times New Roman"/>
          <w:sz w:val="28"/>
          <w:szCs w:val="28"/>
        </w:rPr>
        <w:t>la clausola del buon samaritano</w:t>
      </w:r>
      <w:r>
        <w:rPr>
          <w:rFonts w:ascii="Times New Roman" w:hAnsi="Times New Roman" w:cs="Times New Roman"/>
          <w:sz w:val="28"/>
          <w:szCs w:val="28"/>
        </w:rPr>
        <w:t xml:space="preserve"> nell’art.</w:t>
      </w:r>
      <w:r w:rsidR="00D53C63">
        <w:rPr>
          <w:rFonts w:ascii="Times New Roman" w:hAnsi="Times New Roman" w:cs="Times New Roman"/>
          <w:sz w:val="28"/>
          <w:szCs w:val="28"/>
        </w:rPr>
        <w:t xml:space="preserve"> </w:t>
      </w:r>
      <w:r>
        <w:rPr>
          <w:rFonts w:ascii="Times New Roman" w:hAnsi="Times New Roman" w:cs="Times New Roman"/>
          <w:sz w:val="28"/>
          <w:szCs w:val="28"/>
        </w:rPr>
        <w:t>7</w:t>
      </w:r>
      <w:r w:rsidR="001F427C">
        <w:rPr>
          <w:rFonts w:ascii="Times New Roman" w:hAnsi="Times New Roman" w:cs="Times New Roman"/>
          <w:sz w:val="28"/>
          <w:szCs w:val="28"/>
        </w:rPr>
        <w:t>,</w:t>
      </w:r>
      <w:r>
        <w:rPr>
          <w:rFonts w:ascii="Times New Roman" w:hAnsi="Times New Roman" w:cs="Times New Roman"/>
          <w:sz w:val="28"/>
          <w:szCs w:val="28"/>
        </w:rPr>
        <w:t xml:space="preserve"> rubricato “</w:t>
      </w:r>
      <w:r w:rsidRPr="0031445D">
        <w:rPr>
          <w:rFonts w:ascii="Times New Roman" w:hAnsi="Times New Roman" w:cs="Times New Roman"/>
          <w:i/>
          <w:iCs/>
          <w:sz w:val="28"/>
          <w:szCs w:val="28"/>
        </w:rPr>
        <w:t>Assenza di obblighi generali di sorveglianza o di accertamento attivo</w:t>
      </w:r>
      <w:r w:rsidRPr="00677E92">
        <w:rPr>
          <w:rFonts w:ascii="Times New Roman" w:hAnsi="Times New Roman" w:cs="Times New Roman"/>
          <w:sz w:val="28"/>
          <w:szCs w:val="28"/>
        </w:rPr>
        <w:t>”</w:t>
      </w:r>
      <w:r>
        <w:rPr>
          <w:rFonts w:ascii="Times New Roman" w:hAnsi="Times New Roman" w:cs="Times New Roman"/>
          <w:i/>
          <w:iCs/>
          <w:sz w:val="28"/>
          <w:szCs w:val="28"/>
        </w:rPr>
        <w:t xml:space="preserve">, </w:t>
      </w:r>
      <w:r w:rsidR="005E5AB5" w:rsidRPr="005E5AB5">
        <w:rPr>
          <w:rFonts w:ascii="Times New Roman" w:hAnsi="Times New Roman" w:cs="Times New Roman"/>
          <w:sz w:val="28"/>
          <w:szCs w:val="28"/>
        </w:rPr>
        <w:t>in cui si</w:t>
      </w:r>
      <w:r w:rsidR="005E5AB5">
        <w:rPr>
          <w:rFonts w:ascii="Times New Roman" w:hAnsi="Times New Roman" w:cs="Times New Roman"/>
          <w:i/>
          <w:iCs/>
          <w:sz w:val="28"/>
          <w:szCs w:val="28"/>
        </w:rPr>
        <w:t xml:space="preserve"> </w:t>
      </w:r>
      <w:r w:rsidRPr="0031445D">
        <w:rPr>
          <w:rFonts w:ascii="Times New Roman" w:hAnsi="Times New Roman" w:cs="Times New Roman"/>
          <w:sz w:val="28"/>
          <w:szCs w:val="28"/>
        </w:rPr>
        <w:t xml:space="preserve">prevede che </w:t>
      </w:r>
      <w:r w:rsidR="00677E92">
        <w:rPr>
          <w:rFonts w:ascii="Times New Roman" w:hAnsi="Times New Roman" w:cs="Times New Roman"/>
          <w:sz w:val="28"/>
          <w:szCs w:val="28"/>
        </w:rPr>
        <w:t>«</w:t>
      </w:r>
      <w:r w:rsidR="005E5AB5" w:rsidRPr="005E5AB5">
        <w:rPr>
          <w:rFonts w:ascii="Times New Roman" w:hAnsi="Times New Roman" w:cs="Times New Roman"/>
          <w:i/>
          <w:iCs/>
          <w:sz w:val="28"/>
          <w:szCs w:val="28"/>
        </w:rPr>
        <w:t>Ai prestatori di servizi intermediari non è imposto alcun obbligo generale di sorveglianza sulle informazioni che tali prestatori trasme</w:t>
      </w:r>
      <w:r w:rsidR="005E5AB5">
        <w:rPr>
          <w:rFonts w:ascii="Times New Roman" w:hAnsi="Times New Roman" w:cs="Times New Roman"/>
          <w:i/>
          <w:iCs/>
          <w:sz w:val="28"/>
          <w:szCs w:val="28"/>
        </w:rPr>
        <w:t xml:space="preserve">ttono, né di accertare attivamente fatti o circostanze che indichino la presenza di attività </w:t>
      </w:r>
      <w:r w:rsidR="00677E92">
        <w:rPr>
          <w:rFonts w:ascii="Times New Roman" w:hAnsi="Times New Roman" w:cs="Times New Roman"/>
          <w:i/>
          <w:iCs/>
          <w:sz w:val="28"/>
          <w:szCs w:val="28"/>
        </w:rPr>
        <w:t>illegali</w:t>
      </w:r>
      <w:r w:rsidR="00677E92" w:rsidRPr="00677E92">
        <w:rPr>
          <w:rFonts w:ascii="Times New Roman" w:hAnsi="Times New Roman" w:cs="Times New Roman"/>
          <w:sz w:val="28"/>
          <w:szCs w:val="28"/>
        </w:rPr>
        <w:t xml:space="preserve">”. </w:t>
      </w:r>
      <w:r w:rsidR="00677E92" w:rsidRPr="00A629FD">
        <w:rPr>
          <w:rFonts w:ascii="Times New Roman" w:hAnsi="Times New Roman" w:cs="Times New Roman"/>
          <w:sz w:val="28"/>
          <w:szCs w:val="28"/>
        </w:rPr>
        <w:t>Vi</w:t>
      </w:r>
      <w:r w:rsidR="00A629FD" w:rsidRPr="00A629FD">
        <w:rPr>
          <w:rFonts w:ascii="Times New Roman" w:hAnsi="Times New Roman" w:cs="Times New Roman"/>
          <w:sz w:val="28"/>
          <w:szCs w:val="28"/>
        </w:rPr>
        <w:t xml:space="preserve"> è, però, </w:t>
      </w:r>
      <w:r w:rsidR="00A629FD">
        <w:rPr>
          <w:rFonts w:ascii="Times New Roman" w:hAnsi="Times New Roman" w:cs="Times New Roman"/>
          <w:sz w:val="28"/>
          <w:szCs w:val="28"/>
        </w:rPr>
        <w:t>l’obbligo di attivarsi nel rimuovere i contenuti illegali o disabilitare l’accesso</w:t>
      </w:r>
      <w:r w:rsidR="00677E92">
        <w:rPr>
          <w:rFonts w:ascii="Times New Roman" w:hAnsi="Times New Roman" w:cs="Times New Roman"/>
          <w:sz w:val="28"/>
          <w:szCs w:val="28"/>
        </w:rPr>
        <w:t xml:space="preserve"> </w:t>
      </w:r>
      <w:r w:rsidR="00A629FD">
        <w:rPr>
          <w:rFonts w:ascii="Times New Roman" w:hAnsi="Times New Roman" w:cs="Times New Roman"/>
          <w:sz w:val="28"/>
          <w:szCs w:val="28"/>
        </w:rPr>
        <w:t xml:space="preserve">non appena </w:t>
      </w:r>
      <w:r w:rsidR="00677E92">
        <w:rPr>
          <w:rFonts w:ascii="Times New Roman" w:hAnsi="Times New Roman" w:cs="Times New Roman"/>
          <w:sz w:val="28"/>
          <w:szCs w:val="28"/>
        </w:rPr>
        <w:t xml:space="preserve">si </w:t>
      </w:r>
      <w:r w:rsidR="00A629FD">
        <w:rPr>
          <w:rFonts w:ascii="Times New Roman" w:hAnsi="Times New Roman" w:cs="Times New Roman"/>
          <w:sz w:val="28"/>
          <w:szCs w:val="28"/>
        </w:rPr>
        <w:t xml:space="preserve">venga a conoscenza di attività o contenuti illegali o </w:t>
      </w:r>
      <w:r w:rsidR="00AB60A7">
        <w:rPr>
          <w:rFonts w:ascii="Times New Roman" w:hAnsi="Times New Roman" w:cs="Times New Roman"/>
          <w:sz w:val="28"/>
          <w:szCs w:val="28"/>
        </w:rPr>
        <w:t xml:space="preserve">si </w:t>
      </w:r>
      <w:r w:rsidR="00A629FD">
        <w:rPr>
          <w:rFonts w:ascii="Times New Roman" w:hAnsi="Times New Roman" w:cs="Times New Roman"/>
          <w:sz w:val="28"/>
          <w:szCs w:val="28"/>
        </w:rPr>
        <w:t>diviene consapevol</w:t>
      </w:r>
      <w:r w:rsidR="00AB60A7">
        <w:rPr>
          <w:rFonts w:ascii="Times New Roman" w:hAnsi="Times New Roman" w:cs="Times New Roman"/>
          <w:sz w:val="28"/>
          <w:szCs w:val="28"/>
        </w:rPr>
        <w:t>i</w:t>
      </w:r>
      <w:r w:rsidR="00A629FD">
        <w:rPr>
          <w:rFonts w:ascii="Times New Roman" w:hAnsi="Times New Roman" w:cs="Times New Roman"/>
          <w:sz w:val="28"/>
          <w:szCs w:val="28"/>
        </w:rPr>
        <w:t xml:space="preserve"> di fatti o circostanze</w:t>
      </w:r>
      <w:r w:rsidR="00E722E2">
        <w:rPr>
          <w:rFonts w:ascii="Times New Roman" w:hAnsi="Times New Roman" w:cs="Times New Roman"/>
          <w:sz w:val="28"/>
          <w:szCs w:val="28"/>
        </w:rPr>
        <w:t xml:space="preserve"> illecite</w:t>
      </w:r>
      <w:r w:rsidR="00A629FD">
        <w:rPr>
          <w:rFonts w:ascii="Times New Roman" w:hAnsi="Times New Roman" w:cs="Times New Roman"/>
          <w:sz w:val="28"/>
          <w:szCs w:val="28"/>
        </w:rPr>
        <w:t>, lasciando impregiudicata, secondo gli ordinamenti giuridici degli Stati membri, che un organo giurisdizionale o un’autorità amministrativa esiga al prestatore di lavoro di impedire o porre fine ad una violazione.</w:t>
      </w:r>
      <w:r w:rsidR="00D53C63">
        <w:rPr>
          <w:rFonts w:ascii="Times New Roman" w:hAnsi="Times New Roman" w:cs="Times New Roman"/>
          <w:sz w:val="28"/>
          <w:szCs w:val="28"/>
        </w:rPr>
        <w:t xml:space="preserve"> </w:t>
      </w:r>
      <w:r w:rsidR="00A629FD">
        <w:rPr>
          <w:rFonts w:ascii="Times New Roman" w:hAnsi="Times New Roman" w:cs="Times New Roman"/>
          <w:sz w:val="28"/>
          <w:szCs w:val="28"/>
        </w:rPr>
        <w:t>Viene mantenuto un sistema di “</w:t>
      </w:r>
      <w:r w:rsidR="00A629FD" w:rsidRPr="00106A33">
        <w:rPr>
          <w:rFonts w:ascii="Times New Roman" w:hAnsi="Times New Roman" w:cs="Times New Roman"/>
          <w:i/>
          <w:iCs/>
          <w:sz w:val="28"/>
          <w:szCs w:val="28"/>
        </w:rPr>
        <w:t>notifica ed azione</w:t>
      </w:r>
      <w:r w:rsidR="00A629FD">
        <w:rPr>
          <w:rFonts w:ascii="Times New Roman" w:hAnsi="Times New Roman" w:cs="Times New Roman"/>
          <w:sz w:val="28"/>
          <w:szCs w:val="28"/>
        </w:rPr>
        <w:t>” con l’introduzione</w:t>
      </w:r>
      <w:r w:rsidR="00106A33">
        <w:rPr>
          <w:rFonts w:ascii="Times New Roman" w:hAnsi="Times New Roman" w:cs="Times New Roman"/>
          <w:sz w:val="28"/>
          <w:szCs w:val="28"/>
        </w:rPr>
        <w:t>,</w:t>
      </w:r>
      <w:r w:rsidR="00FF15F3">
        <w:rPr>
          <w:rFonts w:ascii="Times New Roman" w:hAnsi="Times New Roman" w:cs="Times New Roman"/>
          <w:sz w:val="28"/>
          <w:szCs w:val="28"/>
        </w:rPr>
        <w:t xml:space="preserve"> </w:t>
      </w:r>
      <w:r w:rsidR="00106A33">
        <w:rPr>
          <w:rFonts w:ascii="Times New Roman" w:hAnsi="Times New Roman" w:cs="Times New Roman"/>
          <w:sz w:val="28"/>
          <w:szCs w:val="28"/>
        </w:rPr>
        <w:t>però,</w:t>
      </w:r>
      <w:r w:rsidR="00A629FD">
        <w:rPr>
          <w:rFonts w:ascii="Times New Roman" w:hAnsi="Times New Roman" w:cs="Times New Roman"/>
          <w:sz w:val="28"/>
          <w:szCs w:val="28"/>
        </w:rPr>
        <w:t xml:space="preserve"> di un sistema di valutazione del rischio</w:t>
      </w:r>
      <w:r w:rsidR="00D53C63">
        <w:rPr>
          <w:rFonts w:ascii="Times New Roman" w:hAnsi="Times New Roman" w:cs="Times New Roman"/>
          <w:sz w:val="28"/>
          <w:szCs w:val="28"/>
        </w:rPr>
        <w:t xml:space="preserve"> </w:t>
      </w:r>
      <w:r w:rsidR="00A629FD">
        <w:rPr>
          <w:rFonts w:ascii="Times New Roman" w:hAnsi="Times New Roman" w:cs="Times New Roman"/>
          <w:sz w:val="28"/>
          <w:szCs w:val="28"/>
        </w:rPr>
        <w:t>(art.</w:t>
      </w:r>
      <w:r w:rsidR="00D53C63">
        <w:rPr>
          <w:rFonts w:ascii="Times New Roman" w:hAnsi="Times New Roman" w:cs="Times New Roman"/>
          <w:sz w:val="28"/>
          <w:szCs w:val="28"/>
        </w:rPr>
        <w:t xml:space="preserve"> </w:t>
      </w:r>
      <w:r w:rsidR="00A629FD">
        <w:rPr>
          <w:rFonts w:ascii="Times New Roman" w:hAnsi="Times New Roman" w:cs="Times New Roman"/>
          <w:sz w:val="28"/>
          <w:szCs w:val="28"/>
        </w:rPr>
        <w:t>26 e 27)</w:t>
      </w:r>
      <w:r w:rsidR="001F427C">
        <w:rPr>
          <w:rFonts w:ascii="Times New Roman" w:hAnsi="Times New Roman" w:cs="Times New Roman"/>
          <w:sz w:val="28"/>
          <w:szCs w:val="28"/>
        </w:rPr>
        <w:t>,</w:t>
      </w:r>
      <w:r w:rsidR="00A629FD">
        <w:rPr>
          <w:rFonts w:ascii="Times New Roman" w:hAnsi="Times New Roman" w:cs="Times New Roman"/>
          <w:sz w:val="28"/>
          <w:szCs w:val="28"/>
        </w:rPr>
        <w:t xml:space="preserve"> che costituisce un sistema preventivo e non repressivo </w:t>
      </w:r>
      <w:r w:rsidR="004B586B">
        <w:rPr>
          <w:rFonts w:ascii="Times New Roman" w:hAnsi="Times New Roman" w:cs="Times New Roman"/>
          <w:sz w:val="28"/>
          <w:szCs w:val="28"/>
        </w:rPr>
        <w:t>della tutela, con un</w:t>
      </w:r>
      <w:r w:rsidR="00D53C63">
        <w:rPr>
          <w:rFonts w:ascii="Times New Roman" w:hAnsi="Times New Roman" w:cs="Times New Roman"/>
          <w:sz w:val="28"/>
          <w:szCs w:val="28"/>
        </w:rPr>
        <w:t>’</w:t>
      </w:r>
      <w:r w:rsidR="004B586B">
        <w:rPr>
          <w:rFonts w:ascii="Times New Roman" w:hAnsi="Times New Roman" w:cs="Times New Roman"/>
          <w:sz w:val="28"/>
          <w:szCs w:val="28"/>
        </w:rPr>
        <w:t xml:space="preserve">evoluzione qualitativa </w:t>
      </w:r>
      <w:r w:rsidR="004B586B" w:rsidRPr="00E722E2">
        <w:rPr>
          <w:rFonts w:ascii="Times New Roman" w:hAnsi="Times New Roman" w:cs="Times New Roman"/>
          <w:sz w:val="28"/>
          <w:szCs w:val="28"/>
        </w:rPr>
        <w:t>dall’</w:t>
      </w:r>
      <w:r w:rsidR="00D53C63">
        <w:rPr>
          <w:rFonts w:ascii="Times New Roman" w:hAnsi="Times New Roman" w:cs="Times New Roman"/>
          <w:sz w:val="28"/>
          <w:szCs w:val="28"/>
        </w:rPr>
        <w:t>“</w:t>
      </w:r>
      <w:proofErr w:type="spellStart"/>
      <w:r w:rsidR="004B586B" w:rsidRPr="004B586B">
        <w:rPr>
          <w:rFonts w:ascii="Times New Roman" w:hAnsi="Times New Roman" w:cs="Times New Roman"/>
          <w:i/>
          <w:iCs/>
          <w:sz w:val="28"/>
          <w:szCs w:val="28"/>
        </w:rPr>
        <w:t>enforcement</w:t>
      </w:r>
      <w:proofErr w:type="spellEnd"/>
      <w:r w:rsidR="001F427C" w:rsidRPr="001F427C">
        <w:rPr>
          <w:rFonts w:ascii="Times New Roman" w:hAnsi="Times New Roman" w:cs="Times New Roman"/>
          <w:sz w:val="28"/>
          <w:szCs w:val="28"/>
        </w:rPr>
        <w:t>”</w:t>
      </w:r>
      <w:r w:rsidR="004B586B" w:rsidRPr="004B586B">
        <w:rPr>
          <w:rFonts w:ascii="Times New Roman" w:hAnsi="Times New Roman" w:cs="Times New Roman"/>
          <w:i/>
          <w:iCs/>
          <w:sz w:val="28"/>
          <w:szCs w:val="28"/>
        </w:rPr>
        <w:t xml:space="preserve"> </w:t>
      </w:r>
      <w:r w:rsidR="004B586B" w:rsidRPr="00106A33">
        <w:rPr>
          <w:rFonts w:ascii="Times New Roman" w:hAnsi="Times New Roman" w:cs="Times New Roman"/>
          <w:sz w:val="28"/>
          <w:szCs w:val="28"/>
        </w:rPr>
        <w:t xml:space="preserve">al </w:t>
      </w:r>
      <w:r w:rsidR="001F427C">
        <w:rPr>
          <w:rFonts w:ascii="Times New Roman" w:hAnsi="Times New Roman" w:cs="Times New Roman"/>
          <w:sz w:val="28"/>
          <w:szCs w:val="28"/>
        </w:rPr>
        <w:t>“</w:t>
      </w:r>
      <w:proofErr w:type="spellStart"/>
      <w:r w:rsidR="004B586B" w:rsidRPr="004B586B">
        <w:rPr>
          <w:rFonts w:ascii="Times New Roman" w:hAnsi="Times New Roman" w:cs="Times New Roman"/>
          <w:i/>
          <w:iCs/>
          <w:sz w:val="28"/>
          <w:szCs w:val="28"/>
        </w:rPr>
        <w:t>pre</w:t>
      </w:r>
      <w:r w:rsidR="00AA31AC">
        <w:rPr>
          <w:rFonts w:ascii="Times New Roman" w:hAnsi="Times New Roman" w:cs="Times New Roman"/>
          <w:i/>
          <w:iCs/>
          <w:sz w:val="28"/>
          <w:szCs w:val="28"/>
        </w:rPr>
        <w:t>-</w:t>
      </w:r>
      <w:r w:rsidR="004B586B" w:rsidRPr="004B586B">
        <w:rPr>
          <w:rFonts w:ascii="Times New Roman" w:hAnsi="Times New Roman" w:cs="Times New Roman"/>
          <w:i/>
          <w:iCs/>
          <w:sz w:val="28"/>
          <w:szCs w:val="28"/>
        </w:rPr>
        <w:t>emptive</w:t>
      </w:r>
      <w:proofErr w:type="spellEnd"/>
      <w:r w:rsidR="004B586B" w:rsidRPr="004B586B">
        <w:rPr>
          <w:rFonts w:ascii="Times New Roman" w:hAnsi="Times New Roman" w:cs="Times New Roman"/>
          <w:i/>
          <w:iCs/>
          <w:sz w:val="28"/>
          <w:szCs w:val="28"/>
        </w:rPr>
        <w:t xml:space="preserve"> </w:t>
      </w:r>
      <w:proofErr w:type="spellStart"/>
      <w:r w:rsidR="004B586B" w:rsidRPr="004B586B">
        <w:rPr>
          <w:rFonts w:ascii="Times New Roman" w:hAnsi="Times New Roman" w:cs="Times New Roman"/>
          <w:i/>
          <w:iCs/>
          <w:sz w:val="28"/>
          <w:szCs w:val="28"/>
        </w:rPr>
        <w:t>remedy</w:t>
      </w:r>
      <w:proofErr w:type="spellEnd"/>
      <w:r w:rsidR="00106A33" w:rsidRPr="00AB60A7">
        <w:rPr>
          <w:rFonts w:ascii="Times New Roman" w:hAnsi="Times New Roman" w:cs="Times New Roman"/>
          <w:sz w:val="28"/>
          <w:szCs w:val="28"/>
        </w:rPr>
        <w:t>”</w:t>
      </w:r>
      <w:r w:rsidR="007E2E0C" w:rsidRPr="00AB60A7">
        <w:rPr>
          <w:rFonts w:ascii="Times New Roman" w:hAnsi="Times New Roman" w:cs="Times New Roman"/>
          <w:sz w:val="28"/>
          <w:szCs w:val="28"/>
        </w:rPr>
        <w:t>,</w:t>
      </w:r>
      <w:r w:rsidR="00D53C63">
        <w:rPr>
          <w:rFonts w:ascii="Times New Roman" w:hAnsi="Times New Roman" w:cs="Times New Roman"/>
          <w:i/>
          <w:iCs/>
          <w:sz w:val="28"/>
          <w:szCs w:val="28"/>
        </w:rPr>
        <w:t xml:space="preserve"> </w:t>
      </w:r>
      <w:r w:rsidR="007E2E0C" w:rsidRPr="007E2E0C">
        <w:rPr>
          <w:rFonts w:ascii="Times New Roman" w:hAnsi="Times New Roman" w:cs="Times New Roman"/>
          <w:sz w:val="28"/>
          <w:szCs w:val="28"/>
        </w:rPr>
        <w:t xml:space="preserve">ossia </w:t>
      </w:r>
      <w:r w:rsidR="007E2E0C" w:rsidRPr="00106A33">
        <w:rPr>
          <w:rFonts w:ascii="Times New Roman" w:hAnsi="Times New Roman" w:cs="Times New Roman"/>
          <w:sz w:val="28"/>
          <w:szCs w:val="28"/>
        </w:rPr>
        <w:t>al rimedio preventivo e proattivo</w:t>
      </w:r>
      <w:r w:rsidR="007E2E0C">
        <w:rPr>
          <w:rFonts w:ascii="Times New Roman" w:hAnsi="Times New Roman" w:cs="Times New Roman"/>
          <w:i/>
          <w:iCs/>
          <w:sz w:val="28"/>
          <w:szCs w:val="28"/>
        </w:rPr>
        <w:t>,</w:t>
      </w:r>
      <w:r w:rsidR="00221A8E">
        <w:rPr>
          <w:rFonts w:ascii="Times New Roman" w:hAnsi="Times New Roman" w:cs="Times New Roman"/>
          <w:i/>
          <w:iCs/>
          <w:sz w:val="28"/>
          <w:szCs w:val="28"/>
        </w:rPr>
        <w:t xml:space="preserve"> </w:t>
      </w:r>
      <w:r w:rsidR="00221A8E" w:rsidRPr="00221A8E">
        <w:rPr>
          <w:rFonts w:ascii="Times New Roman" w:hAnsi="Times New Roman" w:cs="Times New Roman"/>
          <w:sz w:val="28"/>
          <w:szCs w:val="28"/>
        </w:rPr>
        <w:t xml:space="preserve">incentrato sul </w:t>
      </w:r>
      <w:r w:rsidR="00221A8E">
        <w:rPr>
          <w:rFonts w:ascii="Times New Roman" w:hAnsi="Times New Roman" w:cs="Times New Roman"/>
          <w:sz w:val="28"/>
          <w:szCs w:val="28"/>
        </w:rPr>
        <w:t>“</w:t>
      </w:r>
      <w:r w:rsidR="00221A8E" w:rsidRPr="00221A8E">
        <w:rPr>
          <w:rFonts w:ascii="Times New Roman" w:hAnsi="Times New Roman" w:cs="Times New Roman"/>
          <w:sz w:val="28"/>
          <w:szCs w:val="28"/>
        </w:rPr>
        <w:t>concetto di rischio d</w:t>
      </w:r>
      <w:r w:rsidR="00221A8E">
        <w:rPr>
          <w:rFonts w:ascii="Times New Roman" w:hAnsi="Times New Roman" w:cs="Times New Roman"/>
          <w:sz w:val="28"/>
          <w:szCs w:val="28"/>
        </w:rPr>
        <w:t>i</w:t>
      </w:r>
      <w:r w:rsidR="00221A8E" w:rsidRPr="00221A8E">
        <w:rPr>
          <w:rFonts w:ascii="Times New Roman" w:hAnsi="Times New Roman" w:cs="Times New Roman"/>
          <w:sz w:val="28"/>
          <w:szCs w:val="28"/>
        </w:rPr>
        <w:t xml:space="preserve"> sistema</w:t>
      </w:r>
      <w:r w:rsidR="00221A8E">
        <w:rPr>
          <w:rFonts w:ascii="Times New Roman" w:hAnsi="Times New Roman" w:cs="Times New Roman"/>
          <w:sz w:val="28"/>
          <w:szCs w:val="28"/>
        </w:rPr>
        <w:t>”.</w:t>
      </w:r>
      <w:r w:rsidR="00221A8E">
        <w:rPr>
          <w:rFonts w:ascii="Times New Roman" w:hAnsi="Times New Roman" w:cs="Times New Roman"/>
          <w:i/>
          <w:iCs/>
          <w:sz w:val="28"/>
          <w:szCs w:val="28"/>
        </w:rPr>
        <w:t xml:space="preserve"> </w:t>
      </w:r>
      <w:r w:rsidR="004B586B" w:rsidRPr="004B586B">
        <w:rPr>
          <w:rFonts w:ascii="Times New Roman" w:hAnsi="Times New Roman" w:cs="Times New Roman"/>
          <w:sz w:val="28"/>
          <w:szCs w:val="28"/>
        </w:rPr>
        <w:t>L’art.</w:t>
      </w:r>
      <w:r w:rsidR="00D53C63">
        <w:rPr>
          <w:rFonts w:ascii="Times New Roman" w:hAnsi="Times New Roman" w:cs="Times New Roman"/>
          <w:sz w:val="28"/>
          <w:szCs w:val="28"/>
        </w:rPr>
        <w:t xml:space="preserve"> </w:t>
      </w:r>
      <w:r w:rsidR="004B586B" w:rsidRPr="004B586B">
        <w:rPr>
          <w:rFonts w:ascii="Times New Roman" w:hAnsi="Times New Roman" w:cs="Times New Roman"/>
          <w:sz w:val="28"/>
          <w:szCs w:val="28"/>
        </w:rPr>
        <w:t>26,</w:t>
      </w:r>
      <w:r w:rsidR="00D53C63">
        <w:rPr>
          <w:rFonts w:ascii="Times New Roman" w:hAnsi="Times New Roman" w:cs="Times New Roman"/>
          <w:sz w:val="28"/>
          <w:szCs w:val="28"/>
        </w:rPr>
        <w:t xml:space="preserve"> </w:t>
      </w:r>
      <w:r w:rsidR="004B586B" w:rsidRPr="004B586B">
        <w:rPr>
          <w:rFonts w:ascii="Times New Roman" w:hAnsi="Times New Roman" w:cs="Times New Roman"/>
          <w:sz w:val="28"/>
          <w:szCs w:val="28"/>
        </w:rPr>
        <w:t xml:space="preserve">infatti, prevede che </w:t>
      </w:r>
      <w:r w:rsidR="004B586B">
        <w:rPr>
          <w:rFonts w:ascii="Times New Roman" w:hAnsi="Times New Roman" w:cs="Times New Roman"/>
          <w:sz w:val="28"/>
          <w:szCs w:val="28"/>
        </w:rPr>
        <w:t>almeno una volta all’anno</w:t>
      </w:r>
      <w:r w:rsidR="00D53C63">
        <w:rPr>
          <w:rFonts w:ascii="Times New Roman" w:hAnsi="Times New Roman" w:cs="Times New Roman"/>
          <w:sz w:val="28"/>
          <w:szCs w:val="28"/>
        </w:rPr>
        <w:t xml:space="preserve"> </w:t>
      </w:r>
      <w:r w:rsidR="00AB60A7">
        <w:rPr>
          <w:rFonts w:ascii="Times New Roman" w:hAnsi="Times New Roman" w:cs="Times New Roman"/>
          <w:sz w:val="28"/>
          <w:szCs w:val="28"/>
        </w:rPr>
        <w:t>«</w:t>
      </w:r>
      <w:r w:rsidR="004B586B" w:rsidRPr="004B586B">
        <w:rPr>
          <w:rFonts w:ascii="Times New Roman" w:hAnsi="Times New Roman" w:cs="Times New Roman"/>
          <w:i/>
          <w:iCs/>
          <w:sz w:val="28"/>
          <w:szCs w:val="28"/>
        </w:rPr>
        <w:t xml:space="preserve">le piattaforme </w:t>
      </w:r>
      <w:r w:rsidR="00221A8E">
        <w:rPr>
          <w:rFonts w:ascii="Times New Roman" w:hAnsi="Times New Roman" w:cs="Times New Roman"/>
          <w:i/>
          <w:iCs/>
          <w:sz w:val="28"/>
          <w:szCs w:val="28"/>
        </w:rPr>
        <w:t>on line di dimensioni molto grandi individuano, analizzano e valutano eventuali rischi sistemici significativi derivanti dal funzionamento e dall’uso dei loro servizi nell’Unione.</w:t>
      </w:r>
      <w:r w:rsidR="00E722E2">
        <w:rPr>
          <w:rFonts w:ascii="Times New Roman" w:hAnsi="Times New Roman" w:cs="Times New Roman"/>
          <w:i/>
          <w:iCs/>
          <w:sz w:val="28"/>
          <w:szCs w:val="28"/>
        </w:rPr>
        <w:t xml:space="preserve"> </w:t>
      </w:r>
      <w:r w:rsidR="00221A8E">
        <w:rPr>
          <w:rFonts w:ascii="Times New Roman" w:hAnsi="Times New Roman" w:cs="Times New Roman"/>
          <w:i/>
          <w:iCs/>
          <w:sz w:val="28"/>
          <w:szCs w:val="28"/>
        </w:rPr>
        <w:t>La valutazione del rischio deve essere specifica per i loro servizi e comprendere i seguenti rischi sistemici:</w:t>
      </w:r>
    </w:p>
    <w:p w14:paraId="7E096FB6" w14:textId="4E5F952B" w:rsidR="00221A8E" w:rsidRDefault="00221A8E" w:rsidP="001F427C">
      <w:pPr>
        <w:pStyle w:val="Paragrafoelenco"/>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t>La diffusione di contenuti illegali tramite i loro servizi;</w:t>
      </w:r>
    </w:p>
    <w:p w14:paraId="43EA7B72" w14:textId="68773E54" w:rsidR="00221A8E" w:rsidRDefault="00221A8E" w:rsidP="001F427C">
      <w:pPr>
        <w:pStyle w:val="Paragrafoelenco"/>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t>Eventuali effetti negativi per l’esercizio dei diritti fondamentali al rispetto della vita privata e familiare e alla libertà di espressione e di informazione, del diritto alla non discriminazione e dei diritti del minore, sanciti rispettivamente dagli articoli 7,</w:t>
      </w:r>
      <w:r w:rsidR="00AB60A7">
        <w:rPr>
          <w:rFonts w:ascii="Times New Roman" w:hAnsi="Times New Roman" w:cs="Times New Roman"/>
          <w:i/>
          <w:iCs/>
          <w:sz w:val="28"/>
          <w:szCs w:val="28"/>
        </w:rPr>
        <w:t xml:space="preserve"> </w:t>
      </w:r>
      <w:r>
        <w:rPr>
          <w:rFonts w:ascii="Times New Roman" w:hAnsi="Times New Roman" w:cs="Times New Roman"/>
          <w:i/>
          <w:iCs/>
          <w:sz w:val="28"/>
          <w:szCs w:val="28"/>
        </w:rPr>
        <w:t>11,</w:t>
      </w:r>
      <w:r w:rsidR="00AB60A7">
        <w:rPr>
          <w:rFonts w:ascii="Times New Roman" w:hAnsi="Times New Roman" w:cs="Times New Roman"/>
          <w:i/>
          <w:iCs/>
          <w:sz w:val="28"/>
          <w:szCs w:val="28"/>
        </w:rPr>
        <w:t xml:space="preserve"> </w:t>
      </w:r>
      <w:r>
        <w:rPr>
          <w:rFonts w:ascii="Times New Roman" w:hAnsi="Times New Roman" w:cs="Times New Roman"/>
          <w:i/>
          <w:iCs/>
          <w:sz w:val="28"/>
          <w:szCs w:val="28"/>
        </w:rPr>
        <w:t xml:space="preserve">21 e 24 della </w:t>
      </w:r>
      <w:r w:rsidR="007E2E0C">
        <w:rPr>
          <w:rFonts w:ascii="Times New Roman" w:hAnsi="Times New Roman" w:cs="Times New Roman"/>
          <w:i/>
          <w:iCs/>
          <w:sz w:val="28"/>
          <w:szCs w:val="28"/>
        </w:rPr>
        <w:t>C</w:t>
      </w:r>
      <w:r>
        <w:rPr>
          <w:rFonts w:ascii="Times New Roman" w:hAnsi="Times New Roman" w:cs="Times New Roman"/>
          <w:i/>
          <w:iCs/>
          <w:sz w:val="28"/>
          <w:szCs w:val="28"/>
        </w:rPr>
        <w:t>arta</w:t>
      </w:r>
      <w:r w:rsidR="001F427C">
        <w:rPr>
          <w:rFonts w:ascii="Times New Roman" w:hAnsi="Times New Roman" w:cs="Times New Roman"/>
          <w:i/>
          <w:iCs/>
          <w:sz w:val="28"/>
          <w:szCs w:val="28"/>
        </w:rPr>
        <w:t>;</w:t>
      </w:r>
    </w:p>
    <w:p w14:paraId="115DE091" w14:textId="211662B2" w:rsidR="00221A8E" w:rsidRDefault="00221A8E" w:rsidP="00221A8E">
      <w:pPr>
        <w:pStyle w:val="Paragrafoelenco"/>
        <w:numPr>
          <w:ilvl w:val="0"/>
          <w:numId w:val="1"/>
        </w:numPr>
        <w:jc w:val="both"/>
        <w:rPr>
          <w:rFonts w:ascii="Times New Roman" w:hAnsi="Times New Roman" w:cs="Times New Roman"/>
          <w:i/>
          <w:iCs/>
          <w:sz w:val="28"/>
          <w:szCs w:val="28"/>
        </w:rPr>
      </w:pPr>
      <w:r>
        <w:rPr>
          <w:rFonts w:ascii="Times New Roman" w:hAnsi="Times New Roman" w:cs="Times New Roman"/>
          <w:i/>
          <w:iCs/>
          <w:sz w:val="28"/>
          <w:szCs w:val="28"/>
        </w:rPr>
        <w:t>La manipolazione intenzionale del servizio, anche mediante un uso non autentico o uno sfruttamento automatizzato del servizio, con ripercussioni negative, effettive o prevedibili, sulla tutela della salute pubblica, dei minori, del dibattito civico, o con effetti reali o prevedibili sui processi elettorali e sulla sicurezza pubblica</w:t>
      </w:r>
      <w:r w:rsidR="00AB60A7">
        <w:rPr>
          <w:rFonts w:ascii="Times New Roman" w:hAnsi="Times New Roman" w:cs="Times New Roman"/>
          <w:i/>
          <w:iCs/>
          <w:sz w:val="28"/>
          <w:szCs w:val="28"/>
        </w:rPr>
        <w:t>».</w:t>
      </w:r>
    </w:p>
    <w:p w14:paraId="45A98594" w14:textId="214FE990" w:rsidR="007E2E0C" w:rsidRDefault="00221A8E" w:rsidP="00387CE8">
      <w:pPr>
        <w:spacing w:after="0"/>
        <w:jc w:val="both"/>
        <w:rPr>
          <w:rFonts w:ascii="Times New Roman" w:hAnsi="Times New Roman" w:cs="Times New Roman"/>
          <w:i/>
          <w:iCs/>
          <w:sz w:val="28"/>
          <w:szCs w:val="28"/>
        </w:rPr>
      </w:pPr>
      <w:r w:rsidRPr="00E722E2">
        <w:rPr>
          <w:rFonts w:ascii="Times New Roman" w:hAnsi="Times New Roman" w:cs="Times New Roman"/>
          <w:sz w:val="28"/>
          <w:szCs w:val="28"/>
        </w:rPr>
        <w:lastRenderedPageBreak/>
        <w:t>Alla valutazione di analisi del “rischio di sistema</w:t>
      </w:r>
      <w:r w:rsidR="00E722E2" w:rsidRPr="00E722E2">
        <w:rPr>
          <w:rFonts w:ascii="Times New Roman" w:hAnsi="Times New Roman" w:cs="Times New Roman"/>
          <w:sz w:val="28"/>
          <w:szCs w:val="28"/>
        </w:rPr>
        <w:t>”</w:t>
      </w:r>
      <w:r w:rsidRPr="00E722E2">
        <w:rPr>
          <w:rFonts w:ascii="Times New Roman" w:hAnsi="Times New Roman" w:cs="Times New Roman"/>
          <w:sz w:val="28"/>
          <w:szCs w:val="28"/>
        </w:rPr>
        <w:t xml:space="preserve"> </w:t>
      </w:r>
      <w:r w:rsidR="00E722E2" w:rsidRPr="00E722E2">
        <w:rPr>
          <w:rFonts w:ascii="Times New Roman" w:hAnsi="Times New Roman" w:cs="Times New Roman"/>
          <w:sz w:val="28"/>
          <w:szCs w:val="28"/>
        </w:rPr>
        <w:t>s</w:t>
      </w:r>
      <w:r w:rsidRPr="00E722E2">
        <w:rPr>
          <w:rFonts w:ascii="Times New Roman" w:hAnsi="Times New Roman" w:cs="Times New Roman"/>
          <w:sz w:val="28"/>
          <w:szCs w:val="28"/>
        </w:rPr>
        <w:t xml:space="preserve">egue la fase </w:t>
      </w:r>
      <w:r w:rsidR="00E722E2">
        <w:rPr>
          <w:rFonts w:ascii="Times New Roman" w:hAnsi="Times New Roman" w:cs="Times New Roman"/>
          <w:sz w:val="28"/>
          <w:szCs w:val="28"/>
        </w:rPr>
        <w:t>attiva di “</w:t>
      </w:r>
      <w:r w:rsidR="00E722E2" w:rsidRPr="00E722E2">
        <w:rPr>
          <w:rFonts w:ascii="Times New Roman" w:hAnsi="Times New Roman" w:cs="Times New Roman"/>
          <w:i/>
          <w:iCs/>
          <w:sz w:val="28"/>
          <w:szCs w:val="28"/>
        </w:rPr>
        <w:t>Attenuazione dei rischi</w:t>
      </w:r>
      <w:r w:rsidR="00E722E2" w:rsidRPr="00AB60A7">
        <w:rPr>
          <w:rFonts w:ascii="Times New Roman" w:hAnsi="Times New Roman" w:cs="Times New Roman"/>
          <w:sz w:val="28"/>
          <w:szCs w:val="28"/>
        </w:rPr>
        <w:t>”</w:t>
      </w:r>
      <w:r w:rsidR="00387CE8">
        <w:rPr>
          <w:rFonts w:ascii="Times New Roman" w:hAnsi="Times New Roman" w:cs="Times New Roman"/>
          <w:sz w:val="28"/>
          <w:szCs w:val="28"/>
        </w:rPr>
        <w:t>,</w:t>
      </w:r>
      <w:r w:rsidR="00E722E2" w:rsidRPr="00E722E2">
        <w:rPr>
          <w:rFonts w:ascii="Times New Roman" w:hAnsi="Times New Roman" w:cs="Times New Roman"/>
          <w:i/>
          <w:iCs/>
          <w:sz w:val="28"/>
          <w:szCs w:val="28"/>
        </w:rPr>
        <w:t xml:space="preserve"> </w:t>
      </w:r>
      <w:r w:rsidR="00E722E2" w:rsidRPr="00E722E2">
        <w:rPr>
          <w:rFonts w:ascii="Times New Roman" w:hAnsi="Times New Roman" w:cs="Times New Roman"/>
          <w:sz w:val="28"/>
          <w:szCs w:val="28"/>
        </w:rPr>
        <w:t>prevista dall’art.</w:t>
      </w:r>
      <w:r w:rsidR="00D53C63">
        <w:rPr>
          <w:rFonts w:ascii="Times New Roman" w:hAnsi="Times New Roman" w:cs="Times New Roman"/>
          <w:sz w:val="28"/>
          <w:szCs w:val="28"/>
        </w:rPr>
        <w:t xml:space="preserve"> </w:t>
      </w:r>
      <w:r w:rsidR="00E722E2" w:rsidRPr="00E722E2">
        <w:rPr>
          <w:rFonts w:ascii="Times New Roman" w:hAnsi="Times New Roman" w:cs="Times New Roman"/>
          <w:sz w:val="28"/>
          <w:szCs w:val="28"/>
        </w:rPr>
        <w:t>27</w:t>
      </w:r>
      <w:r w:rsidR="00E722E2">
        <w:rPr>
          <w:rFonts w:ascii="Times New Roman" w:hAnsi="Times New Roman" w:cs="Times New Roman"/>
          <w:sz w:val="28"/>
          <w:szCs w:val="28"/>
        </w:rPr>
        <w:t>:</w:t>
      </w:r>
      <w:r w:rsidR="00D53C63">
        <w:rPr>
          <w:rFonts w:ascii="Times New Roman" w:hAnsi="Times New Roman" w:cs="Times New Roman"/>
          <w:sz w:val="28"/>
          <w:szCs w:val="28"/>
        </w:rPr>
        <w:t xml:space="preserve"> </w:t>
      </w:r>
      <w:r w:rsidR="00AB60A7">
        <w:rPr>
          <w:rFonts w:ascii="Times New Roman" w:hAnsi="Times New Roman" w:cs="Times New Roman"/>
          <w:sz w:val="28"/>
          <w:szCs w:val="28"/>
        </w:rPr>
        <w:t>«</w:t>
      </w:r>
      <w:r w:rsidR="00E722E2" w:rsidRPr="00E722E2">
        <w:rPr>
          <w:rFonts w:ascii="Times New Roman" w:hAnsi="Times New Roman" w:cs="Times New Roman"/>
          <w:i/>
          <w:iCs/>
          <w:sz w:val="28"/>
          <w:szCs w:val="28"/>
        </w:rPr>
        <w:t>Le piattaforme online di dimensioni molto grandi adottano</w:t>
      </w:r>
      <w:r w:rsidR="007E2E0C">
        <w:rPr>
          <w:rFonts w:ascii="Times New Roman" w:hAnsi="Times New Roman" w:cs="Times New Roman"/>
          <w:i/>
          <w:iCs/>
          <w:sz w:val="28"/>
          <w:szCs w:val="28"/>
        </w:rPr>
        <w:t xml:space="preserve"> misure di attenuazione ragionevoli, proporzionate ed efficaci, adattate ai rischi sistemici specifici …Tali misure possono comprendere, ove opportuno:</w:t>
      </w:r>
    </w:p>
    <w:p w14:paraId="40199328" w14:textId="77777777" w:rsidR="007E2E0C" w:rsidRDefault="007E2E0C" w:rsidP="00387CE8">
      <w:pPr>
        <w:pStyle w:val="Paragrafoelenco"/>
        <w:numPr>
          <w:ilvl w:val="0"/>
          <w:numId w:val="2"/>
        </w:numPr>
        <w:spacing w:after="0"/>
        <w:jc w:val="both"/>
        <w:rPr>
          <w:rFonts w:ascii="Times New Roman" w:hAnsi="Times New Roman" w:cs="Times New Roman"/>
          <w:i/>
          <w:iCs/>
          <w:sz w:val="28"/>
          <w:szCs w:val="28"/>
        </w:rPr>
      </w:pPr>
      <w:r>
        <w:rPr>
          <w:rFonts w:ascii="Times New Roman" w:hAnsi="Times New Roman" w:cs="Times New Roman"/>
          <w:i/>
          <w:iCs/>
          <w:sz w:val="28"/>
          <w:szCs w:val="28"/>
        </w:rPr>
        <w:t>L’adeguamento dei sistemi di moderazione dei contenuti o di raccomandazione, dei loro processi decisionali, delle caratteristiche o del funzionamento dei loro servizi, o delle loro condizioni generali;</w:t>
      </w:r>
    </w:p>
    <w:p w14:paraId="445F2E1B" w14:textId="77777777" w:rsidR="007E2E0C" w:rsidRDefault="007E2E0C" w:rsidP="007E2E0C">
      <w:pPr>
        <w:pStyle w:val="Paragrafoelenco"/>
        <w:numPr>
          <w:ilvl w:val="0"/>
          <w:numId w:val="2"/>
        </w:numPr>
        <w:jc w:val="both"/>
        <w:rPr>
          <w:rFonts w:ascii="Times New Roman" w:hAnsi="Times New Roman" w:cs="Times New Roman"/>
          <w:i/>
          <w:iCs/>
          <w:sz w:val="28"/>
          <w:szCs w:val="28"/>
        </w:rPr>
      </w:pPr>
      <w:r>
        <w:rPr>
          <w:rFonts w:ascii="Times New Roman" w:hAnsi="Times New Roman" w:cs="Times New Roman"/>
          <w:i/>
          <w:iCs/>
          <w:sz w:val="28"/>
          <w:szCs w:val="28"/>
        </w:rPr>
        <w:t>Misure mirate volte a limitare la visualizzazione della pubblicità associata al servizio da esse prestato;</w:t>
      </w:r>
    </w:p>
    <w:p w14:paraId="42C9CD99" w14:textId="77777777" w:rsidR="007E2E0C" w:rsidRDefault="007E2E0C" w:rsidP="007E2E0C">
      <w:pPr>
        <w:pStyle w:val="Paragrafoelenco"/>
        <w:numPr>
          <w:ilvl w:val="0"/>
          <w:numId w:val="2"/>
        </w:numPr>
        <w:jc w:val="both"/>
        <w:rPr>
          <w:rFonts w:ascii="Times New Roman" w:hAnsi="Times New Roman" w:cs="Times New Roman"/>
          <w:i/>
          <w:iCs/>
          <w:sz w:val="28"/>
          <w:szCs w:val="28"/>
        </w:rPr>
      </w:pPr>
      <w:r>
        <w:rPr>
          <w:rFonts w:ascii="Times New Roman" w:hAnsi="Times New Roman" w:cs="Times New Roman"/>
          <w:i/>
          <w:iCs/>
          <w:sz w:val="28"/>
          <w:szCs w:val="28"/>
        </w:rPr>
        <w:t>Il rafforzamento dei processi interni o della vigilanza sulle loro attività, in particolare per quanto riguarda il rilevamento dei rischi sistemici;</w:t>
      </w:r>
    </w:p>
    <w:p w14:paraId="199DF554" w14:textId="6CF9B1BA" w:rsidR="00221A8E" w:rsidRDefault="00106A33" w:rsidP="007E2E0C">
      <w:pPr>
        <w:pStyle w:val="Paragrafoelenco"/>
        <w:numPr>
          <w:ilvl w:val="0"/>
          <w:numId w:val="2"/>
        </w:numPr>
        <w:jc w:val="both"/>
        <w:rPr>
          <w:rFonts w:ascii="Times New Roman" w:hAnsi="Times New Roman" w:cs="Times New Roman"/>
          <w:sz w:val="28"/>
          <w:szCs w:val="28"/>
        </w:rPr>
      </w:pPr>
      <w:r>
        <w:rPr>
          <w:rFonts w:ascii="Times New Roman" w:hAnsi="Times New Roman" w:cs="Times New Roman"/>
          <w:i/>
          <w:iCs/>
          <w:sz w:val="28"/>
          <w:szCs w:val="28"/>
        </w:rPr>
        <w:t>L’avvio o l’adeguamento della cooperazione con i segnalatori attendibili</w:t>
      </w:r>
      <w:r w:rsidR="005660A5">
        <w:rPr>
          <w:rFonts w:ascii="Times New Roman" w:hAnsi="Times New Roman" w:cs="Times New Roman"/>
          <w:i/>
          <w:iCs/>
          <w:sz w:val="28"/>
          <w:szCs w:val="28"/>
        </w:rPr>
        <w:t xml:space="preserve"> </w:t>
      </w:r>
      <w:r w:rsidRPr="00106A33">
        <w:rPr>
          <w:rFonts w:ascii="Times New Roman" w:hAnsi="Times New Roman" w:cs="Times New Roman"/>
          <w:sz w:val="28"/>
          <w:szCs w:val="28"/>
        </w:rPr>
        <w:t xml:space="preserve">(figura </w:t>
      </w:r>
      <w:r>
        <w:rPr>
          <w:rFonts w:ascii="Times New Roman" w:hAnsi="Times New Roman" w:cs="Times New Roman"/>
          <w:sz w:val="28"/>
          <w:szCs w:val="28"/>
        </w:rPr>
        <w:t xml:space="preserve">qualificata </w:t>
      </w:r>
      <w:r w:rsidRPr="00106A33">
        <w:rPr>
          <w:rFonts w:ascii="Times New Roman" w:hAnsi="Times New Roman" w:cs="Times New Roman"/>
          <w:sz w:val="28"/>
          <w:szCs w:val="28"/>
        </w:rPr>
        <w:t>introdotta nell’art.</w:t>
      </w:r>
      <w:r w:rsidR="00D53C63">
        <w:rPr>
          <w:rFonts w:ascii="Times New Roman" w:hAnsi="Times New Roman" w:cs="Times New Roman"/>
          <w:sz w:val="28"/>
          <w:szCs w:val="28"/>
        </w:rPr>
        <w:t xml:space="preserve"> </w:t>
      </w:r>
      <w:r w:rsidRPr="00106A33">
        <w:rPr>
          <w:rFonts w:ascii="Times New Roman" w:hAnsi="Times New Roman" w:cs="Times New Roman"/>
          <w:sz w:val="28"/>
          <w:szCs w:val="28"/>
        </w:rPr>
        <w:t xml:space="preserve">19 del </w:t>
      </w:r>
      <w:r w:rsidRPr="00387CE8">
        <w:rPr>
          <w:rFonts w:ascii="Times New Roman" w:hAnsi="Times New Roman" w:cs="Times New Roman"/>
          <w:i/>
          <w:iCs/>
          <w:sz w:val="28"/>
          <w:szCs w:val="28"/>
        </w:rPr>
        <w:t>Digital Service</w:t>
      </w:r>
      <w:r w:rsidR="00125AE2">
        <w:rPr>
          <w:rFonts w:ascii="Times New Roman" w:hAnsi="Times New Roman" w:cs="Times New Roman"/>
          <w:i/>
          <w:iCs/>
          <w:sz w:val="28"/>
          <w:szCs w:val="28"/>
        </w:rPr>
        <w:t>s</w:t>
      </w:r>
      <w:r w:rsidRPr="00387CE8">
        <w:rPr>
          <w:rFonts w:ascii="Times New Roman" w:hAnsi="Times New Roman" w:cs="Times New Roman"/>
          <w:i/>
          <w:iCs/>
          <w:sz w:val="28"/>
          <w:szCs w:val="28"/>
        </w:rPr>
        <w:t xml:space="preserve"> </w:t>
      </w:r>
      <w:proofErr w:type="spellStart"/>
      <w:r w:rsidRPr="00387CE8">
        <w:rPr>
          <w:rFonts w:ascii="Times New Roman" w:hAnsi="Times New Roman" w:cs="Times New Roman"/>
          <w:i/>
          <w:iCs/>
          <w:sz w:val="28"/>
          <w:szCs w:val="28"/>
        </w:rPr>
        <w:t>Act</w:t>
      </w:r>
      <w:proofErr w:type="spellEnd"/>
      <w:r w:rsidRPr="00106A33">
        <w:rPr>
          <w:rFonts w:ascii="Times New Roman" w:hAnsi="Times New Roman" w:cs="Times New Roman"/>
          <w:sz w:val="28"/>
          <w:szCs w:val="28"/>
        </w:rPr>
        <w:t>)</w:t>
      </w:r>
      <w:r>
        <w:rPr>
          <w:rFonts w:ascii="Times New Roman" w:hAnsi="Times New Roman" w:cs="Times New Roman"/>
          <w:sz w:val="28"/>
          <w:szCs w:val="28"/>
        </w:rPr>
        <w:t>;</w:t>
      </w:r>
    </w:p>
    <w:p w14:paraId="4B6303D2" w14:textId="4224141F" w:rsidR="00106A33" w:rsidRDefault="00106A33" w:rsidP="007E2E0C">
      <w:pPr>
        <w:pStyle w:val="Paragrafoelenco"/>
        <w:numPr>
          <w:ilvl w:val="0"/>
          <w:numId w:val="2"/>
        </w:numPr>
        <w:jc w:val="both"/>
        <w:rPr>
          <w:rFonts w:ascii="Times New Roman" w:hAnsi="Times New Roman" w:cs="Times New Roman"/>
          <w:sz w:val="28"/>
          <w:szCs w:val="28"/>
        </w:rPr>
      </w:pPr>
      <w:r>
        <w:rPr>
          <w:rFonts w:ascii="Times New Roman" w:hAnsi="Times New Roman" w:cs="Times New Roman"/>
          <w:i/>
          <w:iCs/>
          <w:sz w:val="28"/>
          <w:szCs w:val="28"/>
        </w:rPr>
        <w:t xml:space="preserve">L’avvio o l’adeguamento della cooperazione con altre piattaforme on line attraverso i codici di condotta e i protocolli di crisi </w:t>
      </w:r>
      <w:r w:rsidRPr="00106A33">
        <w:rPr>
          <w:rFonts w:ascii="Times New Roman" w:hAnsi="Times New Roman" w:cs="Times New Roman"/>
          <w:sz w:val="28"/>
          <w:szCs w:val="28"/>
        </w:rPr>
        <w:t>(previsti dagli art.</w:t>
      </w:r>
      <w:r w:rsidR="00D53C63">
        <w:rPr>
          <w:rFonts w:ascii="Times New Roman" w:hAnsi="Times New Roman" w:cs="Times New Roman"/>
          <w:sz w:val="28"/>
          <w:szCs w:val="28"/>
        </w:rPr>
        <w:t xml:space="preserve"> </w:t>
      </w:r>
      <w:r w:rsidRPr="00106A33">
        <w:rPr>
          <w:rFonts w:ascii="Times New Roman" w:hAnsi="Times New Roman" w:cs="Times New Roman"/>
          <w:sz w:val="28"/>
          <w:szCs w:val="28"/>
        </w:rPr>
        <w:t xml:space="preserve">35 e 37 del </w:t>
      </w:r>
      <w:r w:rsidRPr="00387CE8">
        <w:rPr>
          <w:rFonts w:ascii="Times New Roman" w:hAnsi="Times New Roman" w:cs="Times New Roman"/>
          <w:i/>
          <w:iCs/>
          <w:sz w:val="28"/>
          <w:szCs w:val="28"/>
        </w:rPr>
        <w:t>Digital Service</w:t>
      </w:r>
      <w:r w:rsidR="00125AE2">
        <w:rPr>
          <w:rFonts w:ascii="Times New Roman" w:hAnsi="Times New Roman" w:cs="Times New Roman"/>
          <w:i/>
          <w:iCs/>
          <w:sz w:val="28"/>
          <w:szCs w:val="28"/>
        </w:rPr>
        <w:t>s</w:t>
      </w:r>
      <w:r w:rsidRPr="00387CE8">
        <w:rPr>
          <w:rFonts w:ascii="Times New Roman" w:hAnsi="Times New Roman" w:cs="Times New Roman"/>
          <w:i/>
          <w:iCs/>
          <w:sz w:val="28"/>
          <w:szCs w:val="28"/>
        </w:rPr>
        <w:t xml:space="preserve"> </w:t>
      </w:r>
      <w:proofErr w:type="spellStart"/>
      <w:r w:rsidRPr="00387CE8">
        <w:rPr>
          <w:rFonts w:ascii="Times New Roman" w:hAnsi="Times New Roman" w:cs="Times New Roman"/>
          <w:i/>
          <w:iCs/>
          <w:sz w:val="28"/>
          <w:szCs w:val="28"/>
        </w:rPr>
        <w:t>Act</w:t>
      </w:r>
      <w:proofErr w:type="spellEnd"/>
      <w:r w:rsidRPr="00106A33">
        <w:rPr>
          <w:rFonts w:ascii="Times New Roman" w:hAnsi="Times New Roman" w:cs="Times New Roman"/>
          <w:sz w:val="28"/>
          <w:szCs w:val="28"/>
        </w:rPr>
        <w:t>).</w:t>
      </w:r>
      <w:r w:rsidR="00AB60A7">
        <w:rPr>
          <w:rFonts w:ascii="Times New Roman" w:hAnsi="Times New Roman" w:cs="Times New Roman"/>
          <w:sz w:val="28"/>
          <w:szCs w:val="28"/>
        </w:rPr>
        <w:t>»</w:t>
      </w:r>
    </w:p>
    <w:p w14:paraId="5CBB1C25" w14:textId="068B8C0D" w:rsidR="00106A33" w:rsidRDefault="00106A33" w:rsidP="00387CE8">
      <w:pPr>
        <w:spacing w:after="0"/>
        <w:jc w:val="both"/>
        <w:rPr>
          <w:rFonts w:ascii="Times New Roman" w:hAnsi="Times New Roman" w:cs="Times New Roman"/>
          <w:i/>
          <w:iCs/>
          <w:sz w:val="28"/>
          <w:szCs w:val="28"/>
        </w:rPr>
      </w:pPr>
      <w:r>
        <w:rPr>
          <w:rFonts w:ascii="Times New Roman" w:hAnsi="Times New Roman" w:cs="Times New Roman"/>
          <w:sz w:val="28"/>
          <w:szCs w:val="28"/>
        </w:rPr>
        <w:t xml:space="preserve">Un aspetto di grande rilievo è da rinvenirsi nell’obbligo di </w:t>
      </w:r>
      <w:proofErr w:type="spellStart"/>
      <w:r w:rsidRPr="00106A33">
        <w:rPr>
          <w:rFonts w:ascii="Times New Roman" w:hAnsi="Times New Roman" w:cs="Times New Roman"/>
          <w:i/>
          <w:iCs/>
          <w:sz w:val="28"/>
          <w:szCs w:val="28"/>
        </w:rPr>
        <w:t>disclosure</w:t>
      </w:r>
      <w:proofErr w:type="spellEnd"/>
      <w:r>
        <w:rPr>
          <w:rFonts w:ascii="Times New Roman" w:hAnsi="Times New Roman" w:cs="Times New Roman"/>
          <w:sz w:val="28"/>
          <w:szCs w:val="28"/>
        </w:rPr>
        <w:t xml:space="preserve"> e di trasparenza</w:t>
      </w:r>
      <w:r w:rsidR="00387CE8">
        <w:rPr>
          <w:rFonts w:ascii="Times New Roman" w:hAnsi="Times New Roman" w:cs="Times New Roman"/>
          <w:sz w:val="28"/>
          <w:szCs w:val="28"/>
        </w:rPr>
        <w:t>,</w:t>
      </w:r>
      <w:r>
        <w:rPr>
          <w:rFonts w:ascii="Times New Roman" w:hAnsi="Times New Roman" w:cs="Times New Roman"/>
          <w:sz w:val="28"/>
          <w:szCs w:val="28"/>
        </w:rPr>
        <w:t xml:space="preserve"> </w:t>
      </w:r>
      <w:r w:rsidR="00EC3039">
        <w:rPr>
          <w:rFonts w:ascii="Times New Roman" w:hAnsi="Times New Roman" w:cs="Times New Roman"/>
          <w:sz w:val="28"/>
          <w:szCs w:val="28"/>
        </w:rPr>
        <w:t>che viene introdotto</w:t>
      </w:r>
      <w:r w:rsidR="0065235A">
        <w:rPr>
          <w:rFonts w:ascii="Times New Roman" w:hAnsi="Times New Roman" w:cs="Times New Roman"/>
          <w:sz w:val="28"/>
          <w:szCs w:val="28"/>
        </w:rPr>
        <w:t xml:space="preserve"> come finalità principale dell’attività svolta dal</w:t>
      </w:r>
      <w:r w:rsidR="00EC3039">
        <w:rPr>
          <w:rFonts w:ascii="Times New Roman" w:hAnsi="Times New Roman" w:cs="Times New Roman"/>
          <w:sz w:val="28"/>
          <w:szCs w:val="28"/>
        </w:rPr>
        <w:t xml:space="preserve">la </w:t>
      </w:r>
      <w:r w:rsidR="0065235A">
        <w:rPr>
          <w:rFonts w:ascii="Times New Roman" w:hAnsi="Times New Roman" w:cs="Times New Roman"/>
          <w:sz w:val="28"/>
          <w:szCs w:val="28"/>
        </w:rPr>
        <w:t xml:space="preserve">nuova </w:t>
      </w:r>
      <w:r w:rsidR="00EC3039">
        <w:rPr>
          <w:rFonts w:ascii="Times New Roman" w:hAnsi="Times New Roman" w:cs="Times New Roman"/>
          <w:sz w:val="28"/>
          <w:szCs w:val="28"/>
        </w:rPr>
        <w:t>figura dei “</w:t>
      </w:r>
      <w:r w:rsidR="00EC3039" w:rsidRPr="00EC3039">
        <w:rPr>
          <w:rFonts w:ascii="Times New Roman" w:hAnsi="Times New Roman" w:cs="Times New Roman"/>
          <w:i/>
          <w:iCs/>
          <w:sz w:val="28"/>
          <w:szCs w:val="28"/>
        </w:rPr>
        <w:t>Responsabili della Conformità</w:t>
      </w:r>
      <w:r w:rsidR="00EC3039">
        <w:rPr>
          <w:rFonts w:ascii="Times New Roman" w:hAnsi="Times New Roman" w:cs="Times New Roman"/>
          <w:sz w:val="28"/>
          <w:szCs w:val="28"/>
        </w:rPr>
        <w:t>” (art.</w:t>
      </w:r>
      <w:r w:rsidR="00D53C63">
        <w:rPr>
          <w:rFonts w:ascii="Times New Roman" w:hAnsi="Times New Roman" w:cs="Times New Roman"/>
          <w:sz w:val="28"/>
          <w:szCs w:val="28"/>
        </w:rPr>
        <w:t xml:space="preserve"> </w:t>
      </w:r>
      <w:r w:rsidR="00EC3039">
        <w:rPr>
          <w:rFonts w:ascii="Times New Roman" w:hAnsi="Times New Roman" w:cs="Times New Roman"/>
          <w:sz w:val="28"/>
          <w:szCs w:val="28"/>
        </w:rPr>
        <w:t>32),</w:t>
      </w:r>
      <w:r w:rsidR="005660A5">
        <w:rPr>
          <w:rFonts w:ascii="Times New Roman" w:hAnsi="Times New Roman" w:cs="Times New Roman"/>
          <w:sz w:val="28"/>
          <w:szCs w:val="28"/>
        </w:rPr>
        <w:t xml:space="preserve"> </w:t>
      </w:r>
      <w:r w:rsidR="00EC3039">
        <w:rPr>
          <w:rFonts w:ascii="Times New Roman" w:hAnsi="Times New Roman" w:cs="Times New Roman"/>
          <w:sz w:val="28"/>
          <w:szCs w:val="28"/>
        </w:rPr>
        <w:t>figura chiave che assicura</w:t>
      </w:r>
      <w:r w:rsidR="00387CE8">
        <w:rPr>
          <w:rFonts w:ascii="Times New Roman" w:hAnsi="Times New Roman" w:cs="Times New Roman"/>
          <w:sz w:val="28"/>
          <w:szCs w:val="28"/>
        </w:rPr>
        <w:t>,</w:t>
      </w:r>
      <w:r w:rsidR="00EC3039">
        <w:rPr>
          <w:rFonts w:ascii="Times New Roman" w:hAnsi="Times New Roman" w:cs="Times New Roman"/>
          <w:sz w:val="28"/>
          <w:szCs w:val="28"/>
        </w:rPr>
        <w:t xml:space="preserve"> assieme al “</w:t>
      </w:r>
      <w:r w:rsidR="00EC3039" w:rsidRPr="0065235A">
        <w:rPr>
          <w:rFonts w:ascii="Times New Roman" w:hAnsi="Times New Roman" w:cs="Times New Roman"/>
          <w:i/>
          <w:iCs/>
          <w:sz w:val="28"/>
          <w:szCs w:val="28"/>
        </w:rPr>
        <w:t>coordinatore dei servizi digitali</w:t>
      </w:r>
      <w:r w:rsidR="00EC3039">
        <w:rPr>
          <w:rFonts w:ascii="Times New Roman" w:hAnsi="Times New Roman" w:cs="Times New Roman"/>
          <w:sz w:val="28"/>
          <w:szCs w:val="28"/>
        </w:rPr>
        <w:t>”</w:t>
      </w:r>
      <w:r w:rsidR="00387CE8">
        <w:rPr>
          <w:rFonts w:ascii="Times New Roman" w:hAnsi="Times New Roman" w:cs="Times New Roman"/>
          <w:sz w:val="28"/>
          <w:szCs w:val="28"/>
        </w:rPr>
        <w:t>,</w:t>
      </w:r>
      <w:r w:rsidR="00D53C63">
        <w:rPr>
          <w:rFonts w:ascii="Times New Roman" w:hAnsi="Times New Roman" w:cs="Times New Roman"/>
          <w:sz w:val="28"/>
          <w:szCs w:val="28"/>
        </w:rPr>
        <w:t xml:space="preserve"> </w:t>
      </w:r>
      <w:r w:rsidR="00EC3039">
        <w:rPr>
          <w:rFonts w:ascii="Times New Roman" w:hAnsi="Times New Roman" w:cs="Times New Roman"/>
          <w:sz w:val="28"/>
          <w:szCs w:val="28"/>
        </w:rPr>
        <w:t xml:space="preserve">la conformità dell’attività delle piattaforme alle norme contenute nel </w:t>
      </w:r>
      <w:r w:rsidR="00EC3039" w:rsidRPr="00AF09A1">
        <w:rPr>
          <w:rFonts w:ascii="Times New Roman" w:hAnsi="Times New Roman" w:cs="Times New Roman"/>
          <w:i/>
          <w:iCs/>
          <w:sz w:val="28"/>
          <w:szCs w:val="28"/>
        </w:rPr>
        <w:t>Digital Service</w:t>
      </w:r>
      <w:r w:rsidR="00125AE2">
        <w:rPr>
          <w:rFonts w:ascii="Times New Roman" w:hAnsi="Times New Roman" w:cs="Times New Roman"/>
          <w:i/>
          <w:iCs/>
          <w:sz w:val="28"/>
          <w:szCs w:val="28"/>
        </w:rPr>
        <w:t>s</w:t>
      </w:r>
      <w:r w:rsidR="00EC3039" w:rsidRPr="00AF09A1">
        <w:rPr>
          <w:rFonts w:ascii="Times New Roman" w:hAnsi="Times New Roman" w:cs="Times New Roman"/>
          <w:i/>
          <w:iCs/>
          <w:sz w:val="28"/>
          <w:szCs w:val="28"/>
        </w:rPr>
        <w:t xml:space="preserve"> </w:t>
      </w:r>
      <w:proofErr w:type="spellStart"/>
      <w:r w:rsidR="00EC3039" w:rsidRPr="00AF09A1">
        <w:rPr>
          <w:rFonts w:ascii="Times New Roman" w:hAnsi="Times New Roman" w:cs="Times New Roman"/>
          <w:i/>
          <w:iCs/>
          <w:sz w:val="28"/>
          <w:szCs w:val="28"/>
        </w:rPr>
        <w:t>Act</w:t>
      </w:r>
      <w:proofErr w:type="spellEnd"/>
      <w:r w:rsidR="00EC3039">
        <w:rPr>
          <w:rFonts w:ascii="Times New Roman" w:hAnsi="Times New Roman" w:cs="Times New Roman"/>
          <w:sz w:val="28"/>
          <w:szCs w:val="28"/>
        </w:rPr>
        <w:t>.</w:t>
      </w:r>
      <w:r w:rsidR="0065235A">
        <w:rPr>
          <w:rFonts w:ascii="Times New Roman" w:hAnsi="Times New Roman" w:cs="Times New Roman"/>
          <w:sz w:val="28"/>
          <w:szCs w:val="28"/>
        </w:rPr>
        <w:t xml:space="preserve"> Viene definito e mitigato l’automatismo informativo dei c</w:t>
      </w:r>
      <w:r w:rsidR="00387CE8">
        <w:rPr>
          <w:rFonts w:ascii="Times New Roman" w:hAnsi="Times New Roman" w:cs="Times New Roman"/>
          <w:sz w:val="28"/>
          <w:szCs w:val="28"/>
        </w:rPr>
        <w:t>.</w:t>
      </w:r>
      <w:r w:rsidR="0065235A">
        <w:rPr>
          <w:rFonts w:ascii="Times New Roman" w:hAnsi="Times New Roman" w:cs="Times New Roman"/>
          <w:sz w:val="28"/>
          <w:szCs w:val="28"/>
        </w:rPr>
        <w:t>d</w:t>
      </w:r>
      <w:r w:rsidR="00387CE8">
        <w:rPr>
          <w:rFonts w:ascii="Times New Roman" w:hAnsi="Times New Roman" w:cs="Times New Roman"/>
          <w:sz w:val="28"/>
          <w:szCs w:val="28"/>
        </w:rPr>
        <w:t>.</w:t>
      </w:r>
      <w:r w:rsidR="0065235A">
        <w:rPr>
          <w:rFonts w:ascii="Times New Roman" w:hAnsi="Times New Roman" w:cs="Times New Roman"/>
          <w:sz w:val="28"/>
          <w:szCs w:val="28"/>
        </w:rPr>
        <w:t xml:space="preserve"> “</w:t>
      </w:r>
      <w:r w:rsidR="0065235A" w:rsidRPr="00F54F36">
        <w:rPr>
          <w:rFonts w:ascii="Times New Roman" w:hAnsi="Times New Roman" w:cs="Times New Roman"/>
          <w:i/>
          <w:iCs/>
          <w:sz w:val="28"/>
          <w:szCs w:val="28"/>
        </w:rPr>
        <w:t>sistemi di raccomandazione</w:t>
      </w:r>
      <w:r w:rsidR="0065235A">
        <w:rPr>
          <w:rFonts w:ascii="Times New Roman" w:hAnsi="Times New Roman" w:cs="Times New Roman"/>
          <w:sz w:val="28"/>
          <w:szCs w:val="28"/>
        </w:rPr>
        <w:t xml:space="preserve">”, ossia di quei sistemi che forniscono informazioni tramite le </w:t>
      </w:r>
      <w:proofErr w:type="spellStart"/>
      <w:r w:rsidR="0065235A">
        <w:rPr>
          <w:rFonts w:ascii="Times New Roman" w:hAnsi="Times New Roman" w:cs="Times New Roman"/>
          <w:sz w:val="28"/>
          <w:szCs w:val="28"/>
        </w:rPr>
        <w:t>profilazioni</w:t>
      </w:r>
      <w:proofErr w:type="spellEnd"/>
      <w:r w:rsidR="0065235A">
        <w:rPr>
          <w:rFonts w:ascii="Times New Roman" w:hAnsi="Times New Roman" w:cs="Times New Roman"/>
          <w:sz w:val="28"/>
          <w:szCs w:val="28"/>
        </w:rPr>
        <w:t>, impedendo di ricevere notizie legate al c</w:t>
      </w:r>
      <w:r w:rsidR="00387CE8">
        <w:rPr>
          <w:rFonts w:ascii="Times New Roman" w:hAnsi="Times New Roman" w:cs="Times New Roman"/>
          <w:sz w:val="28"/>
          <w:szCs w:val="28"/>
        </w:rPr>
        <w:t>.</w:t>
      </w:r>
      <w:r w:rsidR="0065235A">
        <w:rPr>
          <w:rFonts w:ascii="Times New Roman" w:hAnsi="Times New Roman" w:cs="Times New Roman"/>
          <w:sz w:val="28"/>
          <w:szCs w:val="28"/>
        </w:rPr>
        <w:t>d</w:t>
      </w:r>
      <w:r w:rsidR="00387CE8">
        <w:rPr>
          <w:rFonts w:ascii="Times New Roman" w:hAnsi="Times New Roman" w:cs="Times New Roman"/>
          <w:sz w:val="28"/>
          <w:szCs w:val="28"/>
        </w:rPr>
        <w:t>.</w:t>
      </w:r>
      <w:r w:rsidR="0065235A">
        <w:rPr>
          <w:rFonts w:ascii="Times New Roman" w:hAnsi="Times New Roman" w:cs="Times New Roman"/>
          <w:sz w:val="28"/>
          <w:szCs w:val="28"/>
        </w:rPr>
        <w:t xml:space="preserve"> “</w:t>
      </w:r>
      <w:r w:rsidR="0065235A" w:rsidRPr="00F54F36">
        <w:rPr>
          <w:rFonts w:ascii="Times New Roman" w:hAnsi="Times New Roman" w:cs="Times New Roman"/>
          <w:i/>
          <w:iCs/>
          <w:sz w:val="28"/>
          <w:szCs w:val="28"/>
        </w:rPr>
        <w:t>adiacente possibile</w:t>
      </w:r>
      <w:r w:rsidR="0065235A">
        <w:rPr>
          <w:rFonts w:ascii="Times New Roman" w:hAnsi="Times New Roman" w:cs="Times New Roman"/>
          <w:sz w:val="28"/>
          <w:szCs w:val="28"/>
        </w:rPr>
        <w:t>”. L’art.</w:t>
      </w:r>
      <w:r w:rsidR="00D53C63">
        <w:rPr>
          <w:rFonts w:ascii="Times New Roman" w:hAnsi="Times New Roman" w:cs="Times New Roman"/>
          <w:sz w:val="28"/>
          <w:szCs w:val="28"/>
        </w:rPr>
        <w:t xml:space="preserve"> </w:t>
      </w:r>
      <w:r w:rsidR="0065235A">
        <w:rPr>
          <w:rFonts w:ascii="Times New Roman" w:hAnsi="Times New Roman" w:cs="Times New Roman"/>
          <w:sz w:val="28"/>
          <w:szCs w:val="28"/>
        </w:rPr>
        <w:t>29 “</w:t>
      </w:r>
      <w:r w:rsidR="0065235A" w:rsidRPr="00AA31AC">
        <w:rPr>
          <w:rFonts w:ascii="Times New Roman" w:hAnsi="Times New Roman" w:cs="Times New Roman"/>
          <w:i/>
          <w:iCs/>
          <w:sz w:val="28"/>
          <w:szCs w:val="28"/>
        </w:rPr>
        <w:t>Sistemi di raccomandazione</w:t>
      </w:r>
      <w:r w:rsidR="0065235A" w:rsidRPr="00AB60A7">
        <w:rPr>
          <w:rFonts w:ascii="Times New Roman" w:hAnsi="Times New Roman" w:cs="Times New Roman"/>
          <w:sz w:val="28"/>
          <w:szCs w:val="28"/>
        </w:rPr>
        <w:t xml:space="preserve">” </w:t>
      </w:r>
      <w:r w:rsidR="0065235A" w:rsidRPr="00AA31AC">
        <w:rPr>
          <w:rFonts w:ascii="Times New Roman" w:hAnsi="Times New Roman" w:cs="Times New Roman"/>
          <w:sz w:val="28"/>
          <w:szCs w:val="28"/>
        </w:rPr>
        <w:t>del</w:t>
      </w:r>
      <w:r w:rsidR="0065235A" w:rsidRPr="00AA31AC">
        <w:rPr>
          <w:rFonts w:ascii="Times New Roman" w:hAnsi="Times New Roman" w:cs="Times New Roman"/>
          <w:i/>
          <w:iCs/>
          <w:sz w:val="28"/>
          <w:szCs w:val="28"/>
        </w:rPr>
        <w:t xml:space="preserve"> Digital Service</w:t>
      </w:r>
      <w:r w:rsidR="00125AE2">
        <w:rPr>
          <w:rFonts w:ascii="Times New Roman" w:hAnsi="Times New Roman" w:cs="Times New Roman"/>
          <w:i/>
          <w:iCs/>
          <w:sz w:val="28"/>
          <w:szCs w:val="28"/>
        </w:rPr>
        <w:t>s</w:t>
      </w:r>
      <w:r w:rsidR="0065235A" w:rsidRPr="00AA31AC">
        <w:rPr>
          <w:rFonts w:ascii="Times New Roman" w:hAnsi="Times New Roman" w:cs="Times New Roman"/>
          <w:i/>
          <w:iCs/>
          <w:sz w:val="28"/>
          <w:szCs w:val="28"/>
        </w:rPr>
        <w:t xml:space="preserve"> </w:t>
      </w:r>
      <w:proofErr w:type="spellStart"/>
      <w:r w:rsidR="0065235A" w:rsidRPr="00AA31AC">
        <w:rPr>
          <w:rFonts w:ascii="Times New Roman" w:hAnsi="Times New Roman" w:cs="Times New Roman"/>
          <w:i/>
          <w:iCs/>
          <w:sz w:val="28"/>
          <w:szCs w:val="28"/>
        </w:rPr>
        <w:t>Act</w:t>
      </w:r>
      <w:proofErr w:type="spellEnd"/>
      <w:r w:rsidR="0065235A" w:rsidRPr="00AA31AC">
        <w:rPr>
          <w:rFonts w:ascii="Times New Roman" w:hAnsi="Times New Roman" w:cs="Times New Roman"/>
          <w:i/>
          <w:iCs/>
          <w:sz w:val="28"/>
          <w:szCs w:val="28"/>
        </w:rPr>
        <w:t xml:space="preserve"> </w:t>
      </w:r>
      <w:r w:rsidR="0065235A" w:rsidRPr="00AA31AC">
        <w:rPr>
          <w:rFonts w:ascii="Times New Roman" w:hAnsi="Times New Roman" w:cs="Times New Roman"/>
          <w:sz w:val="28"/>
          <w:szCs w:val="28"/>
        </w:rPr>
        <w:t>prevede che</w:t>
      </w:r>
      <w:r w:rsidR="00683364">
        <w:rPr>
          <w:rFonts w:ascii="Times New Roman" w:hAnsi="Times New Roman" w:cs="Times New Roman"/>
          <w:i/>
          <w:iCs/>
          <w:sz w:val="28"/>
          <w:szCs w:val="28"/>
        </w:rPr>
        <w:t>:</w:t>
      </w:r>
    </w:p>
    <w:p w14:paraId="43FDD410" w14:textId="2C528805" w:rsidR="00683364" w:rsidRDefault="00AB60A7" w:rsidP="00387CE8">
      <w:pPr>
        <w:spacing w:after="0"/>
        <w:ind w:left="360"/>
        <w:jc w:val="both"/>
        <w:rPr>
          <w:rFonts w:ascii="Times New Roman" w:hAnsi="Times New Roman" w:cs="Times New Roman"/>
          <w:i/>
          <w:iCs/>
          <w:sz w:val="28"/>
          <w:szCs w:val="28"/>
          <w:u w:val="single"/>
        </w:rPr>
      </w:pPr>
      <w:r>
        <w:rPr>
          <w:rFonts w:ascii="Times New Roman" w:hAnsi="Times New Roman" w:cs="Times New Roman"/>
          <w:i/>
          <w:iCs/>
          <w:sz w:val="28"/>
          <w:szCs w:val="28"/>
        </w:rPr>
        <w:t>«</w:t>
      </w:r>
      <w:r w:rsidR="00683364">
        <w:rPr>
          <w:rFonts w:ascii="Times New Roman" w:hAnsi="Times New Roman" w:cs="Times New Roman"/>
          <w:i/>
          <w:iCs/>
          <w:sz w:val="28"/>
          <w:szCs w:val="28"/>
        </w:rPr>
        <w:t>1.</w:t>
      </w:r>
      <w:r>
        <w:rPr>
          <w:rFonts w:ascii="Times New Roman" w:hAnsi="Times New Roman" w:cs="Times New Roman"/>
          <w:i/>
          <w:iCs/>
          <w:sz w:val="28"/>
          <w:szCs w:val="28"/>
        </w:rPr>
        <w:t xml:space="preserve"> </w:t>
      </w:r>
      <w:r w:rsidR="00683364">
        <w:rPr>
          <w:rFonts w:ascii="Times New Roman" w:hAnsi="Times New Roman" w:cs="Times New Roman"/>
          <w:i/>
          <w:iCs/>
          <w:sz w:val="28"/>
          <w:szCs w:val="28"/>
        </w:rPr>
        <w:t>Le piattaforme on line di dimensioni molto grandi che si avvalgono di sistemi di raccomandazione specificano nelle loro condizioni generali, in modo chiaro,</w:t>
      </w:r>
      <w:r w:rsidR="001019F6">
        <w:rPr>
          <w:rFonts w:ascii="Times New Roman" w:hAnsi="Times New Roman" w:cs="Times New Roman"/>
          <w:i/>
          <w:iCs/>
          <w:sz w:val="28"/>
          <w:szCs w:val="28"/>
        </w:rPr>
        <w:t xml:space="preserve"> </w:t>
      </w:r>
      <w:r w:rsidR="00683364">
        <w:rPr>
          <w:rFonts w:ascii="Times New Roman" w:hAnsi="Times New Roman" w:cs="Times New Roman"/>
          <w:i/>
          <w:iCs/>
          <w:sz w:val="28"/>
          <w:szCs w:val="28"/>
        </w:rPr>
        <w:t xml:space="preserve">accessibile e facilmente comprensibile, i principali parametri utilizzati nei loro sistemi di raccomandazione, nonché qualunque opzione che possano avere messo a disposizione dei destinatari del servizio per consentire loro di modificare o influenzare tali parametri principali, </w:t>
      </w:r>
      <w:r w:rsidR="00683364" w:rsidRPr="00683364">
        <w:rPr>
          <w:rFonts w:ascii="Times New Roman" w:hAnsi="Times New Roman" w:cs="Times New Roman"/>
          <w:i/>
          <w:iCs/>
          <w:sz w:val="28"/>
          <w:szCs w:val="28"/>
          <w:u w:val="single"/>
        </w:rPr>
        <w:t xml:space="preserve">compresa almeno un’opzione non basata sulla </w:t>
      </w:r>
      <w:proofErr w:type="spellStart"/>
      <w:r w:rsidR="00683364">
        <w:rPr>
          <w:rFonts w:ascii="Times New Roman" w:hAnsi="Times New Roman" w:cs="Times New Roman"/>
          <w:i/>
          <w:iCs/>
          <w:sz w:val="28"/>
          <w:szCs w:val="28"/>
          <w:u w:val="single"/>
        </w:rPr>
        <w:t>profilazione</w:t>
      </w:r>
      <w:proofErr w:type="spellEnd"/>
      <w:r w:rsidR="00683364">
        <w:rPr>
          <w:rFonts w:ascii="Times New Roman" w:hAnsi="Times New Roman" w:cs="Times New Roman"/>
          <w:i/>
          <w:iCs/>
          <w:sz w:val="28"/>
          <w:szCs w:val="28"/>
          <w:u w:val="single"/>
        </w:rPr>
        <w:t>,</w:t>
      </w:r>
      <w:r w:rsidR="00D53C63">
        <w:rPr>
          <w:rFonts w:ascii="Times New Roman" w:hAnsi="Times New Roman" w:cs="Times New Roman"/>
          <w:i/>
          <w:iCs/>
          <w:sz w:val="28"/>
          <w:szCs w:val="28"/>
          <w:u w:val="single"/>
        </w:rPr>
        <w:t xml:space="preserve"> </w:t>
      </w:r>
      <w:r w:rsidR="00683364">
        <w:rPr>
          <w:rFonts w:ascii="Times New Roman" w:hAnsi="Times New Roman" w:cs="Times New Roman"/>
          <w:i/>
          <w:iCs/>
          <w:sz w:val="28"/>
          <w:szCs w:val="28"/>
          <w:u w:val="single"/>
        </w:rPr>
        <w:t>ai sensi dell’articolo 4, punto</w:t>
      </w:r>
      <w:r w:rsidR="00D53C63">
        <w:rPr>
          <w:rFonts w:ascii="Times New Roman" w:hAnsi="Times New Roman" w:cs="Times New Roman"/>
          <w:i/>
          <w:iCs/>
          <w:sz w:val="28"/>
          <w:szCs w:val="28"/>
          <w:u w:val="single"/>
        </w:rPr>
        <w:t xml:space="preserve"> </w:t>
      </w:r>
      <w:r w:rsidR="00683364">
        <w:rPr>
          <w:rFonts w:ascii="Times New Roman" w:hAnsi="Times New Roman" w:cs="Times New Roman"/>
          <w:i/>
          <w:iCs/>
          <w:sz w:val="28"/>
          <w:szCs w:val="28"/>
          <w:u w:val="single"/>
        </w:rPr>
        <w:t>4) del regolamento (UE) 2016/679.</w:t>
      </w:r>
    </w:p>
    <w:p w14:paraId="084EBA59" w14:textId="260746F5" w:rsidR="00683364" w:rsidRDefault="00683364" w:rsidP="00106A33">
      <w:pPr>
        <w:ind w:left="360"/>
        <w:jc w:val="both"/>
        <w:rPr>
          <w:rFonts w:ascii="Times New Roman" w:hAnsi="Times New Roman" w:cs="Times New Roman"/>
          <w:i/>
          <w:iCs/>
          <w:sz w:val="28"/>
          <w:szCs w:val="28"/>
        </w:rPr>
      </w:pPr>
      <w:r>
        <w:rPr>
          <w:rFonts w:ascii="Times New Roman" w:hAnsi="Times New Roman" w:cs="Times New Roman"/>
          <w:i/>
          <w:iCs/>
          <w:sz w:val="28"/>
          <w:szCs w:val="28"/>
        </w:rPr>
        <w:t>2. Qualora siano disponibili più opzioni a norma del paragrafo 1, le piattaforme online di dimensioni molto grandi mettono a disposizione una funzionalità facilmente accessibile sulla loro interfaccia online che consenta ai destinatari del servizio di selezionare e modificare in qualsiasi momento l’opzione da essi preferita per ciascuno dei sistemi di raccomandazione</w:t>
      </w:r>
      <w:r w:rsidR="00F54F36">
        <w:rPr>
          <w:rFonts w:ascii="Times New Roman" w:hAnsi="Times New Roman" w:cs="Times New Roman"/>
          <w:i/>
          <w:iCs/>
          <w:sz w:val="28"/>
          <w:szCs w:val="28"/>
        </w:rPr>
        <w:t xml:space="preserve"> che determina l’ordine relativo delle informazioni loro presentate</w:t>
      </w:r>
      <w:r w:rsidR="00AB60A7">
        <w:rPr>
          <w:rFonts w:ascii="Times New Roman" w:hAnsi="Times New Roman" w:cs="Times New Roman"/>
          <w:i/>
          <w:iCs/>
          <w:sz w:val="28"/>
          <w:szCs w:val="28"/>
        </w:rPr>
        <w:t>»</w:t>
      </w:r>
      <w:r w:rsidR="00F54F36">
        <w:rPr>
          <w:rFonts w:ascii="Times New Roman" w:hAnsi="Times New Roman" w:cs="Times New Roman"/>
          <w:i/>
          <w:iCs/>
          <w:sz w:val="28"/>
          <w:szCs w:val="28"/>
        </w:rPr>
        <w:t>.</w:t>
      </w:r>
      <w:r>
        <w:rPr>
          <w:rFonts w:ascii="Times New Roman" w:hAnsi="Times New Roman" w:cs="Times New Roman"/>
          <w:i/>
          <w:iCs/>
          <w:sz w:val="28"/>
          <w:szCs w:val="28"/>
        </w:rPr>
        <w:t xml:space="preserve"> </w:t>
      </w:r>
    </w:p>
    <w:p w14:paraId="532C78D2" w14:textId="31465D84" w:rsidR="00F54F36" w:rsidRDefault="00F54F36" w:rsidP="00D21563">
      <w:pPr>
        <w:spacing w:after="0"/>
        <w:jc w:val="both"/>
        <w:rPr>
          <w:rFonts w:ascii="Times New Roman" w:hAnsi="Times New Roman" w:cs="Times New Roman"/>
          <w:sz w:val="28"/>
          <w:szCs w:val="28"/>
        </w:rPr>
      </w:pPr>
      <w:r w:rsidRPr="00F54F36">
        <w:rPr>
          <w:rFonts w:ascii="Times New Roman" w:hAnsi="Times New Roman" w:cs="Times New Roman"/>
          <w:sz w:val="28"/>
          <w:szCs w:val="28"/>
        </w:rPr>
        <w:lastRenderedPageBreak/>
        <w:t xml:space="preserve">Tale </w:t>
      </w:r>
      <w:r>
        <w:rPr>
          <w:rFonts w:ascii="Times New Roman" w:hAnsi="Times New Roman" w:cs="Times New Roman"/>
          <w:sz w:val="28"/>
          <w:szCs w:val="28"/>
        </w:rPr>
        <w:t>previsione cerca di garantire al singolo un’autonomia operativa, valutativa e decisionale nel suo rapporto con la piattaforma, superando quella asimmetria di posizioni che lo vede attualmente ingabbiato in automatismi informativi</w:t>
      </w:r>
      <w:r w:rsidR="00D21563">
        <w:rPr>
          <w:rFonts w:ascii="Times New Roman" w:hAnsi="Times New Roman" w:cs="Times New Roman"/>
          <w:sz w:val="28"/>
          <w:szCs w:val="28"/>
        </w:rPr>
        <w:t>,</w:t>
      </w:r>
      <w:r>
        <w:rPr>
          <w:rFonts w:ascii="Times New Roman" w:hAnsi="Times New Roman" w:cs="Times New Roman"/>
          <w:sz w:val="28"/>
          <w:szCs w:val="28"/>
        </w:rPr>
        <w:t xml:space="preserve"> collegati alla sua inconsapevole </w:t>
      </w:r>
      <w:proofErr w:type="spellStart"/>
      <w:r>
        <w:rPr>
          <w:rFonts w:ascii="Times New Roman" w:hAnsi="Times New Roman" w:cs="Times New Roman"/>
          <w:sz w:val="28"/>
          <w:szCs w:val="28"/>
        </w:rPr>
        <w:t>profilazione</w:t>
      </w:r>
      <w:proofErr w:type="spellEnd"/>
      <w:r>
        <w:rPr>
          <w:rFonts w:ascii="Times New Roman" w:hAnsi="Times New Roman" w:cs="Times New Roman"/>
          <w:sz w:val="28"/>
          <w:szCs w:val="28"/>
        </w:rPr>
        <w:t>.</w:t>
      </w:r>
    </w:p>
    <w:p w14:paraId="790E7C9C" w14:textId="737E7056" w:rsidR="003D7A3A" w:rsidRDefault="003D7A3A" w:rsidP="00D21563">
      <w:pPr>
        <w:spacing w:after="0"/>
        <w:jc w:val="both"/>
        <w:rPr>
          <w:rFonts w:ascii="Times New Roman" w:hAnsi="Times New Roman" w:cs="Times New Roman"/>
          <w:sz w:val="28"/>
          <w:szCs w:val="28"/>
        </w:rPr>
      </w:pPr>
      <w:r>
        <w:rPr>
          <w:rFonts w:ascii="Times New Roman" w:hAnsi="Times New Roman" w:cs="Times New Roman"/>
          <w:sz w:val="28"/>
          <w:szCs w:val="28"/>
        </w:rPr>
        <w:t>Naturalmente</w:t>
      </w:r>
      <w:r w:rsidR="00D21563">
        <w:rPr>
          <w:rFonts w:ascii="Times New Roman" w:hAnsi="Times New Roman" w:cs="Times New Roman"/>
          <w:sz w:val="28"/>
          <w:szCs w:val="28"/>
        </w:rPr>
        <w:t>,</w:t>
      </w:r>
      <w:r>
        <w:rPr>
          <w:rFonts w:ascii="Times New Roman" w:hAnsi="Times New Roman" w:cs="Times New Roman"/>
          <w:sz w:val="28"/>
          <w:szCs w:val="28"/>
        </w:rPr>
        <w:t xml:space="preserve"> le previsioni sopra descritte dovranno seguire il loro </w:t>
      </w:r>
      <w:r w:rsidRPr="00AB60A7">
        <w:rPr>
          <w:rFonts w:ascii="Times New Roman" w:hAnsi="Times New Roman" w:cs="Times New Roman"/>
          <w:i/>
          <w:iCs/>
          <w:sz w:val="28"/>
          <w:szCs w:val="28"/>
        </w:rPr>
        <w:t>iter</w:t>
      </w:r>
      <w:r>
        <w:rPr>
          <w:rFonts w:ascii="Times New Roman" w:hAnsi="Times New Roman" w:cs="Times New Roman"/>
          <w:sz w:val="28"/>
          <w:szCs w:val="28"/>
        </w:rPr>
        <w:t xml:space="preserve"> legislativo prima di costituire un rilevante elemento di riferimento normativo che valga a costituire un preciso centro autonomo di imputazione della responsabilità.</w:t>
      </w:r>
    </w:p>
    <w:p w14:paraId="75DB3D98" w14:textId="6DD76540" w:rsidR="00146A08" w:rsidRDefault="003D7A3A" w:rsidP="00D21563">
      <w:pPr>
        <w:spacing w:after="0"/>
        <w:jc w:val="both"/>
        <w:rPr>
          <w:rFonts w:ascii="Times New Roman" w:hAnsi="Times New Roman" w:cs="Times New Roman"/>
          <w:sz w:val="28"/>
          <w:szCs w:val="28"/>
        </w:rPr>
      </w:pPr>
      <w:r>
        <w:rPr>
          <w:rFonts w:ascii="Times New Roman" w:hAnsi="Times New Roman" w:cs="Times New Roman"/>
          <w:sz w:val="28"/>
          <w:szCs w:val="28"/>
        </w:rPr>
        <w:t>Per ora</w:t>
      </w:r>
      <w:r w:rsidR="00D21563">
        <w:rPr>
          <w:rFonts w:ascii="Times New Roman" w:hAnsi="Times New Roman" w:cs="Times New Roman"/>
          <w:sz w:val="28"/>
          <w:szCs w:val="28"/>
        </w:rPr>
        <w:t>,</w:t>
      </w:r>
      <w:r>
        <w:rPr>
          <w:rFonts w:ascii="Times New Roman" w:hAnsi="Times New Roman" w:cs="Times New Roman"/>
          <w:sz w:val="28"/>
          <w:szCs w:val="28"/>
        </w:rPr>
        <w:t xml:space="preserve"> occorre puntualizzare i principi elaborati soprattutto dalla giurisprudenz</w:t>
      </w:r>
      <w:r w:rsidR="000463A6">
        <w:rPr>
          <w:rFonts w:ascii="Times New Roman" w:hAnsi="Times New Roman" w:cs="Times New Roman"/>
          <w:sz w:val="28"/>
          <w:szCs w:val="28"/>
        </w:rPr>
        <w:t>a</w:t>
      </w:r>
      <w:r>
        <w:rPr>
          <w:rFonts w:ascii="Times New Roman" w:hAnsi="Times New Roman" w:cs="Times New Roman"/>
          <w:sz w:val="28"/>
          <w:szCs w:val="28"/>
        </w:rPr>
        <w:t xml:space="preserve"> per poter definire i principi guida della materia in esame.</w:t>
      </w:r>
      <w:r w:rsidR="00D53C63">
        <w:rPr>
          <w:rFonts w:ascii="Times New Roman" w:hAnsi="Times New Roman" w:cs="Times New Roman"/>
          <w:sz w:val="28"/>
          <w:szCs w:val="28"/>
        </w:rPr>
        <w:br w:type="page"/>
      </w:r>
    </w:p>
    <w:p w14:paraId="551D99F1" w14:textId="23DF0E0A" w:rsidR="00561349" w:rsidRPr="00561349" w:rsidRDefault="000A002B" w:rsidP="00B7458A">
      <w:pPr>
        <w:jc w:val="both"/>
        <w:rPr>
          <w:rFonts w:ascii="Times New Roman" w:hAnsi="Times New Roman" w:cs="Times New Roman"/>
          <w:b/>
          <w:bCs/>
          <w:sz w:val="32"/>
          <w:szCs w:val="32"/>
        </w:rPr>
      </w:pPr>
      <w:r>
        <w:rPr>
          <w:rFonts w:ascii="Times New Roman" w:hAnsi="Times New Roman" w:cs="Times New Roman"/>
          <w:b/>
          <w:bCs/>
          <w:sz w:val="32"/>
          <w:szCs w:val="32"/>
        </w:rPr>
        <w:lastRenderedPageBreak/>
        <w:t>C</w:t>
      </w:r>
      <w:r w:rsidR="00A75A26" w:rsidRPr="00561349">
        <w:rPr>
          <w:rFonts w:ascii="Times New Roman" w:hAnsi="Times New Roman" w:cs="Times New Roman"/>
          <w:b/>
          <w:bCs/>
          <w:sz w:val="32"/>
          <w:szCs w:val="32"/>
        </w:rPr>
        <w:t>apitolo</w:t>
      </w:r>
      <w:r>
        <w:rPr>
          <w:rFonts w:ascii="Times New Roman" w:hAnsi="Times New Roman" w:cs="Times New Roman"/>
          <w:b/>
          <w:bCs/>
          <w:sz w:val="32"/>
          <w:szCs w:val="32"/>
        </w:rPr>
        <w:t xml:space="preserve"> II</w:t>
      </w:r>
    </w:p>
    <w:p w14:paraId="3B1A4877" w14:textId="6C60C8D9" w:rsidR="003D7A3A" w:rsidRPr="00561349" w:rsidRDefault="003D7A3A" w:rsidP="00B7458A">
      <w:pPr>
        <w:jc w:val="both"/>
        <w:rPr>
          <w:rFonts w:ascii="Times New Roman" w:hAnsi="Times New Roman" w:cs="Times New Roman"/>
          <w:b/>
          <w:bCs/>
          <w:sz w:val="32"/>
          <w:szCs w:val="32"/>
        </w:rPr>
      </w:pPr>
      <w:r w:rsidRPr="00561349">
        <w:rPr>
          <w:rFonts w:ascii="Times New Roman" w:hAnsi="Times New Roman" w:cs="Times New Roman"/>
          <w:b/>
          <w:bCs/>
          <w:sz w:val="32"/>
          <w:szCs w:val="32"/>
        </w:rPr>
        <w:t xml:space="preserve">Algoritmo e </w:t>
      </w:r>
      <w:r w:rsidR="00E94021" w:rsidRPr="00561349">
        <w:rPr>
          <w:rFonts w:ascii="Times New Roman" w:hAnsi="Times New Roman" w:cs="Times New Roman"/>
          <w:b/>
          <w:bCs/>
          <w:sz w:val="32"/>
          <w:szCs w:val="32"/>
        </w:rPr>
        <w:t>diritto amministrativo</w:t>
      </w:r>
    </w:p>
    <w:p w14:paraId="46FCA331" w14:textId="2DD63320" w:rsidR="00776EF1" w:rsidRDefault="00776EF1" w:rsidP="0022076B">
      <w:pPr>
        <w:spacing w:after="0"/>
        <w:jc w:val="both"/>
        <w:rPr>
          <w:rFonts w:ascii="Times New Roman" w:hAnsi="Times New Roman" w:cs="Times New Roman"/>
          <w:sz w:val="28"/>
          <w:szCs w:val="28"/>
        </w:rPr>
      </w:pPr>
      <w:r w:rsidRPr="00776EF1">
        <w:rPr>
          <w:rFonts w:ascii="Times New Roman" w:hAnsi="Times New Roman" w:cs="Times New Roman"/>
          <w:sz w:val="28"/>
          <w:szCs w:val="28"/>
        </w:rPr>
        <w:t xml:space="preserve">Tra le varie </w:t>
      </w:r>
      <w:r>
        <w:rPr>
          <w:rFonts w:ascii="Times New Roman" w:hAnsi="Times New Roman" w:cs="Times New Roman"/>
          <w:sz w:val="28"/>
          <w:szCs w:val="28"/>
        </w:rPr>
        <w:t>giurisdizioni</w:t>
      </w:r>
      <w:r w:rsidR="0022076B">
        <w:rPr>
          <w:rFonts w:ascii="Times New Roman" w:hAnsi="Times New Roman" w:cs="Times New Roman"/>
          <w:sz w:val="28"/>
          <w:szCs w:val="28"/>
        </w:rPr>
        <w:t>,</w:t>
      </w:r>
      <w:r>
        <w:rPr>
          <w:rFonts w:ascii="Times New Roman" w:hAnsi="Times New Roman" w:cs="Times New Roman"/>
          <w:sz w:val="28"/>
          <w:szCs w:val="28"/>
        </w:rPr>
        <w:t xml:space="preserve"> quella amministrativa è stata la più incisiva nell’affermazione di una visione </w:t>
      </w:r>
      <w:r w:rsidR="00F1446E">
        <w:rPr>
          <w:rFonts w:ascii="Times New Roman" w:hAnsi="Times New Roman" w:cs="Times New Roman"/>
          <w:sz w:val="28"/>
          <w:szCs w:val="28"/>
        </w:rPr>
        <w:t>antropocentrica</w:t>
      </w:r>
      <w:r>
        <w:rPr>
          <w:rFonts w:ascii="Times New Roman" w:hAnsi="Times New Roman" w:cs="Times New Roman"/>
          <w:sz w:val="28"/>
          <w:szCs w:val="28"/>
        </w:rPr>
        <w:t xml:space="preserve"> dell’utilizzo degli algoritmi, attraverso il criterio </w:t>
      </w:r>
      <w:r w:rsidRPr="00776EF1">
        <w:rPr>
          <w:rFonts w:ascii="Times New Roman" w:hAnsi="Times New Roman" w:cs="Times New Roman"/>
          <w:sz w:val="28"/>
          <w:szCs w:val="28"/>
        </w:rPr>
        <w:t>dell</w:t>
      </w:r>
      <w:r w:rsidR="0022076B">
        <w:rPr>
          <w:rFonts w:ascii="Times New Roman" w:hAnsi="Times New Roman" w:cs="Times New Roman"/>
          <w:sz w:val="28"/>
          <w:szCs w:val="28"/>
        </w:rPr>
        <w:t xml:space="preserve">o </w:t>
      </w:r>
      <w:r w:rsidRPr="00776EF1">
        <w:rPr>
          <w:rFonts w:ascii="Times New Roman" w:hAnsi="Times New Roman" w:cs="Times New Roman"/>
          <w:i/>
          <w:iCs/>
          <w:sz w:val="28"/>
          <w:szCs w:val="28"/>
        </w:rPr>
        <w:t xml:space="preserve">human in the </w:t>
      </w:r>
      <w:proofErr w:type="spellStart"/>
      <w:r w:rsidRPr="00776EF1">
        <w:rPr>
          <w:rFonts w:ascii="Times New Roman" w:hAnsi="Times New Roman" w:cs="Times New Roman"/>
          <w:i/>
          <w:iCs/>
          <w:sz w:val="28"/>
          <w:szCs w:val="28"/>
        </w:rPr>
        <w:t>loop</w:t>
      </w:r>
      <w:proofErr w:type="spellEnd"/>
      <w:r w:rsidR="00FD1ADC">
        <w:rPr>
          <w:rFonts w:ascii="Times New Roman" w:hAnsi="Times New Roman" w:cs="Times New Roman"/>
          <w:i/>
          <w:iCs/>
          <w:sz w:val="28"/>
          <w:szCs w:val="28"/>
        </w:rPr>
        <w:t xml:space="preserve">, </w:t>
      </w:r>
      <w:r w:rsidR="00FD1ADC" w:rsidRPr="00FD1ADC">
        <w:rPr>
          <w:rFonts w:ascii="Times New Roman" w:hAnsi="Times New Roman" w:cs="Times New Roman"/>
          <w:sz w:val="28"/>
          <w:szCs w:val="28"/>
        </w:rPr>
        <w:t>ossia attraverso l</w:t>
      </w:r>
      <w:r w:rsidR="00FD1ADC">
        <w:rPr>
          <w:rFonts w:ascii="Times New Roman" w:hAnsi="Times New Roman" w:cs="Times New Roman"/>
          <w:sz w:val="28"/>
          <w:szCs w:val="28"/>
        </w:rPr>
        <w:t>a configurazione</w:t>
      </w:r>
      <w:r w:rsidR="00FD1ADC">
        <w:rPr>
          <w:rFonts w:ascii="Times New Roman" w:hAnsi="Times New Roman" w:cs="Times New Roman"/>
          <w:i/>
          <w:iCs/>
          <w:sz w:val="28"/>
          <w:szCs w:val="28"/>
        </w:rPr>
        <w:t xml:space="preserve"> </w:t>
      </w:r>
      <w:r w:rsidR="00FD1ADC" w:rsidRPr="00FD1ADC">
        <w:rPr>
          <w:rFonts w:ascii="Times New Roman" w:hAnsi="Times New Roman" w:cs="Times New Roman"/>
          <w:sz w:val="28"/>
          <w:szCs w:val="28"/>
        </w:rPr>
        <w:t>di un centro di imputabilità della responsabilità</w:t>
      </w:r>
      <w:r w:rsidR="00FD1ADC">
        <w:rPr>
          <w:rFonts w:ascii="Times New Roman" w:hAnsi="Times New Roman" w:cs="Times New Roman"/>
          <w:sz w:val="28"/>
          <w:szCs w:val="28"/>
        </w:rPr>
        <w:t xml:space="preserve"> in capo esclusivamente all’agente umano.</w:t>
      </w:r>
    </w:p>
    <w:p w14:paraId="7EE928B3" w14:textId="53F8EB78" w:rsidR="00B7458A" w:rsidRPr="0022076B" w:rsidRDefault="00FD1ADC" w:rsidP="0022076B">
      <w:pPr>
        <w:spacing w:after="0"/>
        <w:jc w:val="both"/>
        <w:rPr>
          <w:rFonts w:ascii="Times New Roman" w:hAnsi="Times New Roman" w:cs="Times New Roman"/>
          <w:i/>
          <w:iCs/>
          <w:sz w:val="28"/>
          <w:szCs w:val="28"/>
        </w:rPr>
      </w:pPr>
      <w:r>
        <w:rPr>
          <w:rFonts w:ascii="Times New Roman" w:hAnsi="Times New Roman" w:cs="Times New Roman"/>
          <w:sz w:val="28"/>
          <w:szCs w:val="28"/>
        </w:rPr>
        <w:t>Il riferimento principale è l’art.</w:t>
      </w:r>
      <w:r w:rsidR="00D53C63">
        <w:rPr>
          <w:rFonts w:ascii="Times New Roman" w:hAnsi="Times New Roman" w:cs="Times New Roman"/>
          <w:sz w:val="28"/>
          <w:szCs w:val="28"/>
        </w:rPr>
        <w:t xml:space="preserve"> </w:t>
      </w:r>
      <w:r>
        <w:rPr>
          <w:rFonts w:ascii="Times New Roman" w:hAnsi="Times New Roman" w:cs="Times New Roman"/>
          <w:sz w:val="28"/>
          <w:szCs w:val="28"/>
        </w:rPr>
        <w:t>22 del GDPR</w:t>
      </w:r>
      <w:r w:rsidR="0022076B">
        <w:rPr>
          <w:rFonts w:ascii="Times New Roman" w:hAnsi="Times New Roman" w:cs="Times New Roman"/>
          <w:sz w:val="28"/>
          <w:szCs w:val="28"/>
        </w:rPr>
        <w:t>,</w:t>
      </w:r>
      <w:r>
        <w:rPr>
          <w:rFonts w:ascii="Times New Roman" w:hAnsi="Times New Roman" w:cs="Times New Roman"/>
          <w:sz w:val="28"/>
          <w:szCs w:val="28"/>
        </w:rPr>
        <w:t xml:space="preserve"> rubricato “</w:t>
      </w:r>
      <w:r w:rsidRPr="00FD1ADC">
        <w:rPr>
          <w:rFonts w:ascii="Times New Roman" w:hAnsi="Times New Roman" w:cs="Times New Roman"/>
          <w:i/>
          <w:iCs/>
          <w:sz w:val="28"/>
          <w:szCs w:val="28"/>
        </w:rPr>
        <w:t xml:space="preserve">Processo decisionale automatizzato relativo alle persone fisiche, compresa la </w:t>
      </w:r>
      <w:proofErr w:type="spellStart"/>
      <w:r w:rsidRPr="00FD1ADC">
        <w:rPr>
          <w:rFonts w:ascii="Times New Roman" w:hAnsi="Times New Roman" w:cs="Times New Roman"/>
          <w:i/>
          <w:iCs/>
          <w:sz w:val="28"/>
          <w:szCs w:val="28"/>
        </w:rPr>
        <w:t>profilazione</w:t>
      </w:r>
      <w:proofErr w:type="spellEnd"/>
      <w:r w:rsidRPr="00AB60A7">
        <w:rPr>
          <w:rFonts w:ascii="Times New Roman" w:hAnsi="Times New Roman" w:cs="Times New Roman"/>
          <w:sz w:val="28"/>
          <w:szCs w:val="28"/>
        </w:rPr>
        <w:t>”,</w:t>
      </w:r>
      <w:r w:rsidR="00D53C63">
        <w:rPr>
          <w:rFonts w:ascii="Times New Roman" w:hAnsi="Times New Roman" w:cs="Times New Roman"/>
          <w:i/>
          <w:iCs/>
          <w:sz w:val="28"/>
          <w:szCs w:val="28"/>
        </w:rPr>
        <w:t xml:space="preserve"> </w:t>
      </w:r>
      <w:r w:rsidRPr="00FD1ADC">
        <w:rPr>
          <w:rFonts w:ascii="Times New Roman" w:hAnsi="Times New Roman" w:cs="Times New Roman"/>
          <w:sz w:val="28"/>
          <w:szCs w:val="28"/>
        </w:rPr>
        <w:t>articolo che</w:t>
      </w:r>
      <w:r w:rsidRPr="00FD1ADC">
        <w:rPr>
          <w:rFonts w:ascii="Times New Roman" w:hAnsi="Times New Roman" w:cs="Times New Roman"/>
          <w:i/>
          <w:iCs/>
          <w:sz w:val="28"/>
          <w:szCs w:val="28"/>
        </w:rPr>
        <w:t xml:space="preserve"> </w:t>
      </w:r>
      <w:r w:rsidRPr="00AB60A7">
        <w:rPr>
          <w:rFonts w:ascii="Times New Roman" w:hAnsi="Times New Roman" w:cs="Times New Roman"/>
          <w:sz w:val="28"/>
          <w:szCs w:val="28"/>
        </w:rPr>
        <w:t>afferma il c</w:t>
      </w:r>
      <w:r w:rsidR="00AB60A7" w:rsidRPr="00AB60A7">
        <w:rPr>
          <w:rFonts w:ascii="Times New Roman" w:hAnsi="Times New Roman" w:cs="Times New Roman"/>
          <w:sz w:val="28"/>
          <w:szCs w:val="28"/>
        </w:rPr>
        <w:t>.</w:t>
      </w:r>
      <w:r w:rsidRPr="00AB60A7">
        <w:rPr>
          <w:rFonts w:ascii="Times New Roman" w:hAnsi="Times New Roman" w:cs="Times New Roman"/>
          <w:sz w:val="28"/>
          <w:szCs w:val="28"/>
        </w:rPr>
        <w:t>d</w:t>
      </w:r>
      <w:r w:rsidR="00AB60A7" w:rsidRPr="00AB60A7">
        <w:rPr>
          <w:rFonts w:ascii="Times New Roman" w:hAnsi="Times New Roman" w:cs="Times New Roman"/>
          <w:sz w:val="28"/>
          <w:szCs w:val="28"/>
        </w:rPr>
        <w:t>.</w:t>
      </w:r>
      <w:r w:rsidRPr="00AB60A7">
        <w:rPr>
          <w:rFonts w:ascii="Times New Roman" w:hAnsi="Times New Roman" w:cs="Times New Roman"/>
          <w:sz w:val="28"/>
          <w:szCs w:val="28"/>
        </w:rPr>
        <w:t xml:space="preserve"> “</w:t>
      </w:r>
      <w:r w:rsidRPr="00FD1ADC">
        <w:rPr>
          <w:rFonts w:ascii="Times New Roman" w:hAnsi="Times New Roman" w:cs="Times New Roman"/>
          <w:i/>
          <w:iCs/>
          <w:sz w:val="28"/>
          <w:szCs w:val="28"/>
        </w:rPr>
        <w:t>principio di non esclusività”</w:t>
      </w:r>
      <w:r>
        <w:rPr>
          <w:rFonts w:ascii="Times New Roman" w:hAnsi="Times New Roman" w:cs="Times New Roman"/>
          <w:i/>
          <w:iCs/>
          <w:sz w:val="28"/>
          <w:szCs w:val="28"/>
        </w:rPr>
        <w:t>.</w:t>
      </w:r>
      <w:r w:rsidR="008E6E1C">
        <w:rPr>
          <w:rFonts w:ascii="Times New Roman" w:hAnsi="Times New Roman" w:cs="Times New Roman"/>
          <w:i/>
          <w:iCs/>
          <w:sz w:val="28"/>
          <w:szCs w:val="28"/>
        </w:rPr>
        <w:t xml:space="preserve"> </w:t>
      </w:r>
      <w:r w:rsidRPr="00FD1ADC">
        <w:rPr>
          <w:rFonts w:ascii="Times New Roman" w:hAnsi="Times New Roman" w:cs="Times New Roman"/>
          <w:sz w:val="28"/>
          <w:szCs w:val="28"/>
        </w:rPr>
        <w:t>Tale articolo</w:t>
      </w:r>
      <w:r>
        <w:rPr>
          <w:rFonts w:ascii="Times New Roman" w:hAnsi="Times New Roman" w:cs="Times New Roman"/>
          <w:i/>
          <w:iCs/>
          <w:sz w:val="28"/>
          <w:szCs w:val="28"/>
        </w:rPr>
        <w:t xml:space="preserve"> </w:t>
      </w:r>
      <w:r w:rsidRPr="00FD1ADC">
        <w:rPr>
          <w:rFonts w:ascii="Times New Roman" w:hAnsi="Times New Roman" w:cs="Times New Roman"/>
          <w:sz w:val="28"/>
          <w:szCs w:val="28"/>
        </w:rPr>
        <w:t xml:space="preserve">recita </w:t>
      </w:r>
      <w:r>
        <w:rPr>
          <w:rFonts w:ascii="Times New Roman" w:hAnsi="Times New Roman" w:cs="Times New Roman"/>
          <w:sz w:val="28"/>
          <w:szCs w:val="28"/>
        </w:rPr>
        <w:t>espressamente:</w:t>
      </w:r>
      <w:r w:rsidR="00D53C63">
        <w:rPr>
          <w:rFonts w:ascii="Times New Roman" w:hAnsi="Times New Roman" w:cs="Times New Roman"/>
          <w:sz w:val="28"/>
          <w:szCs w:val="28"/>
        </w:rPr>
        <w:t xml:space="preserve"> </w:t>
      </w:r>
    </w:p>
    <w:p w14:paraId="489B0345" w14:textId="71157F43" w:rsidR="00FD1ADC" w:rsidRDefault="00AB60A7" w:rsidP="00E152DF">
      <w:pPr>
        <w:spacing w:after="0"/>
        <w:jc w:val="both"/>
        <w:rPr>
          <w:rFonts w:ascii="Times New Roman" w:hAnsi="Times New Roman" w:cs="Times New Roman"/>
          <w:i/>
          <w:iCs/>
          <w:sz w:val="28"/>
          <w:szCs w:val="28"/>
        </w:rPr>
      </w:pPr>
      <w:r>
        <w:rPr>
          <w:rFonts w:ascii="Times New Roman" w:hAnsi="Times New Roman" w:cs="Times New Roman"/>
          <w:sz w:val="28"/>
          <w:szCs w:val="28"/>
        </w:rPr>
        <w:t>«</w:t>
      </w:r>
      <w:r w:rsidR="00FD1ADC">
        <w:rPr>
          <w:rFonts w:ascii="Times New Roman" w:hAnsi="Times New Roman" w:cs="Times New Roman"/>
          <w:sz w:val="28"/>
          <w:szCs w:val="28"/>
        </w:rPr>
        <w:t>1.</w:t>
      </w:r>
      <w:r w:rsidR="008E6E1C">
        <w:rPr>
          <w:rFonts w:ascii="Times New Roman" w:hAnsi="Times New Roman" w:cs="Times New Roman"/>
          <w:sz w:val="28"/>
          <w:szCs w:val="28"/>
        </w:rPr>
        <w:t xml:space="preserve"> </w:t>
      </w:r>
      <w:r w:rsidR="008E6E1C" w:rsidRPr="008E6E1C">
        <w:rPr>
          <w:rFonts w:ascii="Times New Roman" w:hAnsi="Times New Roman" w:cs="Times New Roman"/>
          <w:i/>
          <w:iCs/>
          <w:sz w:val="28"/>
          <w:szCs w:val="28"/>
        </w:rPr>
        <w:t>L’interessato</w:t>
      </w:r>
      <w:r w:rsidR="008E6E1C">
        <w:rPr>
          <w:rFonts w:ascii="Times New Roman" w:hAnsi="Times New Roman" w:cs="Times New Roman"/>
          <w:i/>
          <w:iCs/>
          <w:sz w:val="28"/>
          <w:szCs w:val="28"/>
        </w:rPr>
        <w:t xml:space="preserve"> ha il diritto di non essere sottoposto a una decisione basata unicamente sul trattamento automatizzato, compresa la </w:t>
      </w:r>
      <w:proofErr w:type="spellStart"/>
      <w:r w:rsidR="008E6E1C">
        <w:rPr>
          <w:rFonts w:ascii="Times New Roman" w:hAnsi="Times New Roman" w:cs="Times New Roman"/>
          <w:i/>
          <w:iCs/>
          <w:sz w:val="28"/>
          <w:szCs w:val="28"/>
        </w:rPr>
        <w:t>profilazione</w:t>
      </w:r>
      <w:proofErr w:type="spellEnd"/>
      <w:r w:rsidR="008E6E1C">
        <w:rPr>
          <w:rFonts w:ascii="Times New Roman" w:hAnsi="Times New Roman" w:cs="Times New Roman"/>
          <w:i/>
          <w:iCs/>
          <w:sz w:val="28"/>
          <w:szCs w:val="28"/>
        </w:rPr>
        <w:t>, che produca effetti giuridici che lo riguardano o che incida in modo analogo significativamente sulla sua persona.</w:t>
      </w:r>
    </w:p>
    <w:p w14:paraId="0CDD9AED" w14:textId="0ACECBF2" w:rsidR="008E6E1C" w:rsidRDefault="008E6E1C" w:rsidP="00E152DF">
      <w:pPr>
        <w:spacing w:after="0"/>
        <w:jc w:val="both"/>
        <w:rPr>
          <w:rFonts w:ascii="Times New Roman" w:hAnsi="Times New Roman" w:cs="Times New Roman"/>
          <w:i/>
          <w:iCs/>
          <w:sz w:val="28"/>
          <w:szCs w:val="28"/>
        </w:rPr>
      </w:pPr>
      <w:r>
        <w:rPr>
          <w:rFonts w:ascii="Times New Roman" w:hAnsi="Times New Roman" w:cs="Times New Roman"/>
          <w:i/>
          <w:iCs/>
          <w:sz w:val="28"/>
          <w:szCs w:val="28"/>
        </w:rPr>
        <w:t>2. Il paragrafo 1 non si applica nel caso in cui la decisione:</w:t>
      </w:r>
    </w:p>
    <w:p w14:paraId="3A72AF16" w14:textId="01B37BFD" w:rsidR="008E6E1C" w:rsidRDefault="008E6E1C" w:rsidP="00E152DF">
      <w:pPr>
        <w:spacing w:after="0"/>
        <w:ind w:left="360"/>
        <w:jc w:val="both"/>
        <w:rPr>
          <w:rFonts w:ascii="Times New Roman" w:hAnsi="Times New Roman" w:cs="Times New Roman"/>
          <w:i/>
          <w:iCs/>
          <w:sz w:val="28"/>
          <w:szCs w:val="28"/>
        </w:rPr>
      </w:pPr>
      <w:r>
        <w:rPr>
          <w:rFonts w:ascii="Times New Roman" w:hAnsi="Times New Roman" w:cs="Times New Roman"/>
          <w:i/>
          <w:iCs/>
          <w:sz w:val="28"/>
          <w:szCs w:val="28"/>
        </w:rPr>
        <w:t>a) sia necessaria per la conclusione o l’esecuzione di un contratto tra l’interessato e un titolare del trattamento;</w:t>
      </w:r>
    </w:p>
    <w:p w14:paraId="5DA84D49" w14:textId="0F364471" w:rsidR="008E6E1C" w:rsidRDefault="008E6E1C" w:rsidP="00E152DF">
      <w:pPr>
        <w:spacing w:after="0"/>
        <w:ind w:left="360"/>
        <w:jc w:val="both"/>
        <w:rPr>
          <w:rFonts w:ascii="Times New Roman" w:hAnsi="Times New Roman" w:cs="Times New Roman"/>
          <w:i/>
          <w:iCs/>
          <w:sz w:val="28"/>
          <w:szCs w:val="28"/>
        </w:rPr>
      </w:pPr>
      <w:r>
        <w:rPr>
          <w:rFonts w:ascii="Times New Roman" w:hAnsi="Times New Roman" w:cs="Times New Roman"/>
          <w:i/>
          <w:iCs/>
          <w:sz w:val="28"/>
          <w:szCs w:val="28"/>
        </w:rPr>
        <w:t>b) sia autorizzata dal diritto dell’Unione o dello Stato membro cui è soggetto il titolare del trattamento che precisa altresì misure adeguate a tutela dei diritti, delle libertà e dei legittimi interessi dell’interessato;</w:t>
      </w:r>
    </w:p>
    <w:p w14:paraId="77CB5F20" w14:textId="1D4D6788" w:rsidR="008E6E1C" w:rsidRDefault="008E6E1C" w:rsidP="00E152DF">
      <w:pPr>
        <w:spacing w:after="0"/>
        <w:ind w:left="360"/>
        <w:jc w:val="both"/>
        <w:rPr>
          <w:rFonts w:ascii="Times New Roman" w:hAnsi="Times New Roman" w:cs="Times New Roman"/>
          <w:i/>
          <w:iCs/>
          <w:sz w:val="28"/>
          <w:szCs w:val="28"/>
        </w:rPr>
      </w:pPr>
      <w:r>
        <w:rPr>
          <w:rFonts w:ascii="Times New Roman" w:hAnsi="Times New Roman" w:cs="Times New Roman"/>
          <w:i/>
          <w:iCs/>
          <w:sz w:val="28"/>
          <w:szCs w:val="28"/>
        </w:rPr>
        <w:t>c) si basi sul consenso esplicito dell’interessato</w:t>
      </w:r>
      <w:r w:rsidR="00AB60A7">
        <w:rPr>
          <w:rFonts w:ascii="Times New Roman" w:hAnsi="Times New Roman" w:cs="Times New Roman"/>
          <w:i/>
          <w:iCs/>
          <w:sz w:val="28"/>
          <w:szCs w:val="28"/>
        </w:rPr>
        <w:t>».</w:t>
      </w:r>
    </w:p>
    <w:p w14:paraId="1E394837" w14:textId="77777777" w:rsidR="00E152DF" w:rsidRDefault="008E6E1C" w:rsidP="00E152DF">
      <w:pPr>
        <w:spacing w:after="0"/>
        <w:jc w:val="both"/>
        <w:rPr>
          <w:rFonts w:ascii="Times New Roman" w:hAnsi="Times New Roman" w:cs="Times New Roman"/>
          <w:sz w:val="28"/>
          <w:szCs w:val="28"/>
        </w:rPr>
      </w:pPr>
      <w:r w:rsidRPr="008E6E1C">
        <w:rPr>
          <w:rFonts w:ascii="Times New Roman" w:hAnsi="Times New Roman" w:cs="Times New Roman"/>
          <w:sz w:val="28"/>
          <w:szCs w:val="28"/>
        </w:rPr>
        <w:t xml:space="preserve">Tale </w:t>
      </w:r>
      <w:r>
        <w:rPr>
          <w:rFonts w:ascii="Times New Roman" w:hAnsi="Times New Roman" w:cs="Times New Roman"/>
          <w:sz w:val="28"/>
          <w:szCs w:val="28"/>
        </w:rPr>
        <w:t>principio “</w:t>
      </w:r>
      <w:r w:rsidRPr="001019F6">
        <w:rPr>
          <w:rFonts w:ascii="Times New Roman" w:hAnsi="Times New Roman" w:cs="Times New Roman"/>
          <w:i/>
          <w:iCs/>
          <w:sz w:val="28"/>
          <w:szCs w:val="28"/>
        </w:rPr>
        <w:t>di non esclusività</w:t>
      </w:r>
      <w:r>
        <w:rPr>
          <w:rFonts w:ascii="Times New Roman" w:hAnsi="Times New Roman" w:cs="Times New Roman"/>
          <w:sz w:val="28"/>
          <w:szCs w:val="28"/>
        </w:rPr>
        <w:t>” è,</w:t>
      </w:r>
      <w:r w:rsidR="001019F6">
        <w:rPr>
          <w:rFonts w:ascii="Times New Roman" w:hAnsi="Times New Roman" w:cs="Times New Roman"/>
          <w:sz w:val="28"/>
          <w:szCs w:val="28"/>
        </w:rPr>
        <w:t xml:space="preserve"> </w:t>
      </w:r>
      <w:r>
        <w:rPr>
          <w:rFonts w:ascii="Times New Roman" w:hAnsi="Times New Roman" w:cs="Times New Roman"/>
          <w:sz w:val="28"/>
          <w:szCs w:val="28"/>
        </w:rPr>
        <w:t>oggi, secondo parte della dottrina</w:t>
      </w:r>
      <w:r w:rsidR="00B7458A">
        <w:rPr>
          <w:rStyle w:val="Rimandonotaapidipagina"/>
          <w:rFonts w:ascii="Times New Roman" w:hAnsi="Times New Roman" w:cs="Times New Roman"/>
          <w:sz w:val="28"/>
          <w:szCs w:val="28"/>
        </w:rPr>
        <w:footnoteReference w:id="16"/>
      </w:r>
      <w:r w:rsidR="00E152DF">
        <w:rPr>
          <w:rFonts w:ascii="Times New Roman" w:hAnsi="Times New Roman" w:cs="Times New Roman"/>
          <w:sz w:val="28"/>
          <w:szCs w:val="28"/>
        </w:rPr>
        <w:t>,</w:t>
      </w:r>
      <w:r w:rsidR="00B7458A">
        <w:rPr>
          <w:rFonts w:ascii="Times New Roman" w:hAnsi="Times New Roman" w:cs="Times New Roman"/>
          <w:sz w:val="28"/>
          <w:szCs w:val="28"/>
        </w:rPr>
        <w:t xml:space="preserve"> </w:t>
      </w:r>
      <w:r w:rsidR="001019F6">
        <w:rPr>
          <w:rFonts w:ascii="Times New Roman" w:hAnsi="Times New Roman" w:cs="Times New Roman"/>
          <w:sz w:val="28"/>
          <w:szCs w:val="28"/>
        </w:rPr>
        <w:t xml:space="preserve">un principio </w:t>
      </w:r>
      <w:r w:rsidR="00CA5757">
        <w:rPr>
          <w:rFonts w:ascii="Times New Roman" w:hAnsi="Times New Roman" w:cs="Times New Roman"/>
          <w:sz w:val="28"/>
          <w:szCs w:val="28"/>
        </w:rPr>
        <w:t>“</w:t>
      </w:r>
      <w:r w:rsidR="001019F6">
        <w:rPr>
          <w:rFonts w:ascii="Times New Roman" w:hAnsi="Times New Roman" w:cs="Times New Roman"/>
          <w:sz w:val="28"/>
          <w:szCs w:val="28"/>
        </w:rPr>
        <w:t>debole</w:t>
      </w:r>
      <w:r w:rsidR="00CA5757">
        <w:rPr>
          <w:rFonts w:ascii="Times New Roman" w:hAnsi="Times New Roman" w:cs="Times New Roman"/>
          <w:sz w:val="28"/>
          <w:szCs w:val="28"/>
        </w:rPr>
        <w:t>”</w:t>
      </w:r>
      <w:r w:rsidR="001019F6">
        <w:rPr>
          <w:rFonts w:ascii="Times New Roman" w:hAnsi="Times New Roman" w:cs="Times New Roman"/>
          <w:sz w:val="28"/>
          <w:szCs w:val="28"/>
        </w:rPr>
        <w:t xml:space="preserve"> che, a fronte di tecniche algoritmiche sempre più invasive, pervasive ed incisive sui diritti fondamentali, necessita di essere integrato dal principio di comprensibilità e di </w:t>
      </w:r>
      <w:proofErr w:type="spellStart"/>
      <w:r w:rsidR="001019F6">
        <w:rPr>
          <w:rFonts w:ascii="Times New Roman" w:hAnsi="Times New Roman" w:cs="Times New Roman"/>
          <w:sz w:val="28"/>
          <w:szCs w:val="28"/>
        </w:rPr>
        <w:t>motivabilità</w:t>
      </w:r>
      <w:proofErr w:type="spellEnd"/>
      <w:r w:rsidR="00E152DF">
        <w:rPr>
          <w:rFonts w:ascii="Times New Roman" w:hAnsi="Times New Roman" w:cs="Times New Roman"/>
          <w:sz w:val="28"/>
          <w:szCs w:val="28"/>
        </w:rPr>
        <w:t xml:space="preserve"> (</w:t>
      </w:r>
      <w:r w:rsidR="001019F6">
        <w:rPr>
          <w:rFonts w:ascii="Times New Roman" w:hAnsi="Times New Roman" w:cs="Times New Roman"/>
          <w:sz w:val="28"/>
          <w:szCs w:val="28"/>
        </w:rPr>
        <w:t>c</w:t>
      </w:r>
      <w:r w:rsidR="00AB60A7">
        <w:rPr>
          <w:rFonts w:ascii="Times New Roman" w:hAnsi="Times New Roman" w:cs="Times New Roman"/>
          <w:sz w:val="28"/>
          <w:szCs w:val="28"/>
        </w:rPr>
        <w:t>.</w:t>
      </w:r>
      <w:r w:rsidR="001019F6">
        <w:rPr>
          <w:rFonts w:ascii="Times New Roman" w:hAnsi="Times New Roman" w:cs="Times New Roman"/>
          <w:sz w:val="28"/>
          <w:szCs w:val="28"/>
        </w:rPr>
        <w:t>d</w:t>
      </w:r>
      <w:r w:rsidR="00AB60A7">
        <w:rPr>
          <w:rFonts w:ascii="Times New Roman" w:hAnsi="Times New Roman" w:cs="Times New Roman"/>
          <w:sz w:val="28"/>
          <w:szCs w:val="28"/>
        </w:rPr>
        <w:t>.</w:t>
      </w:r>
      <w:r w:rsidR="001019F6">
        <w:rPr>
          <w:rFonts w:ascii="Times New Roman" w:hAnsi="Times New Roman" w:cs="Times New Roman"/>
          <w:sz w:val="28"/>
          <w:szCs w:val="28"/>
        </w:rPr>
        <w:t xml:space="preserve"> “</w:t>
      </w:r>
      <w:r w:rsidR="001019F6" w:rsidRPr="001019F6">
        <w:rPr>
          <w:rFonts w:ascii="Times New Roman" w:hAnsi="Times New Roman" w:cs="Times New Roman"/>
          <w:i/>
          <w:iCs/>
          <w:sz w:val="28"/>
          <w:szCs w:val="28"/>
        </w:rPr>
        <w:t xml:space="preserve">right to </w:t>
      </w:r>
      <w:proofErr w:type="spellStart"/>
      <w:r w:rsidR="001019F6" w:rsidRPr="001019F6">
        <w:rPr>
          <w:rFonts w:ascii="Times New Roman" w:hAnsi="Times New Roman" w:cs="Times New Roman"/>
          <w:i/>
          <w:iCs/>
          <w:sz w:val="28"/>
          <w:szCs w:val="28"/>
        </w:rPr>
        <w:t>explainability</w:t>
      </w:r>
      <w:proofErr w:type="spellEnd"/>
      <w:r w:rsidR="001019F6" w:rsidRPr="00AB60A7">
        <w:rPr>
          <w:rFonts w:ascii="Times New Roman" w:hAnsi="Times New Roman" w:cs="Times New Roman"/>
          <w:sz w:val="28"/>
          <w:szCs w:val="28"/>
        </w:rPr>
        <w:t>”</w:t>
      </w:r>
      <w:r w:rsidR="00E152DF">
        <w:rPr>
          <w:rFonts w:ascii="Times New Roman" w:hAnsi="Times New Roman" w:cs="Times New Roman"/>
          <w:sz w:val="28"/>
          <w:szCs w:val="28"/>
        </w:rPr>
        <w:t>)</w:t>
      </w:r>
      <w:r w:rsidR="001019F6" w:rsidRPr="00AB60A7">
        <w:rPr>
          <w:rFonts w:ascii="Times New Roman" w:hAnsi="Times New Roman" w:cs="Times New Roman"/>
          <w:sz w:val="28"/>
          <w:szCs w:val="28"/>
        </w:rPr>
        <w:t xml:space="preserve">. </w:t>
      </w:r>
      <w:r w:rsidR="00B0728C">
        <w:rPr>
          <w:rFonts w:ascii="Times New Roman" w:hAnsi="Times New Roman" w:cs="Times New Roman"/>
          <w:sz w:val="28"/>
          <w:szCs w:val="28"/>
        </w:rPr>
        <w:t>Tale principio si traduce</w:t>
      </w:r>
      <w:r w:rsidR="00E152DF">
        <w:rPr>
          <w:rFonts w:ascii="Times New Roman" w:hAnsi="Times New Roman" w:cs="Times New Roman"/>
          <w:sz w:val="28"/>
          <w:szCs w:val="28"/>
        </w:rPr>
        <w:t>,</w:t>
      </w:r>
      <w:r w:rsidR="00B0728C">
        <w:rPr>
          <w:rFonts w:ascii="Times New Roman" w:hAnsi="Times New Roman" w:cs="Times New Roman"/>
          <w:sz w:val="28"/>
          <w:szCs w:val="28"/>
        </w:rPr>
        <w:t xml:space="preserve"> sul piano operativo</w:t>
      </w:r>
      <w:r w:rsidR="00E152DF">
        <w:rPr>
          <w:rFonts w:ascii="Times New Roman" w:hAnsi="Times New Roman" w:cs="Times New Roman"/>
          <w:sz w:val="28"/>
          <w:szCs w:val="28"/>
        </w:rPr>
        <w:t>,</w:t>
      </w:r>
      <w:r w:rsidR="00B0728C">
        <w:rPr>
          <w:rFonts w:ascii="Times New Roman" w:hAnsi="Times New Roman" w:cs="Times New Roman"/>
          <w:sz w:val="28"/>
          <w:szCs w:val="28"/>
        </w:rPr>
        <w:t xml:space="preserve"> nel principio di trasparenza, nel diritto di accesso al codice </w:t>
      </w:r>
      <w:r w:rsidR="00B7458A">
        <w:rPr>
          <w:rFonts w:ascii="Times New Roman" w:hAnsi="Times New Roman" w:cs="Times New Roman"/>
          <w:sz w:val="28"/>
          <w:szCs w:val="28"/>
        </w:rPr>
        <w:t>sorgente:</w:t>
      </w:r>
      <w:r w:rsidR="00B0728C">
        <w:rPr>
          <w:rFonts w:ascii="Times New Roman" w:hAnsi="Times New Roman" w:cs="Times New Roman"/>
          <w:sz w:val="28"/>
          <w:szCs w:val="28"/>
        </w:rPr>
        <w:t xml:space="preserve"> se le decisioni interferiscono con i diritti fondamentali, si radica un obbligo stringente di motivazione</w:t>
      </w:r>
      <w:r w:rsidR="00E152DF">
        <w:rPr>
          <w:rFonts w:ascii="Times New Roman" w:hAnsi="Times New Roman" w:cs="Times New Roman"/>
          <w:sz w:val="28"/>
          <w:szCs w:val="28"/>
        </w:rPr>
        <w:t>,</w:t>
      </w:r>
      <w:r w:rsidR="00B0728C">
        <w:rPr>
          <w:rFonts w:ascii="Times New Roman" w:hAnsi="Times New Roman" w:cs="Times New Roman"/>
          <w:sz w:val="28"/>
          <w:szCs w:val="28"/>
        </w:rPr>
        <w:t xml:space="preserve"> sottoposto a controllo giurisdizionale</w:t>
      </w:r>
      <w:r w:rsidR="00E152DF">
        <w:rPr>
          <w:rFonts w:ascii="Times New Roman" w:hAnsi="Times New Roman" w:cs="Times New Roman"/>
          <w:sz w:val="28"/>
          <w:szCs w:val="28"/>
        </w:rPr>
        <w:t>,</w:t>
      </w:r>
      <w:r w:rsidR="00B0728C">
        <w:rPr>
          <w:rFonts w:ascii="Times New Roman" w:hAnsi="Times New Roman" w:cs="Times New Roman"/>
          <w:sz w:val="28"/>
          <w:szCs w:val="28"/>
        </w:rPr>
        <w:t xml:space="preserve"> nel rispetto del principio di legalità, proporzionalità e ragionevolezza. </w:t>
      </w:r>
      <w:r w:rsidR="00746388">
        <w:rPr>
          <w:rFonts w:ascii="Times New Roman" w:hAnsi="Times New Roman" w:cs="Times New Roman"/>
          <w:sz w:val="28"/>
          <w:szCs w:val="28"/>
        </w:rPr>
        <w:t>È</w:t>
      </w:r>
      <w:r w:rsidR="00B0728C">
        <w:rPr>
          <w:rFonts w:ascii="Times New Roman" w:hAnsi="Times New Roman" w:cs="Times New Roman"/>
          <w:sz w:val="28"/>
          <w:szCs w:val="28"/>
        </w:rPr>
        <w:t xml:space="preserve"> bene precisare che tali principi si applicano sia alle decisioni private</w:t>
      </w:r>
      <w:r w:rsidR="00AB60A7">
        <w:rPr>
          <w:rFonts w:ascii="Times New Roman" w:hAnsi="Times New Roman" w:cs="Times New Roman"/>
          <w:sz w:val="28"/>
          <w:szCs w:val="28"/>
        </w:rPr>
        <w:t>,</w:t>
      </w:r>
      <w:r w:rsidR="00B0728C">
        <w:rPr>
          <w:rFonts w:ascii="Times New Roman" w:hAnsi="Times New Roman" w:cs="Times New Roman"/>
          <w:sz w:val="28"/>
          <w:szCs w:val="28"/>
        </w:rPr>
        <w:t xml:space="preserve"> laddove vengano in rilievo asimmetrie </w:t>
      </w:r>
      <w:r w:rsidR="0004212E">
        <w:rPr>
          <w:rFonts w:ascii="Times New Roman" w:hAnsi="Times New Roman" w:cs="Times New Roman"/>
          <w:sz w:val="28"/>
          <w:szCs w:val="28"/>
        </w:rPr>
        <w:t>legate ai c</w:t>
      </w:r>
      <w:r w:rsidR="00AB60A7">
        <w:rPr>
          <w:rFonts w:ascii="Times New Roman" w:hAnsi="Times New Roman" w:cs="Times New Roman"/>
          <w:sz w:val="28"/>
          <w:szCs w:val="28"/>
        </w:rPr>
        <w:t>.</w:t>
      </w:r>
      <w:r w:rsidR="0004212E">
        <w:rPr>
          <w:rFonts w:ascii="Times New Roman" w:hAnsi="Times New Roman" w:cs="Times New Roman"/>
          <w:sz w:val="28"/>
          <w:szCs w:val="28"/>
        </w:rPr>
        <w:t>d.</w:t>
      </w:r>
      <w:r w:rsidR="00746388">
        <w:rPr>
          <w:rFonts w:ascii="Times New Roman" w:hAnsi="Times New Roman" w:cs="Times New Roman"/>
          <w:sz w:val="28"/>
          <w:szCs w:val="28"/>
        </w:rPr>
        <w:t xml:space="preserve"> </w:t>
      </w:r>
      <w:r w:rsidR="0004212E">
        <w:rPr>
          <w:rFonts w:ascii="Times New Roman" w:hAnsi="Times New Roman" w:cs="Times New Roman"/>
          <w:sz w:val="28"/>
          <w:szCs w:val="28"/>
        </w:rPr>
        <w:t>poteri privati (si pensi alla posizione dei lavoratori nei confronti del datore di  lavoro o al delicato settore anti-trust)</w:t>
      </w:r>
      <w:r w:rsidR="00AB60A7">
        <w:rPr>
          <w:rFonts w:ascii="Times New Roman" w:hAnsi="Times New Roman" w:cs="Times New Roman"/>
          <w:sz w:val="28"/>
          <w:szCs w:val="28"/>
        </w:rPr>
        <w:t>,</w:t>
      </w:r>
      <w:r w:rsidR="0004212E">
        <w:rPr>
          <w:rFonts w:ascii="Times New Roman" w:hAnsi="Times New Roman" w:cs="Times New Roman"/>
          <w:sz w:val="28"/>
          <w:szCs w:val="28"/>
        </w:rPr>
        <w:t xml:space="preserve"> sia alle decisioni pubbliche, laddove l’art.</w:t>
      </w:r>
      <w:r w:rsidR="00746388">
        <w:rPr>
          <w:rFonts w:ascii="Times New Roman" w:hAnsi="Times New Roman" w:cs="Times New Roman"/>
          <w:sz w:val="28"/>
          <w:szCs w:val="28"/>
        </w:rPr>
        <w:t xml:space="preserve"> </w:t>
      </w:r>
      <w:r w:rsidR="0004212E">
        <w:rPr>
          <w:rFonts w:ascii="Times New Roman" w:hAnsi="Times New Roman" w:cs="Times New Roman"/>
          <w:sz w:val="28"/>
          <w:szCs w:val="28"/>
        </w:rPr>
        <w:t>41 e 47 della Carta dei diritti Fondamentali dell’Unione Europea sanciscono il diritto ad una buona Amministrazione</w:t>
      </w:r>
      <w:r w:rsidR="00E152DF">
        <w:rPr>
          <w:rFonts w:ascii="Times New Roman" w:hAnsi="Times New Roman" w:cs="Times New Roman"/>
          <w:sz w:val="28"/>
          <w:szCs w:val="28"/>
        </w:rPr>
        <w:t xml:space="preserve">, </w:t>
      </w:r>
      <w:r w:rsidR="0004212E">
        <w:rPr>
          <w:rFonts w:ascii="Times New Roman" w:hAnsi="Times New Roman" w:cs="Times New Roman"/>
          <w:sz w:val="28"/>
          <w:szCs w:val="28"/>
        </w:rPr>
        <w:t>con obbligo di dare adeguata motivazione ai provvedimenti e l’art.</w:t>
      </w:r>
      <w:r w:rsidR="00746388">
        <w:rPr>
          <w:rFonts w:ascii="Times New Roman" w:hAnsi="Times New Roman" w:cs="Times New Roman"/>
          <w:sz w:val="28"/>
          <w:szCs w:val="28"/>
        </w:rPr>
        <w:t xml:space="preserve"> </w:t>
      </w:r>
      <w:r w:rsidR="0004212E">
        <w:rPr>
          <w:rFonts w:ascii="Times New Roman" w:hAnsi="Times New Roman" w:cs="Times New Roman"/>
          <w:sz w:val="28"/>
          <w:szCs w:val="28"/>
        </w:rPr>
        <w:t>97</w:t>
      </w:r>
      <w:r w:rsidR="00746388">
        <w:rPr>
          <w:rFonts w:ascii="Times New Roman" w:hAnsi="Times New Roman" w:cs="Times New Roman"/>
          <w:sz w:val="28"/>
          <w:szCs w:val="28"/>
        </w:rPr>
        <w:t xml:space="preserve"> </w:t>
      </w:r>
      <w:r w:rsidR="0004212E">
        <w:rPr>
          <w:rFonts w:ascii="Times New Roman" w:hAnsi="Times New Roman" w:cs="Times New Roman"/>
          <w:sz w:val="28"/>
          <w:szCs w:val="28"/>
        </w:rPr>
        <w:t>della Costituzione sancisce il principio del buon andamento dell’attività amministrativa</w:t>
      </w:r>
      <w:r w:rsidR="00E152DF">
        <w:rPr>
          <w:rFonts w:ascii="Times New Roman" w:hAnsi="Times New Roman" w:cs="Times New Roman"/>
          <w:sz w:val="28"/>
          <w:szCs w:val="28"/>
        </w:rPr>
        <w:t>,</w:t>
      </w:r>
      <w:r w:rsidR="0004212E">
        <w:rPr>
          <w:rFonts w:ascii="Times New Roman" w:hAnsi="Times New Roman" w:cs="Times New Roman"/>
          <w:sz w:val="28"/>
          <w:szCs w:val="28"/>
        </w:rPr>
        <w:t xml:space="preserve"> ispirata a criteri di efficienza, efficacia ed economicità. </w:t>
      </w:r>
    </w:p>
    <w:p w14:paraId="7D2D95FE" w14:textId="39D5949B" w:rsidR="008E6E1C" w:rsidRDefault="00746388" w:rsidP="00E152DF">
      <w:pPr>
        <w:spacing w:after="0"/>
        <w:jc w:val="both"/>
        <w:rPr>
          <w:rFonts w:ascii="Times New Roman" w:hAnsi="Times New Roman" w:cs="Times New Roman"/>
          <w:sz w:val="28"/>
          <w:szCs w:val="28"/>
        </w:rPr>
      </w:pPr>
      <w:r>
        <w:rPr>
          <w:rFonts w:ascii="Times New Roman" w:hAnsi="Times New Roman" w:cs="Times New Roman"/>
          <w:sz w:val="28"/>
          <w:szCs w:val="28"/>
        </w:rPr>
        <w:t>È</w:t>
      </w:r>
      <w:r w:rsidR="0004212E">
        <w:rPr>
          <w:rFonts w:ascii="Times New Roman" w:hAnsi="Times New Roman" w:cs="Times New Roman"/>
          <w:sz w:val="28"/>
          <w:szCs w:val="28"/>
        </w:rPr>
        <w:t>,</w:t>
      </w:r>
      <w:r>
        <w:rPr>
          <w:rFonts w:ascii="Times New Roman" w:hAnsi="Times New Roman" w:cs="Times New Roman"/>
          <w:sz w:val="28"/>
          <w:szCs w:val="28"/>
        </w:rPr>
        <w:t xml:space="preserve"> </w:t>
      </w:r>
      <w:r w:rsidR="0004212E">
        <w:rPr>
          <w:rFonts w:ascii="Times New Roman" w:hAnsi="Times New Roman" w:cs="Times New Roman"/>
          <w:sz w:val="28"/>
          <w:szCs w:val="28"/>
        </w:rPr>
        <w:t xml:space="preserve">però, bene precisare </w:t>
      </w:r>
      <w:r w:rsidR="00CA5757">
        <w:rPr>
          <w:rFonts w:ascii="Times New Roman" w:hAnsi="Times New Roman" w:cs="Times New Roman"/>
          <w:sz w:val="28"/>
          <w:szCs w:val="28"/>
        </w:rPr>
        <w:t xml:space="preserve">che l’algoritmo deve essere creato in modo da rispettare i diritti fondamentali dell’uomo: il modello degli </w:t>
      </w:r>
      <w:proofErr w:type="spellStart"/>
      <w:r w:rsidR="00CA5757" w:rsidRPr="00DD196F">
        <w:rPr>
          <w:rFonts w:ascii="Times New Roman" w:hAnsi="Times New Roman" w:cs="Times New Roman"/>
          <w:i/>
          <w:iCs/>
          <w:sz w:val="28"/>
          <w:szCs w:val="28"/>
        </w:rPr>
        <w:t>Oversight</w:t>
      </w:r>
      <w:proofErr w:type="spellEnd"/>
      <w:r w:rsidR="00CA5757" w:rsidRPr="00DD196F">
        <w:rPr>
          <w:rFonts w:ascii="Times New Roman" w:hAnsi="Times New Roman" w:cs="Times New Roman"/>
          <w:i/>
          <w:iCs/>
          <w:sz w:val="28"/>
          <w:szCs w:val="28"/>
        </w:rPr>
        <w:t xml:space="preserve"> Board</w:t>
      </w:r>
      <w:r w:rsidR="00CA5757">
        <w:rPr>
          <w:rFonts w:ascii="Times New Roman" w:hAnsi="Times New Roman" w:cs="Times New Roman"/>
          <w:sz w:val="28"/>
          <w:szCs w:val="28"/>
        </w:rPr>
        <w:t xml:space="preserve"> e dei comitati etici</w:t>
      </w:r>
      <w:r w:rsidR="00E152DF">
        <w:rPr>
          <w:rFonts w:ascii="Times New Roman" w:hAnsi="Times New Roman" w:cs="Times New Roman"/>
          <w:sz w:val="28"/>
          <w:szCs w:val="28"/>
        </w:rPr>
        <w:t>,</w:t>
      </w:r>
      <w:r w:rsidR="00CA5757">
        <w:rPr>
          <w:rFonts w:ascii="Times New Roman" w:hAnsi="Times New Roman" w:cs="Times New Roman"/>
          <w:sz w:val="28"/>
          <w:szCs w:val="28"/>
        </w:rPr>
        <w:t xml:space="preserve"> </w:t>
      </w:r>
      <w:r w:rsidR="00CA5757">
        <w:rPr>
          <w:rFonts w:ascii="Times New Roman" w:hAnsi="Times New Roman" w:cs="Times New Roman"/>
          <w:sz w:val="28"/>
          <w:szCs w:val="28"/>
        </w:rPr>
        <w:lastRenderedPageBreak/>
        <w:t xml:space="preserve">incentrato sul controllo </w:t>
      </w:r>
      <w:r w:rsidR="00CA5757" w:rsidRPr="00746388">
        <w:rPr>
          <w:rFonts w:ascii="Times New Roman" w:hAnsi="Times New Roman" w:cs="Times New Roman"/>
          <w:i/>
          <w:iCs/>
          <w:sz w:val="28"/>
          <w:szCs w:val="28"/>
        </w:rPr>
        <w:t>ex post</w:t>
      </w:r>
      <w:r w:rsidR="00E152DF">
        <w:rPr>
          <w:rFonts w:ascii="Times New Roman" w:hAnsi="Times New Roman" w:cs="Times New Roman"/>
          <w:i/>
          <w:iCs/>
          <w:sz w:val="28"/>
          <w:szCs w:val="28"/>
        </w:rPr>
        <w:t>,</w:t>
      </w:r>
      <w:r w:rsidR="00CA5757">
        <w:rPr>
          <w:rFonts w:ascii="Times New Roman" w:hAnsi="Times New Roman" w:cs="Times New Roman"/>
          <w:sz w:val="28"/>
          <w:szCs w:val="28"/>
        </w:rPr>
        <w:t xml:space="preserve"> non ha funzionato. Il principio della configurazione predefinita degli </w:t>
      </w:r>
      <w:r w:rsidR="00E152DF">
        <w:rPr>
          <w:rFonts w:ascii="Times New Roman" w:hAnsi="Times New Roman" w:cs="Times New Roman"/>
          <w:sz w:val="28"/>
          <w:szCs w:val="28"/>
        </w:rPr>
        <w:t>standard</w:t>
      </w:r>
      <w:r w:rsidR="00CA5757">
        <w:rPr>
          <w:rFonts w:ascii="Times New Roman" w:hAnsi="Times New Roman" w:cs="Times New Roman"/>
          <w:sz w:val="28"/>
          <w:szCs w:val="28"/>
        </w:rPr>
        <w:t xml:space="preserve"> di sicurezza</w:t>
      </w:r>
      <w:r w:rsidR="00E152DF">
        <w:rPr>
          <w:rFonts w:ascii="Times New Roman" w:hAnsi="Times New Roman" w:cs="Times New Roman"/>
          <w:sz w:val="28"/>
          <w:szCs w:val="28"/>
        </w:rPr>
        <w:t>,</w:t>
      </w:r>
      <w:r w:rsidR="00CA5757">
        <w:rPr>
          <w:rFonts w:ascii="Times New Roman" w:hAnsi="Times New Roman" w:cs="Times New Roman"/>
          <w:sz w:val="28"/>
          <w:szCs w:val="28"/>
        </w:rPr>
        <w:t xml:space="preserve"> sin dal momento della progettazione del sistema</w:t>
      </w:r>
      <w:r>
        <w:rPr>
          <w:rFonts w:ascii="Times New Roman" w:hAnsi="Times New Roman" w:cs="Times New Roman"/>
          <w:sz w:val="28"/>
          <w:szCs w:val="28"/>
        </w:rPr>
        <w:t>,</w:t>
      </w:r>
      <w:r w:rsidR="00CA5757">
        <w:rPr>
          <w:rFonts w:ascii="Times New Roman" w:hAnsi="Times New Roman" w:cs="Times New Roman"/>
          <w:sz w:val="28"/>
          <w:szCs w:val="28"/>
        </w:rPr>
        <w:t xml:space="preserve"> </w:t>
      </w:r>
      <w:r w:rsidR="00CA5757" w:rsidRPr="00F7605E">
        <w:rPr>
          <w:rFonts w:ascii="Times New Roman" w:hAnsi="Times New Roman" w:cs="Times New Roman"/>
          <w:sz w:val="28"/>
          <w:szCs w:val="28"/>
        </w:rPr>
        <w:t>c</w:t>
      </w:r>
      <w:r w:rsidR="00F7605E" w:rsidRPr="00F7605E">
        <w:rPr>
          <w:rFonts w:ascii="Times New Roman" w:hAnsi="Times New Roman" w:cs="Times New Roman"/>
          <w:sz w:val="28"/>
          <w:szCs w:val="28"/>
        </w:rPr>
        <w:t>.</w:t>
      </w:r>
      <w:r w:rsidR="00CA5757" w:rsidRPr="00F7605E">
        <w:rPr>
          <w:rFonts w:ascii="Times New Roman" w:hAnsi="Times New Roman" w:cs="Times New Roman"/>
          <w:sz w:val="28"/>
          <w:szCs w:val="28"/>
        </w:rPr>
        <w:t>d</w:t>
      </w:r>
      <w:r w:rsidR="00F7605E" w:rsidRPr="00F7605E">
        <w:rPr>
          <w:rFonts w:ascii="Times New Roman" w:hAnsi="Times New Roman" w:cs="Times New Roman"/>
          <w:sz w:val="28"/>
          <w:szCs w:val="28"/>
        </w:rPr>
        <w:t>.</w:t>
      </w:r>
      <w:r w:rsidR="00CA5757" w:rsidRPr="00CA5757">
        <w:rPr>
          <w:rFonts w:ascii="Times New Roman" w:hAnsi="Times New Roman" w:cs="Times New Roman"/>
          <w:i/>
          <w:iCs/>
          <w:sz w:val="28"/>
          <w:szCs w:val="28"/>
        </w:rPr>
        <w:t xml:space="preserve"> privacy by design and default</w:t>
      </w:r>
      <w:r w:rsidR="00CA5757">
        <w:rPr>
          <w:rFonts w:ascii="Times New Roman" w:hAnsi="Times New Roman" w:cs="Times New Roman"/>
          <w:i/>
          <w:iCs/>
          <w:sz w:val="28"/>
          <w:szCs w:val="28"/>
        </w:rPr>
        <w:t xml:space="preserve">, </w:t>
      </w:r>
      <w:r w:rsidR="00CA5757" w:rsidRPr="00CA5757">
        <w:rPr>
          <w:rFonts w:ascii="Times New Roman" w:hAnsi="Times New Roman" w:cs="Times New Roman"/>
          <w:sz w:val="28"/>
          <w:szCs w:val="28"/>
        </w:rPr>
        <w:t>che è posto alla base del principio</w:t>
      </w:r>
      <w:r w:rsidR="00CA5757">
        <w:rPr>
          <w:rFonts w:ascii="Times New Roman" w:hAnsi="Times New Roman" w:cs="Times New Roman"/>
          <w:i/>
          <w:iCs/>
          <w:sz w:val="28"/>
          <w:szCs w:val="28"/>
        </w:rPr>
        <w:t xml:space="preserve"> </w:t>
      </w:r>
      <w:r w:rsidR="00CA5757" w:rsidRPr="00CA5757">
        <w:rPr>
          <w:rFonts w:ascii="Times New Roman" w:hAnsi="Times New Roman" w:cs="Times New Roman"/>
          <w:sz w:val="28"/>
          <w:szCs w:val="28"/>
        </w:rPr>
        <w:t xml:space="preserve">di </w:t>
      </w:r>
      <w:proofErr w:type="spellStart"/>
      <w:r w:rsidR="00CA5757">
        <w:rPr>
          <w:rFonts w:ascii="Times New Roman" w:hAnsi="Times New Roman" w:cs="Times New Roman"/>
          <w:i/>
          <w:iCs/>
          <w:sz w:val="28"/>
          <w:szCs w:val="28"/>
        </w:rPr>
        <w:t>accountability</w:t>
      </w:r>
      <w:proofErr w:type="spellEnd"/>
      <w:r w:rsidR="00F7605E">
        <w:rPr>
          <w:rFonts w:ascii="Times New Roman" w:hAnsi="Times New Roman" w:cs="Times New Roman"/>
          <w:i/>
          <w:iCs/>
          <w:sz w:val="28"/>
          <w:szCs w:val="28"/>
        </w:rPr>
        <w:t>,</w:t>
      </w:r>
      <w:r w:rsidR="00CA5757">
        <w:rPr>
          <w:rFonts w:ascii="Times New Roman" w:hAnsi="Times New Roman" w:cs="Times New Roman"/>
          <w:i/>
          <w:iCs/>
          <w:sz w:val="28"/>
          <w:szCs w:val="28"/>
        </w:rPr>
        <w:t xml:space="preserve"> </w:t>
      </w:r>
      <w:r w:rsidR="00CA5757" w:rsidRPr="00CA5757">
        <w:rPr>
          <w:rFonts w:ascii="Times New Roman" w:hAnsi="Times New Roman" w:cs="Times New Roman"/>
          <w:sz w:val="28"/>
          <w:szCs w:val="28"/>
        </w:rPr>
        <w:t>deve evolvere</w:t>
      </w:r>
      <w:r w:rsidR="00CA5757">
        <w:rPr>
          <w:rFonts w:ascii="Times New Roman" w:hAnsi="Times New Roman" w:cs="Times New Roman"/>
          <w:i/>
          <w:iCs/>
          <w:sz w:val="28"/>
          <w:szCs w:val="28"/>
        </w:rPr>
        <w:t xml:space="preserve"> </w:t>
      </w:r>
      <w:r w:rsidR="00CA5757" w:rsidRPr="00CA5757">
        <w:rPr>
          <w:rFonts w:ascii="Times New Roman" w:hAnsi="Times New Roman" w:cs="Times New Roman"/>
          <w:sz w:val="28"/>
          <w:szCs w:val="28"/>
        </w:rPr>
        <w:t xml:space="preserve">in </w:t>
      </w:r>
      <w:r w:rsidR="00CA5757" w:rsidRPr="00CA5757">
        <w:rPr>
          <w:rFonts w:ascii="Times New Roman" w:hAnsi="Times New Roman" w:cs="Times New Roman"/>
          <w:i/>
          <w:iCs/>
          <w:sz w:val="28"/>
          <w:szCs w:val="28"/>
        </w:rPr>
        <w:t xml:space="preserve">design by </w:t>
      </w:r>
      <w:proofErr w:type="spellStart"/>
      <w:r w:rsidR="00CA5757" w:rsidRPr="00CA5757">
        <w:rPr>
          <w:rFonts w:ascii="Times New Roman" w:hAnsi="Times New Roman" w:cs="Times New Roman"/>
          <w:i/>
          <w:iCs/>
          <w:sz w:val="28"/>
          <w:szCs w:val="28"/>
        </w:rPr>
        <w:t>education</w:t>
      </w:r>
      <w:proofErr w:type="spellEnd"/>
      <w:r w:rsidR="00F7605E">
        <w:rPr>
          <w:rFonts w:ascii="Times New Roman" w:hAnsi="Times New Roman" w:cs="Times New Roman"/>
          <w:i/>
          <w:iCs/>
          <w:sz w:val="28"/>
          <w:szCs w:val="28"/>
        </w:rPr>
        <w:t>,</w:t>
      </w:r>
      <w:r w:rsidR="00CA5757" w:rsidRPr="00CA5757">
        <w:rPr>
          <w:rFonts w:ascii="Times New Roman" w:hAnsi="Times New Roman" w:cs="Times New Roman"/>
          <w:i/>
          <w:iCs/>
          <w:sz w:val="28"/>
          <w:szCs w:val="28"/>
        </w:rPr>
        <w:t xml:space="preserve"> </w:t>
      </w:r>
      <w:r w:rsidR="00CA5757" w:rsidRPr="00CA5757">
        <w:rPr>
          <w:rFonts w:ascii="Times New Roman" w:hAnsi="Times New Roman" w:cs="Times New Roman"/>
          <w:sz w:val="28"/>
          <w:szCs w:val="28"/>
        </w:rPr>
        <w:t xml:space="preserve">che veda i suoi strumenti nella co-regolazione </w:t>
      </w:r>
      <w:r w:rsidR="00CA5757">
        <w:rPr>
          <w:rFonts w:ascii="Times New Roman" w:hAnsi="Times New Roman" w:cs="Times New Roman"/>
          <w:sz w:val="28"/>
          <w:szCs w:val="28"/>
        </w:rPr>
        <w:t xml:space="preserve">(e non nella </w:t>
      </w:r>
      <w:r w:rsidR="00CA5757" w:rsidRPr="00746388">
        <w:rPr>
          <w:rFonts w:ascii="Times New Roman" w:hAnsi="Times New Roman" w:cs="Times New Roman"/>
          <w:i/>
          <w:iCs/>
          <w:sz w:val="28"/>
          <w:szCs w:val="28"/>
        </w:rPr>
        <w:t>self-</w:t>
      </w:r>
      <w:proofErr w:type="spellStart"/>
      <w:r w:rsidR="00CA5757" w:rsidRPr="00746388">
        <w:rPr>
          <w:rFonts w:ascii="Times New Roman" w:hAnsi="Times New Roman" w:cs="Times New Roman"/>
          <w:i/>
          <w:iCs/>
          <w:sz w:val="28"/>
          <w:szCs w:val="28"/>
        </w:rPr>
        <w:t>regulation</w:t>
      </w:r>
      <w:proofErr w:type="spellEnd"/>
      <w:r w:rsidR="00CA5757">
        <w:rPr>
          <w:rFonts w:ascii="Times New Roman" w:hAnsi="Times New Roman" w:cs="Times New Roman"/>
          <w:sz w:val="28"/>
          <w:szCs w:val="28"/>
        </w:rPr>
        <w:t xml:space="preserve">), nella </w:t>
      </w:r>
      <w:proofErr w:type="spellStart"/>
      <w:r w:rsidR="00CA5757" w:rsidRPr="00746388">
        <w:rPr>
          <w:rFonts w:ascii="Times New Roman" w:hAnsi="Times New Roman" w:cs="Times New Roman"/>
          <w:i/>
          <w:iCs/>
          <w:sz w:val="28"/>
          <w:szCs w:val="28"/>
        </w:rPr>
        <w:t>paideia</w:t>
      </w:r>
      <w:proofErr w:type="spellEnd"/>
      <w:r w:rsidR="00CA5757">
        <w:rPr>
          <w:rFonts w:ascii="Times New Roman" w:hAnsi="Times New Roman" w:cs="Times New Roman"/>
          <w:sz w:val="28"/>
          <w:szCs w:val="28"/>
        </w:rPr>
        <w:t>, ossia nella formazione digitale integrata, consapevole,</w:t>
      </w:r>
      <w:r w:rsidR="00DD196F">
        <w:rPr>
          <w:rFonts w:ascii="Times New Roman" w:hAnsi="Times New Roman" w:cs="Times New Roman"/>
          <w:sz w:val="28"/>
          <w:szCs w:val="28"/>
        </w:rPr>
        <w:t xml:space="preserve"> </w:t>
      </w:r>
      <w:r w:rsidR="00CA5757">
        <w:rPr>
          <w:rFonts w:ascii="Times New Roman" w:hAnsi="Times New Roman" w:cs="Times New Roman"/>
          <w:sz w:val="28"/>
          <w:szCs w:val="28"/>
        </w:rPr>
        <w:t>cont</w:t>
      </w:r>
      <w:r w:rsidR="00DD196F">
        <w:rPr>
          <w:rFonts w:ascii="Times New Roman" w:hAnsi="Times New Roman" w:cs="Times New Roman"/>
          <w:sz w:val="28"/>
          <w:szCs w:val="28"/>
        </w:rPr>
        <w:t>i</w:t>
      </w:r>
      <w:r w:rsidR="00CA5757">
        <w:rPr>
          <w:rFonts w:ascii="Times New Roman" w:hAnsi="Times New Roman" w:cs="Times New Roman"/>
          <w:sz w:val="28"/>
          <w:szCs w:val="28"/>
        </w:rPr>
        <w:t>n</w:t>
      </w:r>
      <w:r w:rsidR="00DD196F">
        <w:rPr>
          <w:rFonts w:ascii="Times New Roman" w:hAnsi="Times New Roman" w:cs="Times New Roman"/>
          <w:sz w:val="28"/>
          <w:szCs w:val="28"/>
        </w:rPr>
        <w:t>u</w:t>
      </w:r>
      <w:r w:rsidR="00CA5757">
        <w:rPr>
          <w:rFonts w:ascii="Times New Roman" w:hAnsi="Times New Roman" w:cs="Times New Roman"/>
          <w:sz w:val="28"/>
          <w:szCs w:val="28"/>
        </w:rPr>
        <w:t xml:space="preserve">a dei cittadini e nella collaborazione fra le varie Autorità </w:t>
      </w:r>
      <w:proofErr w:type="spellStart"/>
      <w:r w:rsidR="00CA5757">
        <w:rPr>
          <w:rFonts w:ascii="Times New Roman" w:hAnsi="Times New Roman" w:cs="Times New Roman"/>
          <w:sz w:val="28"/>
          <w:szCs w:val="28"/>
        </w:rPr>
        <w:t>regolatorie</w:t>
      </w:r>
      <w:proofErr w:type="spellEnd"/>
      <w:r w:rsidR="00E152DF">
        <w:rPr>
          <w:rFonts w:ascii="Times New Roman" w:hAnsi="Times New Roman" w:cs="Times New Roman"/>
          <w:sz w:val="28"/>
          <w:szCs w:val="28"/>
        </w:rPr>
        <w:t>,</w:t>
      </w:r>
      <w:r w:rsidR="00CA5757">
        <w:rPr>
          <w:rFonts w:ascii="Times New Roman" w:hAnsi="Times New Roman" w:cs="Times New Roman"/>
          <w:sz w:val="28"/>
          <w:szCs w:val="28"/>
        </w:rPr>
        <w:t xml:space="preserve"> per promuovere una tutela proattiva e preventiva della tutela dei dati.</w:t>
      </w:r>
    </w:p>
    <w:p w14:paraId="51B2C87D" w14:textId="77777777" w:rsidR="00E152DF" w:rsidRDefault="00E152DF" w:rsidP="00E152DF">
      <w:pPr>
        <w:spacing w:after="0"/>
        <w:jc w:val="both"/>
        <w:rPr>
          <w:rFonts w:ascii="Times New Roman" w:hAnsi="Times New Roman" w:cs="Times New Roman"/>
          <w:sz w:val="28"/>
          <w:szCs w:val="28"/>
        </w:rPr>
      </w:pPr>
    </w:p>
    <w:p w14:paraId="37F3F5E5" w14:textId="54FFAFE7" w:rsidR="009A5169" w:rsidRDefault="00DD196F" w:rsidP="00746388">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Il Consiglio di Stato è la giurisdizione che </w:t>
      </w:r>
      <w:r w:rsidR="00F37B25">
        <w:rPr>
          <w:rFonts w:ascii="Times New Roman" w:hAnsi="Times New Roman" w:cs="Times New Roman"/>
          <w:sz w:val="28"/>
          <w:szCs w:val="28"/>
        </w:rPr>
        <w:t>ha affrontato in maniera più approfondita</w:t>
      </w:r>
      <w:r>
        <w:rPr>
          <w:rFonts w:ascii="Times New Roman" w:hAnsi="Times New Roman" w:cs="Times New Roman"/>
          <w:sz w:val="28"/>
          <w:szCs w:val="28"/>
        </w:rPr>
        <w:t xml:space="preserve"> il cambiamento dell’Amministrazione 4.0</w:t>
      </w:r>
      <w:r w:rsidR="00F37B25">
        <w:rPr>
          <w:rFonts w:ascii="Times New Roman" w:hAnsi="Times New Roman" w:cs="Times New Roman"/>
          <w:sz w:val="28"/>
          <w:szCs w:val="28"/>
        </w:rPr>
        <w:t>, giungendo ad analizzare la</w:t>
      </w:r>
      <w:r w:rsidR="00277165">
        <w:rPr>
          <w:rFonts w:ascii="Times New Roman" w:hAnsi="Times New Roman" w:cs="Times New Roman"/>
          <w:sz w:val="28"/>
          <w:szCs w:val="28"/>
        </w:rPr>
        <w:t xml:space="preserve"> c</w:t>
      </w:r>
      <w:r w:rsidR="00F7605E">
        <w:rPr>
          <w:rFonts w:ascii="Times New Roman" w:hAnsi="Times New Roman" w:cs="Times New Roman"/>
          <w:sz w:val="28"/>
          <w:szCs w:val="28"/>
        </w:rPr>
        <w:t>.</w:t>
      </w:r>
      <w:r w:rsidR="00277165">
        <w:rPr>
          <w:rFonts w:ascii="Times New Roman" w:hAnsi="Times New Roman" w:cs="Times New Roman"/>
          <w:sz w:val="28"/>
          <w:szCs w:val="28"/>
        </w:rPr>
        <w:t>d</w:t>
      </w:r>
      <w:r w:rsidR="00F7605E">
        <w:rPr>
          <w:rFonts w:ascii="Times New Roman" w:hAnsi="Times New Roman" w:cs="Times New Roman"/>
          <w:sz w:val="28"/>
          <w:szCs w:val="28"/>
        </w:rPr>
        <w:t>.</w:t>
      </w:r>
      <w:r w:rsidR="00277165">
        <w:rPr>
          <w:rFonts w:ascii="Times New Roman" w:hAnsi="Times New Roman" w:cs="Times New Roman"/>
          <w:sz w:val="28"/>
          <w:szCs w:val="28"/>
        </w:rPr>
        <w:t xml:space="preserve"> </w:t>
      </w:r>
      <w:proofErr w:type="spellStart"/>
      <w:r w:rsidR="00277165" w:rsidRPr="00277165">
        <w:rPr>
          <w:rFonts w:ascii="Times New Roman" w:hAnsi="Times New Roman" w:cs="Times New Roman"/>
          <w:i/>
          <w:iCs/>
          <w:sz w:val="28"/>
          <w:szCs w:val="28"/>
        </w:rPr>
        <w:t>tecnificazion</w:t>
      </w:r>
      <w:r w:rsidR="00277165">
        <w:rPr>
          <w:rFonts w:ascii="Times New Roman" w:hAnsi="Times New Roman" w:cs="Times New Roman"/>
          <w:sz w:val="28"/>
          <w:szCs w:val="28"/>
        </w:rPr>
        <w:t>e</w:t>
      </w:r>
      <w:proofErr w:type="spellEnd"/>
      <w:r w:rsidR="00277165">
        <w:rPr>
          <w:rFonts w:ascii="Times New Roman" w:hAnsi="Times New Roman" w:cs="Times New Roman"/>
          <w:sz w:val="28"/>
          <w:szCs w:val="28"/>
        </w:rPr>
        <w:t xml:space="preserve"> dei principi amministrativi</w:t>
      </w:r>
      <w:r>
        <w:rPr>
          <w:rFonts w:ascii="Times New Roman" w:hAnsi="Times New Roman" w:cs="Times New Roman"/>
          <w:sz w:val="28"/>
          <w:szCs w:val="28"/>
        </w:rPr>
        <w:t>:</w:t>
      </w:r>
      <w:r w:rsidR="00746388">
        <w:rPr>
          <w:rFonts w:ascii="Times New Roman" w:hAnsi="Times New Roman" w:cs="Times New Roman"/>
          <w:sz w:val="28"/>
          <w:szCs w:val="28"/>
        </w:rPr>
        <w:t xml:space="preserve"> </w:t>
      </w:r>
      <w:r>
        <w:rPr>
          <w:rFonts w:ascii="Times New Roman" w:hAnsi="Times New Roman" w:cs="Times New Roman"/>
          <w:sz w:val="28"/>
          <w:szCs w:val="28"/>
        </w:rPr>
        <w:t>se, infatti, il XX secolo ha visto il passaggio dall’amministrazione tradizionale, caratterizzata dall’utilizzo della carta e macchina da scrivere, a un’amministrazione 2.0, che fa uso di computer e stampanti</w:t>
      </w:r>
      <w:r w:rsidR="00277165">
        <w:rPr>
          <w:rFonts w:ascii="Times New Roman" w:hAnsi="Times New Roman" w:cs="Times New Roman"/>
          <w:sz w:val="28"/>
          <w:szCs w:val="28"/>
        </w:rPr>
        <w:t>, per poi giungere, all’inizio del XXI secolo, nell’era dell’amministrazione digitale</w:t>
      </w:r>
      <w:r w:rsidR="00746388">
        <w:rPr>
          <w:rFonts w:ascii="Times New Roman" w:hAnsi="Times New Roman" w:cs="Times New Roman"/>
          <w:sz w:val="28"/>
          <w:szCs w:val="28"/>
        </w:rPr>
        <w:t xml:space="preserve"> </w:t>
      </w:r>
      <w:r w:rsidR="00277165">
        <w:rPr>
          <w:rFonts w:ascii="Times New Roman" w:hAnsi="Times New Roman" w:cs="Times New Roman"/>
          <w:sz w:val="28"/>
          <w:szCs w:val="28"/>
        </w:rPr>
        <w:t>3.0, nella quale il soggetto pubblico fa ampio ricorso alla comunicazione via internet, il nuovo processo al quale si comincia ad assistere è quello di un’attività amministrativa che</w:t>
      </w:r>
      <w:r w:rsidR="00E152DF">
        <w:rPr>
          <w:rFonts w:ascii="Times New Roman" w:hAnsi="Times New Roman" w:cs="Times New Roman"/>
          <w:sz w:val="28"/>
          <w:szCs w:val="28"/>
        </w:rPr>
        <w:t>,</w:t>
      </w:r>
      <w:r w:rsidR="00277165">
        <w:rPr>
          <w:rFonts w:ascii="Times New Roman" w:hAnsi="Times New Roman" w:cs="Times New Roman"/>
          <w:sz w:val="28"/>
          <w:szCs w:val="28"/>
        </w:rPr>
        <w:t xml:space="preserve"> sempre più frequentemente</w:t>
      </w:r>
      <w:r w:rsidR="00E152DF">
        <w:rPr>
          <w:rFonts w:ascii="Times New Roman" w:hAnsi="Times New Roman" w:cs="Times New Roman"/>
          <w:sz w:val="28"/>
          <w:szCs w:val="28"/>
        </w:rPr>
        <w:t>,</w:t>
      </w:r>
      <w:r w:rsidR="00277165">
        <w:rPr>
          <w:rFonts w:ascii="Times New Roman" w:hAnsi="Times New Roman" w:cs="Times New Roman"/>
          <w:sz w:val="28"/>
          <w:szCs w:val="28"/>
        </w:rPr>
        <w:t xml:space="preserve"> ricorre a forme di automazione della decisione amministrativa. Si pensi al procedimento per la formazione delle liste dei professori universitari che possono far parte delle commissioni per l’ASN (Abilitazione scientifica nazionale)</w:t>
      </w:r>
      <w:r w:rsidR="00746388">
        <w:rPr>
          <w:rStyle w:val="Rimandonotaapidipagina"/>
          <w:rFonts w:ascii="Times New Roman" w:hAnsi="Times New Roman" w:cs="Times New Roman"/>
          <w:sz w:val="28"/>
          <w:szCs w:val="28"/>
        </w:rPr>
        <w:footnoteReference w:id="17"/>
      </w:r>
      <w:r w:rsidR="00746388">
        <w:rPr>
          <w:rFonts w:ascii="Times New Roman" w:hAnsi="Times New Roman" w:cs="Times New Roman"/>
          <w:sz w:val="28"/>
          <w:szCs w:val="28"/>
        </w:rPr>
        <w:t xml:space="preserve">. </w:t>
      </w:r>
      <w:r w:rsidR="00F37B25" w:rsidRPr="00F37B25">
        <w:rPr>
          <w:rFonts w:ascii="Times New Roman" w:hAnsi="Times New Roman" w:cs="Times New Roman"/>
          <w:sz w:val="28"/>
          <w:szCs w:val="28"/>
        </w:rPr>
        <w:t>Tale ipotesi</w:t>
      </w:r>
      <w:r w:rsidR="00F37B25">
        <w:rPr>
          <w:rFonts w:ascii="Times New Roman" w:hAnsi="Times New Roman" w:cs="Times New Roman"/>
          <w:sz w:val="28"/>
          <w:szCs w:val="28"/>
        </w:rPr>
        <w:t xml:space="preserve"> è un esempio di </w:t>
      </w:r>
      <w:r w:rsidR="00F7605E">
        <w:rPr>
          <w:rFonts w:ascii="Times New Roman" w:hAnsi="Times New Roman" w:cs="Times New Roman"/>
          <w:sz w:val="28"/>
          <w:szCs w:val="28"/>
        </w:rPr>
        <w:t>«</w:t>
      </w:r>
      <w:r w:rsidR="00F37B25">
        <w:rPr>
          <w:rFonts w:ascii="Times New Roman" w:hAnsi="Times New Roman" w:cs="Times New Roman"/>
          <w:sz w:val="28"/>
          <w:szCs w:val="28"/>
        </w:rPr>
        <w:t>automazione del provvedimento</w:t>
      </w:r>
      <w:r w:rsidR="00F7605E">
        <w:rPr>
          <w:rFonts w:ascii="Times New Roman" w:hAnsi="Times New Roman" w:cs="Times New Roman"/>
          <w:sz w:val="28"/>
          <w:szCs w:val="28"/>
        </w:rPr>
        <w:t>»</w:t>
      </w:r>
      <w:r w:rsidR="00F37B25">
        <w:rPr>
          <w:rFonts w:ascii="Times New Roman" w:hAnsi="Times New Roman" w:cs="Times New Roman"/>
          <w:sz w:val="28"/>
          <w:szCs w:val="28"/>
        </w:rPr>
        <w:t xml:space="preserve"> per la dichiarazione di “</w:t>
      </w:r>
      <w:proofErr w:type="spellStart"/>
      <w:r w:rsidR="00F37B25">
        <w:rPr>
          <w:rFonts w:ascii="Times New Roman" w:hAnsi="Times New Roman" w:cs="Times New Roman"/>
          <w:sz w:val="28"/>
          <w:szCs w:val="28"/>
        </w:rPr>
        <w:t>sorteggiabilità</w:t>
      </w:r>
      <w:proofErr w:type="spellEnd"/>
      <w:r w:rsidR="00F37B25">
        <w:rPr>
          <w:rFonts w:ascii="Times New Roman" w:hAnsi="Times New Roman" w:cs="Times New Roman"/>
          <w:sz w:val="28"/>
          <w:szCs w:val="28"/>
        </w:rPr>
        <w:t>” di quanti aspirino a divenire commissari</w:t>
      </w:r>
      <w:r w:rsidR="00E152DF">
        <w:rPr>
          <w:rFonts w:ascii="Times New Roman" w:hAnsi="Times New Roman" w:cs="Times New Roman"/>
          <w:sz w:val="28"/>
          <w:szCs w:val="28"/>
        </w:rPr>
        <w:t>,</w:t>
      </w:r>
      <w:r w:rsidR="00F37B25">
        <w:rPr>
          <w:rFonts w:ascii="Times New Roman" w:hAnsi="Times New Roman" w:cs="Times New Roman"/>
          <w:sz w:val="28"/>
          <w:szCs w:val="28"/>
        </w:rPr>
        <w:t xml:space="preserve"> nel procedimento di attribuzione dell’abilitazione scientifica per rivestire il ruolo di professore universitario.</w:t>
      </w:r>
      <w:r w:rsidR="00F37B25">
        <w:rPr>
          <w:rFonts w:ascii="Times New Roman" w:hAnsi="Times New Roman" w:cs="Times New Roman"/>
          <w:i/>
          <w:iCs/>
          <w:sz w:val="28"/>
          <w:szCs w:val="28"/>
        </w:rPr>
        <w:t xml:space="preserve"> </w:t>
      </w:r>
      <w:r w:rsidR="00995D4B">
        <w:rPr>
          <w:rFonts w:ascii="Times New Roman" w:hAnsi="Times New Roman" w:cs="Times New Roman"/>
          <w:i/>
          <w:iCs/>
          <w:sz w:val="28"/>
          <w:szCs w:val="28"/>
        </w:rPr>
        <w:t xml:space="preserve"> </w:t>
      </w:r>
      <w:r w:rsidR="00F37B25">
        <w:rPr>
          <w:rFonts w:ascii="Times New Roman" w:hAnsi="Times New Roman" w:cs="Times New Roman"/>
          <w:sz w:val="28"/>
          <w:szCs w:val="28"/>
        </w:rPr>
        <w:t>M</w:t>
      </w:r>
      <w:r w:rsidR="00995D4B" w:rsidRPr="00995D4B">
        <w:rPr>
          <w:rFonts w:ascii="Times New Roman" w:hAnsi="Times New Roman" w:cs="Times New Roman"/>
          <w:sz w:val="28"/>
          <w:szCs w:val="28"/>
        </w:rPr>
        <w:t xml:space="preserve">olti regolamenti </w:t>
      </w:r>
      <w:r w:rsidR="00A20A19" w:rsidRPr="00995D4B">
        <w:rPr>
          <w:rFonts w:ascii="Times New Roman" w:hAnsi="Times New Roman" w:cs="Times New Roman"/>
          <w:sz w:val="28"/>
          <w:szCs w:val="28"/>
        </w:rPr>
        <w:t>comunali</w:t>
      </w:r>
      <w:r w:rsidR="00A20A19">
        <w:rPr>
          <w:rFonts w:ascii="Times New Roman" w:hAnsi="Times New Roman" w:cs="Times New Roman"/>
          <w:i/>
          <w:iCs/>
          <w:sz w:val="28"/>
          <w:szCs w:val="28"/>
        </w:rPr>
        <w:t xml:space="preserve"> </w:t>
      </w:r>
      <w:r w:rsidR="00A20A19" w:rsidRPr="00A20A19">
        <w:rPr>
          <w:rFonts w:ascii="Times New Roman" w:hAnsi="Times New Roman" w:cs="Times New Roman"/>
          <w:sz w:val="28"/>
          <w:szCs w:val="28"/>
        </w:rPr>
        <w:t>ricorrono</w:t>
      </w:r>
      <w:r w:rsidR="00995D4B" w:rsidRPr="00995D4B">
        <w:rPr>
          <w:rFonts w:ascii="Times New Roman" w:hAnsi="Times New Roman" w:cs="Times New Roman"/>
          <w:sz w:val="28"/>
          <w:szCs w:val="28"/>
        </w:rPr>
        <w:t xml:space="preserve"> </w:t>
      </w:r>
      <w:r w:rsidR="00995D4B">
        <w:rPr>
          <w:rFonts w:ascii="Times New Roman" w:hAnsi="Times New Roman" w:cs="Times New Roman"/>
          <w:sz w:val="28"/>
          <w:szCs w:val="28"/>
        </w:rPr>
        <w:t>a un algoritmo al fine di determinare l’ammontare della sanzione paesaggistica, ai sensi dell’art.</w:t>
      </w:r>
      <w:r w:rsidR="00A20A19">
        <w:rPr>
          <w:rFonts w:ascii="Times New Roman" w:hAnsi="Times New Roman" w:cs="Times New Roman"/>
          <w:sz w:val="28"/>
          <w:szCs w:val="28"/>
        </w:rPr>
        <w:t xml:space="preserve"> </w:t>
      </w:r>
      <w:r w:rsidR="00995D4B">
        <w:rPr>
          <w:rFonts w:ascii="Times New Roman" w:hAnsi="Times New Roman" w:cs="Times New Roman"/>
          <w:sz w:val="28"/>
          <w:szCs w:val="28"/>
        </w:rPr>
        <w:t>167, comma 5, del D</w:t>
      </w:r>
      <w:r w:rsidR="00A20A19">
        <w:rPr>
          <w:rFonts w:ascii="Times New Roman" w:hAnsi="Times New Roman" w:cs="Times New Roman"/>
          <w:sz w:val="28"/>
          <w:szCs w:val="28"/>
        </w:rPr>
        <w:t>.</w:t>
      </w:r>
      <w:r w:rsidR="00995D4B">
        <w:rPr>
          <w:rFonts w:ascii="Times New Roman" w:hAnsi="Times New Roman" w:cs="Times New Roman"/>
          <w:sz w:val="28"/>
          <w:szCs w:val="28"/>
        </w:rPr>
        <w:t>lgs</w:t>
      </w:r>
      <w:r w:rsidR="00A20A19">
        <w:rPr>
          <w:rFonts w:ascii="Times New Roman" w:hAnsi="Times New Roman" w:cs="Times New Roman"/>
          <w:sz w:val="28"/>
          <w:szCs w:val="28"/>
        </w:rPr>
        <w:t>.</w:t>
      </w:r>
      <w:r w:rsidR="00995D4B">
        <w:rPr>
          <w:rFonts w:ascii="Times New Roman" w:hAnsi="Times New Roman" w:cs="Times New Roman"/>
          <w:sz w:val="28"/>
          <w:szCs w:val="28"/>
        </w:rPr>
        <w:t xml:space="preserve"> 42 del 2004</w:t>
      </w:r>
      <w:r w:rsidR="00231AC6">
        <w:rPr>
          <w:rFonts w:ascii="Times New Roman" w:hAnsi="Times New Roman" w:cs="Times New Roman"/>
          <w:sz w:val="28"/>
          <w:szCs w:val="28"/>
        </w:rPr>
        <w:t>.</w:t>
      </w:r>
      <w:r w:rsidR="00995D4B">
        <w:rPr>
          <w:rFonts w:ascii="Times New Roman" w:hAnsi="Times New Roman" w:cs="Times New Roman"/>
          <w:sz w:val="28"/>
          <w:szCs w:val="28"/>
        </w:rPr>
        <w:t xml:space="preserve"> </w:t>
      </w:r>
      <w:r w:rsidR="00231AC6">
        <w:rPr>
          <w:rFonts w:ascii="Times New Roman" w:hAnsi="Times New Roman" w:cs="Times New Roman"/>
          <w:sz w:val="28"/>
          <w:szCs w:val="28"/>
        </w:rPr>
        <w:t>A</w:t>
      </w:r>
      <w:r w:rsidR="00995D4B">
        <w:rPr>
          <w:rFonts w:ascii="Times New Roman" w:hAnsi="Times New Roman" w:cs="Times New Roman"/>
          <w:sz w:val="28"/>
          <w:szCs w:val="28"/>
        </w:rPr>
        <w:t xml:space="preserve">ssai frequenti sono anche i provvedimenti di esclusione dalle procedure </w:t>
      </w:r>
      <w:r w:rsidR="00231AC6">
        <w:rPr>
          <w:rFonts w:ascii="Times New Roman" w:hAnsi="Times New Roman" w:cs="Times New Roman"/>
          <w:sz w:val="28"/>
          <w:szCs w:val="28"/>
        </w:rPr>
        <w:t>c</w:t>
      </w:r>
      <w:r w:rsidR="00995D4B">
        <w:rPr>
          <w:rFonts w:ascii="Times New Roman" w:hAnsi="Times New Roman" w:cs="Times New Roman"/>
          <w:sz w:val="28"/>
          <w:szCs w:val="28"/>
        </w:rPr>
        <w:t>oncorsuali, la cui domanda di partecipazione avviene attraverso una piattaforma informatica</w:t>
      </w:r>
      <w:r w:rsidR="00231AC6">
        <w:rPr>
          <w:rFonts w:ascii="Times New Roman" w:hAnsi="Times New Roman" w:cs="Times New Roman"/>
          <w:sz w:val="28"/>
          <w:szCs w:val="28"/>
        </w:rPr>
        <w:t>, materia che ha conosciuto un ricco contenzioso amministrativo maturato in tutte quelli ipotesi in cui viene disposta l’esclusione dalla procedura per problemi legati al cattivo funzionamento del sistema informatici. I</w:t>
      </w:r>
      <w:r w:rsidR="00995D4B">
        <w:rPr>
          <w:rFonts w:ascii="Times New Roman" w:hAnsi="Times New Roman" w:cs="Times New Roman"/>
          <w:sz w:val="28"/>
          <w:szCs w:val="28"/>
        </w:rPr>
        <w:t>n altri casi</w:t>
      </w:r>
      <w:r w:rsidR="00231AC6">
        <w:rPr>
          <w:rFonts w:ascii="Times New Roman" w:hAnsi="Times New Roman" w:cs="Times New Roman"/>
          <w:sz w:val="28"/>
          <w:szCs w:val="28"/>
        </w:rPr>
        <w:t xml:space="preserve"> ancora</w:t>
      </w:r>
      <w:r w:rsidR="00F7605E">
        <w:rPr>
          <w:rFonts w:ascii="Times New Roman" w:hAnsi="Times New Roman" w:cs="Times New Roman"/>
          <w:sz w:val="28"/>
          <w:szCs w:val="28"/>
        </w:rPr>
        <w:t>,</w:t>
      </w:r>
      <w:r w:rsidR="00995D4B">
        <w:rPr>
          <w:rFonts w:ascii="Times New Roman" w:hAnsi="Times New Roman" w:cs="Times New Roman"/>
          <w:sz w:val="28"/>
          <w:szCs w:val="28"/>
        </w:rPr>
        <w:t xml:space="preserve"> le amministrazioni hanno fatto ricorso a sistemi informatici per i provvedimenti di assegnazione delle farmacie</w:t>
      </w:r>
      <w:r w:rsidR="00E3451C">
        <w:rPr>
          <w:rStyle w:val="Rimandonotaapidipagina"/>
          <w:rFonts w:ascii="Times New Roman" w:hAnsi="Times New Roman" w:cs="Times New Roman"/>
          <w:sz w:val="28"/>
          <w:szCs w:val="28"/>
        </w:rPr>
        <w:footnoteReference w:id="18"/>
      </w:r>
      <w:r w:rsidR="00995D4B">
        <w:rPr>
          <w:rFonts w:ascii="Times New Roman" w:hAnsi="Times New Roman" w:cs="Times New Roman"/>
          <w:sz w:val="28"/>
          <w:szCs w:val="28"/>
        </w:rPr>
        <w:t>. Più di recente, il ricorso all’algoritmo si è avuto nella vicenda nota come la riforma della “buona scuola”.</w:t>
      </w:r>
      <w:r w:rsidR="00231AC6">
        <w:rPr>
          <w:rFonts w:ascii="Times New Roman" w:hAnsi="Times New Roman" w:cs="Times New Roman"/>
          <w:sz w:val="28"/>
          <w:szCs w:val="28"/>
        </w:rPr>
        <w:t xml:space="preserve"> Con la legge n.</w:t>
      </w:r>
      <w:r w:rsidR="00F7605E">
        <w:rPr>
          <w:rFonts w:ascii="Times New Roman" w:hAnsi="Times New Roman" w:cs="Times New Roman"/>
          <w:sz w:val="28"/>
          <w:szCs w:val="28"/>
        </w:rPr>
        <w:t xml:space="preserve"> </w:t>
      </w:r>
      <w:r w:rsidR="00231AC6">
        <w:rPr>
          <w:rFonts w:ascii="Times New Roman" w:hAnsi="Times New Roman" w:cs="Times New Roman"/>
          <w:sz w:val="28"/>
          <w:szCs w:val="28"/>
        </w:rPr>
        <w:t xml:space="preserve">107 del 2015, il </w:t>
      </w:r>
      <w:proofErr w:type="spellStart"/>
      <w:r w:rsidR="00231AC6">
        <w:rPr>
          <w:rFonts w:ascii="Times New Roman" w:hAnsi="Times New Roman" w:cs="Times New Roman"/>
          <w:sz w:val="28"/>
          <w:szCs w:val="28"/>
        </w:rPr>
        <w:t>Miur</w:t>
      </w:r>
      <w:proofErr w:type="spellEnd"/>
      <w:r w:rsidR="00231AC6">
        <w:rPr>
          <w:rFonts w:ascii="Times New Roman" w:hAnsi="Times New Roman" w:cs="Times New Roman"/>
          <w:sz w:val="28"/>
          <w:szCs w:val="28"/>
        </w:rPr>
        <w:t xml:space="preserve"> aveva avviato un Piano straordinario di assunzioni a tempo indeterminato e di mobilità su scala nazionale, </w:t>
      </w:r>
      <w:r w:rsidR="00231AC6">
        <w:rPr>
          <w:rFonts w:ascii="Times New Roman" w:hAnsi="Times New Roman" w:cs="Times New Roman"/>
          <w:sz w:val="28"/>
          <w:szCs w:val="28"/>
        </w:rPr>
        <w:lastRenderedPageBreak/>
        <w:t>riguardante la scuola primaria e secondaria, nell’ambito di un progetto complessivo di riforma della scuola. Le assunzioni erano avvenute anche attraverso un piano di trasferimenti interprovinciali del personale docente (c</w:t>
      </w:r>
      <w:r w:rsidR="00F7605E">
        <w:rPr>
          <w:rFonts w:ascii="Times New Roman" w:hAnsi="Times New Roman" w:cs="Times New Roman"/>
          <w:sz w:val="28"/>
          <w:szCs w:val="28"/>
        </w:rPr>
        <w:t>.</w:t>
      </w:r>
      <w:r w:rsidR="00231AC6">
        <w:rPr>
          <w:rFonts w:ascii="Times New Roman" w:hAnsi="Times New Roman" w:cs="Times New Roman"/>
          <w:sz w:val="28"/>
          <w:szCs w:val="28"/>
        </w:rPr>
        <w:t xml:space="preserve">d. mobilità della “buona scuola”), la cui gestione è stata attuata attraverso </w:t>
      </w:r>
      <w:r w:rsidR="00A144B0">
        <w:rPr>
          <w:rFonts w:ascii="Times New Roman" w:hAnsi="Times New Roman" w:cs="Times New Roman"/>
          <w:sz w:val="28"/>
          <w:szCs w:val="28"/>
        </w:rPr>
        <w:t xml:space="preserve">il ricorso a un codice sorgente, elaborato da una società privata, la HPE Services </w:t>
      </w:r>
      <w:r w:rsidR="00F7605E">
        <w:rPr>
          <w:rFonts w:ascii="Times New Roman" w:hAnsi="Times New Roman" w:cs="Times New Roman"/>
          <w:sz w:val="28"/>
          <w:szCs w:val="28"/>
        </w:rPr>
        <w:t>S.r.l.</w:t>
      </w:r>
      <w:r w:rsidR="00A144B0">
        <w:rPr>
          <w:rFonts w:ascii="Times New Roman" w:hAnsi="Times New Roman" w:cs="Times New Roman"/>
          <w:sz w:val="28"/>
          <w:szCs w:val="28"/>
        </w:rPr>
        <w:t xml:space="preserve">, su incarico del </w:t>
      </w:r>
      <w:proofErr w:type="spellStart"/>
      <w:r w:rsidR="00A144B0">
        <w:rPr>
          <w:rFonts w:ascii="Times New Roman" w:hAnsi="Times New Roman" w:cs="Times New Roman"/>
          <w:sz w:val="28"/>
          <w:szCs w:val="28"/>
        </w:rPr>
        <w:t>Miur</w:t>
      </w:r>
      <w:proofErr w:type="spellEnd"/>
      <w:r w:rsidR="00A144B0">
        <w:rPr>
          <w:rFonts w:ascii="Times New Roman" w:hAnsi="Times New Roman" w:cs="Times New Roman"/>
          <w:sz w:val="28"/>
          <w:szCs w:val="28"/>
        </w:rPr>
        <w:t>, al fine di consentire all’amministrazione di svolgere più agevolmente la complessa procedura di mobilità dei docenti. In questa vicenda</w:t>
      </w:r>
      <w:r w:rsidR="00AA178E">
        <w:rPr>
          <w:rFonts w:ascii="Times New Roman" w:hAnsi="Times New Roman" w:cs="Times New Roman"/>
          <w:sz w:val="28"/>
          <w:szCs w:val="28"/>
        </w:rPr>
        <w:t>,</w:t>
      </w:r>
      <w:r w:rsidR="00A144B0">
        <w:rPr>
          <w:rFonts w:ascii="Times New Roman" w:hAnsi="Times New Roman" w:cs="Times New Roman"/>
          <w:sz w:val="28"/>
          <w:szCs w:val="28"/>
        </w:rPr>
        <w:t xml:space="preserve"> l’algoritmo aveva sostituito il procedimento amministrativo</w:t>
      </w:r>
      <w:r w:rsidR="00F7605E">
        <w:rPr>
          <w:rFonts w:ascii="Times New Roman" w:hAnsi="Times New Roman" w:cs="Times New Roman"/>
          <w:sz w:val="28"/>
          <w:szCs w:val="28"/>
        </w:rPr>
        <w:t>,</w:t>
      </w:r>
      <w:r w:rsidR="00A144B0">
        <w:rPr>
          <w:rFonts w:ascii="Times New Roman" w:hAnsi="Times New Roman" w:cs="Times New Roman"/>
          <w:sz w:val="28"/>
          <w:szCs w:val="28"/>
        </w:rPr>
        <w:t xml:space="preserve"> nel senso che, l’individuazione della sede spettante al singolo docente nell’ambito della mobilità è avvenuta attraverso l’implementazione del </w:t>
      </w:r>
      <w:proofErr w:type="gramStart"/>
      <w:r w:rsidR="00A144B0">
        <w:rPr>
          <w:rFonts w:ascii="Times New Roman" w:hAnsi="Times New Roman" w:cs="Times New Roman"/>
          <w:sz w:val="28"/>
          <w:szCs w:val="28"/>
        </w:rPr>
        <w:t>predetto</w:t>
      </w:r>
      <w:proofErr w:type="gramEnd"/>
      <w:r w:rsidR="00A144B0">
        <w:rPr>
          <w:rFonts w:ascii="Times New Roman" w:hAnsi="Times New Roman" w:cs="Times New Roman"/>
          <w:sz w:val="28"/>
          <w:szCs w:val="28"/>
        </w:rPr>
        <w:t xml:space="preserve"> algoritmo, per mezzo del codice sorgente, elaborato dalla società HPE Service </w:t>
      </w:r>
      <w:r w:rsidR="00F7605E">
        <w:rPr>
          <w:rFonts w:ascii="Times New Roman" w:hAnsi="Times New Roman" w:cs="Times New Roman"/>
          <w:sz w:val="28"/>
          <w:szCs w:val="28"/>
        </w:rPr>
        <w:t>S.r.l.</w:t>
      </w:r>
      <w:r w:rsidR="00A144B0">
        <w:rPr>
          <w:rFonts w:ascii="Times New Roman" w:hAnsi="Times New Roman" w:cs="Times New Roman"/>
          <w:sz w:val="28"/>
          <w:szCs w:val="28"/>
        </w:rPr>
        <w:t xml:space="preserve"> La vicenda è divenuta nota, anche perché dall’applicazione di tale algoritmo è scaturito un cospicuo contenzioso dinanzi al giudice amministrativo, nonché davanti al giudice del lavoro. </w:t>
      </w:r>
    </w:p>
    <w:p w14:paraId="2671E25E" w14:textId="373B0389" w:rsidR="00DD196F" w:rsidRDefault="00A144B0" w:rsidP="00AA178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Occorre </w:t>
      </w:r>
      <w:r w:rsidR="009A5169">
        <w:rPr>
          <w:rFonts w:ascii="Times New Roman" w:hAnsi="Times New Roman" w:cs="Times New Roman"/>
          <w:sz w:val="28"/>
          <w:szCs w:val="28"/>
        </w:rPr>
        <w:t xml:space="preserve">incentrare l’analisi sui profili di ammissibilità di </w:t>
      </w:r>
      <w:r w:rsidR="00E3451C">
        <w:rPr>
          <w:rFonts w:ascii="Times New Roman" w:hAnsi="Times New Roman" w:cs="Times New Roman"/>
          <w:sz w:val="28"/>
          <w:szCs w:val="28"/>
        </w:rPr>
        <w:t>tali forme variabili</w:t>
      </w:r>
      <w:r w:rsidR="009A5169">
        <w:rPr>
          <w:rFonts w:ascii="Times New Roman" w:hAnsi="Times New Roman" w:cs="Times New Roman"/>
          <w:sz w:val="28"/>
          <w:szCs w:val="28"/>
        </w:rPr>
        <w:t xml:space="preserve"> di decisioni automatizzate, per ricondurre a sistema le principali questioni di integrazione dell’algoritmo con </w:t>
      </w:r>
      <w:r w:rsidR="00E3451C">
        <w:rPr>
          <w:rFonts w:ascii="Times New Roman" w:hAnsi="Times New Roman" w:cs="Times New Roman"/>
          <w:sz w:val="28"/>
          <w:szCs w:val="28"/>
        </w:rPr>
        <w:t>i principi</w:t>
      </w:r>
      <w:r w:rsidR="009A5169">
        <w:rPr>
          <w:rFonts w:ascii="Times New Roman" w:hAnsi="Times New Roman" w:cs="Times New Roman"/>
          <w:sz w:val="28"/>
          <w:szCs w:val="28"/>
        </w:rPr>
        <w:t xml:space="preserve"> del diritto amministrativo ad esso sottesi: in particolare</w:t>
      </w:r>
      <w:r w:rsidR="00AA178E">
        <w:rPr>
          <w:rFonts w:ascii="Times New Roman" w:hAnsi="Times New Roman" w:cs="Times New Roman"/>
          <w:sz w:val="28"/>
          <w:szCs w:val="28"/>
        </w:rPr>
        <w:t>,</w:t>
      </w:r>
      <w:r w:rsidR="009A5169">
        <w:rPr>
          <w:rFonts w:ascii="Times New Roman" w:hAnsi="Times New Roman" w:cs="Times New Roman"/>
          <w:sz w:val="28"/>
          <w:szCs w:val="28"/>
        </w:rPr>
        <w:t xml:space="preserve"> l’individuazione dei criteri di imputazione e le conseguenti forme di responsabilità a cui le stesse rimandano.</w:t>
      </w:r>
    </w:p>
    <w:p w14:paraId="7931A98D" w14:textId="52EDC16A" w:rsidR="005F7C1F" w:rsidRDefault="00C0262E" w:rsidP="00AA178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È</w:t>
      </w:r>
      <w:r w:rsidR="009A5169">
        <w:rPr>
          <w:rFonts w:ascii="Times New Roman" w:hAnsi="Times New Roman" w:cs="Times New Roman"/>
          <w:sz w:val="28"/>
          <w:szCs w:val="28"/>
        </w:rPr>
        <w:t xml:space="preserve"> opinione diffusa</w:t>
      </w:r>
      <w:r w:rsidR="00F7605E">
        <w:rPr>
          <w:rFonts w:ascii="Times New Roman" w:hAnsi="Times New Roman" w:cs="Times New Roman"/>
          <w:sz w:val="28"/>
          <w:szCs w:val="28"/>
        </w:rPr>
        <w:t>,</w:t>
      </w:r>
      <w:r w:rsidR="009A5169">
        <w:rPr>
          <w:rFonts w:ascii="Times New Roman" w:hAnsi="Times New Roman" w:cs="Times New Roman"/>
          <w:sz w:val="28"/>
          <w:szCs w:val="28"/>
        </w:rPr>
        <w:t xml:space="preserve"> </w:t>
      </w:r>
      <w:r w:rsidR="00326A88">
        <w:rPr>
          <w:rFonts w:ascii="Times New Roman" w:hAnsi="Times New Roman" w:cs="Times New Roman"/>
          <w:sz w:val="28"/>
          <w:szCs w:val="28"/>
        </w:rPr>
        <w:t>sia dottrina che</w:t>
      </w:r>
      <w:r w:rsidR="009A5169">
        <w:rPr>
          <w:rFonts w:ascii="Times New Roman" w:hAnsi="Times New Roman" w:cs="Times New Roman"/>
          <w:sz w:val="28"/>
          <w:szCs w:val="28"/>
        </w:rPr>
        <w:t xml:space="preserve"> in giurisprudenza</w:t>
      </w:r>
      <w:r w:rsidR="00E3451C">
        <w:rPr>
          <w:rStyle w:val="Rimandonotaapidipagina"/>
          <w:rFonts w:ascii="Times New Roman" w:hAnsi="Times New Roman" w:cs="Times New Roman"/>
          <w:sz w:val="28"/>
          <w:szCs w:val="28"/>
        </w:rPr>
        <w:footnoteReference w:id="19"/>
      </w:r>
      <w:r w:rsidR="00F7605E">
        <w:rPr>
          <w:rFonts w:ascii="Times New Roman" w:hAnsi="Times New Roman" w:cs="Times New Roman"/>
          <w:sz w:val="28"/>
          <w:szCs w:val="28"/>
        </w:rPr>
        <w:t>,</w:t>
      </w:r>
      <w:r w:rsidR="00E3451C">
        <w:rPr>
          <w:rFonts w:ascii="Times New Roman" w:hAnsi="Times New Roman" w:cs="Times New Roman"/>
          <w:sz w:val="28"/>
          <w:szCs w:val="28"/>
        </w:rPr>
        <w:t xml:space="preserve"> </w:t>
      </w:r>
      <w:r w:rsidR="00326A88">
        <w:rPr>
          <w:rFonts w:ascii="Times New Roman" w:hAnsi="Times New Roman" w:cs="Times New Roman"/>
          <w:sz w:val="28"/>
          <w:szCs w:val="28"/>
        </w:rPr>
        <w:t xml:space="preserve">che il terreno di elezione della decisione amministrativa in forma automatizzata sarebbe quello dell’attività vincolata, mentre la stessa sarebbe preclusa nel campo dell’attività discrezionale. Ciò perché, l’attività vincolata di un’amministrazione implica la nota sequenza </w:t>
      </w:r>
      <w:r w:rsidR="00326A88" w:rsidRPr="005F7C1F">
        <w:rPr>
          <w:rFonts w:ascii="Times New Roman" w:hAnsi="Times New Roman" w:cs="Times New Roman"/>
          <w:i/>
          <w:iCs/>
          <w:sz w:val="28"/>
          <w:szCs w:val="28"/>
        </w:rPr>
        <w:t>norma-fatto-effetto</w:t>
      </w:r>
      <w:r w:rsidR="00326A88">
        <w:rPr>
          <w:rFonts w:ascii="Times New Roman" w:hAnsi="Times New Roman" w:cs="Times New Roman"/>
          <w:sz w:val="28"/>
          <w:szCs w:val="28"/>
        </w:rPr>
        <w:t>, tale per cui l’individuazione univoca ed incontrovertibile dei presupposti fissati dalla legge rende certa la conseguente decisione amministrativa</w:t>
      </w:r>
      <w:r>
        <w:rPr>
          <w:rStyle w:val="Rimandonotaapidipagina"/>
          <w:rFonts w:ascii="Times New Roman" w:hAnsi="Times New Roman" w:cs="Times New Roman"/>
          <w:sz w:val="28"/>
          <w:szCs w:val="28"/>
        </w:rPr>
        <w:footnoteReference w:id="20"/>
      </w:r>
      <w:r w:rsidR="00326A88">
        <w:rPr>
          <w:rFonts w:ascii="Times New Roman" w:hAnsi="Times New Roman" w:cs="Times New Roman"/>
          <w:sz w:val="28"/>
          <w:szCs w:val="28"/>
        </w:rPr>
        <w:t>.</w:t>
      </w:r>
      <w:r w:rsidR="003D7C2D">
        <w:rPr>
          <w:rFonts w:ascii="Times New Roman" w:hAnsi="Times New Roman" w:cs="Times New Roman"/>
          <w:sz w:val="28"/>
          <w:szCs w:val="28"/>
        </w:rPr>
        <w:t xml:space="preserve"> </w:t>
      </w:r>
      <w:r w:rsidR="00BC633A">
        <w:rPr>
          <w:rFonts w:ascii="Times New Roman" w:hAnsi="Times New Roman" w:cs="Times New Roman"/>
          <w:sz w:val="28"/>
          <w:szCs w:val="28"/>
        </w:rPr>
        <w:t>Per tale ragione</w:t>
      </w:r>
      <w:r w:rsidR="00AA178E">
        <w:rPr>
          <w:rFonts w:ascii="Times New Roman" w:hAnsi="Times New Roman" w:cs="Times New Roman"/>
          <w:sz w:val="28"/>
          <w:szCs w:val="28"/>
        </w:rPr>
        <w:t>,</w:t>
      </w:r>
      <w:r w:rsidR="00BC633A">
        <w:rPr>
          <w:rFonts w:ascii="Times New Roman" w:hAnsi="Times New Roman" w:cs="Times New Roman"/>
          <w:sz w:val="28"/>
          <w:szCs w:val="28"/>
        </w:rPr>
        <w:t xml:space="preserve"> è possibile per l’attività vincolata affidare a un </w:t>
      </w:r>
      <w:r w:rsidR="00BC633A" w:rsidRPr="00BC633A">
        <w:rPr>
          <w:rFonts w:ascii="Times New Roman" w:hAnsi="Times New Roman" w:cs="Times New Roman"/>
          <w:i/>
          <w:iCs/>
          <w:sz w:val="28"/>
          <w:szCs w:val="28"/>
        </w:rPr>
        <w:t xml:space="preserve">software </w:t>
      </w:r>
      <w:r w:rsidR="00BC633A" w:rsidRPr="00BC633A">
        <w:rPr>
          <w:rFonts w:ascii="Times New Roman" w:hAnsi="Times New Roman" w:cs="Times New Roman"/>
          <w:sz w:val="28"/>
          <w:szCs w:val="28"/>
        </w:rPr>
        <w:t>la costruzione dei passaggi necessari</w:t>
      </w:r>
      <w:r w:rsidR="00BC633A">
        <w:rPr>
          <w:rFonts w:ascii="Times New Roman" w:hAnsi="Times New Roman" w:cs="Times New Roman"/>
          <w:sz w:val="28"/>
          <w:szCs w:val="28"/>
        </w:rPr>
        <w:t xml:space="preserve">: si realizza così l’immissione di una serie di </w:t>
      </w:r>
      <w:r w:rsidR="00BC633A" w:rsidRPr="00BC633A">
        <w:rPr>
          <w:rFonts w:ascii="Times New Roman" w:hAnsi="Times New Roman" w:cs="Times New Roman"/>
          <w:i/>
          <w:iCs/>
          <w:sz w:val="28"/>
          <w:szCs w:val="28"/>
        </w:rPr>
        <w:t>input</w:t>
      </w:r>
      <w:r w:rsidR="00BC633A">
        <w:rPr>
          <w:rFonts w:ascii="Times New Roman" w:hAnsi="Times New Roman" w:cs="Times New Roman"/>
          <w:i/>
          <w:iCs/>
          <w:sz w:val="28"/>
          <w:szCs w:val="28"/>
        </w:rPr>
        <w:t xml:space="preserve">, </w:t>
      </w:r>
      <w:r w:rsidR="00BC633A" w:rsidRPr="00BC633A">
        <w:rPr>
          <w:rFonts w:ascii="Times New Roman" w:hAnsi="Times New Roman" w:cs="Times New Roman"/>
          <w:sz w:val="28"/>
          <w:szCs w:val="28"/>
        </w:rPr>
        <w:t>vale a dire di presupposti prede</w:t>
      </w:r>
      <w:r w:rsidR="00BC633A">
        <w:rPr>
          <w:rFonts w:ascii="Times New Roman" w:hAnsi="Times New Roman" w:cs="Times New Roman"/>
          <w:sz w:val="28"/>
          <w:szCs w:val="28"/>
        </w:rPr>
        <w:t>terminati dalla legge, cui segue lo svolgimento</w:t>
      </w:r>
      <w:r w:rsidR="00F7605E">
        <w:rPr>
          <w:rFonts w:ascii="Times New Roman" w:hAnsi="Times New Roman" w:cs="Times New Roman"/>
          <w:sz w:val="28"/>
          <w:szCs w:val="28"/>
        </w:rPr>
        <w:t xml:space="preserve"> «</w:t>
      </w:r>
      <w:r w:rsidR="00BC633A" w:rsidRPr="00BC633A">
        <w:rPr>
          <w:rFonts w:ascii="Times New Roman" w:hAnsi="Times New Roman" w:cs="Times New Roman"/>
          <w:i/>
          <w:iCs/>
          <w:sz w:val="28"/>
          <w:szCs w:val="28"/>
        </w:rPr>
        <w:t>di una serie finita di passi elementari</w:t>
      </w:r>
      <w:r w:rsidR="00F7605E">
        <w:rPr>
          <w:rFonts w:ascii="Times New Roman" w:hAnsi="Times New Roman" w:cs="Times New Roman"/>
          <w:sz w:val="28"/>
          <w:szCs w:val="28"/>
        </w:rPr>
        <w:t>»</w:t>
      </w:r>
      <w:r w:rsidR="00BC633A">
        <w:rPr>
          <w:rFonts w:ascii="Times New Roman" w:hAnsi="Times New Roman" w:cs="Times New Roman"/>
          <w:sz w:val="28"/>
          <w:szCs w:val="28"/>
        </w:rPr>
        <w:t xml:space="preserve">, cioè la verifica della sussistenza di quei presupposti nel caso di specie, </w:t>
      </w:r>
      <w:r w:rsidR="00BC633A">
        <w:rPr>
          <w:rFonts w:ascii="Times New Roman" w:hAnsi="Times New Roman" w:cs="Times New Roman"/>
          <w:sz w:val="28"/>
          <w:szCs w:val="28"/>
        </w:rPr>
        <w:lastRenderedPageBreak/>
        <w:t xml:space="preserve">per giungere alla </w:t>
      </w:r>
      <w:r w:rsidR="00F7605E">
        <w:rPr>
          <w:rFonts w:ascii="Times New Roman" w:hAnsi="Times New Roman" w:cs="Times New Roman"/>
          <w:sz w:val="28"/>
          <w:szCs w:val="28"/>
        </w:rPr>
        <w:t>«</w:t>
      </w:r>
      <w:r w:rsidR="00BC633A">
        <w:rPr>
          <w:rFonts w:ascii="Times New Roman" w:hAnsi="Times New Roman" w:cs="Times New Roman"/>
          <w:sz w:val="28"/>
          <w:szCs w:val="28"/>
        </w:rPr>
        <w:t>soluzione del problema</w:t>
      </w:r>
      <w:r w:rsidR="00F7605E">
        <w:rPr>
          <w:rFonts w:ascii="Times New Roman" w:hAnsi="Times New Roman" w:cs="Times New Roman"/>
          <w:sz w:val="28"/>
          <w:szCs w:val="28"/>
        </w:rPr>
        <w:t>»</w:t>
      </w:r>
      <w:r w:rsidR="00BC633A">
        <w:rPr>
          <w:rFonts w:ascii="Times New Roman" w:hAnsi="Times New Roman" w:cs="Times New Roman"/>
          <w:sz w:val="28"/>
          <w:szCs w:val="28"/>
        </w:rPr>
        <w:t xml:space="preserve">, che coincide con la decisione finale, o </w:t>
      </w:r>
      <w:r w:rsidR="00BC633A" w:rsidRPr="00BC633A">
        <w:rPr>
          <w:rFonts w:ascii="Times New Roman" w:hAnsi="Times New Roman" w:cs="Times New Roman"/>
          <w:i/>
          <w:iCs/>
          <w:sz w:val="28"/>
          <w:szCs w:val="28"/>
        </w:rPr>
        <w:t>output</w:t>
      </w:r>
      <w:r w:rsidRPr="00C0262E">
        <w:rPr>
          <w:rStyle w:val="Rimandonotaapidipagina"/>
          <w:rFonts w:ascii="Times New Roman" w:hAnsi="Times New Roman" w:cs="Times New Roman"/>
          <w:sz w:val="28"/>
          <w:szCs w:val="28"/>
        </w:rPr>
        <w:footnoteReference w:id="21"/>
      </w:r>
      <w:r w:rsidRPr="00C0262E">
        <w:rPr>
          <w:rFonts w:ascii="Times New Roman" w:hAnsi="Times New Roman" w:cs="Times New Roman"/>
          <w:sz w:val="28"/>
          <w:szCs w:val="28"/>
        </w:rPr>
        <w:t>.</w:t>
      </w:r>
      <w:r>
        <w:rPr>
          <w:rFonts w:ascii="Times New Roman" w:hAnsi="Times New Roman" w:cs="Times New Roman"/>
          <w:i/>
          <w:iCs/>
          <w:sz w:val="28"/>
          <w:szCs w:val="28"/>
        </w:rPr>
        <w:t xml:space="preserve"> </w:t>
      </w:r>
      <w:r w:rsidR="003237CC">
        <w:rPr>
          <w:rFonts w:ascii="Times New Roman" w:hAnsi="Times New Roman" w:cs="Times New Roman"/>
          <w:sz w:val="28"/>
          <w:szCs w:val="28"/>
        </w:rPr>
        <w:t>Al contrario</w:t>
      </w:r>
      <w:r w:rsidR="005F7C1F">
        <w:rPr>
          <w:rFonts w:ascii="Times New Roman" w:hAnsi="Times New Roman" w:cs="Times New Roman"/>
          <w:sz w:val="28"/>
          <w:szCs w:val="28"/>
        </w:rPr>
        <w:t>,</w:t>
      </w:r>
      <w:r w:rsidR="003237CC">
        <w:rPr>
          <w:rFonts w:ascii="Times New Roman" w:hAnsi="Times New Roman" w:cs="Times New Roman"/>
          <w:sz w:val="28"/>
          <w:szCs w:val="28"/>
        </w:rPr>
        <w:t xml:space="preserve"> una simile operazione</w:t>
      </w:r>
      <w:r w:rsidR="005F7C1F">
        <w:rPr>
          <w:rFonts w:ascii="Times New Roman" w:hAnsi="Times New Roman" w:cs="Times New Roman"/>
          <w:sz w:val="28"/>
          <w:szCs w:val="28"/>
        </w:rPr>
        <w:t xml:space="preserve"> non potrebbe trovare applicazione nell’ambito dell’attività discrezionale che, invece, implica la sequenza </w:t>
      </w:r>
      <w:r w:rsidR="005F7C1F" w:rsidRPr="005F7C1F">
        <w:rPr>
          <w:rFonts w:ascii="Times New Roman" w:hAnsi="Times New Roman" w:cs="Times New Roman"/>
          <w:i/>
          <w:iCs/>
          <w:sz w:val="28"/>
          <w:szCs w:val="28"/>
        </w:rPr>
        <w:t>norma-potere-effetto</w:t>
      </w:r>
      <w:r w:rsidR="005F7C1F">
        <w:rPr>
          <w:rFonts w:ascii="Times New Roman" w:hAnsi="Times New Roman" w:cs="Times New Roman"/>
          <w:i/>
          <w:iCs/>
          <w:sz w:val="28"/>
          <w:szCs w:val="28"/>
        </w:rPr>
        <w:t xml:space="preserve"> </w:t>
      </w:r>
      <w:r w:rsidR="005F7C1F" w:rsidRPr="005F7C1F">
        <w:rPr>
          <w:rFonts w:ascii="Times New Roman" w:hAnsi="Times New Roman" w:cs="Times New Roman"/>
          <w:sz w:val="28"/>
          <w:szCs w:val="28"/>
        </w:rPr>
        <w:t>e che</w:t>
      </w:r>
      <w:r w:rsidR="005F7C1F">
        <w:rPr>
          <w:rFonts w:ascii="Times New Roman" w:hAnsi="Times New Roman" w:cs="Times New Roman"/>
          <w:i/>
          <w:iCs/>
          <w:sz w:val="28"/>
          <w:szCs w:val="28"/>
        </w:rPr>
        <w:t xml:space="preserve"> </w:t>
      </w:r>
      <w:r w:rsidR="005F7C1F" w:rsidRPr="005F7C1F">
        <w:rPr>
          <w:rFonts w:ascii="Times New Roman" w:hAnsi="Times New Roman" w:cs="Times New Roman"/>
          <w:sz w:val="28"/>
          <w:szCs w:val="28"/>
        </w:rPr>
        <w:t>presuppone un apprezzamento</w:t>
      </w:r>
      <w:r w:rsidR="005F7C1F">
        <w:rPr>
          <w:rFonts w:ascii="Times New Roman" w:hAnsi="Times New Roman" w:cs="Times New Roman"/>
          <w:sz w:val="28"/>
          <w:szCs w:val="28"/>
        </w:rPr>
        <w:t xml:space="preserve"> e una valutazione comparativa di più interessi pubblici e privati, il cui svolgimento non può in alcun modo essere affidato alla macchina. </w:t>
      </w:r>
    </w:p>
    <w:p w14:paraId="4EB646CD" w14:textId="0621E6C3" w:rsidR="009A5169" w:rsidRDefault="005F7C1F" w:rsidP="00C0262E">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In realtà, la questione non è così semplice, non solo perché la distinzione sopra esposta tra attività vincolata e attività discrezionale non è </w:t>
      </w:r>
      <w:r w:rsidR="00657E09">
        <w:rPr>
          <w:rFonts w:ascii="Times New Roman" w:hAnsi="Times New Roman" w:cs="Times New Roman"/>
          <w:sz w:val="28"/>
          <w:szCs w:val="28"/>
        </w:rPr>
        <w:t>unanimemente</w:t>
      </w:r>
      <w:r>
        <w:rPr>
          <w:rFonts w:ascii="Times New Roman" w:hAnsi="Times New Roman" w:cs="Times New Roman"/>
          <w:sz w:val="28"/>
          <w:szCs w:val="28"/>
        </w:rPr>
        <w:t xml:space="preserve"> condivisa</w:t>
      </w:r>
      <w:r w:rsidR="00657E09">
        <w:rPr>
          <w:rStyle w:val="Rimandonotaapidipagina"/>
          <w:rFonts w:ascii="Times New Roman" w:hAnsi="Times New Roman" w:cs="Times New Roman"/>
          <w:sz w:val="28"/>
          <w:szCs w:val="28"/>
        </w:rPr>
        <w:footnoteReference w:id="22"/>
      </w:r>
      <w:r w:rsidR="00657E09">
        <w:rPr>
          <w:rFonts w:ascii="Times New Roman" w:hAnsi="Times New Roman" w:cs="Times New Roman"/>
          <w:sz w:val="28"/>
          <w:szCs w:val="28"/>
        </w:rPr>
        <w:t xml:space="preserve">, </w:t>
      </w:r>
      <w:r w:rsidR="00F627C8">
        <w:rPr>
          <w:rFonts w:ascii="Times New Roman" w:hAnsi="Times New Roman" w:cs="Times New Roman"/>
          <w:sz w:val="28"/>
          <w:szCs w:val="28"/>
        </w:rPr>
        <w:t>ma soprattutto perché, anche a volere ammettere che l’attività vincolata si presti maggiormente all’automazione della decisione, è pur vero che in taluni casi anche siffatta attività implica un processo di valutazione, o quantomeno di interpretazione, rispetto al presupposto che giustifica l’adozione dell’atto. Circostanza questa, che rimanda all’altra questione rilevante, ossia l’imputazione dell’atto automatizzato e la relativa responsabilità. Se, infatti, il ricorso alla procedura automatizzata da una macchina risponde a logiche di efficienza ed efficacia</w:t>
      </w:r>
      <w:r w:rsidR="00FE70C2">
        <w:rPr>
          <w:rFonts w:ascii="Times New Roman" w:hAnsi="Times New Roman" w:cs="Times New Roman"/>
          <w:sz w:val="28"/>
          <w:szCs w:val="28"/>
        </w:rPr>
        <w:t xml:space="preserve"> </w:t>
      </w:r>
      <w:r w:rsidR="00F627C8">
        <w:rPr>
          <w:rFonts w:ascii="Times New Roman" w:hAnsi="Times New Roman" w:cs="Times New Roman"/>
          <w:sz w:val="28"/>
          <w:szCs w:val="28"/>
        </w:rPr>
        <w:t xml:space="preserve">dell’azione amministrativa, sulla base del presupposto che, laddove l’attività tradizionalmente svolta dal funzionario venga affidata a una macchina, si riducono i tempi di realizzazione e si ottengono soluzioni certe ed esatte, ciò </w:t>
      </w:r>
      <w:r w:rsidR="00CC4E5C">
        <w:rPr>
          <w:rFonts w:ascii="Times New Roman" w:hAnsi="Times New Roman" w:cs="Times New Roman"/>
          <w:sz w:val="28"/>
          <w:szCs w:val="28"/>
        </w:rPr>
        <w:t xml:space="preserve">nonostante, a parte le frequenti ipotesi di fallibilità del </w:t>
      </w:r>
      <w:r w:rsidR="00CC4E5C" w:rsidRPr="00AA178E">
        <w:rPr>
          <w:rFonts w:ascii="Times New Roman" w:hAnsi="Times New Roman" w:cs="Times New Roman"/>
          <w:i/>
          <w:iCs/>
          <w:sz w:val="28"/>
          <w:szCs w:val="28"/>
        </w:rPr>
        <w:t>software</w:t>
      </w:r>
      <w:r w:rsidR="00CC4E5C">
        <w:rPr>
          <w:rFonts w:ascii="Times New Roman" w:hAnsi="Times New Roman" w:cs="Times New Roman"/>
          <w:sz w:val="28"/>
          <w:szCs w:val="28"/>
        </w:rPr>
        <w:t xml:space="preserve"> (vedi i casi frequenti di </w:t>
      </w:r>
      <w:proofErr w:type="spellStart"/>
      <w:r w:rsidR="00CC4E5C" w:rsidRPr="00CC4E5C">
        <w:rPr>
          <w:rFonts w:ascii="Times New Roman" w:hAnsi="Times New Roman" w:cs="Times New Roman"/>
          <w:i/>
          <w:iCs/>
          <w:sz w:val="28"/>
          <w:szCs w:val="28"/>
        </w:rPr>
        <w:t>malware</w:t>
      </w:r>
      <w:proofErr w:type="spellEnd"/>
      <w:r w:rsidR="00CC4E5C" w:rsidRPr="00CC4E5C">
        <w:rPr>
          <w:rFonts w:ascii="Times New Roman" w:hAnsi="Times New Roman" w:cs="Times New Roman"/>
          <w:i/>
          <w:iCs/>
          <w:sz w:val="28"/>
          <w:szCs w:val="28"/>
        </w:rPr>
        <w:t>)</w:t>
      </w:r>
      <w:r w:rsidR="00CC4E5C">
        <w:rPr>
          <w:rFonts w:ascii="Times New Roman" w:hAnsi="Times New Roman" w:cs="Times New Roman"/>
          <w:i/>
          <w:iCs/>
          <w:sz w:val="28"/>
          <w:szCs w:val="28"/>
        </w:rPr>
        <w:t>,</w:t>
      </w:r>
      <w:r w:rsidR="00657E09">
        <w:rPr>
          <w:rFonts w:ascii="Times New Roman" w:hAnsi="Times New Roman" w:cs="Times New Roman"/>
          <w:i/>
          <w:iCs/>
          <w:sz w:val="28"/>
          <w:szCs w:val="28"/>
        </w:rPr>
        <w:t xml:space="preserve"> </w:t>
      </w:r>
      <w:r w:rsidR="00CC4E5C" w:rsidRPr="00CC4E5C">
        <w:rPr>
          <w:rFonts w:ascii="Times New Roman" w:hAnsi="Times New Roman" w:cs="Times New Roman"/>
          <w:sz w:val="28"/>
          <w:szCs w:val="28"/>
        </w:rPr>
        <w:t>l’automazione</w:t>
      </w:r>
      <w:r w:rsidR="00CC4E5C">
        <w:rPr>
          <w:rFonts w:ascii="Times New Roman" w:hAnsi="Times New Roman" w:cs="Times New Roman"/>
          <w:sz w:val="28"/>
          <w:szCs w:val="28"/>
        </w:rPr>
        <w:t xml:space="preserve"> dell’attività amministrativa non può mai comportare la totale sostituzione dell’essere umano nelle scelte amministrative</w:t>
      </w:r>
      <w:r w:rsidR="00AA178E">
        <w:rPr>
          <w:rFonts w:ascii="Times New Roman" w:hAnsi="Times New Roman" w:cs="Times New Roman"/>
          <w:sz w:val="28"/>
          <w:szCs w:val="28"/>
        </w:rPr>
        <w:t>,</w:t>
      </w:r>
      <w:r w:rsidR="00CC4E5C" w:rsidRPr="00CC4E5C">
        <w:rPr>
          <w:rFonts w:ascii="Times New Roman" w:hAnsi="Times New Roman" w:cs="Times New Roman"/>
          <w:sz w:val="28"/>
          <w:szCs w:val="28"/>
        </w:rPr>
        <w:t xml:space="preserve"> </w:t>
      </w:r>
      <w:r w:rsidR="00CC4E5C">
        <w:rPr>
          <w:rFonts w:ascii="Times New Roman" w:hAnsi="Times New Roman" w:cs="Times New Roman"/>
          <w:sz w:val="28"/>
          <w:szCs w:val="28"/>
        </w:rPr>
        <w:t>e la stessa attività deve essere imputata all’amministrazione nel rispetto del principio i responsabilità.</w:t>
      </w:r>
      <w:r>
        <w:rPr>
          <w:rFonts w:ascii="Times New Roman" w:hAnsi="Times New Roman" w:cs="Times New Roman"/>
          <w:sz w:val="28"/>
          <w:szCs w:val="28"/>
        </w:rPr>
        <w:t xml:space="preserve"> </w:t>
      </w:r>
      <w:r w:rsidR="003237CC">
        <w:rPr>
          <w:rFonts w:ascii="Times New Roman" w:hAnsi="Times New Roman" w:cs="Times New Roman"/>
          <w:sz w:val="28"/>
          <w:szCs w:val="28"/>
        </w:rPr>
        <w:t>Il problema centrale è il carattere non neutrale dell’algoritmo e la sua scarsa trasparenza. Questa considerazione emerge in tutta la sua criticità nel caso della “buona scuola” che mi accingo a descrivere.</w:t>
      </w:r>
    </w:p>
    <w:p w14:paraId="7C87DE0E" w14:textId="77777777" w:rsidR="00F51693" w:rsidRDefault="00E2797C" w:rsidP="00F51693">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Una prima sentenza</w:t>
      </w:r>
      <w:r w:rsidR="00F51693">
        <w:rPr>
          <w:rStyle w:val="Rimandonotaapidipagina"/>
          <w:rFonts w:ascii="Times New Roman" w:hAnsi="Times New Roman" w:cs="Times New Roman"/>
          <w:sz w:val="28"/>
          <w:szCs w:val="28"/>
        </w:rPr>
        <w:footnoteReference w:id="23"/>
      </w:r>
      <w:r w:rsidR="00F51693">
        <w:rPr>
          <w:rFonts w:ascii="Times New Roman" w:hAnsi="Times New Roman" w:cs="Times New Roman"/>
          <w:sz w:val="28"/>
          <w:szCs w:val="28"/>
        </w:rPr>
        <w:t xml:space="preserve"> </w:t>
      </w:r>
      <w:r>
        <w:rPr>
          <w:rFonts w:ascii="Times New Roman" w:hAnsi="Times New Roman" w:cs="Times New Roman"/>
          <w:sz w:val="28"/>
          <w:szCs w:val="28"/>
        </w:rPr>
        <w:t>aveva avuto a</w:t>
      </w:r>
      <w:r w:rsidR="003E0177">
        <w:rPr>
          <w:rFonts w:ascii="Times New Roman" w:hAnsi="Times New Roman" w:cs="Times New Roman"/>
          <w:sz w:val="28"/>
          <w:szCs w:val="28"/>
        </w:rPr>
        <w:t>d</w:t>
      </w:r>
      <w:r>
        <w:rPr>
          <w:rFonts w:ascii="Times New Roman" w:hAnsi="Times New Roman" w:cs="Times New Roman"/>
          <w:sz w:val="28"/>
          <w:szCs w:val="28"/>
        </w:rPr>
        <w:t xml:space="preserve"> oggetto il diritto di accesso all’algoritmo. L’istanza di accesso era stata formulata da un’organizzazione sindacale ed era giustificata dalla necessità di garantire l’eventuale diritto di difesa degli iscritti alla stessa organizzazione, nell’eventualità di un’impugnazione del provvedimento di assegnazione della sede di docenza. Il </w:t>
      </w:r>
      <w:proofErr w:type="spellStart"/>
      <w:r>
        <w:rPr>
          <w:rFonts w:ascii="Times New Roman" w:hAnsi="Times New Roman" w:cs="Times New Roman"/>
          <w:sz w:val="28"/>
          <w:szCs w:val="28"/>
        </w:rPr>
        <w:t>Miur</w:t>
      </w:r>
      <w:proofErr w:type="spellEnd"/>
      <w:r>
        <w:rPr>
          <w:rFonts w:ascii="Times New Roman" w:hAnsi="Times New Roman" w:cs="Times New Roman"/>
          <w:sz w:val="28"/>
          <w:szCs w:val="28"/>
        </w:rPr>
        <w:t xml:space="preserve"> aveva esibito il documento descrittivo dell’algoritmo che gestiva il </w:t>
      </w:r>
      <w:r w:rsidRPr="00F51693">
        <w:rPr>
          <w:rFonts w:ascii="Times New Roman" w:hAnsi="Times New Roman" w:cs="Times New Roman"/>
          <w:i/>
          <w:iCs/>
          <w:sz w:val="28"/>
          <w:szCs w:val="28"/>
        </w:rPr>
        <w:t>software</w:t>
      </w:r>
      <w:r>
        <w:rPr>
          <w:rFonts w:ascii="Times New Roman" w:hAnsi="Times New Roman" w:cs="Times New Roman"/>
          <w:sz w:val="28"/>
          <w:szCs w:val="28"/>
        </w:rPr>
        <w:t xml:space="preserve">, negando, invece, l’accesso al codice sorgente, in quanto riteneva che lo stesso dovesse essere protetto dai principi in materia di proprietà intellettuale. Il </w:t>
      </w:r>
      <w:r w:rsidR="00657E09">
        <w:rPr>
          <w:rFonts w:ascii="Times New Roman" w:hAnsi="Times New Roman" w:cs="Times New Roman"/>
          <w:sz w:val="28"/>
          <w:szCs w:val="28"/>
        </w:rPr>
        <w:t>T</w:t>
      </w:r>
      <w:r>
        <w:rPr>
          <w:rFonts w:ascii="Times New Roman" w:hAnsi="Times New Roman" w:cs="Times New Roman"/>
          <w:sz w:val="28"/>
          <w:szCs w:val="28"/>
        </w:rPr>
        <w:t xml:space="preserve">ar ha, invece, consentito l’accesso, perché il </w:t>
      </w:r>
      <w:r w:rsidRPr="00F51693">
        <w:rPr>
          <w:rFonts w:ascii="Times New Roman" w:hAnsi="Times New Roman" w:cs="Times New Roman"/>
          <w:i/>
          <w:iCs/>
          <w:sz w:val="28"/>
          <w:szCs w:val="28"/>
        </w:rPr>
        <w:t>software</w:t>
      </w:r>
      <w:r>
        <w:rPr>
          <w:rFonts w:ascii="Times New Roman" w:hAnsi="Times New Roman" w:cs="Times New Roman"/>
          <w:sz w:val="28"/>
          <w:szCs w:val="28"/>
        </w:rPr>
        <w:t xml:space="preserve"> è il provvedimento amministrativo: nella ricostruzione fatta dai giudici si sostiene che </w:t>
      </w:r>
      <w:r w:rsidR="003E0177">
        <w:rPr>
          <w:rFonts w:ascii="Times New Roman" w:hAnsi="Times New Roman" w:cs="Times New Roman"/>
          <w:sz w:val="28"/>
          <w:szCs w:val="28"/>
        </w:rPr>
        <w:t>«</w:t>
      </w:r>
      <w:r w:rsidRPr="00E2797C">
        <w:rPr>
          <w:rFonts w:ascii="Times New Roman" w:hAnsi="Times New Roman" w:cs="Times New Roman"/>
          <w:i/>
          <w:iCs/>
          <w:sz w:val="28"/>
          <w:szCs w:val="28"/>
        </w:rPr>
        <w:t xml:space="preserve">l’algoritmo è diretta espressione </w:t>
      </w:r>
      <w:r w:rsidR="00494233">
        <w:rPr>
          <w:rFonts w:ascii="Times New Roman" w:hAnsi="Times New Roman" w:cs="Times New Roman"/>
          <w:i/>
          <w:iCs/>
          <w:sz w:val="28"/>
          <w:szCs w:val="28"/>
        </w:rPr>
        <w:t>dell’attività svolta dalla pubblica amministrazione che è indubbiamente attività di pubblico interesse</w:t>
      </w:r>
      <w:r w:rsidR="003E0177">
        <w:rPr>
          <w:rFonts w:ascii="Times New Roman" w:hAnsi="Times New Roman" w:cs="Times New Roman"/>
          <w:i/>
          <w:iCs/>
          <w:sz w:val="28"/>
          <w:szCs w:val="28"/>
        </w:rPr>
        <w:t>,</w:t>
      </w:r>
      <w:r w:rsidR="00494233">
        <w:rPr>
          <w:rFonts w:ascii="Times New Roman" w:hAnsi="Times New Roman" w:cs="Times New Roman"/>
          <w:i/>
          <w:iCs/>
          <w:sz w:val="28"/>
          <w:szCs w:val="28"/>
        </w:rPr>
        <w:t xml:space="preserve"> in quanto relativo </w:t>
      </w:r>
      <w:r w:rsidR="00494233">
        <w:rPr>
          <w:rFonts w:ascii="Times New Roman" w:hAnsi="Times New Roman" w:cs="Times New Roman"/>
          <w:i/>
          <w:iCs/>
          <w:sz w:val="28"/>
          <w:szCs w:val="28"/>
        </w:rPr>
        <w:lastRenderedPageBreak/>
        <w:t>all’organizzazione del servizio di pubblica istruzione. Tale algoritmo è entrato nella procedura di mobilità quale elemento decisivo</w:t>
      </w:r>
      <w:r w:rsidR="003E0177">
        <w:rPr>
          <w:rFonts w:ascii="Times New Roman" w:hAnsi="Times New Roman" w:cs="Times New Roman"/>
          <w:i/>
          <w:iCs/>
          <w:sz w:val="28"/>
          <w:szCs w:val="28"/>
        </w:rPr>
        <w:t>»</w:t>
      </w:r>
      <w:r w:rsidR="00494233">
        <w:rPr>
          <w:rFonts w:ascii="Times New Roman" w:hAnsi="Times New Roman" w:cs="Times New Roman"/>
          <w:i/>
          <w:iCs/>
          <w:sz w:val="28"/>
          <w:szCs w:val="28"/>
        </w:rPr>
        <w:t xml:space="preserve">. </w:t>
      </w:r>
    </w:p>
    <w:p w14:paraId="66CCFF3D" w14:textId="25FFECE6" w:rsidR="00E2797C" w:rsidRDefault="00494233" w:rsidP="00F51693">
      <w:pPr>
        <w:tabs>
          <w:tab w:val="left" w:pos="8364"/>
        </w:tabs>
        <w:spacing w:after="0"/>
        <w:jc w:val="both"/>
        <w:rPr>
          <w:rFonts w:ascii="Times New Roman" w:hAnsi="Times New Roman" w:cs="Times New Roman"/>
          <w:sz w:val="28"/>
          <w:szCs w:val="28"/>
        </w:rPr>
      </w:pPr>
      <w:r w:rsidRPr="00494233">
        <w:rPr>
          <w:rFonts w:ascii="Times New Roman" w:hAnsi="Times New Roman" w:cs="Times New Roman"/>
          <w:sz w:val="28"/>
          <w:szCs w:val="28"/>
        </w:rPr>
        <w:t xml:space="preserve">Pur non condividendo </w:t>
      </w:r>
      <w:r>
        <w:rPr>
          <w:rFonts w:ascii="Times New Roman" w:hAnsi="Times New Roman" w:cs="Times New Roman"/>
          <w:sz w:val="28"/>
          <w:szCs w:val="28"/>
        </w:rPr>
        <w:t>del tutto la suddivisione sopra menzionata, secondo cui l’automazione della decisione amministrativa può essere ammessa nell’attività vincolata, ma non in caso di attività discrezionale, il Tar afferma che nel caso di specie si è, comunque, in presenza di attività vincolata, particolarmente complessa in considerazione degli innumerevoli elementi che devono essere valutati: ciò non comporta un apprezzamento discrezionale, trattandosi di elementi di tipo oggettivo e di immediato riscontro</w:t>
      </w:r>
      <w:r w:rsidR="003E0177">
        <w:rPr>
          <w:rFonts w:ascii="Times New Roman" w:hAnsi="Times New Roman" w:cs="Times New Roman"/>
          <w:sz w:val="28"/>
          <w:szCs w:val="28"/>
        </w:rPr>
        <w:t>,</w:t>
      </w:r>
      <w:r>
        <w:rPr>
          <w:rFonts w:ascii="Times New Roman" w:hAnsi="Times New Roman" w:cs="Times New Roman"/>
          <w:sz w:val="28"/>
          <w:szCs w:val="28"/>
        </w:rPr>
        <w:t xml:space="preserve"> che l’Amministrazione ha il dovere di acquisire al procedimento e di </w:t>
      </w:r>
      <w:proofErr w:type="spellStart"/>
      <w:r>
        <w:rPr>
          <w:rFonts w:ascii="Times New Roman" w:hAnsi="Times New Roman" w:cs="Times New Roman"/>
          <w:sz w:val="28"/>
          <w:szCs w:val="28"/>
        </w:rPr>
        <w:t>interrelazionare</w:t>
      </w:r>
      <w:proofErr w:type="spellEnd"/>
      <w:r>
        <w:rPr>
          <w:rFonts w:ascii="Times New Roman" w:hAnsi="Times New Roman" w:cs="Times New Roman"/>
          <w:sz w:val="28"/>
          <w:szCs w:val="28"/>
        </w:rPr>
        <w:t xml:space="preserve"> correttamente tra loro, ai fini dell’adozione dell’atto finale. Dunque, nel caso considerato, il </w:t>
      </w:r>
      <w:r w:rsidRPr="00F51693">
        <w:rPr>
          <w:rFonts w:ascii="Times New Roman" w:hAnsi="Times New Roman" w:cs="Times New Roman"/>
          <w:i/>
          <w:iCs/>
          <w:sz w:val="28"/>
          <w:szCs w:val="28"/>
        </w:rPr>
        <w:t>software</w:t>
      </w:r>
      <w:r w:rsidR="003E0177">
        <w:rPr>
          <w:rFonts w:ascii="Times New Roman" w:hAnsi="Times New Roman" w:cs="Times New Roman"/>
          <w:sz w:val="28"/>
          <w:szCs w:val="28"/>
        </w:rPr>
        <w:t xml:space="preserve"> «</w:t>
      </w:r>
      <w:r w:rsidRPr="00494233">
        <w:rPr>
          <w:rFonts w:ascii="Times New Roman" w:hAnsi="Times New Roman" w:cs="Times New Roman"/>
          <w:i/>
          <w:iCs/>
          <w:sz w:val="28"/>
          <w:szCs w:val="28"/>
        </w:rPr>
        <w:t xml:space="preserve">assume </w:t>
      </w:r>
      <w:r>
        <w:rPr>
          <w:rFonts w:ascii="Times New Roman" w:hAnsi="Times New Roman" w:cs="Times New Roman"/>
          <w:i/>
          <w:iCs/>
          <w:sz w:val="28"/>
          <w:szCs w:val="28"/>
        </w:rPr>
        <w:t>una rilevanza centrale nel procedimento amministrativo</w:t>
      </w:r>
      <w:r w:rsidR="003E0177">
        <w:rPr>
          <w:rFonts w:ascii="Times New Roman" w:hAnsi="Times New Roman" w:cs="Times New Roman"/>
          <w:i/>
          <w:iCs/>
          <w:sz w:val="28"/>
          <w:szCs w:val="28"/>
        </w:rPr>
        <w:t>»</w:t>
      </w:r>
      <w:r>
        <w:rPr>
          <w:rFonts w:ascii="Times New Roman" w:hAnsi="Times New Roman" w:cs="Times New Roman"/>
          <w:i/>
          <w:iCs/>
          <w:sz w:val="28"/>
          <w:szCs w:val="28"/>
        </w:rPr>
        <w:t xml:space="preserve">. </w:t>
      </w:r>
      <w:r w:rsidRPr="00494233">
        <w:rPr>
          <w:rFonts w:ascii="Times New Roman" w:hAnsi="Times New Roman" w:cs="Times New Roman"/>
          <w:sz w:val="28"/>
          <w:szCs w:val="28"/>
        </w:rPr>
        <w:t xml:space="preserve">Tenuto conto che </w:t>
      </w:r>
      <w:r>
        <w:rPr>
          <w:rFonts w:ascii="Times New Roman" w:hAnsi="Times New Roman" w:cs="Times New Roman"/>
          <w:sz w:val="28"/>
          <w:szCs w:val="28"/>
        </w:rPr>
        <w:t xml:space="preserve">il </w:t>
      </w:r>
      <w:r w:rsidRPr="00F51693">
        <w:rPr>
          <w:rFonts w:ascii="Times New Roman" w:hAnsi="Times New Roman" w:cs="Times New Roman"/>
          <w:i/>
          <w:iCs/>
          <w:sz w:val="28"/>
          <w:szCs w:val="28"/>
        </w:rPr>
        <w:t>software</w:t>
      </w:r>
      <w:r>
        <w:rPr>
          <w:rFonts w:ascii="Times New Roman" w:hAnsi="Times New Roman" w:cs="Times New Roman"/>
          <w:sz w:val="28"/>
          <w:szCs w:val="28"/>
        </w:rPr>
        <w:t xml:space="preserve"> ha natura informatica, che la sua elaborazione è imputabile ad una società esterna e non all’amministrazione e che la sua funzione è di ausilio e di supporto </w:t>
      </w:r>
      <w:r w:rsidR="002D4C58">
        <w:rPr>
          <w:rFonts w:ascii="Times New Roman" w:hAnsi="Times New Roman" w:cs="Times New Roman"/>
          <w:sz w:val="28"/>
          <w:szCs w:val="28"/>
        </w:rPr>
        <w:t xml:space="preserve">rispetto all’attività dell’amministrazione e del funzionario, il Tar conclude nel senso che </w:t>
      </w:r>
      <w:r w:rsidR="003E0177">
        <w:rPr>
          <w:rFonts w:ascii="Times New Roman" w:hAnsi="Times New Roman" w:cs="Times New Roman"/>
          <w:i/>
          <w:iCs/>
          <w:sz w:val="28"/>
          <w:szCs w:val="28"/>
        </w:rPr>
        <w:t>«</w:t>
      </w:r>
      <w:r w:rsidR="002D4C58" w:rsidRPr="002D4C58">
        <w:rPr>
          <w:rFonts w:ascii="Times New Roman" w:hAnsi="Times New Roman" w:cs="Times New Roman"/>
          <w:i/>
          <w:iCs/>
          <w:sz w:val="28"/>
          <w:szCs w:val="28"/>
        </w:rPr>
        <w:t xml:space="preserve">è </w:t>
      </w:r>
      <w:r w:rsidR="002D4C58">
        <w:rPr>
          <w:rFonts w:ascii="Times New Roman" w:hAnsi="Times New Roman" w:cs="Times New Roman"/>
          <w:i/>
          <w:iCs/>
          <w:sz w:val="28"/>
          <w:szCs w:val="28"/>
        </w:rPr>
        <w:t>con il software che si concretizza la volontà finale dell’amministrazione procedente</w:t>
      </w:r>
      <w:r w:rsidR="003E0177">
        <w:rPr>
          <w:rFonts w:ascii="Times New Roman" w:hAnsi="Times New Roman" w:cs="Times New Roman"/>
          <w:sz w:val="28"/>
          <w:szCs w:val="28"/>
        </w:rPr>
        <w:t>»</w:t>
      </w:r>
      <w:r w:rsidR="002D4C58" w:rsidRPr="002D4C58">
        <w:rPr>
          <w:rFonts w:ascii="Times New Roman" w:hAnsi="Times New Roman" w:cs="Times New Roman"/>
          <w:sz w:val="28"/>
          <w:szCs w:val="28"/>
        </w:rPr>
        <w:t xml:space="preserve"> e</w:t>
      </w:r>
      <w:r w:rsidR="002D4C58">
        <w:rPr>
          <w:rFonts w:ascii="Times New Roman" w:hAnsi="Times New Roman" w:cs="Times New Roman"/>
          <w:i/>
          <w:iCs/>
          <w:sz w:val="28"/>
          <w:szCs w:val="28"/>
        </w:rPr>
        <w:t xml:space="preserve"> </w:t>
      </w:r>
      <w:r w:rsidR="003E0177">
        <w:rPr>
          <w:rFonts w:ascii="Times New Roman" w:hAnsi="Times New Roman" w:cs="Times New Roman"/>
          <w:i/>
          <w:iCs/>
          <w:sz w:val="28"/>
          <w:szCs w:val="28"/>
        </w:rPr>
        <w:t>«</w:t>
      </w:r>
      <w:r w:rsidR="002D4C58">
        <w:rPr>
          <w:rFonts w:ascii="Times New Roman" w:hAnsi="Times New Roman" w:cs="Times New Roman"/>
          <w:i/>
          <w:iCs/>
          <w:sz w:val="28"/>
          <w:szCs w:val="28"/>
        </w:rPr>
        <w:t>che l’amministrazione costituisce, modifica o estingue le situazioni giuridiche individuali</w:t>
      </w:r>
      <w:r w:rsidR="003E0177">
        <w:rPr>
          <w:rFonts w:ascii="Times New Roman" w:hAnsi="Times New Roman" w:cs="Times New Roman"/>
          <w:i/>
          <w:iCs/>
          <w:sz w:val="28"/>
          <w:szCs w:val="28"/>
        </w:rPr>
        <w:t>»</w:t>
      </w:r>
      <w:r w:rsidR="002D4C58">
        <w:rPr>
          <w:rFonts w:ascii="Times New Roman" w:hAnsi="Times New Roman" w:cs="Times New Roman"/>
          <w:i/>
          <w:iCs/>
          <w:sz w:val="28"/>
          <w:szCs w:val="28"/>
        </w:rPr>
        <w:t xml:space="preserve">. </w:t>
      </w:r>
      <w:r w:rsidR="002D4C58" w:rsidRPr="002D4C58">
        <w:rPr>
          <w:rFonts w:ascii="Times New Roman" w:hAnsi="Times New Roman" w:cs="Times New Roman"/>
          <w:sz w:val="28"/>
          <w:szCs w:val="28"/>
        </w:rPr>
        <w:t>Per tale ragione</w:t>
      </w:r>
      <w:r w:rsidR="003E0177">
        <w:rPr>
          <w:rFonts w:ascii="Times New Roman" w:hAnsi="Times New Roman" w:cs="Times New Roman"/>
          <w:sz w:val="28"/>
          <w:szCs w:val="28"/>
        </w:rPr>
        <w:t>,</w:t>
      </w:r>
      <w:r w:rsidR="002D4C58" w:rsidRPr="002D4C58">
        <w:rPr>
          <w:rFonts w:ascii="Times New Roman" w:hAnsi="Times New Roman" w:cs="Times New Roman"/>
          <w:sz w:val="28"/>
          <w:szCs w:val="28"/>
        </w:rPr>
        <w:t xml:space="preserve"> </w:t>
      </w:r>
      <w:r w:rsidR="002D4C58">
        <w:rPr>
          <w:rFonts w:ascii="Times New Roman" w:hAnsi="Times New Roman" w:cs="Times New Roman"/>
          <w:sz w:val="28"/>
          <w:szCs w:val="28"/>
        </w:rPr>
        <w:t>il Tar</w:t>
      </w:r>
      <w:r w:rsidR="00F51693">
        <w:rPr>
          <w:rFonts w:ascii="Times New Roman" w:hAnsi="Times New Roman" w:cs="Times New Roman"/>
          <w:sz w:val="28"/>
          <w:szCs w:val="28"/>
        </w:rPr>
        <w:t>,</w:t>
      </w:r>
      <w:r w:rsidR="002D4C58">
        <w:rPr>
          <w:rFonts w:ascii="Times New Roman" w:hAnsi="Times New Roman" w:cs="Times New Roman"/>
          <w:sz w:val="28"/>
          <w:szCs w:val="28"/>
        </w:rPr>
        <w:t xml:space="preserve"> con l’ordinanza soprarichiamata</w:t>
      </w:r>
      <w:r w:rsidR="00F51693">
        <w:rPr>
          <w:rFonts w:ascii="Times New Roman" w:hAnsi="Times New Roman" w:cs="Times New Roman"/>
          <w:sz w:val="28"/>
          <w:szCs w:val="28"/>
        </w:rPr>
        <w:t>,</w:t>
      </w:r>
      <w:r w:rsidR="002D4C58">
        <w:rPr>
          <w:rFonts w:ascii="Times New Roman" w:hAnsi="Times New Roman" w:cs="Times New Roman"/>
          <w:sz w:val="28"/>
          <w:szCs w:val="28"/>
        </w:rPr>
        <w:t xml:space="preserve"> ha ordinato la esibizione del </w:t>
      </w:r>
      <w:r w:rsidR="002D4C58" w:rsidRPr="00F51693">
        <w:rPr>
          <w:rFonts w:ascii="Times New Roman" w:hAnsi="Times New Roman" w:cs="Times New Roman"/>
          <w:i/>
          <w:iCs/>
          <w:sz w:val="28"/>
          <w:szCs w:val="28"/>
        </w:rPr>
        <w:t>software</w:t>
      </w:r>
      <w:r w:rsidR="002D4C58">
        <w:rPr>
          <w:rFonts w:ascii="Times New Roman" w:hAnsi="Times New Roman" w:cs="Times New Roman"/>
          <w:sz w:val="28"/>
          <w:szCs w:val="28"/>
        </w:rPr>
        <w:t>, annullando il diniego di accesso opposto dall’amministrazione.</w:t>
      </w:r>
    </w:p>
    <w:p w14:paraId="662FEAED" w14:textId="77777777" w:rsidR="00F51693" w:rsidRDefault="00F51693" w:rsidP="00F51693">
      <w:pPr>
        <w:tabs>
          <w:tab w:val="left" w:pos="8364"/>
        </w:tabs>
        <w:spacing w:after="0"/>
        <w:jc w:val="both"/>
        <w:rPr>
          <w:rFonts w:ascii="Times New Roman" w:hAnsi="Times New Roman" w:cs="Times New Roman"/>
          <w:sz w:val="28"/>
          <w:szCs w:val="28"/>
        </w:rPr>
      </w:pPr>
    </w:p>
    <w:p w14:paraId="7AEDB1ED" w14:textId="28052A0F" w:rsidR="00780F13" w:rsidRDefault="00FB3611" w:rsidP="00657E09">
      <w:pPr>
        <w:tabs>
          <w:tab w:val="left" w:pos="8364"/>
        </w:tabs>
        <w:jc w:val="both"/>
        <w:rPr>
          <w:rFonts w:ascii="Times New Roman" w:hAnsi="Times New Roman" w:cs="Times New Roman"/>
          <w:sz w:val="28"/>
          <w:szCs w:val="28"/>
        </w:rPr>
      </w:pPr>
      <w:r>
        <w:rPr>
          <w:rFonts w:ascii="Times New Roman" w:hAnsi="Times New Roman" w:cs="Times New Roman"/>
          <w:sz w:val="28"/>
          <w:szCs w:val="28"/>
        </w:rPr>
        <w:t>Diversa è, invece, l’impostazione seguita dal Tar i</w:t>
      </w:r>
      <w:r w:rsidR="00780F13">
        <w:rPr>
          <w:rFonts w:ascii="Times New Roman" w:hAnsi="Times New Roman" w:cs="Times New Roman"/>
          <w:sz w:val="28"/>
          <w:szCs w:val="28"/>
        </w:rPr>
        <w:t>n una diversa sentenza</w:t>
      </w:r>
      <w:r w:rsidR="00F51693">
        <w:rPr>
          <w:rStyle w:val="Rimandonotaapidipagina"/>
          <w:rFonts w:ascii="Times New Roman" w:hAnsi="Times New Roman" w:cs="Times New Roman"/>
          <w:sz w:val="28"/>
          <w:szCs w:val="28"/>
        </w:rPr>
        <w:footnoteReference w:id="24"/>
      </w:r>
      <w:r w:rsidR="00F51693">
        <w:rPr>
          <w:rFonts w:ascii="Times New Roman" w:hAnsi="Times New Roman" w:cs="Times New Roman"/>
          <w:sz w:val="28"/>
          <w:szCs w:val="28"/>
        </w:rPr>
        <w:t xml:space="preserve">, </w:t>
      </w:r>
      <w:r w:rsidR="00780F13">
        <w:rPr>
          <w:rFonts w:ascii="Times New Roman" w:hAnsi="Times New Roman" w:cs="Times New Roman"/>
          <w:sz w:val="28"/>
          <w:szCs w:val="28"/>
        </w:rPr>
        <w:t>sempre relativa alla vicenda della “buona scuola”, ma riguardante l’impugnazione della graduatoria di mobilità, nella quale i ricorrenti</w:t>
      </w:r>
      <w:r>
        <w:rPr>
          <w:rFonts w:ascii="Times New Roman" w:hAnsi="Times New Roman" w:cs="Times New Roman"/>
          <w:sz w:val="28"/>
          <w:szCs w:val="28"/>
        </w:rPr>
        <w:t xml:space="preserve"> contestavano il trasferimento in province più lontane da quella della propria residenza o da quella indicata come scelta prioritaria, sottolineando, soprattutto, il fatto che nelle </w:t>
      </w:r>
      <w:proofErr w:type="gramStart"/>
      <w:r>
        <w:rPr>
          <w:rFonts w:ascii="Times New Roman" w:hAnsi="Times New Roman" w:cs="Times New Roman"/>
          <w:sz w:val="28"/>
          <w:szCs w:val="28"/>
        </w:rPr>
        <w:t>predette</w:t>
      </w:r>
      <w:proofErr w:type="gramEnd"/>
      <w:r>
        <w:rPr>
          <w:rFonts w:ascii="Times New Roman" w:hAnsi="Times New Roman" w:cs="Times New Roman"/>
          <w:sz w:val="28"/>
          <w:szCs w:val="28"/>
        </w:rPr>
        <w:t xml:space="preserve"> province fossero presenti posti disponibili. In tal caso</w:t>
      </w:r>
      <w:r w:rsidR="00F51693">
        <w:rPr>
          <w:rFonts w:ascii="Times New Roman" w:hAnsi="Times New Roman" w:cs="Times New Roman"/>
          <w:sz w:val="28"/>
          <w:szCs w:val="28"/>
        </w:rPr>
        <w:t>,</w:t>
      </w:r>
      <w:r>
        <w:rPr>
          <w:rFonts w:ascii="Times New Roman" w:hAnsi="Times New Roman" w:cs="Times New Roman"/>
          <w:sz w:val="28"/>
          <w:szCs w:val="28"/>
        </w:rPr>
        <w:t xml:space="preserve"> i privati lamentavano prevalentemente l’assenza di ogni attività amministrativa, essendo stata integralmente affidata la decisione sulla mobilità alla procedura informatica. A differenza di quanto sostenuto nella precedente pronuncia, in tale caso il Tar ha stigmatizzato l’assenza </w:t>
      </w:r>
      <w:r w:rsidR="003E0177">
        <w:rPr>
          <w:rFonts w:ascii="Times New Roman" w:hAnsi="Times New Roman" w:cs="Times New Roman"/>
          <w:sz w:val="28"/>
          <w:szCs w:val="28"/>
        </w:rPr>
        <w:t>«</w:t>
      </w:r>
      <w:r w:rsidRPr="00FB3611">
        <w:rPr>
          <w:rFonts w:ascii="Times New Roman" w:hAnsi="Times New Roman" w:cs="Times New Roman"/>
          <w:i/>
          <w:iCs/>
          <w:sz w:val="28"/>
          <w:szCs w:val="28"/>
        </w:rPr>
        <w:t xml:space="preserve">di una vera </w:t>
      </w:r>
      <w:r>
        <w:rPr>
          <w:rFonts w:ascii="Times New Roman" w:hAnsi="Times New Roman" w:cs="Times New Roman"/>
          <w:i/>
          <w:iCs/>
          <w:sz w:val="28"/>
          <w:szCs w:val="28"/>
        </w:rPr>
        <w:t>e propria attività amministrativa, essendosi demandato a un impersonale algoritmo lo svolgimento dell’intera procedura di assegnazione dei docenti alle sedi disponibili</w:t>
      </w:r>
      <w:r w:rsidR="003E0177">
        <w:rPr>
          <w:rFonts w:ascii="Times New Roman" w:hAnsi="Times New Roman" w:cs="Times New Roman"/>
          <w:i/>
          <w:iCs/>
          <w:sz w:val="28"/>
          <w:szCs w:val="28"/>
        </w:rPr>
        <w:t>»</w:t>
      </w:r>
      <w:r>
        <w:rPr>
          <w:rFonts w:ascii="Times New Roman" w:hAnsi="Times New Roman" w:cs="Times New Roman"/>
          <w:i/>
          <w:iCs/>
          <w:sz w:val="28"/>
          <w:szCs w:val="28"/>
        </w:rPr>
        <w:t xml:space="preserve">, </w:t>
      </w:r>
      <w:r w:rsidRPr="00FB3611">
        <w:rPr>
          <w:rFonts w:ascii="Times New Roman" w:hAnsi="Times New Roman" w:cs="Times New Roman"/>
          <w:sz w:val="28"/>
          <w:szCs w:val="28"/>
        </w:rPr>
        <w:t>con evidente pregiudizio dei principi di trasparenza, di partecipazione e di imparzialità dell’amministrazione.</w:t>
      </w:r>
      <w:r>
        <w:rPr>
          <w:rFonts w:ascii="Times New Roman" w:hAnsi="Times New Roman" w:cs="Times New Roman"/>
          <w:sz w:val="28"/>
          <w:szCs w:val="28"/>
        </w:rPr>
        <w:t xml:space="preserve"> In tale vicenda il giudice amministrativo afferma che la procedura così automatizzata non può mai sostituire</w:t>
      </w:r>
      <w:r w:rsidR="003E0177">
        <w:rPr>
          <w:rFonts w:ascii="Times New Roman" w:hAnsi="Times New Roman" w:cs="Times New Roman"/>
          <w:sz w:val="28"/>
          <w:szCs w:val="28"/>
        </w:rPr>
        <w:t xml:space="preserve"> «</w:t>
      </w:r>
      <w:r w:rsidRPr="00FB3611">
        <w:rPr>
          <w:rFonts w:ascii="Times New Roman" w:hAnsi="Times New Roman" w:cs="Times New Roman"/>
          <w:i/>
          <w:iCs/>
          <w:sz w:val="28"/>
          <w:szCs w:val="28"/>
        </w:rPr>
        <w:t xml:space="preserve">l’attività cognitiva, acquisitiva e di giudizio che solo </w:t>
      </w:r>
      <w:r>
        <w:rPr>
          <w:rFonts w:ascii="Times New Roman" w:hAnsi="Times New Roman" w:cs="Times New Roman"/>
          <w:i/>
          <w:iCs/>
          <w:sz w:val="28"/>
          <w:szCs w:val="28"/>
        </w:rPr>
        <w:t>un’istruttoria affidata a un funzionario persona fisica è in grado di svolgere</w:t>
      </w:r>
      <w:r w:rsidR="003E0177">
        <w:rPr>
          <w:rFonts w:ascii="Times New Roman" w:hAnsi="Times New Roman" w:cs="Times New Roman"/>
          <w:i/>
          <w:iCs/>
          <w:sz w:val="28"/>
          <w:szCs w:val="28"/>
        </w:rPr>
        <w:t>»</w:t>
      </w:r>
      <w:r w:rsidR="001C366D">
        <w:rPr>
          <w:rFonts w:ascii="Times New Roman" w:hAnsi="Times New Roman" w:cs="Times New Roman"/>
          <w:i/>
          <w:iCs/>
          <w:sz w:val="28"/>
          <w:szCs w:val="28"/>
        </w:rPr>
        <w:t xml:space="preserve">, </w:t>
      </w:r>
      <w:r w:rsidR="001C366D" w:rsidRPr="001C366D">
        <w:rPr>
          <w:rFonts w:ascii="Times New Roman" w:hAnsi="Times New Roman" w:cs="Times New Roman"/>
          <w:sz w:val="28"/>
          <w:szCs w:val="28"/>
        </w:rPr>
        <w:t xml:space="preserve">anche e soprattutto </w:t>
      </w:r>
      <w:r w:rsidR="001C366D">
        <w:rPr>
          <w:rFonts w:ascii="Times New Roman" w:hAnsi="Times New Roman" w:cs="Times New Roman"/>
          <w:sz w:val="28"/>
          <w:szCs w:val="28"/>
        </w:rPr>
        <w:t>al fine di assicurare</w:t>
      </w:r>
      <w:r w:rsidR="003E0177">
        <w:rPr>
          <w:rFonts w:ascii="Times New Roman" w:hAnsi="Times New Roman" w:cs="Times New Roman"/>
          <w:sz w:val="28"/>
          <w:szCs w:val="28"/>
        </w:rPr>
        <w:t xml:space="preserve"> «</w:t>
      </w:r>
      <w:r w:rsidR="001C366D" w:rsidRPr="001C366D">
        <w:rPr>
          <w:rFonts w:ascii="Times New Roman" w:hAnsi="Times New Roman" w:cs="Times New Roman"/>
          <w:i/>
          <w:iCs/>
          <w:sz w:val="28"/>
          <w:szCs w:val="28"/>
        </w:rPr>
        <w:t xml:space="preserve">l’osservanza </w:t>
      </w:r>
      <w:r w:rsidR="0027013E">
        <w:rPr>
          <w:rFonts w:ascii="Times New Roman" w:hAnsi="Times New Roman" w:cs="Times New Roman"/>
          <w:i/>
          <w:iCs/>
          <w:sz w:val="28"/>
          <w:szCs w:val="28"/>
        </w:rPr>
        <w:t>degli istituti di partecipazione, di interlocuzione procedimentale e di acquisizione degli apporti collaborativi del privato e degli interessi coinvolti nel procedimento</w:t>
      </w:r>
      <w:r w:rsidR="003E0177">
        <w:rPr>
          <w:rFonts w:ascii="Times New Roman" w:hAnsi="Times New Roman" w:cs="Times New Roman"/>
          <w:i/>
          <w:iCs/>
          <w:sz w:val="28"/>
          <w:szCs w:val="28"/>
        </w:rPr>
        <w:t>»</w:t>
      </w:r>
      <w:r w:rsidR="0027013E">
        <w:rPr>
          <w:rFonts w:ascii="Times New Roman" w:hAnsi="Times New Roman" w:cs="Times New Roman"/>
          <w:i/>
          <w:iCs/>
          <w:sz w:val="28"/>
          <w:szCs w:val="28"/>
        </w:rPr>
        <w:t xml:space="preserve">. </w:t>
      </w:r>
      <w:r w:rsidR="0027013E" w:rsidRPr="0027013E">
        <w:rPr>
          <w:rFonts w:ascii="Times New Roman" w:hAnsi="Times New Roman" w:cs="Times New Roman"/>
          <w:sz w:val="28"/>
          <w:szCs w:val="28"/>
        </w:rPr>
        <w:t xml:space="preserve">Anche volendo </w:t>
      </w:r>
      <w:r w:rsidR="0027013E" w:rsidRPr="0027013E">
        <w:rPr>
          <w:rFonts w:ascii="Times New Roman" w:hAnsi="Times New Roman" w:cs="Times New Roman"/>
          <w:sz w:val="28"/>
          <w:szCs w:val="28"/>
        </w:rPr>
        <w:lastRenderedPageBreak/>
        <w:t xml:space="preserve">ammettere </w:t>
      </w:r>
      <w:r w:rsidR="0027013E">
        <w:rPr>
          <w:rFonts w:ascii="Times New Roman" w:hAnsi="Times New Roman" w:cs="Times New Roman"/>
          <w:sz w:val="28"/>
          <w:szCs w:val="28"/>
        </w:rPr>
        <w:t>che la procedura informatica possa dare un esito corretto e indiscutibile, rimane il fatto che una decisione del tutto automatizzata è priva di motivazione, con grave pregiudizio per le aspettative di tutela dei privati, particolarmente delicate e rilevanti, dal momento che nella vicenda considerata la decisione amministrativa ha un impatto rilevante sulla vita lavorativa dei docenti, incidendo inevitabilmente sui diritti costituzionalmente garantiti.</w:t>
      </w:r>
    </w:p>
    <w:p w14:paraId="6098DEFA" w14:textId="77777777" w:rsidR="00600C0F" w:rsidRDefault="0027013E" w:rsidP="00600C0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Le due sentenze </w:t>
      </w:r>
      <w:proofErr w:type="spellStart"/>
      <w:r>
        <w:rPr>
          <w:rFonts w:ascii="Times New Roman" w:hAnsi="Times New Roman" w:cs="Times New Roman"/>
          <w:sz w:val="28"/>
          <w:szCs w:val="28"/>
        </w:rPr>
        <w:t>sopraesaminate</w:t>
      </w:r>
      <w:proofErr w:type="spellEnd"/>
      <w:r>
        <w:rPr>
          <w:rFonts w:ascii="Times New Roman" w:hAnsi="Times New Roman" w:cs="Times New Roman"/>
          <w:sz w:val="28"/>
          <w:szCs w:val="28"/>
        </w:rPr>
        <w:t xml:space="preserve"> presentano una contraddizione intrinseca. Nel primo caso, per l’esigenza comprensibile e condivisibile di consentire l’accesso al codice sorgente, al fine di assicurare la garanzia del diritto di difesa dei ricorrenti, il Tar si spinge ad affermare che “</w:t>
      </w:r>
      <w:r w:rsidRPr="0027013E">
        <w:rPr>
          <w:rFonts w:ascii="Times New Roman" w:hAnsi="Times New Roman" w:cs="Times New Roman"/>
          <w:i/>
          <w:iCs/>
          <w:sz w:val="28"/>
          <w:szCs w:val="28"/>
        </w:rPr>
        <w:t xml:space="preserve">l’algoritmo </w:t>
      </w:r>
      <w:r>
        <w:rPr>
          <w:rFonts w:ascii="Times New Roman" w:hAnsi="Times New Roman" w:cs="Times New Roman"/>
          <w:i/>
          <w:iCs/>
          <w:sz w:val="28"/>
          <w:szCs w:val="28"/>
        </w:rPr>
        <w:t>è il provvedimento amministrativo</w:t>
      </w:r>
      <w:r w:rsidRPr="004851D5">
        <w:rPr>
          <w:rFonts w:ascii="Times New Roman" w:hAnsi="Times New Roman" w:cs="Times New Roman"/>
          <w:sz w:val="28"/>
          <w:szCs w:val="28"/>
        </w:rPr>
        <w:t xml:space="preserve">” </w:t>
      </w:r>
      <w:r w:rsidRPr="0027013E">
        <w:rPr>
          <w:rFonts w:ascii="Times New Roman" w:hAnsi="Times New Roman" w:cs="Times New Roman"/>
          <w:sz w:val="28"/>
          <w:szCs w:val="28"/>
        </w:rPr>
        <w:t>e, dunque, deve essere esibito.</w:t>
      </w:r>
      <w:r>
        <w:rPr>
          <w:rFonts w:ascii="Times New Roman" w:hAnsi="Times New Roman" w:cs="Times New Roman"/>
          <w:sz w:val="28"/>
          <w:szCs w:val="28"/>
        </w:rPr>
        <w:t xml:space="preserve"> Nel secondo caso,</w:t>
      </w:r>
      <w:r w:rsidR="00657E09">
        <w:rPr>
          <w:rFonts w:ascii="Times New Roman" w:hAnsi="Times New Roman" w:cs="Times New Roman"/>
          <w:sz w:val="28"/>
          <w:szCs w:val="28"/>
        </w:rPr>
        <w:t xml:space="preserve"> </w:t>
      </w:r>
      <w:r>
        <w:rPr>
          <w:rFonts w:ascii="Times New Roman" w:hAnsi="Times New Roman" w:cs="Times New Roman"/>
          <w:sz w:val="28"/>
          <w:szCs w:val="28"/>
        </w:rPr>
        <w:t>al contrario, pur se la finalità rimane quella di garantire le aspettativ</w:t>
      </w:r>
      <w:r w:rsidR="0047532B">
        <w:rPr>
          <w:rFonts w:ascii="Times New Roman" w:hAnsi="Times New Roman" w:cs="Times New Roman"/>
          <w:sz w:val="28"/>
          <w:szCs w:val="28"/>
        </w:rPr>
        <w:t>e</w:t>
      </w:r>
      <w:r>
        <w:rPr>
          <w:rFonts w:ascii="Times New Roman" w:hAnsi="Times New Roman" w:cs="Times New Roman"/>
          <w:sz w:val="28"/>
          <w:szCs w:val="28"/>
        </w:rPr>
        <w:t xml:space="preserve"> di tutela dei ricorrenti, il Tar esclude</w:t>
      </w:r>
      <w:r w:rsidR="0047532B">
        <w:rPr>
          <w:rFonts w:ascii="Times New Roman" w:hAnsi="Times New Roman" w:cs="Times New Roman"/>
          <w:sz w:val="28"/>
          <w:szCs w:val="28"/>
        </w:rPr>
        <w:t xml:space="preserve"> che l’algoritmo possa sostituire integralmente il procedimento e il provvedimento amministrativo, nonostante si tratti di una vicenda analoga a quella precedentemente esaminata e si possa affermare che si tratti di attività vincolata, nella quale è assente (o quasi del tutto assente) ogni apprezzamento discrezionale e, dunque, una valutazione comparativa di interessi. Alla luce dei principi di partecipazione e di istruttoria procedimentale a cui l’Amministrazione è tenuta a conformarsi, unitamente all’obbligo di motivazione che in caso di decisione automatizzata rimarrebbe inosservato, occorre ritenere necessaria la riconducibilità di ogni decisione amministrativa a un organo, che </w:t>
      </w:r>
      <w:r w:rsidR="00657E09">
        <w:rPr>
          <w:rFonts w:ascii="Times New Roman" w:hAnsi="Times New Roman" w:cs="Times New Roman"/>
          <w:sz w:val="28"/>
          <w:szCs w:val="28"/>
        </w:rPr>
        <w:t>ne</w:t>
      </w:r>
      <w:r w:rsidR="0047532B">
        <w:rPr>
          <w:rFonts w:ascii="Times New Roman" w:hAnsi="Times New Roman" w:cs="Times New Roman"/>
          <w:sz w:val="28"/>
          <w:szCs w:val="28"/>
        </w:rPr>
        <w:t xml:space="preserve"> è responsabile, escludendo forme di tale automatizzazione della decisione. </w:t>
      </w:r>
    </w:p>
    <w:p w14:paraId="30B0421C" w14:textId="77777777" w:rsidR="00600C0F" w:rsidRDefault="0047532B" w:rsidP="00600C0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L’algoritmo deve, dunque, considera</w:t>
      </w:r>
      <w:r w:rsidR="009D7180">
        <w:rPr>
          <w:rFonts w:ascii="Times New Roman" w:hAnsi="Times New Roman" w:cs="Times New Roman"/>
          <w:sz w:val="28"/>
          <w:szCs w:val="28"/>
        </w:rPr>
        <w:t>r</w:t>
      </w:r>
      <w:r>
        <w:rPr>
          <w:rFonts w:ascii="Times New Roman" w:hAnsi="Times New Roman" w:cs="Times New Roman"/>
          <w:sz w:val="28"/>
          <w:szCs w:val="28"/>
        </w:rPr>
        <w:t>si il presupposto su cui la decisione si fonda, secondo il modello, già</w:t>
      </w:r>
      <w:r w:rsidR="00E05AE8">
        <w:rPr>
          <w:rFonts w:ascii="Times New Roman" w:hAnsi="Times New Roman" w:cs="Times New Roman"/>
          <w:sz w:val="28"/>
          <w:szCs w:val="28"/>
        </w:rPr>
        <w:t xml:space="preserve"> </w:t>
      </w:r>
      <w:r>
        <w:rPr>
          <w:rFonts w:ascii="Times New Roman" w:hAnsi="Times New Roman" w:cs="Times New Roman"/>
          <w:sz w:val="28"/>
          <w:szCs w:val="28"/>
        </w:rPr>
        <w:t>noto</w:t>
      </w:r>
      <w:r w:rsidR="00E05AE8">
        <w:rPr>
          <w:rFonts w:ascii="Times New Roman" w:hAnsi="Times New Roman" w:cs="Times New Roman"/>
          <w:sz w:val="28"/>
          <w:szCs w:val="28"/>
        </w:rPr>
        <w:t>,</w:t>
      </w:r>
      <w:r>
        <w:rPr>
          <w:rFonts w:ascii="Times New Roman" w:hAnsi="Times New Roman" w:cs="Times New Roman"/>
          <w:sz w:val="28"/>
          <w:szCs w:val="28"/>
        </w:rPr>
        <w:t xml:space="preserve"> dell’apprezzamento tecnico come presupposto del provvedimento amministrativo. Così posta la questione</w:t>
      </w:r>
      <w:r w:rsidR="00E05AE8">
        <w:rPr>
          <w:rFonts w:ascii="Times New Roman" w:hAnsi="Times New Roman" w:cs="Times New Roman"/>
          <w:sz w:val="28"/>
          <w:szCs w:val="28"/>
        </w:rPr>
        <w:t>,</w:t>
      </w:r>
      <w:r>
        <w:rPr>
          <w:rFonts w:ascii="Times New Roman" w:hAnsi="Times New Roman" w:cs="Times New Roman"/>
          <w:sz w:val="28"/>
          <w:szCs w:val="28"/>
        </w:rPr>
        <w:t xml:space="preserve"> viene in rilievo il rapporto assai discusso tra tecnica ed amministrazione, che a sua volta trova soluzione nella nozione di discrezionalità tecnica</w:t>
      </w:r>
      <w:r w:rsidR="00657E09">
        <w:rPr>
          <w:rStyle w:val="Rimandonotaapidipagina"/>
          <w:rFonts w:ascii="Times New Roman" w:hAnsi="Times New Roman" w:cs="Times New Roman"/>
          <w:sz w:val="28"/>
          <w:szCs w:val="28"/>
        </w:rPr>
        <w:footnoteReference w:id="25"/>
      </w:r>
      <w:r>
        <w:rPr>
          <w:rFonts w:ascii="Times New Roman" w:hAnsi="Times New Roman" w:cs="Times New Roman"/>
          <w:sz w:val="28"/>
          <w:szCs w:val="28"/>
        </w:rPr>
        <w:t>.</w:t>
      </w:r>
      <w:r w:rsidR="009D7180">
        <w:rPr>
          <w:rFonts w:ascii="Times New Roman" w:hAnsi="Times New Roman" w:cs="Times New Roman"/>
          <w:i/>
          <w:iCs/>
          <w:sz w:val="28"/>
          <w:szCs w:val="28"/>
        </w:rPr>
        <w:t xml:space="preserve"> </w:t>
      </w:r>
      <w:r w:rsidR="009D7180" w:rsidRPr="009D7180">
        <w:rPr>
          <w:rFonts w:ascii="Times New Roman" w:hAnsi="Times New Roman" w:cs="Times New Roman"/>
          <w:sz w:val="28"/>
          <w:szCs w:val="28"/>
        </w:rPr>
        <w:t>Secondo la pi</w:t>
      </w:r>
      <w:r w:rsidR="009D7180">
        <w:rPr>
          <w:rFonts w:ascii="Times New Roman" w:hAnsi="Times New Roman" w:cs="Times New Roman"/>
          <w:sz w:val="28"/>
          <w:szCs w:val="28"/>
        </w:rPr>
        <w:t>ù tradizionale elaborazione, a differenza della discrezionalità pura, che implica la ponderazione tra i diversi interessi coinvolti dalla decisione amministrativa (c</w:t>
      </w:r>
      <w:r w:rsidR="00E05AE8">
        <w:rPr>
          <w:rFonts w:ascii="Times New Roman" w:hAnsi="Times New Roman" w:cs="Times New Roman"/>
          <w:sz w:val="28"/>
          <w:szCs w:val="28"/>
        </w:rPr>
        <w:t>.</w:t>
      </w:r>
      <w:r w:rsidR="009D7180">
        <w:rPr>
          <w:rFonts w:ascii="Times New Roman" w:hAnsi="Times New Roman" w:cs="Times New Roman"/>
          <w:sz w:val="28"/>
          <w:szCs w:val="28"/>
        </w:rPr>
        <w:t>d.</w:t>
      </w:r>
      <w:r w:rsidR="00657E09">
        <w:rPr>
          <w:rFonts w:ascii="Times New Roman" w:hAnsi="Times New Roman" w:cs="Times New Roman"/>
          <w:sz w:val="28"/>
          <w:szCs w:val="28"/>
        </w:rPr>
        <w:t xml:space="preserve"> </w:t>
      </w:r>
      <w:proofErr w:type="spellStart"/>
      <w:r w:rsidR="009D7180" w:rsidRPr="009D7180">
        <w:rPr>
          <w:rFonts w:ascii="Times New Roman" w:hAnsi="Times New Roman" w:cs="Times New Roman"/>
          <w:i/>
          <w:iCs/>
          <w:sz w:val="28"/>
          <w:szCs w:val="28"/>
        </w:rPr>
        <w:t>Ermessen</w:t>
      </w:r>
      <w:proofErr w:type="spellEnd"/>
      <w:r w:rsidR="009D7180" w:rsidRPr="009D7180">
        <w:rPr>
          <w:rFonts w:ascii="Times New Roman" w:hAnsi="Times New Roman" w:cs="Times New Roman"/>
          <w:i/>
          <w:iCs/>
          <w:sz w:val="28"/>
          <w:szCs w:val="28"/>
        </w:rPr>
        <w:t>)</w:t>
      </w:r>
      <w:r w:rsidR="009D7180">
        <w:rPr>
          <w:rFonts w:ascii="Times New Roman" w:hAnsi="Times New Roman" w:cs="Times New Roman"/>
          <w:sz w:val="28"/>
          <w:szCs w:val="28"/>
        </w:rPr>
        <w:t>,</w:t>
      </w:r>
      <w:r w:rsidR="00657E09">
        <w:rPr>
          <w:rFonts w:ascii="Times New Roman" w:hAnsi="Times New Roman" w:cs="Times New Roman"/>
          <w:sz w:val="28"/>
          <w:szCs w:val="28"/>
        </w:rPr>
        <w:t xml:space="preserve"> </w:t>
      </w:r>
      <w:r w:rsidR="009D7180">
        <w:rPr>
          <w:rFonts w:ascii="Times New Roman" w:hAnsi="Times New Roman" w:cs="Times New Roman"/>
          <w:sz w:val="28"/>
          <w:szCs w:val="28"/>
        </w:rPr>
        <w:t>la discrezionalità tecnica non necessariamente comporta una ponderazione comparativa degli interessi, bensì tra fatti da accertare alla stregua di canoni scientifici, tecnici, letterari, artistici,</w:t>
      </w:r>
      <w:r w:rsidR="00853723">
        <w:rPr>
          <w:rFonts w:ascii="Times New Roman" w:hAnsi="Times New Roman" w:cs="Times New Roman"/>
          <w:sz w:val="28"/>
          <w:szCs w:val="28"/>
        </w:rPr>
        <w:t xml:space="preserve"> </w:t>
      </w:r>
      <w:r w:rsidR="009D7180">
        <w:rPr>
          <w:rFonts w:ascii="Times New Roman" w:hAnsi="Times New Roman" w:cs="Times New Roman"/>
          <w:sz w:val="28"/>
          <w:szCs w:val="28"/>
        </w:rPr>
        <w:t xml:space="preserve">ecc. </w:t>
      </w:r>
    </w:p>
    <w:p w14:paraId="71CD9B1F" w14:textId="393B3D6D" w:rsidR="0027013E" w:rsidRDefault="009D7180" w:rsidP="00600C0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Il potere di scelta in ordine allo strumento più idoneo ad assicurare la migliore cura dell’interesse pubblico è un potere successivo, che consegue all’esito del giudizio tecnico, laddove questo abbia un esito incerto che apre a più soluzioni</w:t>
      </w:r>
      <w:r w:rsidR="00E876D5">
        <w:rPr>
          <w:rFonts w:ascii="Times New Roman" w:hAnsi="Times New Roman" w:cs="Times New Roman"/>
          <w:sz w:val="28"/>
          <w:szCs w:val="28"/>
        </w:rPr>
        <w:t>.</w:t>
      </w:r>
    </w:p>
    <w:p w14:paraId="62A9BE0B" w14:textId="77777777" w:rsidR="00600C0F" w:rsidRDefault="00E876D5" w:rsidP="00600C0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ogni caso</w:t>
      </w:r>
      <w:r w:rsidR="00E05AE8">
        <w:rPr>
          <w:rFonts w:ascii="Times New Roman" w:hAnsi="Times New Roman" w:cs="Times New Roman"/>
          <w:sz w:val="28"/>
          <w:szCs w:val="28"/>
        </w:rPr>
        <w:t>,</w:t>
      </w:r>
      <w:r>
        <w:rPr>
          <w:rFonts w:ascii="Times New Roman" w:hAnsi="Times New Roman" w:cs="Times New Roman"/>
          <w:sz w:val="28"/>
          <w:szCs w:val="28"/>
        </w:rPr>
        <w:t xml:space="preserve"> la valutazione tecnica e l’accertamento tecnico (a seconda del livello di esattezza della scienza preso a modello di riferimento) operano come presupposto della </w:t>
      </w:r>
      <w:r>
        <w:rPr>
          <w:rFonts w:ascii="Times New Roman" w:hAnsi="Times New Roman" w:cs="Times New Roman"/>
          <w:sz w:val="28"/>
          <w:szCs w:val="28"/>
        </w:rPr>
        <w:lastRenderedPageBreak/>
        <w:t>decisione amministrativa</w:t>
      </w:r>
      <w:r w:rsidR="00F3537E">
        <w:rPr>
          <w:rStyle w:val="Rimandonotaapidipagina"/>
          <w:rFonts w:ascii="Times New Roman" w:hAnsi="Times New Roman" w:cs="Times New Roman"/>
          <w:sz w:val="28"/>
          <w:szCs w:val="28"/>
        </w:rPr>
        <w:footnoteReference w:id="26"/>
      </w:r>
      <w:r w:rsidR="00F3537E">
        <w:rPr>
          <w:rFonts w:ascii="Times New Roman" w:hAnsi="Times New Roman" w:cs="Times New Roman"/>
          <w:sz w:val="28"/>
          <w:szCs w:val="28"/>
        </w:rPr>
        <w:t xml:space="preserve">. </w:t>
      </w:r>
      <w:r w:rsidRPr="00E876D5">
        <w:rPr>
          <w:rFonts w:ascii="Times New Roman" w:hAnsi="Times New Roman" w:cs="Times New Roman"/>
          <w:sz w:val="28"/>
          <w:szCs w:val="28"/>
        </w:rPr>
        <w:t>Ed è</w:t>
      </w:r>
      <w:r>
        <w:rPr>
          <w:rFonts w:ascii="Times New Roman" w:hAnsi="Times New Roman" w:cs="Times New Roman"/>
          <w:i/>
          <w:iCs/>
          <w:sz w:val="28"/>
          <w:szCs w:val="28"/>
        </w:rPr>
        <w:t xml:space="preserve"> </w:t>
      </w:r>
      <w:r>
        <w:rPr>
          <w:rFonts w:ascii="Times New Roman" w:hAnsi="Times New Roman" w:cs="Times New Roman"/>
          <w:sz w:val="28"/>
          <w:szCs w:val="28"/>
        </w:rPr>
        <w:t>proprio questa la chiave di lettura che</w:t>
      </w:r>
      <w:r w:rsidR="00600C0F">
        <w:rPr>
          <w:rFonts w:ascii="Times New Roman" w:hAnsi="Times New Roman" w:cs="Times New Roman"/>
          <w:sz w:val="28"/>
          <w:szCs w:val="28"/>
        </w:rPr>
        <w:t>,</w:t>
      </w:r>
      <w:r>
        <w:rPr>
          <w:rFonts w:ascii="Times New Roman" w:hAnsi="Times New Roman" w:cs="Times New Roman"/>
          <w:sz w:val="28"/>
          <w:szCs w:val="28"/>
        </w:rPr>
        <w:t xml:space="preserve"> sia pure implicitamente</w:t>
      </w:r>
      <w:r w:rsidR="00600C0F">
        <w:rPr>
          <w:rFonts w:ascii="Times New Roman" w:hAnsi="Times New Roman" w:cs="Times New Roman"/>
          <w:sz w:val="28"/>
          <w:szCs w:val="28"/>
        </w:rPr>
        <w:t>,</w:t>
      </w:r>
      <w:r>
        <w:rPr>
          <w:rFonts w:ascii="Times New Roman" w:hAnsi="Times New Roman" w:cs="Times New Roman"/>
          <w:sz w:val="28"/>
          <w:szCs w:val="28"/>
        </w:rPr>
        <w:t xml:space="preserve"> rileva dal confronto tra le due sentenze. </w:t>
      </w:r>
    </w:p>
    <w:p w14:paraId="1C2230D1" w14:textId="77777777" w:rsidR="00600C0F" w:rsidRDefault="00E876D5" w:rsidP="00600C0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Come evidenziato dagli stessi giudici, l’automatizzazione della procedura si traduce in un supporto di tipo tecnico a un’attività che altrimenti dovrebbe essere svolta dal funzionario e, in tal modo, è possibile conseguire in tempi più ragionevoli la decisione finale. Ma questa attività non può integralmente sostituire la decisione finale, perché ne sarebbero pregiudicati i principi di imparzialità, di buon andamento e di trasparenza dell’azione amministrativa. </w:t>
      </w:r>
    </w:p>
    <w:p w14:paraId="74B3F1DD" w14:textId="3652A8CA" w:rsidR="00600C0F" w:rsidRDefault="00E876D5" w:rsidP="00600C0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Prescindendo dalla distinzione tra attività vincolata ed attività discrezionale, la soluzione più condivisibile è quella di considerare la procedura automatizzata alla stregua di un accertamento tecnico, che presuppone, comunque, l’adozione di un provvedimento finale che ne faccia proprio l’esito. </w:t>
      </w:r>
    </w:p>
    <w:p w14:paraId="27565FA2" w14:textId="77777777" w:rsidR="00600C0F" w:rsidRDefault="00E876D5" w:rsidP="00600C0F">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Riprendendo le osservazioni svolte dal giudice amministrativo</w:t>
      </w:r>
      <w:r w:rsidR="00584FB8">
        <w:rPr>
          <w:rFonts w:ascii="Times New Roman" w:hAnsi="Times New Roman" w:cs="Times New Roman"/>
          <w:sz w:val="28"/>
          <w:szCs w:val="28"/>
        </w:rPr>
        <w:t xml:space="preserve">, le procedure informatiche sono predisposte </w:t>
      </w:r>
      <w:r w:rsidR="00E05AE8">
        <w:rPr>
          <w:rFonts w:ascii="Times New Roman" w:hAnsi="Times New Roman" w:cs="Times New Roman"/>
          <w:sz w:val="28"/>
          <w:szCs w:val="28"/>
        </w:rPr>
        <w:t>«</w:t>
      </w:r>
      <w:r w:rsidR="00584FB8" w:rsidRPr="00584FB8">
        <w:rPr>
          <w:rFonts w:ascii="Times New Roman" w:hAnsi="Times New Roman" w:cs="Times New Roman"/>
          <w:i/>
          <w:iCs/>
          <w:sz w:val="28"/>
          <w:szCs w:val="28"/>
        </w:rPr>
        <w:t>in funzione servente</w:t>
      </w:r>
      <w:r w:rsidR="00E05AE8">
        <w:rPr>
          <w:rFonts w:ascii="Times New Roman" w:hAnsi="Times New Roman" w:cs="Times New Roman"/>
          <w:sz w:val="28"/>
          <w:szCs w:val="28"/>
        </w:rPr>
        <w:t>»</w:t>
      </w:r>
      <w:r w:rsidR="00584FB8">
        <w:rPr>
          <w:rFonts w:ascii="Times New Roman" w:hAnsi="Times New Roman" w:cs="Times New Roman"/>
          <w:sz w:val="28"/>
          <w:szCs w:val="28"/>
        </w:rPr>
        <w:t xml:space="preserve"> e ad esse va affidato un </w:t>
      </w:r>
      <w:r w:rsidR="00E05AE8">
        <w:rPr>
          <w:rFonts w:ascii="Times New Roman" w:hAnsi="Times New Roman" w:cs="Times New Roman"/>
          <w:sz w:val="28"/>
          <w:szCs w:val="28"/>
        </w:rPr>
        <w:t>«</w:t>
      </w:r>
      <w:r w:rsidR="00584FB8" w:rsidRPr="00584FB8">
        <w:rPr>
          <w:rFonts w:ascii="Times New Roman" w:hAnsi="Times New Roman" w:cs="Times New Roman"/>
          <w:i/>
          <w:iCs/>
          <w:sz w:val="28"/>
          <w:szCs w:val="28"/>
        </w:rPr>
        <w:t xml:space="preserve">ruolo strumentale e meramente ausiliario in seno al </w:t>
      </w:r>
      <w:r w:rsidR="00584FB8">
        <w:rPr>
          <w:rFonts w:ascii="Times New Roman" w:hAnsi="Times New Roman" w:cs="Times New Roman"/>
          <w:i/>
          <w:iCs/>
          <w:sz w:val="28"/>
          <w:szCs w:val="28"/>
        </w:rPr>
        <w:t>procedimento amministrativo e giammai dominante o surrogatorio dell’attività dell’uomo</w:t>
      </w:r>
      <w:r w:rsidR="00E05AE8">
        <w:rPr>
          <w:rFonts w:ascii="Times New Roman" w:hAnsi="Times New Roman" w:cs="Times New Roman"/>
          <w:i/>
          <w:iCs/>
          <w:sz w:val="28"/>
          <w:szCs w:val="28"/>
        </w:rPr>
        <w:t>»</w:t>
      </w:r>
      <w:r w:rsidR="00584FB8">
        <w:rPr>
          <w:rFonts w:ascii="Times New Roman" w:hAnsi="Times New Roman" w:cs="Times New Roman"/>
          <w:i/>
          <w:iCs/>
          <w:sz w:val="28"/>
          <w:szCs w:val="28"/>
        </w:rPr>
        <w:t>.</w:t>
      </w:r>
      <w:r w:rsidR="007122B6">
        <w:rPr>
          <w:rFonts w:ascii="Times New Roman" w:hAnsi="Times New Roman" w:cs="Times New Roman"/>
          <w:i/>
          <w:iCs/>
          <w:sz w:val="28"/>
          <w:szCs w:val="28"/>
        </w:rPr>
        <w:t xml:space="preserve"> </w:t>
      </w:r>
    </w:p>
    <w:p w14:paraId="01478F4D" w14:textId="77777777" w:rsidR="00600C0F" w:rsidRDefault="007122B6" w:rsidP="00600C0F">
      <w:pPr>
        <w:tabs>
          <w:tab w:val="left" w:pos="8364"/>
        </w:tabs>
        <w:spacing w:after="0"/>
        <w:jc w:val="both"/>
        <w:rPr>
          <w:rFonts w:ascii="Times New Roman" w:hAnsi="Times New Roman" w:cs="Times New Roman"/>
          <w:sz w:val="28"/>
          <w:szCs w:val="28"/>
        </w:rPr>
      </w:pPr>
      <w:r w:rsidRPr="007122B6">
        <w:rPr>
          <w:rFonts w:ascii="Times New Roman" w:hAnsi="Times New Roman" w:cs="Times New Roman"/>
          <w:sz w:val="28"/>
          <w:szCs w:val="28"/>
        </w:rPr>
        <w:t>Tale ricostruzione è confermata</w:t>
      </w:r>
      <w:r>
        <w:rPr>
          <w:rFonts w:ascii="Times New Roman" w:hAnsi="Times New Roman" w:cs="Times New Roman"/>
          <w:i/>
          <w:iCs/>
          <w:sz w:val="28"/>
          <w:szCs w:val="28"/>
        </w:rPr>
        <w:t xml:space="preserve"> </w:t>
      </w:r>
      <w:r w:rsidRPr="007122B6">
        <w:rPr>
          <w:rFonts w:ascii="Times New Roman" w:hAnsi="Times New Roman" w:cs="Times New Roman"/>
          <w:sz w:val="28"/>
          <w:szCs w:val="28"/>
        </w:rPr>
        <w:t xml:space="preserve">dal </w:t>
      </w:r>
      <w:r>
        <w:rPr>
          <w:rFonts w:ascii="Times New Roman" w:hAnsi="Times New Roman" w:cs="Times New Roman"/>
          <w:sz w:val="28"/>
          <w:szCs w:val="28"/>
        </w:rPr>
        <w:t>Supremo Consesso Amministrativo che</w:t>
      </w:r>
      <w:r w:rsidR="00E05AE8">
        <w:rPr>
          <w:rFonts w:ascii="Times New Roman" w:hAnsi="Times New Roman" w:cs="Times New Roman"/>
          <w:sz w:val="28"/>
          <w:szCs w:val="28"/>
        </w:rPr>
        <w:t xml:space="preserve">, </w:t>
      </w:r>
      <w:r>
        <w:rPr>
          <w:rFonts w:ascii="Times New Roman" w:hAnsi="Times New Roman" w:cs="Times New Roman"/>
          <w:sz w:val="28"/>
          <w:szCs w:val="28"/>
        </w:rPr>
        <w:t xml:space="preserve">con la sentenza </w:t>
      </w:r>
      <w:r w:rsidR="00600C0F">
        <w:rPr>
          <w:rFonts w:ascii="Times New Roman" w:hAnsi="Times New Roman" w:cs="Times New Roman"/>
          <w:sz w:val="28"/>
          <w:szCs w:val="28"/>
        </w:rPr>
        <w:t>dell’</w:t>
      </w:r>
      <w:r w:rsidRPr="00600C0F">
        <w:rPr>
          <w:rFonts w:ascii="Times New Roman" w:hAnsi="Times New Roman" w:cs="Times New Roman"/>
          <w:sz w:val="28"/>
          <w:szCs w:val="28"/>
        </w:rPr>
        <w:t xml:space="preserve">8 </w:t>
      </w:r>
      <w:proofErr w:type="gramStart"/>
      <w:r w:rsidRPr="00600C0F">
        <w:rPr>
          <w:rFonts w:ascii="Times New Roman" w:hAnsi="Times New Roman" w:cs="Times New Roman"/>
          <w:sz w:val="28"/>
          <w:szCs w:val="28"/>
        </w:rPr>
        <w:t>Aprile</w:t>
      </w:r>
      <w:proofErr w:type="gramEnd"/>
      <w:r w:rsidRPr="00600C0F">
        <w:rPr>
          <w:rFonts w:ascii="Times New Roman" w:hAnsi="Times New Roman" w:cs="Times New Roman"/>
          <w:sz w:val="28"/>
          <w:szCs w:val="28"/>
        </w:rPr>
        <w:t xml:space="preserve"> 2019</w:t>
      </w:r>
      <w:r w:rsidR="00E05AE8" w:rsidRPr="00600C0F">
        <w:rPr>
          <w:rFonts w:ascii="Times New Roman" w:hAnsi="Times New Roman" w:cs="Times New Roman"/>
          <w:sz w:val="28"/>
          <w:szCs w:val="28"/>
        </w:rPr>
        <w:t>,</w:t>
      </w:r>
      <w:r w:rsidRPr="00600C0F">
        <w:rPr>
          <w:rFonts w:ascii="Times New Roman" w:hAnsi="Times New Roman" w:cs="Times New Roman"/>
          <w:sz w:val="28"/>
          <w:szCs w:val="28"/>
        </w:rPr>
        <w:t xml:space="preserve"> n.</w:t>
      </w:r>
      <w:r w:rsidR="00F3537E" w:rsidRPr="00600C0F">
        <w:rPr>
          <w:rFonts w:ascii="Times New Roman" w:hAnsi="Times New Roman" w:cs="Times New Roman"/>
          <w:sz w:val="28"/>
          <w:szCs w:val="28"/>
        </w:rPr>
        <w:t xml:space="preserve"> </w:t>
      </w:r>
      <w:r w:rsidRPr="00600C0F">
        <w:rPr>
          <w:rFonts w:ascii="Times New Roman" w:hAnsi="Times New Roman" w:cs="Times New Roman"/>
          <w:sz w:val="28"/>
          <w:szCs w:val="28"/>
        </w:rPr>
        <w:t>2270</w:t>
      </w:r>
      <w:r w:rsidR="00E05AE8" w:rsidRPr="00600C0F">
        <w:rPr>
          <w:rFonts w:ascii="Times New Roman" w:hAnsi="Times New Roman" w:cs="Times New Roman"/>
          <w:sz w:val="28"/>
          <w:szCs w:val="28"/>
        </w:rPr>
        <w:t xml:space="preserve">, </w:t>
      </w:r>
      <w:r w:rsidRPr="00600C0F">
        <w:rPr>
          <w:rFonts w:ascii="Times New Roman" w:hAnsi="Times New Roman" w:cs="Times New Roman"/>
          <w:sz w:val="28"/>
          <w:szCs w:val="28"/>
        </w:rPr>
        <w:t>in</w:t>
      </w:r>
      <w:r>
        <w:rPr>
          <w:rFonts w:ascii="Times New Roman" w:hAnsi="Times New Roman" w:cs="Times New Roman"/>
          <w:sz w:val="28"/>
          <w:szCs w:val="28"/>
        </w:rPr>
        <w:t xml:space="preserve"> una vicenda relativa all’impugnazione della proposta di assunzione conseguente al piano straordinario di mobilità dei docenti, ha prospettato una soluzione per certi versi intermedia rispetto alle pronunce dei giudici di prime cure. </w:t>
      </w:r>
    </w:p>
    <w:p w14:paraId="58E18412" w14:textId="5E947B35" w:rsidR="00600C0F" w:rsidRDefault="007122B6" w:rsidP="00600C0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Per un verso</w:t>
      </w:r>
      <w:r w:rsidR="00E05AE8">
        <w:rPr>
          <w:rFonts w:ascii="Times New Roman" w:hAnsi="Times New Roman" w:cs="Times New Roman"/>
          <w:sz w:val="28"/>
          <w:szCs w:val="28"/>
        </w:rPr>
        <w:t>,</w:t>
      </w:r>
      <w:r>
        <w:rPr>
          <w:rFonts w:ascii="Times New Roman" w:hAnsi="Times New Roman" w:cs="Times New Roman"/>
          <w:sz w:val="28"/>
          <w:szCs w:val="28"/>
        </w:rPr>
        <w:t xml:space="preserve"> il Consiglio di Stato ammette che in alcuni casi </w:t>
      </w:r>
      <w:r w:rsidR="00105CDC">
        <w:rPr>
          <w:rFonts w:ascii="Times New Roman" w:hAnsi="Times New Roman" w:cs="Times New Roman"/>
          <w:sz w:val="28"/>
          <w:szCs w:val="28"/>
        </w:rPr>
        <w:t>come quello relativo alla “buona scuola”, il ricorso a una procedura automatizzata deve ritenersi legittimo, anzi utile e vantaggioso, poiché in presenza di procedure seriali o standardizzate</w:t>
      </w:r>
      <w:r w:rsidR="00600C0F">
        <w:rPr>
          <w:rFonts w:ascii="Times New Roman" w:hAnsi="Times New Roman" w:cs="Times New Roman"/>
          <w:sz w:val="28"/>
          <w:szCs w:val="28"/>
        </w:rPr>
        <w:t>,</w:t>
      </w:r>
      <w:r w:rsidR="00105CDC">
        <w:rPr>
          <w:rFonts w:ascii="Times New Roman" w:hAnsi="Times New Roman" w:cs="Times New Roman"/>
          <w:sz w:val="28"/>
          <w:szCs w:val="28"/>
        </w:rPr>
        <w:t xml:space="preserve"> consente di addivenire a una decisione in tempi più celeri, a garanzia dell’interesse pubblico e dei principi di efficienza e di buon andamento. </w:t>
      </w:r>
    </w:p>
    <w:p w14:paraId="5EA05D81" w14:textId="77777777" w:rsidR="00EF2914" w:rsidRDefault="00105CDC" w:rsidP="00600C0F">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D’altra parte, prosegue:</w:t>
      </w:r>
      <w:r w:rsidR="00F3537E">
        <w:rPr>
          <w:rFonts w:ascii="Times New Roman" w:hAnsi="Times New Roman" w:cs="Times New Roman"/>
          <w:sz w:val="28"/>
          <w:szCs w:val="28"/>
        </w:rPr>
        <w:t xml:space="preserve"> </w:t>
      </w:r>
      <w:r w:rsidR="00E05AE8">
        <w:rPr>
          <w:rFonts w:ascii="Times New Roman" w:hAnsi="Times New Roman" w:cs="Times New Roman"/>
          <w:sz w:val="28"/>
          <w:szCs w:val="28"/>
        </w:rPr>
        <w:t>«</w:t>
      </w:r>
      <w:r w:rsidRPr="00105CDC">
        <w:rPr>
          <w:rFonts w:ascii="Times New Roman" w:hAnsi="Times New Roman" w:cs="Times New Roman"/>
          <w:i/>
          <w:iCs/>
          <w:sz w:val="28"/>
          <w:szCs w:val="28"/>
        </w:rPr>
        <w:t xml:space="preserve">l’utilizzo di procedure </w:t>
      </w:r>
      <w:r>
        <w:rPr>
          <w:rFonts w:ascii="Times New Roman" w:hAnsi="Times New Roman" w:cs="Times New Roman"/>
          <w:i/>
          <w:iCs/>
          <w:sz w:val="28"/>
          <w:szCs w:val="28"/>
        </w:rPr>
        <w:t>robotizzate non può essere motivo di elusione dei principi che conformano il nostro ordinamento e che regolano lo svolgersi dell’attività amministrativa</w:t>
      </w:r>
      <w:r w:rsidR="00E05AE8">
        <w:rPr>
          <w:rFonts w:ascii="Times New Roman" w:hAnsi="Times New Roman" w:cs="Times New Roman"/>
          <w:i/>
          <w:iCs/>
          <w:sz w:val="28"/>
          <w:szCs w:val="28"/>
        </w:rPr>
        <w:t>»</w:t>
      </w:r>
      <w:r>
        <w:rPr>
          <w:rFonts w:ascii="Times New Roman" w:hAnsi="Times New Roman" w:cs="Times New Roman"/>
          <w:i/>
          <w:iCs/>
          <w:sz w:val="28"/>
          <w:szCs w:val="28"/>
        </w:rPr>
        <w:t xml:space="preserve">. </w:t>
      </w:r>
      <w:r w:rsidRPr="00105CDC">
        <w:rPr>
          <w:rFonts w:ascii="Times New Roman" w:hAnsi="Times New Roman" w:cs="Times New Roman"/>
          <w:sz w:val="28"/>
          <w:szCs w:val="28"/>
        </w:rPr>
        <w:t xml:space="preserve">Ciò </w:t>
      </w:r>
      <w:r>
        <w:rPr>
          <w:rFonts w:ascii="Times New Roman" w:hAnsi="Times New Roman" w:cs="Times New Roman"/>
          <w:sz w:val="28"/>
          <w:szCs w:val="28"/>
        </w:rPr>
        <w:t xml:space="preserve">significa che, se è vero che </w:t>
      </w:r>
      <w:r w:rsidR="00E05AE8">
        <w:rPr>
          <w:rFonts w:ascii="Times New Roman" w:hAnsi="Times New Roman" w:cs="Times New Roman"/>
          <w:sz w:val="28"/>
          <w:szCs w:val="28"/>
        </w:rPr>
        <w:t>«</w:t>
      </w:r>
      <w:r w:rsidRPr="00105CDC">
        <w:rPr>
          <w:rFonts w:ascii="Times New Roman" w:hAnsi="Times New Roman" w:cs="Times New Roman"/>
          <w:i/>
          <w:iCs/>
          <w:sz w:val="28"/>
          <w:szCs w:val="28"/>
        </w:rPr>
        <w:t>l’algoritmo</w:t>
      </w:r>
      <w:r w:rsidR="00D14F5B">
        <w:rPr>
          <w:rFonts w:ascii="Times New Roman" w:hAnsi="Times New Roman" w:cs="Times New Roman"/>
          <w:i/>
          <w:iCs/>
          <w:sz w:val="28"/>
          <w:szCs w:val="28"/>
        </w:rPr>
        <w:t>, ossia il software deve essere considerato a tutti gli effetti come un atto amministrativo informatico</w:t>
      </w:r>
      <w:r w:rsidR="00E05AE8">
        <w:rPr>
          <w:rFonts w:ascii="Times New Roman" w:hAnsi="Times New Roman" w:cs="Times New Roman"/>
          <w:sz w:val="28"/>
          <w:szCs w:val="28"/>
        </w:rPr>
        <w:t>»</w:t>
      </w:r>
      <w:r w:rsidR="00D14F5B" w:rsidRPr="00D14F5B">
        <w:rPr>
          <w:rFonts w:ascii="Times New Roman" w:hAnsi="Times New Roman" w:cs="Times New Roman"/>
          <w:sz w:val="28"/>
          <w:szCs w:val="28"/>
        </w:rPr>
        <w:t xml:space="preserve"> che si fonda su una</w:t>
      </w:r>
      <w:r w:rsidR="00D14F5B">
        <w:rPr>
          <w:rFonts w:ascii="Times New Roman" w:hAnsi="Times New Roman" w:cs="Times New Roman"/>
          <w:i/>
          <w:iCs/>
          <w:sz w:val="28"/>
          <w:szCs w:val="28"/>
        </w:rPr>
        <w:t xml:space="preserve"> </w:t>
      </w:r>
      <w:r w:rsidR="00E05AE8">
        <w:rPr>
          <w:rFonts w:ascii="Times New Roman" w:hAnsi="Times New Roman" w:cs="Times New Roman"/>
          <w:i/>
          <w:iCs/>
          <w:sz w:val="28"/>
          <w:szCs w:val="28"/>
        </w:rPr>
        <w:t>«</w:t>
      </w:r>
      <w:r w:rsidR="00D14F5B">
        <w:rPr>
          <w:rFonts w:ascii="Times New Roman" w:hAnsi="Times New Roman" w:cs="Times New Roman"/>
          <w:i/>
          <w:iCs/>
          <w:sz w:val="28"/>
          <w:szCs w:val="28"/>
        </w:rPr>
        <w:t>regola tecnica</w:t>
      </w:r>
      <w:r w:rsidR="00E05AE8">
        <w:rPr>
          <w:rFonts w:ascii="Times New Roman" w:hAnsi="Times New Roman" w:cs="Times New Roman"/>
          <w:sz w:val="28"/>
          <w:szCs w:val="28"/>
        </w:rPr>
        <w:t>»,</w:t>
      </w:r>
      <w:r w:rsidR="00D14F5B" w:rsidRPr="00D14F5B">
        <w:rPr>
          <w:rFonts w:ascii="Times New Roman" w:hAnsi="Times New Roman" w:cs="Times New Roman"/>
          <w:sz w:val="28"/>
          <w:szCs w:val="28"/>
        </w:rPr>
        <w:t xml:space="preserve"> va,</w:t>
      </w:r>
      <w:r w:rsidR="00F3537E">
        <w:rPr>
          <w:rFonts w:ascii="Times New Roman" w:hAnsi="Times New Roman" w:cs="Times New Roman"/>
          <w:sz w:val="28"/>
          <w:szCs w:val="28"/>
        </w:rPr>
        <w:t xml:space="preserve"> </w:t>
      </w:r>
      <w:r w:rsidR="00D14F5B" w:rsidRPr="00D14F5B">
        <w:rPr>
          <w:rFonts w:ascii="Times New Roman" w:hAnsi="Times New Roman" w:cs="Times New Roman"/>
          <w:sz w:val="28"/>
          <w:szCs w:val="28"/>
        </w:rPr>
        <w:t>altresì, considerato</w:t>
      </w:r>
      <w:r w:rsidR="00D14F5B">
        <w:rPr>
          <w:rFonts w:ascii="Times New Roman" w:hAnsi="Times New Roman" w:cs="Times New Roman"/>
          <w:sz w:val="28"/>
          <w:szCs w:val="28"/>
        </w:rPr>
        <w:t xml:space="preserve"> che l’atto così generato</w:t>
      </w:r>
      <w:r w:rsidR="00600C0F">
        <w:rPr>
          <w:rFonts w:ascii="Times New Roman" w:hAnsi="Times New Roman" w:cs="Times New Roman"/>
          <w:sz w:val="28"/>
          <w:szCs w:val="28"/>
        </w:rPr>
        <w:t>,</w:t>
      </w:r>
      <w:r w:rsidR="00D14F5B">
        <w:rPr>
          <w:rFonts w:ascii="Times New Roman" w:hAnsi="Times New Roman" w:cs="Times New Roman"/>
          <w:sz w:val="28"/>
          <w:szCs w:val="28"/>
        </w:rPr>
        <w:t xml:space="preserve"> e la regola tecnica che esso incorpora, devono essere soggetti ai principi fondamentali dell’azione amministrativa, tra cui la trasparenza e la conoscibilità, nonché il pieno sindacato del giudice amministrativo, il quale deve poter valutare </w:t>
      </w:r>
      <w:r w:rsidR="00E05AE8">
        <w:rPr>
          <w:rFonts w:ascii="Times New Roman" w:hAnsi="Times New Roman" w:cs="Times New Roman"/>
          <w:sz w:val="28"/>
          <w:szCs w:val="28"/>
        </w:rPr>
        <w:t>«</w:t>
      </w:r>
      <w:r w:rsidR="00D14F5B" w:rsidRPr="00D14F5B">
        <w:rPr>
          <w:rFonts w:ascii="Times New Roman" w:hAnsi="Times New Roman" w:cs="Times New Roman"/>
          <w:i/>
          <w:iCs/>
          <w:sz w:val="28"/>
          <w:szCs w:val="28"/>
        </w:rPr>
        <w:t xml:space="preserve">la correttezza del processo informatico </w:t>
      </w:r>
      <w:r w:rsidR="00D14F5B">
        <w:rPr>
          <w:rFonts w:ascii="Times New Roman" w:hAnsi="Times New Roman" w:cs="Times New Roman"/>
          <w:i/>
          <w:iCs/>
          <w:sz w:val="28"/>
          <w:szCs w:val="28"/>
        </w:rPr>
        <w:t>in tutte le sue componenti: dalla sua costruzione, all’inserimento dei dati, alla loro validità, alla loro gestione</w:t>
      </w:r>
      <w:r w:rsidR="00E05AE8">
        <w:rPr>
          <w:rFonts w:ascii="Times New Roman" w:hAnsi="Times New Roman" w:cs="Times New Roman"/>
          <w:i/>
          <w:iCs/>
          <w:sz w:val="28"/>
          <w:szCs w:val="28"/>
        </w:rPr>
        <w:t>»</w:t>
      </w:r>
      <w:r w:rsidR="00D14F5B">
        <w:rPr>
          <w:rFonts w:ascii="Times New Roman" w:hAnsi="Times New Roman" w:cs="Times New Roman"/>
          <w:i/>
          <w:iCs/>
          <w:sz w:val="28"/>
          <w:szCs w:val="28"/>
        </w:rPr>
        <w:t xml:space="preserve">. </w:t>
      </w:r>
    </w:p>
    <w:p w14:paraId="5DBB9788" w14:textId="77777777" w:rsidR="00EF2914" w:rsidRDefault="00D14F5B" w:rsidP="00600C0F">
      <w:pPr>
        <w:tabs>
          <w:tab w:val="left" w:pos="8364"/>
        </w:tabs>
        <w:spacing w:after="0"/>
        <w:jc w:val="both"/>
        <w:rPr>
          <w:rFonts w:ascii="Times New Roman" w:hAnsi="Times New Roman" w:cs="Times New Roman"/>
          <w:sz w:val="28"/>
          <w:szCs w:val="28"/>
        </w:rPr>
      </w:pPr>
      <w:r w:rsidRPr="00D14F5B">
        <w:rPr>
          <w:rFonts w:ascii="Times New Roman" w:hAnsi="Times New Roman" w:cs="Times New Roman"/>
          <w:sz w:val="28"/>
          <w:szCs w:val="28"/>
        </w:rPr>
        <w:lastRenderedPageBreak/>
        <w:t xml:space="preserve">Il punto </w:t>
      </w:r>
      <w:r>
        <w:rPr>
          <w:rFonts w:ascii="Times New Roman" w:hAnsi="Times New Roman" w:cs="Times New Roman"/>
          <w:sz w:val="28"/>
          <w:szCs w:val="28"/>
        </w:rPr>
        <w:t>è che può accadere che l’algoritmo</w:t>
      </w:r>
      <w:r w:rsidR="00EF2914">
        <w:rPr>
          <w:rFonts w:ascii="Times New Roman" w:hAnsi="Times New Roman" w:cs="Times New Roman"/>
          <w:sz w:val="28"/>
          <w:szCs w:val="28"/>
        </w:rPr>
        <w:t>,</w:t>
      </w:r>
      <w:r>
        <w:rPr>
          <w:rFonts w:ascii="Times New Roman" w:hAnsi="Times New Roman" w:cs="Times New Roman"/>
          <w:sz w:val="28"/>
          <w:szCs w:val="28"/>
        </w:rPr>
        <w:t xml:space="preserve"> inteso come regola tecnica</w:t>
      </w:r>
      <w:r w:rsidR="00EF2914">
        <w:rPr>
          <w:rFonts w:ascii="Times New Roman" w:hAnsi="Times New Roman" w:cs="Times New Roman"/>
          <w:sz w:val="28"/>
          <w:szCs w:val="28"/>
        </w:rPr>
        <w:t>,</w:t>
      </w:r>
      <w:r>
        <w:rPr>
          <w:rFonts w:ascii="Times New Roman" w:hAnsi="Times New Roman" w:cs="Times New Roman"/>
          <w:sz w:val="28"/>
          <w:szCs w:val="28"/>
        </w:rPr>
        <w:t xml:space="preserve"> assuma un ruolo che si spinga al di là del mero presupposto su cui si fonda la decisione, potendo giungere a costituire un sistema di formazione della stessa volontà procedimentale.</w:t>
      </w:r>
      <w:r w:rsidR="009917FA">
        <w:rPr>
          <w:rFonts w:ascii="Times New Roman" w:hAnsi="Times New Roman" w:cs="Times New Roman"/>
          <w:sz w:val="28"/>
          <w:szCs w:val="28"/>
        </w:rPr>
        <w:t xml:space="preserve"> </w:t>
      </w:r>
    </w:p>
    <w:p w14:paraId="27E6B102" w14:textId="77777777" w:rsidR="00EF2914" w:rsidRDefault="009917FA" w:rsidP="00600C0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Il tema evoca il rapporto tra tecnica e amministrazione e la soluzione potrebbe essere quella che individua nel sapere tecnico e scientifico, e dunque nell’algoritmo</w:t>
      </w:r>
      <w:r w:rsidR="00EF2914">
        <w:rPr>
          <w:rFonts w:ascii="Times New Roman" w:hAnsi="Times New Roman" w:cs="Times New Roman"/>
          <w:sz w:val="28"/>
          <w:szCs w:val="28"/>
        </w:rPr>
        <w:t>,</w:t>
      </w:r>
      <w:r>
        <w:rPr>
          <w:rFonts w:ascii="Times New Roman" w:hAnsi="Times New Roman" w:cs="Times New Roman"/>
          <w:sz w:val="28"/>
          <w:szCs w:val="28"/>
        </w:rPr>
        <w:t xml:space="preserve"> il presupposto della decisione amministrativa. </w:t>
      </w:r>
    </w:p>
    <w:p w14:paraId="38803DF6" w14:textId="15447FE5" w:rsidR="00E876D5" w:rsidRPr="00EF2914" w:rsidRDefault="009917FA" w:rsidP="00600C0F">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Per altro verso</w:t>
      </w:r>
      <w:r w:rsidR="00E05AE8">
        <w:rPr>
          <w:rFonts w:ascii="Times New Roman" w:hAnsi="Times New Roman" w:cs="Times New Roman"/>
          <w:sz w:val="28"/>
          <w:szCs w:val="28"/>
        </w:rPr>
        <w:t>,</w:t>
      </w:r>
      <w:r>
        <w:rPr>
          <w:rFonts w:ascii="Times New Roman" w:hAnsi="Times New Roman" w:cs="Times New Roman"/>
          <w:sz w:val="28"/>
          <w:szCs w:val="28"/>
        </w:rPr>
        <w:t xml:space="preserve"> il </w:t>
      </w:r>
      <w:r w:rsidRPr="006968A1">
        <w:rPr>
          <w:rFonts w:ascii="Times New Roman" w:hAnsi="Times New Roman" w:cs="Times New Roman"/>
          <w:i/>
          <w:iCs/>
          <w:sz w:val="28"/>
          <w:szCs w:val="28"/>
        </w:rPr>
        <w:t>quid novi</w:t>
      </w:r>
      <w:r>
        <w:rPr>
          <w:rFonts w:ascii="Times New Roman" w:hAnsi="Times New Roman" w:cs="Times New Roman"/>
          <w:sz w:val="28"/>
          <w:szCs w:val="28"/>
        </w:rPr>
        <w:t xml:space="preserve"> dell’algoritmo consiste nella possibilità che esso, in quanto strumento di formazione della volontà dell’amministrazione, possa sostituirsi alla decisione finale. Pertanto, sulla scorta delle argomentazioni condotte dal giudice amministrativo</w:t>
      </w:r>
      <w:r w:rsidR="006D4E2C">
        <w:rPr>
          <w:rFonts w:ascii="Times New Roman" w:hAnsi="Times New Roman" w:cs="Times New Roman"/>
          <w:sz w:val="28"/>
          <w:szCs w:val="28"/>
        </w:rPr>
        <w:t>, come pure dalle indicazioni contenute nel Regolamento UE 2016/679, appare utile provare a cogliere “</w:t>
      </w:r>
      <w:r w:rsidR="006D4E2C" w:rsidRPr="006D4E2C">
        <w:rPr>
          <w:rFonts w:ascii="Times New Roman" w:hAnsi="Times New Roman" w:cs="Times New Roman"/>
          <w:i/>
          <w:iCs/>
          <w:sz w:val="28"/>
          <w:szCs w:val="28"/>
        </w:rPr>
        <w:t>nella sequenza di passaggi elementari”</w:t>
      </w:r>
      <w:r w:rsidR="006968A1">
        <w:rPr>
          <w:rFonts w:ascii="Times New Roman" w:hAnsi="Times New Roman" w:cs="Times New Roman"/>
          <w:i/>
          <w:iCs/>
          <w:sz w:val="28"/>
          <w:szCs w:val="28"/>
        </w:rPr>
        <w:t xml:space="preserve"> </w:t>
      </w:r>
      <w:r w:rsidR="006D4E2C" w:rsidRPr="006D4E2C">
        <w:rPr>
          <w:rFonts w:ascii="Times New Roman" w:hAnsi="Times New Roman" w:cs="Times New Roman"/>
          <w:sz w:val="28"/>
          <w:szCs w:val="28"/>
        </w:rPr>
        <w:t>che caratterizzano un algoritmo</w:t>
      </w:r>
      <w:r w:rsidR="006D4E2C">
        <w:rPr>
          <w:rFonts w:ascii="Times New Roman" w:hAnsi="Times New Roman" w:cs="Times New Roman"/>
          <w:sz w:val="28"/>
          <w:szCs w:val="28"/>
        </w:rPr>
        <w:t xml:space="preserve"> e che, dunque, costituiscono l’essenza della decisione automatizzata, i principi fondamentali dell’ordinamento che assicurano il corretto dispiegarsi del procedimento amministrativo.</w:t>
      </w:r>
    </w:p>
    <w:p w14:paraId="011C2789" w14:textId="43C95D85" w:rsidR="006D4E2C" w:rsidRPr="00F2103A" w:rsidRDefault="006D4E2C" w:rsidP="006968A1">
      <w:pPr>
        <w:tabs>
          <w:tab w:val="left" w:pos="8364"/>
        </w:tabs>
        <w:jc w:val="both"/>
        <w:rPr>
          <w:rFonts w:ascii="Times New Roman" w:hAnsi="Times New Roman" w:cs="Times New Roman"/>
          <w:sz w:val="28"/>
          <w:szCs w:val="28"/>
        </w:rPr>
      </w:pPr>
      <w:r>
        <w:rPr>
          <w:rFonts w:ascii="Times New Roman" w:hAnsi="Times New Roman" w:cs="Times New Roman"/>
          <w:sz w:val="28"/>
          <w:szCs w:val="28"/>
        </w:rPr>
        <w:t>Occorre, dunque, enucleare un complesso di regole e principi che definiscano “</w:t>
      </w:r>
      <w:r w:rsidRPr="006D4E2C">
        <w:rPr>
          <w:rFonts w:ascii="Times New Roman" w:hAnsi="Times New Roman" w:cs="Times New Roman"/>
          <w:i/>
          <w:iCs/>
          <w:sz w:val="28"/>
          <w:szCs w:val="28"/>
        </w:rPr>
        <w:t>un giusto processo tecnologico</w:t>
      </w:r>
      <w:r>
        <w:rPr>
          <w:rFonts w:ascii="Times New Roman" w:hAnsi="Times New Roman" w:cs="Times New Roman"/>
          <w:sz w:val="28"/>
          <w:szCs w:val="28"/>
        </w:rPr>
        <w:t>”, c</w:t>
      </w:r>
      <w:r w:rsidR="009952D0">
        <w:rPr>
          <w:rFonts w:ascii="Times New Roman" w:hAnsi="Times New Roman" w:cs="Times New Roman"/>
          <w:sz w:val="28"/>
          <w:szCs w:val="28"/>
        </w:rPr>
        <w:t>.</w:t>
      </w:r>
      <w:r>
        <w:rPr>
          <w:rFonts w:ascii="Times New Roman" w:hAnsi="Times New Roman" w:cs="Times New Roman"/>
          <w:sz w:val="28"/>
          <w:szCs w:val="28"/>
        </w:rPr>
        <w:t>d</w:t>
      </w:r>
      <w:r w:rsidR="009952D0">
        <w:rPr>
          <w:rFonts w:ascii="Times New Roman" w:hAnsi="Times New Roman" w:cs="Times New Roman"/>
          <w:sz w:val="28"/>
          <w:szCs w:val="28"/>
        </w:rPr>
        <w:t>.</w:t>
      </w:r>
      <w:r>
        <w:rPr>
          <w:rFonts w:ascii="Times New Roman" w:hAnsi="Times New Roman" w:cs="Times New Roman"/>
          <w:sz w:val="28"/>
          <w:szCs w:val="28"/>
        </w:rPr>
        <w:t xml:space="preserve"> </w:t>
      </w:r>
      <w:r w:rsidRPr="006D4E2C">
        <w:rPr>
          <w:rFonts w:ascii="Times New Roman" w:hAnsi="Times New Roman" w:cs="Times New Roman"/>
          <w:i/>
          <w:iCs/>
          <w:sz w:val="28"/>
          <w:szCs w:val="28"/>
        </w:rPr>
        <w:t>Digital</w:t>
      </w:r>
      <w:r>
        <w:rPr>
          <w:rFonts w:ascii="Times New Roman" w:hAnsi="Times New Roman" w:cs="Times New Roman"/>
          <w:i/>
          <w:iCs/>
          <w:sz w:val="28"/>
          <w:szCs w:val="28"/>
        </w:rPr>
        <w:t xml:space="preserve"> o </w:t>
      </w:r>
      <w:proofErr w:type="spellStart"/>
      <w:r>
        <w:rPr>
          <w:rFonts w:ascii="Times New Roman" w:hAnsi="Times New Roman" w:cs="Times New Roman"/>
          <w:i/>
          <w:iCs/>
          <w:sz w:val="28"/>
          <w:szCs w:val="28"/>
        </w:rPr>
        <w:t>Technological</w:t>
      </w:r>
      <w:proofErr w:type="spellEnd"/>
      <w:r w:rsidRPr="006D4E2C">
        <w:rPr>
          <w:rFonts w:ascii="Times New Roman" w:hAnsi="Times New Roman" w:cs="Times New Roman"/>
          <w:i/>
          <w:iCs/>
          <w:sz w:val="28"/>
          <w:szCs w:val="28"/>
        </w:rPr>
        <w:t xml:space="preserve"> Due </w:t>
      </w:r>
      <w:proofErr w:type="spellStart"/>
      <w:r w:rsidRPr="006D4E2C">
        <w:rPr>
          <w:rFonts w:ascii="Times New Roman" w:hAnsi="Times New Roman" w:cs="Times New Roman"/>
          <w:i/>
          <w:iCs/>
          <w:sz w:val="28"/>
          <w:szCs w:val="28"/>
        </w:rPr>
        <w:t>Process</w:t>
      </w:r>
      <w:proofErr w:type="spellEnd"/>
      <w:r>
        <w:rPr>
          <w:rFonts w:ascii="Times New Roman" w:hAnsi="Times New Roman" w:cs="Times New Roman"/>
          <w:sz w:val="28"/>
          <w:szCs w:val="28"/>
        </w:rPr>
        <w:t>, secondo un’espressione che riassume l’esigenza che gli algoritmi che ci governano riflettano i valori fondanti e condivisi della nostra società e siano soggetti al controllo democratico</w:t>
      </w:r>
      <w:r w:rsidR="006968A1">
        <w:rPr>
          <w:rStyle w:val="Rimandonotaapidipagina"/>
          <w:rFonts w:ascii="Times New Roman" w:hAnsi="Times New Roman" w:cs="Times New Roman"/>
          <w:sz w:val="28"/>
          <w:szCs w:val="28"/>
        </w:rPr>
        <w:footnoteReference w:id="27"/>
      </w:r>
      <w:r>
        <w:rPr>
          <w:rFonts w:ascii="Times New Roman" w:hAnsi="Times New Roman" w:cs="Times New Roman"/>
          <w:sz w:val="28"/>
          <w:szCs w:val="28"/>
        </w:rPr>
        <w:t>.</w:t>
      </w:r>
    </w:p>
    <w:p w14:paraId="7773026A" w14:textId="3A45F489" w:rsidR="00F82496" w:rsidRPr="00B63838" w:rsidRDefault="00F82496" w:rsidP="00EF291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Occorre considerare anche il rapporto tra algoritmi e diritt</w:t>
      </w:r>
      <w:r w:rsidR="00EF2914">
        <w:rPr>
          <w:rFonts w:ascii="Times New Roman" w:hAnsi="Times New Roman" w:cs="Times New Roman"/>
          <w:sz w:val="28"/>
          <w:szCs w:val="28"/>
        </w:rPr>
        <w:t>i</w:t>
      </w:r>
      <w:r>
        <w:rPr>
          <w:rFonts w:ascii="Times New Roman" w:hAnsi="Times New Roman" w:cs="Times New Roman"/>
          <w:sz w:val="28"/>
          <w:szCs w:val="28"/>
        </w:rPr>
        <w:t xml:space="preserve"> fondamentali della persona alla luce degli art</w:t>
      </w:r>
      <w:r w:rsidR="006968A1">
        <w:rPr>
          <w:rFonts w:ascii="Times New Roman" w:hAnsi="Times New Roman" w:cs="Times New Roman"/>
          <w:sz w:val="28"/>
          <w:szCs w:val="28"/>
        </w:rPr>
        <w:t>t</w:t>
      </w:r>
      <w:r>
        <w:rPr>
          <w:rFonts w:ascii="Times New Roman" w:hAnsi="Times New Roman" w:cs="Times New Roman"/>
          <w:sz w:val="28"/>
          <w:szCs w:val="28"/>
        </w:rPr>
        <w:t>.</w:t>
      </w:r>
      <w:r w:rsidR="006968A1">
        <w:rPr>
          <w:rFonts w:ascii="Times New Roman" w:hAnsi="Times New Roman" w:cs="Times New Roman"/>
          <w:sz w:val="28"/>
          <w:szCs w:val="28"/>
        </w:rPr>
        <w:t xml:space="preserve"> </w:t>
      </w:r>
      <w:r>
        <w:rPr>
          <w:rFonts w:ascii="Times New Roman" w:hAnsi="Times New Roman" w:cs="Times New Roman"/>
          <w:sz w:val="28"/>
          <w:szCs w:val="28"/>
        </w:rPr>
        <w:t>13 e 14 del GDPR</w:t>
      </w:r>
      <w:r w:rsidR="00EF2914">
        <w:rPr>
          <w:rFonts w:ascii="Times New Roman" w:hAnsi="Times New Roman" w:cs="Times New Roman"/>
          <w:sz w:val="28"/>
          <w:szCs w:val="28"/>
        </w:rPr>
        <w:t>,</w:t>
      </w:r>
      <w:r>
        <w:rPr>
          <w:rFonts w:ascii="Times New Roman" w:hAnsi="Times New Roman" w:cs="Times New Roman"/>
          <w:sz w:val="28"/>
          <w:szCs w:val="28"/>
        </w:rPr>
        <w:t xml:space="preserve"> secondo cui l’interessato deve essere informato dell’eventuale esecuzione di un processo decisionale automatizzato e dell’art.</w:t>
      </w:r>
      <w:r w:rsidR="006968A1">
        <w:rPr>
          <w:rFonts w:ascii="Times New Roman" w:hAnsi="Times New Roman" w:cs="Times New Roman"/>
          <w:sz w:val="28"/>
          <w:szCs w:val="28"/>
        </w:rPr>
        <w:t xml:space="preserve"> </w:t>
      </w:r>
      <w:r>
        <w:rPr>
          <w:rFonts w:ascii="Times New Roman" w:hAnsi="Times New Roman" w:cs="Times New Roman"/>
          <w:sz w:val="28"/>
          <w:szCs w:val="28"/>
        </w:rPr>
        <w:t>22 (c</w:t>
      </w:r>
      <w:r w:rsidR="009952D0">
        <w:rPr>
          <w:rFonts w:ascii="Times New Roman" w:hAnsi="Times New Roman" w:cs="Times New Roman"/>
          <w:sz w:val="28"/>
          <w:szCs w:val="28"/>
        </w:rPr>
        <w:t>.</w:t>
      </w:r>
      <w:r>
        <w:rPr>
          <w:rFonts w:ascii="Times New Roman" w:hAnsi="Times New Roman" w:cs="Times New Roman"/>
          <w:sz w:val="28"/>
          <w:szCs w:val="28"/>
        </w:rPr>
        <w:t>d</w:t>
      </w:r>
      <w:r w:rsidR="009952D0">
        <w:rPr>
          <w:rFonts w:ascii="Times New Roman" w:hAnsi="Times New Roman" w:cs="Times New Roman"/>
          <w:sz w:val="28"/>
          <w:szCs w:val="28"/>
        </w:rPr>
        <w:t>.</w:t>
      </w:r>
      <w:r>
        <w:rPr>
          <w:rFonts w:ascii="Times New Roman" w:hAnsi="Times New Roman" w:cs="Times New Roman"/>
          <w:sz w:val="28"/>
          <w:szCs w:val="28"/>
        </w:rPr>
        <w:t xml:space="preserve"> </w:t>
      </w:r>
      <w:r w:rsidRPr="009E4199">
        <w:rPr>
          <w:rFonts w:ascii="Times New Roman" w:hAnsi="Times New Roman" w:cs="Times New Roman"/>
          <w:i/>
          <w:iCs/>
          <w:sz w:val="28"/>
          <w:szCs w:val="28"/>
        </w:rPr>
        <w:t>principio di non esclusività</w:t>
      </w:r>
      <w:r>
        <w:rPr>
          <w:rFonts w:ascii="Times New Roman" w:hAnsi="Times New Roman" w:cs="Times New Roman"/>
          <w:sz w:val="28"/>
          <w:szCs w:val="28"/>
        </w:rPr>
        <w:t>)</w:t>
      </w:r>
      <w:r w:rsidR="00EF2914">
        <w:rPr>
          <w:rFonts w:ascii="Times New Roman" w:hAnsi="Times New Roman" w:cs="Times New Roman"/>
          <w:sz w:val="28"/>
          <w:szCs w:val="28"/>
        </w:rPr>
        <w:t xml:space="preserve">, </w:t>
      </w:r>
      <w:r>
        <w:rPr>
          <w:rFonts w:ascii="Times New Roman" w:hAnsi="Times New Roman" w:cs="Times New Roman"/>
          <w:sz w:val="28"/>
          <w:szCs w:val="28"/>
        </w:rPr>
        <w:t>che esclude la possibilità che la decisione sia basata unicamente sul trattamento automatizzato</w:t>
      </w:r>
      <w:r w:rsidR="006968A1">
        <w:rPr>
          <w:rStyle w:val="Rimandonotaapidipagina"/>
          <w:rFonts w:ascii="Times New Roman" w:hAnsi="Times New Roman" w:cs="Times New Roman"/>
          <w:sz w:val="28"/>
          <w:szCs w:val="28"/>
        </w:rPr>
        <w:footnoteReference w:id="28"/>
      </w:r>
      <w:r w:rsidR="009E4199">
        <w:rPr>
          <w:rFonts w:ascii="Times New Roman" w:hAnsi="Times New Roman" w:cs="Times New Roman"/>
          <w:sz w:val="28"/>
          <w:szCs w:val="28"/>
        </w:rPr>
        <w:t>.</w:t>
      </w:r>
    </w:p>
    <w:p w14:paraId="2D7A3D9F" w14:textId="77777777" w:rsidR="00EF2914" w:rsidRDefault="00DB0DDD" w:rsidP="00EF2914">
      <w:pPr>
        <w:tabs>
          <w:tab w:val="left" w:pos="8364"/>
        </w:tabs>
        <w:spacing w:after="0"/>
        <w:jc w:val="both"/>
        <w:rPr>
          <w:rFonts w:ascii="Times New Roman" w:hAnsi="Times New Roman" w:cs="Times New Roman"/>
          <w:sz w:val="28"/>
          <w:szCs w:val="28"/>
        </w:rPr>
      </w:pPr>
      <w:r w:rsidRPr="00DB0DDD">
        <w:rPr>
          <w:rFonts w:ascii="Times New Roman" w:hAnsi="Times New Roman" w:cs="Times New Roman"/>
          <w:sz w:val="28"/>
          <w:szCs w:val="28"/>
        </w:rPr>
        <w:t>Il Sistema di tutela d</w:t>
      </w:r>
      <w:r>
        <w:rPr>
          <w:rFonts w:ascii="Times New Roman" w:hAnsi="Times New Roman" w:cs="Times New Roman"/>
          <w:sz w:val="28"/>
          <w:szCs w:val="28"/>
        </w:rPr>
        <w:t>eve, dunque, incentrarsi sul principio di trasparenza, condizione necessaria per la comprensione dei meccanismi di funzionamento dei processi decisionali compiuti dalle macchine. La trasparenza,</w:t>
      </w:r>
      <w:r w:rsidR="009F3C9B">
        <w:rPr>
          <w:rFonts w:ascii="Times New Roman" w:hAnsi="Times New Roman" w:cs="Times New Roman"/>
          <w:sz w:val="28"/>
          <w:szCs w:val="28"/>
        </w:rPr>
        <w:t xml:space="preserve"> </w:t>
      </w:r>
      <w:r>
        <w:rPr>
          <w:rFonts w:ascii="Times New Roman" w:hAnsi="Times New Roman" w:cs="Times New Roman"/>
          <w:sz w:val="28"/>
          <w:szCs w:val="28"/>
        </w:rPr>
        <w:t>in tal caso, è intesa quale sinonimo di conoscenza del percorso seguito per giungere alla decisione automatizzata. Ed è</w:t>
      </w:r>
      <w:r w:rsidR="00853723">
        <w:rPr>
          <w:rFonts w:ascii="Times New Roman" w:hAnsi="Times New Roman" w:cs="Times New Roman"/>
          <w:sz w:val="28"/>
          <w:szCs w:val="28"/>
        </w:rPr>
        <w:t xml:space="preserve"> </w:t>
      </w:r>
      <w:r>
        <w:rPr>
          <w:rFonts w:ascii="Times New Roman" w:hAnsi="Times New Roman" w:cs="Times New Roman"/>
          <w:sz w:val="28"/>
          <w:szCs w:val="28"/>
        </w:rPr>
        <w:t xml:space="preserve">in un’ottica di trasparenza che, da più parti, si sollecita l’intervento di </w:t>
      </w:r>
      <w:r>
        <w:rPr>
          <w:rFonts w:ascii="Times New Roman" w:hAnsi="Times New Roman" w:cs="Times New Roman"/>
          <w:sz w:val="28"/>
          <w:szCs w:val="28"/>
        </w:rPr>
        <w:lastRenderedPageBreak/>
        <w:t>“algoritmisti”, una sorta di consulente tecnico d’ufficio con competenze informatiche che svolga il ruolo di controllore delle società dell’algoritmo</w:t>
      </w:r>
      <w:r w:rsidR="00EF2914">
        <w:rPr>
          <w:rFonts w:ascii="Times New Roman" w:hAnsi="Times New Roman" w:cs="Times New Roman"/>
          <w:sz w:val="28"/>
          <w:szCs w:val="28"/>
        </w:rPr>
        <w:t xml:space="preserve">, </w:t>
      </w:r>
      <w:r>
        <w:rPr>
          <w:rFonts w:ascii="Times New Roman" w:hAnsi="Times New Roman" w:cs="Times New Roman"/>
          <w:sz w:val="28"/>
          <w:szCs w:val="28"/>
        </w:rPr>
        <w:t>con il compito di attestare la correttezza di un certo algoritmo</w:t>
      </w:r>
      <w:r w:rsidR="006968A1">
        <w:rPr>
          <w:rStyle w:val="Rimandonotaapidipagina"/>
          <w:rFonts w:ascii="Times New Roman" w:hAnsi="Times New Roman" w:cs="Times New Roman"/>
          <w:sz w:val="28"/>
          <w:szCs w:val="28"/>
        </w:rPr>
        <w:footnoteReference w:id="29"/>
      </w:r>
      <w:r>
        <w:rPr>
          <w:rFonts w:ascii="Times New Roman" w:hAnsi="Times New Roman" w:cs="Times New Roman"/>
          <w:sz w:val="28"/>
          <w:szCs w:val="28"/>
        </w:rPr>
        <w:t>.</w:t>
      </w:r>
      <w:r w:rsidR="006968A1">
        <w:rPr>
          <w:rFonts w:ascii="Times New Roman" w:hAnsi="Times New Roman" w:cs="Times New Roman"/>
          <w:sz w:val="28"/>
          <w:szCs w:val="28"/>
        </w:rPr>
        <w:t xml:space="preserve"> </w:t>
      </w:r>
    </w:p>
    <w:p w14:paraId="050547D2" w14:textId="5EF41174" w:rsidR="00DB0DDD" w:rsidRDefault="009F3C9B" w:rsidP="00EF291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Il tema centrale nella decisione automatizzata diviene</w:t>
      </w:r>
      <w:r w:rsidR="00EF2914">
        <w:rPr>
          <w:rFonts w:ascii="Times New Roman" w:hAnsi="Times New Roman" w:cs="Times New Roman"/>
          <w:sz w:val="28"/>
          <w:szCs w:val="28"/>
        </w:rPr>
        <w:t>,</w:t>
      </w:r>
      <w:r>
        <w:rPr>
          <w:rFonts w:ascii="Times New Roman" w:hAnsi="Times New Roman" w:cs="Times New Roman"/>
          <w:sz w:val="28"/>
          <w:szCs w:val="28"/>
        </w:rPr>
        <w:t xml:space="preserve"> così</w:t>
      </w:r>
      <w:r w:rsidR="00EF2914">
        <w:rPr>
          <w:rFonts w:ascii="Times New Roman" w:hAnsi="Times New Roman" w:cs="Times New Roman"/>
          <w:sz w:val="28"/>
          <w:szCs w:val="28"/>
        </w:rPr>
        <w:t>,</w:t>
      </w:r>
      <w:r>
        <w:rPr>
          <w:rFonts w:ascii="Times New Roman" w:hAnsi="Times New Roman" w:cs="Times New Roman"/>
          <w:sz w:val="28"/>
          <w:szCs w:val="28"/>
        </w:rPr>
        <w:t xml:space="preserve"> quello della sua “</w:t>
      </w:r>
      <w:proofErr w:type="spellStart"/>
      <w:r w:rsidRPr="009F3C9B">
        <w:rPr>
          <w:rFonts w:ascii="Times New Roman" w:hAnsi="Times New Roman" w:cs="Times New Roman"/>
          <w:i/>
          <w:iCs/>
          <w:sz w:val="28"/>
          <w:szCs w:val="28"/>
        </w:rPr>
        <w:t>spiegabilità</w:t>
      </w:r>
      <w:proofErr w:type="spellEnd"/>
      <w:r w:rsidRPr="009952D0">
        <w:rPr>
          <w:rFonts w:ascii="Times New Roman" w:hAnsi="Times New Roman" w:cs="Times New Roman"/>
          <w:sz w:val="28"/>
          <w:szCs w:val="28"/>
        </w:rPr>
        <w:t>”</w:t>
      </w:r>
      <w:r w:rsidRPr="009F3C9B">
        <w:rPr>
          <w:rFonts w:ascii="Times New Roman" w:hAnsi="Times New Roman" w:cs="Times New Roman"/>
          <w:i/>
          <w:iCs/>
          <w:sz w:val="28"/>
          <w:szCs w:val="28"/>
        </w:rPr>
        <w:t xml:space="preserve"> </w:t>
      </w:r>
      <w:r w:rsidRPr="00853723">
        <w:rPr>
          <w:rFonts w:ascii="Times New Roman" w:hAnsi="Times New Roman" w:cs="Times New Roman"/>
          <w:i/>
          <w:iCs/>
          <w:sz w:val="28"/>
          <w:szCs w:val="28"/>
        </w:rPr>
        <w:t>(</w:t>
      </w:r>
      <w:proofErr w:type="spellStart"/>
      <w:r w:rsidRPr="00853723">
        <w:rPr>
          <w:rFonts w:ascii="Times New Roman" w:hAnsi="Times New Roman" w:cs="Times New Roman"/>
          <w:i/>
          <w:iCs/>
          <w:sz w:val="28"/>
          <w:szCs w:val="28"/>
        </w:rPr>
        <w:t>explanability</w:t>
      </w:r>
      <w:proofErr w:type="spellEnd"/>
      <w:r>
        <w:rPr>
          <w:rFonts w:ascii="Times New Roman" w:hAnsi="Times New Roman" w:cs="Times New Roman"/>
          <w:sz w:val="28"/>
          <w:szCs w:val="28"/>
        </w:rPr>
        <w:t xml:space="preserve">), attraverso l’individuazione di strumenti che consentano di interpretarne il codice sorgente per ricostruire i passaggi logici che lo compongono e stabilire, per questa via, i passaggi e le procedure che hanno determinano i risultati. Sotto tale profilo, la </w:t>
      </w:r>
      <w:proofErr w:type="spellStart"/>
      <w:r>
        <w:rPr>
          <w:rFonts w:ascii="Times New Roman" w:hAnsi="Times New Roman" w:cs="Times New Roman"/>
          <w:sz w:val="28"/>
          <w:szCs w:val="28"/>
        </w:rPr>
        <w:t>spiegabilità</w:t>
      </w:r>
      <w:proofErr w:type="spellEnd"/>
      <w:r>
        <w:rPr>
          <w:rFonts w:ascii="Times New Roman" w:hAnsi="Times New Roman" w:cs="Times New Roman"/>
          <w:sz w:val="28"/>
          <w:szCs w:val="28"/>
        </w:rPr>
        <w:t xml:space="preserve"> della procedura automatizzata</w:t>
      </w:r>
      <w:r w:rsidR="00853723">
        <w:rPr>
          <w:rFonts w:ascii="Times New Roman" w:hAnsi="Times New Roman" w:cs="Times New Roman"/>
          <w:sz w:val="28"/>
          <w:szCs w:val="28"/>
        </w:rPr>
        <w:t>, la cui necessità è stata sottolineata dal Consiglio di Stato nella sentenza sopra richiamata, non si allontana molto dalla necessaria motivazione del provvedimento: l’amministrazione che assume una decisione attraverso il ricorso a un algoritmo deve essere in grado di spiegare l</w:t>
      </w:r>
      <w:r w:rsidR="00853723" w:rsidRPr="00853723">
        <w:rPr>
          <w:rFonts w:ascii="Times New Roman" w:hAnsi="Times New Roman" w:cs="Times New Roman"/>
          <w:i/>
          <w:iCs/>
          <w:sz w:val="28"/>
          <w:szCs w:val="28"/>
        </w:rPr>
        <w:t xml:space="preserve">’iter </w:t>
      </w:r>
      <w:r w:rsidR="00853723">
        <w:rPr>
          <w:rFonts w:ascii="Times New Roman" w:hAnsi="Times New Roman" w:cs="Times New Roman"/>
          <w:sz w:val="28"/>
          <w:szCs w:val="28"/>
        </w:rPr>
        <w:t xml:space="preserve">logico-giuridico che conduce alla decisione finale. </w:t>
      </w:r>
    </w:p>
    <w:p w14:paraId="6E5A51C9" w14:textId="01853F10" w:rsidR="00853723" w:rsidRDefault="00853723" w:rsidP="00A5355E">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Trasparenza e conoscenza, o </w:t>
      </w:r>
      <w:proofErr w:type="spellStart"/>
      <w:r>
        <w:rPr>
          <w:rFonts w:ascii="Times New Roman" w:hAnsi="Times New Roman" w:cs="Times New Roman"/>
          <w:sz w:val="28"/>
          <w:szCs w:val="28"/>
        </w:rPr>
        <w:t>spiegabilità</w:t>
      </w:r>
      <w:proofErr w:type="spellEnd"/>
      <w:r>
        <w:rPr>
          <w:rFonts w:ascii="Times New Roman" w:hAnsi="Times New Roman" w:cs="Times New Roman"/>
          <w:sz w:val="28"/>
          <w:szCs w:val="28"/>
        </w:rPr>
        <w:t xml:space="preserve">, della procedura automatizzata assicurano, a loro volta, un’adeguata </w:t>
      </w:r>
      <w:r w:rsidRPr="00853723">
        <w:rPr>
          <w:rFonts w:ascii="Times New Roman" w:hAnsi="Times New Roman" w:cs="Times New Roman"/>
          <w:i/>
          <w:iCs/>
          <w:sz w:val="28"/>
          <w:szCs w:val="28"/>
        </w:rPr>
        <w:t xml:space="preserve">partecipazione </w:t>
      </w:r>
      <w:r>
        <w:rPr>
          <w:rFonts w:ascii="Times New Roman" w:hAnsi="Times New Roman" w:cs="Times New Roman"/>
          <w:sz w:val="28"/>
          <w:szCs w:val="28"/>
        </w:rPr>
        <w:t>del privato alla procedura algoritmica. In qualunque passaggio della procedura, deve sempre essere assicurata al privato la facoltà di intervenire nel procedimento, di interloquire con il responsabile, di presentare memorie e documenti per orientare la decisione che lo riguarda,</w:t>
      </w:r>
      <w:r w:rsidR="00610A88">
        <w:rPr>
          <w:rFonts w:ascii="Times New Roman" w:hAnsi="Times New Roman" w:cs="Times New Roman"/>
          <w:sz w:val="28"/>
          <w:szCs w:val="28"/>
        </w:rPr>
        <w:t xml:space="preserve"> </w:t>
      </w:r>
      <w:r>
        <w:rPr>
          <w:rFonts w:ascii="Times New Roman" w:hAnsi="Times New Roman" w:cs="Times New Roman"/>
          <w:sz w:val="28"/>
          <w:szCs w:val="28"/>
        </w:rPr>
        <w:t xml:space="preserve">ma </w:t>
      </w:r>
      <w:r w:rsidR="00610A88">
        <w:rPr>
          <w:rFonts w:ascii="Times New Roman" w:hAnsi="Times New Roman" w:cs="Times New Roman"/>
          <w:sz w:val="28"/>
          <w:szCs w:val="28"/>
        </w:rPr>
        <w:t xml:space="preserve">soprattutto per anticipare in sede procedimentale le proprie aspettative di tutela. Ed è proprio questo il </w:t>
      </w:r>
      <w:r w:rsidR="00610A88" w:rsidRPr="00A5355E">
        <w:rPr>
          <w:rFonts w:ascii="Times New Roman" w:hAnsi="Times New Roman" w:cs="Times New Roman"/>
          <w:i/>
          <w:iCs/>
          <w:sz w:val="28"/>
          <w:szCs w:val="28"/>
        </w:rPr>
        <w:t>vulnus</w:t>
      </w:r>
      <w:r w:rsidR="00610A88">
        <w:rPr>
          <w:rFonts w:ascii="Times New Roman" w:hAnsi="Times New Roman" w:cs="Times New Roman"/>
          <w:sz w:val="28"/>
          <w:szCs w:val="28"/>
        </w:rPr>
        <w:t xml:space="preserve"> della decisione sulla mobilità dei docenti che, nella ricostruzione del TAR, ha comportato l’illegittimità della decisione medesima affidata per intero ad un algoritmo.</w:t>
      </w:r>
    </w:p>
    <w:p w14:paraId="3201DFF2" w14:textId="779680D5" w:rsidR="00610A88" w:rsidRDefault="00610A88" w:rsidP="00D321D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L’esigenza è quella di evitare che l’automatizzazione della procedura possa generare un processo di spersonalizzazione della decisione, con un duplice effetto distorsivo: per un verso, perché impedisce la virtuosa partecipazione del privato al procedimento, in quanto manca un interlocutore al quale il privato possa rivolgersi; per altro verso, perché rischia di generare una polverizzazione della responsabilità conseguente alla decisione assunta</w:t>
      </w:r>
      <w:r w:rsidR="00A5355E">
        <w:rPr>
          <w:rStyle w:val="Rimandonotaapidipagina"/>
          <w:rFonts w:ascii="Times New Roman" w:hAnsi="Times New Roman" w:cs="Times New Roman"/>
          <w:sz w:val="28"/>
          <w:szCs w:val="28"/>
        </w:rPr>
        <w:footnoteReference w:id="30"/>
      </w:r>
      <w:r>
        <w:rPr>
          <w:rFonts w:ascii="Times New Roman" w:hAnsi="Times New Roman" w:cs="Times New Roman"/>
          <w:sz w:val="28"/>
          <w:szCs w:val="28"/>
        </w:rPr>
        <w:t xml:space="preserve">. </w:t>
      </w:r>
      <w:r w:rsidR="009952D0">
        <w:rPr>
          <w:rFonts w:ascii="Times New Roman" w:hAnsi="Times New Roman" w:cs="Times New Roman"/>
          <w:sz w:val="28"/>
          <w:szCs w:val="28"/>
        </w:rPr>
        <w:t>È</w:t>
      </w:r>
      <w:r w:rsidR="009F6580">
        <w:rPr>
          <w:rFonts w:ascii="Times New Roman" w:hAnsi="Times New Roman" w:cs="Times New Roman"/>
          <w:sz w:val="28"/>
          <w:szCs w:val="28"/>
        </w:rPr>
        <w:t xml:space="preserve">, dunque, nel processo di procedimentalizzazione dell’attività </w:t>
      </w:r>
      <w:r w:rsidR="00A5355E">
        <w:rPr>
          <w:rFonts w:ascii="Times New Roman" w:hAnsi="Times New Roman" w:cs="Times New Roman"/>
          <w:sz w:val="28"/>
          <w:szCs w:val="28"/>
        </w:rPr>
        <w:t>algoritmica che</w:t>
      </w:r>
      <w:r w:rsidR="009F6580">
        <w:rPr>
          <w:rFonts w:ascii="Times New Roman" w:hAnsi="Times New Roman" w:cs="Times New Roman"/>
          <w:sz w:val="28"/>
          <w:szCs w:val="28"/>
        </w:rPr>
        <w:t xml:space="preserve"> si declina la tutela per il privato.</w:t>
      </w:r>
    </w:p>
    <w:p w14:paraId="6C96AC2D" w14:textId="77777777" w:rsidR="00D321DA" w:rsidRDefault="009F6580" w:rsidP="00D321D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Se l’algoritmo si proietta nella decisione finale, sino a sostituirla del tutto, ancor di più i profili di interesse si concentrano sulle prospettive di tutela e le garanzie dei privati dinanzi a una decisione pubblica assunta attraverso procedure automatizzate.</w:t>
      </w:r>
      <w:r w:rsidR="002126BE">
        <w:rPr>
          <w:rFonts w:ascii="Times New Roman" w:hAnsi="Times New Roman" w:cs="Times New Roman"/>
          <w:sz w:val="28"/>
          <w:szCs w:val="28"/>
        </w:rPr>
        <w:t xml:space="preserve"> In tal caso, oltre ai menzionati principi di trasparenza e partecipazione, a venire in rilievo è soprattutto il principio di </w:t>
      </w:r>
      <w:r w:rsidR="002126BE" w:rsidRPr="002126BE">
        <w:rPr>
          <w:rFonts w:ascii="Times New Roman" w:hAnsi="Times New Roman" w:cs="Times New Roman"/>
          <w:i/>
          <w:iCs/>
          <w:sz w:val="28"/>
          <w:szCs w:val="28"/>
        </w:rPr>
        <w:t>responsabilità</w:t>
      </w:r>
      <w:r w:rsidR="002126BE">
        <w:rPr>
          <w:rFonts w:ascii="Times New Roman" w:hAnsi="Times New Roman" w:cs="Times New Roman"/>
          <w:i/>
          <w:iCs/>
          <w:sz w:val="28"/>
          <w:szCs w:val="28"/>
        </w:rPr>
        <w:t xml:space="preserve"> </w:t>
      </w:r>
      <w:r w:rsidR="002126BE" w:rsidRPr="002126BE">
        <w:rPr>
          <w:rFonts w:ascii="Times New Roman" w:hAnsi="Times New Roman" w:cs="Times New Roman"/>
          <w:sz w:val="28"/>
          <w:szCs w:val="28"/>
        </w:rPr>
        <w:t xml:space="preserve">declinato in una duplice direzione: se, </w:t>
      </w:r>
      <w:r w:rsidR="002126BE">
        <w:rPr>
          <w:rFonts w:ascii="Times New Roman" w:hAnsi="Times New Roman" w:cs="Times New Roman"/>
          <w:sz w:val="28"/>
          <w:szCs w:val="28"/>
        </w:rPr>
        <w:t xml:space="preserve">infatti, esso impone di ritenere sempre responsabile il funzionario che abbia </w:t>
      </w:r>
      <w:r w:rsidR="00B10643">
        <w:rPr>
          <w:rFonts w:ascii="Times New Roman" w:hAnsi="Times New Roman" w:cs="Times New Roman"/>
          <w:sz w:val="28"/>
          <w:szCs w:val="28"/>
        </w:rPr>
        <w:t xml:space="preserve">agito “in </w:t>
      </w:r>
      <w:r w:rsidR="00B10643">
        <w:rPr>
          <w:rFonts w:ascii="Times New Roman" w:hAnsi="Times New Roman" w:cs="Times New Roman"/>
          <w:sz w:val="28"/>
          <w:szCs w:val="28"/>
        </w:rPr>
        <w:lastRenderedPageBreak/>
        <w:t>violazione dei diritti”</w:t>
      </w:r>
      <w:r w:rsidR="00561349">
        <w:rPr>
          <w:rStyle w:val="Rimandonotaapidipagina"/>
          <w:rFonts w:ascii="Times New Roman" w:hAnsi="Times New Roman" w:cs="Times New Roman"/>
          <w:sz w:val="28"/>
          <w:szCs w:val="28"/>
        </w:rPr>
        <w:footnoteReference w:id="31"/>
      </w:r>
      <w:r w:rsidR="00B10643">
        <w:rPr>
          <w:rFonts w:ascii="Times New Roman" w:hAnsi="Times New Roman" w:cs="Times New Roman"/>
          <w:sz w:val="28"/>
          <w:szCs w:val="28"/>
        </w:rPr>
        <w:t>, sotto altro profilo, la decisione automatizzata implica la necessità di una responsabilità già nella “</w:t>
      </w:r>
      <w:r w:rsidR="00B10643" w:rsidRPr="00B10643">
        <w:rPr>
          <w:rFonts w:ascii="Times New Roman" w:hAnsi="Times New Roman" w:cs="Times New Roman"/>
          <w:i/>
          <w:iCs/>
          <w:sz w:val="28"/>
          <w:szCs w:val="28"/>
        </w:rPr>
        <w:t>costruzione</w:t>
      </w:r>
      <w:r w:rsidR="00B10643" w:rsidRPr="00D41CBB">
        <w:rPr>
          <w:rFonts w:ascii="Times New Roman" w:hAnsi="Times New Roman" w:cs="Times New Roman"/>
          <w:sz w:val="28"/>
          <w:szCs w:val="28"/>
        </w:rPr>
        <w:t>”</w:t>
      </w:r>
      <w:r w:rsidR="00B10643" w:rsidRPr="00B10643">
        <w:rPr>
          <w:rFonts w:ascii="Times New Roman" w:hAnsi="Times New Roman" w:cs="Times New Roman"/>
          <w:i/>
          <w:iCs/>
          <w:sz w:val="28"/>
          <w:szCs w:val="28"/>
        </w:rPr>
        <w:t xml:space="preserve"> </w:t>
      </w:r>
      <w:r w:rsidR="00B10643" w:rsidRPr="00B10643">
        <w:rPr>
          <w:rFonts w:ascii="Times New Roman" w:hAnsi="Times New Roman" w:cs="Times New Roman"/>
          <w:sz w:val="28"/>
          <w:szCs w:val="28"/>
        </w:rPr>
        <w:t>e nell’</w:t>
      </w:r>
      <w:r w:rsidR="00285DCE">
        <w:rPr>
          <w:rFonts w:ascii="Times New Roman" w:hAnsi="Times New Roman" w:cs="Times New Roman"/>
          <w:sz w:val="28"/>
          <w:szCs w:val="28"/>
        </w:rPr>
        <w:t>“</w:t>
      </w:r>
      <w:r w:rsidR="00B10643" w:rsidRPr="00B10643">
        <w:rPr>
          <w:rFonts w:ascii="Times New Roman" w:hAnsi="Times New Roman" w:cs="Times New Roman"/>
          <w:i/>
          <w:iCs/>
          <w:sz w:val="28"/>
          <w:szCs w:val="28"/>
        </w:rPr>
        <w:t>educazione</w:t>
      </w:r>
      <w:r w:rsidR="00B10643" w:rsidRPr="00D41CBB">
        <w:rPr>
          <w:rFonts w:ascii="Times New Roman" w:hAnsi="Times New Roman" w:cs="Times New Roman"/>
          <w:sz w:val="28"/>
          <w:szCs w:val="28"/>
        </w:rPr>
        <w:t>”</w:t>
      </w:r>
      <w:r w:rsidR="00B10643">
        <w:rPr>
          <w:rFonts w:ascii="Times New Roman" w:hAnsi="Times New Roman" w:cs="Times New Roman"/>
          <w:i/>
          <w:iCs/>
          <w:sz w:val="28"/>
          <w:szCs w:val="28"/>
        </w:rPr>
        <w:t xml:space="preserve"> </w:t>
      </w:r>
      <w:r w:rsidR="00B10643" w:rsidRPr="00B10643">
        <w:rPr>
          <w:rFonts w:ascii="Times New Roman" w:hAnsi="Times New Roman" w:cs="Times New Roman"/>
          <w:sz w:val="28"/>
          <w:szCs w:val="28"/>
        </w:rPr>
        <w:t>dell’algoritmo.</w:t>
      </w:r>
      <w:r w:rsidR="00B10643">
        <w:rPr>
          <w:rFonts w:ascii="Times New Roman" w:hAnsi="Times New Roman" w:cs="Times New Roman"/>
          <w:sz w:val="28"/>
          <w:szCs w:val="28"/>
        </w:rPr>
        <w:t xml:space="preserve"> Il modo in cui l’amministrazione</w:t>
      </w:r>
      <w:r w:rsidR="00F60758">
        <w:rPr>
          <w:rFonts w:ascii="Times New Roman" w:hAnsi="Times New Roman" w:cs="Times New Roman"/>
          <w:sz w:val="28"/>
          <w:szCs w:val="28"/>
        </w:rPr>
        <w:t xml:space="preserve"> decide di selezionare e scegliere i dati su cui dovrà essere costruito l’algoritmo, ne condiziona fatalmente il risultato. </w:t>
      </w:r>
    </w:p>
    <w:p w14:paraId="45AA4CFF" w14:textId="77777777" w:rsidR="00D321DA" w:rsidRDefault="00285DCE" w:rsidP="00D321D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È</w:t>
      </w:r>
      <w:r w:rsidR="00A5355E">
        <w:rPr>
          <w:rFonts w:ascii="Times New Roman" w:hAnsi="Times New Roman" w:cs="Times New Roman"/>
          <w:sz w:val="28"/>
          <w:szCs w:val="28"/>
        </w:rPr>
        <w:t xml:space="preserve"> </w:t>
      </w:r>
      <w:r w:rsidR="00F60758">
        <w:rPr>
          <w:rFonts w:ascii="Times New Roman" w:hAnsi="Times New Roman" w:cs="Times New Roman"/>
          <w:sz w:val="28"/>
          <w:szCs w:val="28"/>
        </w:rPr>
        <w:t>in questa fase</w:t>
      </w:r>
      <w:r w:rsidR="00A5355E">
        <w:rPr>
          <w:rFonts w:ascii="Times New Roman" w:hAnsi="Times New Roman" w:cs="Times New Roman"/>
          <w:sz w:val="28"/>
          <w:szCs w:val="28"/>
        </w:rPr>
        <w:t xml:space="preserve">, </w:t>
      </w:r>
      <w:r w:rsidR="00F60758">
        <w:rPr>
          <w:rFonts w:ascii="Times New Roman" w:hAnsi="Times New Roman" w:cs="Times New Roman"/>
          <w:sz w:val="28"/>
          <w:szCs w:val="28"/>
        </w:rPr>
        <w:t>ad esempio, che si è parlato di “non discriminazione algoritmica”</w:t>
      </w:r>
      <w:r>
        <w:rPr>
          <w:rStyle w:val="Rimandonotaapidipagina"/>
          <w:rFonts w:ascii="Times New Roman" w:hAnsi="Times New Roman" w:cs="Times New Roman"/>
          <w:sz w:val="28"/>
          <w:szCs w:val="28"/>
        </w:rPr>
        <w:footnoteReference w:id="32"/>
      </w:r>
      <w:r w:rsidR="00F60758">
        <w:rPr>
          <w:rFonts w:ascii="Times New Roman" w:hAnsi="Times New Roman" w:cs="Times New Roman"/>
          <w:sz w:val="28"/>
          <w:szCs w:val="28"/>
        </w:rPr>
        <w:t>, nel senso che i dati su cui si sviluppa l’algoritmo</w:t>
      </w:r>
      <w:r w:rsidR="007C3748">
        <w:rPr>
          <w:rFonts w:ascii="Times New Roman" w:hAnsi="Times New Roman" w:cs="Times New Roman"/>
          <w:sz w:val="28"/>
          <w:szCs w:val="28"/>
        </w:rPr>
        <w:t xml:space="preserve"> devono essere selezionati in modo da evitare ogni effetto discriminatorio all’esito della decisione algoritmica. Se, allora, l’automatizzazione di una decisione pubblica consente la formazione della volontà dell’amministrazione, il processo che ne sta alla base, dall’inserimento degli </w:t>
      </w:r>
      <w:r w:rsidR="007C3748" w:rsidRPr="007C3748">
        <w:rPr>
          <w:rFonts w:ascii="Times New Roman" w:hAnsi="Times New Roman" w:cs="Times New Roman"/>
          <w:i/>
          <w:iCs/>
          <w:sz w:val="28"/>
          <w:szCs w:val="28"/>
        </w:rPr>
        <w:t>input</w:t>
      </w:r>
      <w:r w:rsidR="007C3748">
        <w:rPr>
          <w:rFonts w:ascii="Times New Roman" w:hAnsi="Times New Roman" w:cs="Times New Roman"/>
          <w:sz w:val="28"/>
          <w:szCs w:val="28"/>
        </w:rPr>
        <w:t xml:space="preserve"> alla gestione dell’</w:t>
      </w:r>
      <w:r w:rsidR="007C3748" w:rsidRPr="007C3748">
        <w:rPr>
          <w:rFonts w:ascii="Times New Roman" w:hAnsi="Times New Roman" w:cs="Times New Roman"/>
          <w:i/>
          <w:iCs/>
          <w:sz w:val="28"/>
          <w:szCs w:val="28"/>
        </w:rPr>
        <w:t>output</w:t>
      </w:r>
      <w:r w:rsidR="007C3748">
        <w:rPr>
          <w:rFonts w:ascii="Times New Roman" w:hAnsi="Times New Roman" w:cs="Times New Roman"/>
          <w:sz w:val="28"/>
          <w:szCs w:val="28"/>
        </w:rPr>
        <w:t>, deve</w:t>
      </w:r>
      <w:r w:rsidR="00F60758">
        <w:rPr>
          <w:rFonts w:ascii="Times New Roman" w:hAnsi="Times New Roman" w:cs="Times New Roman"/>
          <w:sz w:val="28"/>
          <w:szCs w:val="28"/>
        </w:rPr>
        <w:t xml:space="preserve"> </w:t>
      </w:r>
      <w:r w:rsidR="007C3748">
        <w:rPr>
          <w:rFonts w:ascii="Times New Roman" w:hAnsi="Times New Roman" w:cs="Times New Roman"/>
          <w:sz w:val="28"/>
          <w:szCs w:val="28"/>
        </w:rPr>
        <w:t>conformarsi ai principi generali che governano l’agire amministrativo; deve cioè, essere chiaro, conoscibile e partecipato per rispondere adeguatamente alle esigenze di tutela dei destinatari della decisione automatizzata.</w:t>
      </w:r>
      <w:r w:rsidR="002F556F">
        <w:rPr>
          <w:rFonts w:ascii="Times New Roman" w:hAnsi="Times New Roman" w:cs="Times New Roman"/>
          <w:sz w:val="28"/>
          <w:szCs w:val="28"/>
        </w:rPr>
        <w:t xml:space="preserve"> Il rischio, infatti, risiede nella circostanza che l’assunzione sempre più frequente e nei settori più variegati di decisioni automatizzate, che dovrebbero proiettare l’amministrazione verso forme di azioni innovative, tecnologicamente avanzate, assicurando l’efficienza, la correttezza e la oggettiva imparzialità della decisione, possa generare un arretramento sotto il profilo delle garanzie procedimentali del cittadino, dalla partecipazione in senso tecnico, attraverso la presentazione di memorie e documenti, alla possibilità di una concreta interlocuzione con il responsabile del procedimento. </w:t>
      </w:r>
    </w:p>
    <w:p w14:paraId="7781B096" w14:textId="77777777" w:rsidR="00D321DA" w:rsidRDefault="002F556F" w:rsidP="00D321D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Per questo</w:t>
      </w:r>
      <w:r w:rsidR="00D321DA">
        <w:rPr>
          <w:rFonts w:ascii="Times New Roman" w:hAnsi="Times New Roman" w:cs="Times New Roman"/>
          <w:sz w:val="28"/>
          <w:szCs w:val="28"/>
        </w:rPr>
        <w:t>,</w:t>
      </w:r>
      <w:r>
        <w:rPr>
          <w:rFonts w:ascii="Times New Roman" w:hAnsi="Times New Roman" w:cs="Times New Roman"/>
          <w:sz w:val="28"/>
          <w:szCs w:val="28"/>
        </w:rPr>
        <w:t xml:space="preserve"> si fa sempre più stringente la necessità di ancorare il procedimento di formazione della decisione automatizzata ai principi generali che conformano l’agire amministrativo, ivi inclusa le condizioni per l’esercizio di un sindacato giudiziario e delle relative conseguenze, anche in termini di responsabilità dell’amministrazione e dei suoi agenti</w:t>
      </w:r>
      <w:r w:rsidR="0007667A">
        <w:rPr>
          <w:rStyle w:val="Rimandonotaapidipagina"/>
          <w:rFonts w:ascii="Times New Roman" w:hAnsi="Times New Roman" w:cs="Times New Roman"/>
          <w:sz w:val="28"/>
          <w:szCs w:val="28"/>
        </w:rPr>
        <w:footnoteReference w:id="33"/>
      </w:r>
      <w:r w:rsidR="00CF5C1B">
        <w:rPr>
          <w:rFonts w:ascii="Times New Roman" w:hAnsi="Times New Roman" w:cs="Times New Roman"/>
          <w:i/>
          <w:iCs/>
          <w:sz w:val="28"/>
          <w:szCs w:val="28"/>
        </w:rPr>
        <w:t xml:space="preserve">. </w:t>
      </w:r>
      <w:r w:rsidR="00CF5C1B" w:rsidRPr="00CF5C1B">
        <w:rPr>
          <w:rFonts w:ascii="Times New Roman" w:hAnsi="Times New Roman" w:cs="Times New Roman"/>
          <w:sz w:val="28"/>
          <w:szCs w:val="28"/>
        </w:rPr>
        <w:t xml:space="preserve">Al di là </w:t>
      </w:r>
      <w:r w:rsidR="00CF5C1B">
        <w:rPr>
          <w:rFonts w:ascii="Times New Roman" w:hAnsi="Times New Roman" w:cs="Times New Roman"/>
          <w:sz w:val="28"/>
          <w:szCs w:val="28"/>
        </w:rPr>
        <w:t xml:space="preserve">dell’inquadramento teorico della responsabilità dell’amministrazione in generale, è comunque evidente che se la decisione automatizzata è espressione di un potere, rispetto al cui esercizio l’algoritmo costituisce un presupposto ovvero coincide con il provvedimento, sovrapponendosi ad esso, quella </w:t>
      </w:r>
      <w:r w:rsidR="00CF5C1B">
        <w:rPr>
          <w:rFonts w:ascii="Times New Roman" w:hAnsi="Times New Roman" w:cs="Times New Roman"/>
          <w:sz w:val="28"/>
          <w:szCs w:val="28"/>
        </w:rPr>
        <w:lastRenderedPageBreak/>
        <w:t>appena considerata rappresenterebbe un’ipotesi di responsabilità per illegittimo esercizio del potere, la cui azione trova oggi fondamento nell’art.</w:t>
      </w:r>
      <w:r w:rsidR="0007667A">
        <w:rPr>
          <w:rFonts w:ascii="Times New Roman" w:hAnsi="Times New Roman" w:cs="Times New Roman"/>
          <w:sz w:val="28"/>
          <w:szCs w:val="28"/>
        </w:rPr>
        <w:t xml:space="preserve"> </w:t>
      </w:r>
      <w:r w:rsidR="00CF5C1B">
        <w:rPr>
          <w:rFonts w:ascii="Times New Roman" w:hAnsi="Times New Roman" w:cs="Times New Roman"/>
          <w:sz w:val="28"/>
          <w:szCs w:val="28"/>
        </w:rPr>
        <w:t xml:space="preserve">30 </w:t>
      </w:r>
      <w:proofErr w:type="spellStart"/>
      <w:r w:rsidR="00CF5C1B">
        <w:rPr>
          <w:rFonts w:ascii="Times New Roman" w:hAnsi="Times New Roman" w:cs="Times New Roman"/>
          <w:sz w:val="28"/>
          <w:szCs w:val="28"/>
        </w:rPr>
        <w:t>c.p.a</w:t>
      </w:r>
      <w:proofErr w:type="spellEnd"/>
      <w:r w:rsidR="00CF5C1B">
        <w:rPr>
          <w:rFonts w:ascii="Times New Roman" w:hAnsi="Times New Roman" w:cs="Times New Roman"/>
          <w:sz w:val="28"/>
          <w:szCs w:val="28"/>
        </w:rPr>
        <w:t xml:space="preserve">. </w:t>
      </w:r>
    </w:p>
    <w:p w14:paraId="38872589" w14:textId="45606513" w:rsidR="009F6580" w:rsidRDefault="00CF5C1B" w:rsidP="00D321D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Dopo la sentenza n.</w:t>
      </w:r>
      <w:r w:rsidR="00285DCE">
        <w:rPr>
          <w:rFonts w:ascii="Times New Roman" w:hAnsi="Times New Roman" w:cs="Times New Roman"/>
          <w:sz w:val="28"/>
          <w:szCs w:val="28"/>
        </w:rPr>
        <w:t xml:space="preserve"> </w:t>
      </w:r>
      <w:r>
        <w:rPr>
          <w:rFonts w:ascii="Times New Roman" w:hAnsi="Times New Roman" w:cs="Times New Roman"/>
          <w:sz w:val="28"/>
          <w:szCs w:val="28"/>
        </w:rPr>
        <w:t>500 del 1999 sulla risarcibilità dell’interesse legittimo</w:t>
      </w:r>
      <w:r w:rsidR="008868DA">
        <w:rPr>
          <w:rFonts w:ascii="Times New Roman" w:hAnsi="Times New Roman" w:cs="Times New Roman"/>
          <w:sz w:val="28"/>
          <w:szCs w:val="28"/>
        </w:rPr>
        <w:t xml:space="preserve"> e dopo l’entrata in vigore del codice del processo amministrativo nel 2010, la previsione di una specifica azione di condanna dinanzi al giudice amministrativo, soggetta a un termine di decadenza, consente di ipotizzare un superamento del paradigma di responsabilità extracontrattuale, lasciando invero irrisolte non poche questioni, tra cui quella della giurisdizione</w:t>
      </w:r>
      <w:r w:rsidR="0007667A">
        <w:rPr>
          <w:rStyle w:val="Rimandonotaapidipagina"/>
          <w:rFonts w:ascii="Times New Roman" w:hAnsi="Times New Roman" w:cs="Times New Roman"/>
          <w:sz w:val="28"/>
          <w:szCs w:val="28"/>
        </w:rPr>
        <w:footnoteReference w:id="34"/>
      </w:r>
      <w:r w:rsidR="0007667A">
        <w:rPr>
          <w:rFonts w:ascii="Times New Roman" w:hAnsi="Times New Roman" w:cs="Times New Roman"/>
          <w:sz w:val="28"/>
          <w:szCs w:val="28"/>
        </w:rPr>
        <w:t>.</w:t>
      </w:r>
    </w:p>
    <w:p w14:paraId="1E126A0A" w14:textId="77777777" w:rsidR="00D321DA" w:rsidRDefault="00D321DA" w:rsidP="00D321DA">
      <w:pPr>
        <w:tabs>
          <w:tab w:val="left" w:pos="8364"/>
        </w:tabs>
        <w:spacing w:after="0"/>
        <w:jc w:val="both"/>
        <w:rPr>
          <w:rFonts w:ascii="Times New Roman" w:hAnsi="Times New Roman" w:cs="Times New Roman"/>
          <w:sz w:val="28"/>
          <w:szCs w:val="28"/>
        </w:rPr>
      </w:pPr>
    </w:p>
    <w:p w14:paraId="69DE3686" w14:textId="6A21894B" w:rsidR="00A92F97" w:rsidRDefault="00EF1D04" w:rsidP="006E616C">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Questa è, dunque, la linea interpretativa che ha tracciato il Consiglio di Stato: superando ogni possibile limite al sindacato giudiziario sulla discrezionalità amministrativa e tecnica, rivendica la necessità di esercitare il proprio sindacato sull’algoritmo che costituisce l’essenza della decisione finale e sulla correttezza di tutti i passaggi della procedura informatica, ivi inclusa la costruzione dell’algoritmo, l’inserimento dei dati e la loro gestione. La questione</w:t>
      </w:r>
      <w:r w:rsidR="00D321DA">
        <w:rPr>
          <w:rFonts w:ascii="Times New Roman" w:hAnsi="Times New Roman" w:cs="Times New Roman"/>
          <w:sz w:val="28"/>
          <w:szCs w:val="28"/>
        </w:rPr>
        <w:t>,</w:t>
      </w:r>
      <w:r>
        <w:rPr>
          <w:rFonts w:ascii="Times New Roman" w:hAnsi="Times New Roman" w:cs="Times New Roman"/>
          <w:sz w:val="28"/>
          <w:szCs w:val="28"/>
        </w:rPr>
        <w:t xml:space="preserve"> così impostata</w:t>
      </w:r>
      <w:r w:rsidR="00D321DA">
        <w:rPr>
          <w:rFonts w:ascii="Times New Roman" w:hAnsi="Times New Roman" w:cs="Times New Roman"/>
          <w:sz w:val="28"/>
          <w:szCs w:val="28"/>
        </w:rPr>
        <w:t>,</w:t>
      </w:r>
      <w:r>
        <w:rPr>
          <w:rFonts w:ascii="Times New Roman" w:hAnsi="Times New Roman" w:cs="Times New Roman"/>
          <w:sz w:val="28"/>
          <w:szCs w:val="28"/>
        </w:rPr>
        <w:t xml:space="preserve"> rimanda al problema della fallibilità del </w:t>
      </w:r>
      <w:r w:rsidRPr="00D321DA">
        <w:rPr>
          <w:rFonts w:ascii="Times New Roman" w:hAnsi="Times New Roman" w:cs="Times New Roman"/>
          <w:i/>
          <w:iCs/>
          <w:sz w:val="28"/>
          <w:szCs w:val="28"/>
        </w:rPr>
        <w:t>software</w:t>
      </w:r>
      <w:r>
        <w:rPr>
          <w:rFonts w:ascii="Times New Roman" w:hAnsi="Times New Roman" w:cs="Times New Roman"/>
          <w:sz w:val="28"/>
          <w:szCs w:val="28"/>
        </w:rPr>
        <w:t>, al quale ci si affida sul presupposto che esso sia in grado di offrire una soluzione efficiente, perché adottata in tempi ridotti e non soggetta ad errore, ma che nei fatti può dar luogo a risultati non corretti, come mostra bene il caso delle assegnazioni dei docenti nella procedura di mobilità avviata con la riforma della “buona scuola”.</w:t>
      </w:r>
      <w:r w:rsidR="001B1A0A">
        <w:rPr>
          <w:rFonts w:ascii="Times New Roman" w:hAnsi="Times New Roman" w:cs="Times New Roman"/>
          <w:sz w:val="28"/>
          <w:szCs w:val="28"/>
        </w:rPr>
        <w:t xml:space="preserve"> </w:t>
      </w:r>
      <w:r w:rsidR="004E1E4C">
        <w:rPr>
          <w:rFonts w:ascii="Times New Roman" w:hAnsi="Times New Roman" w:cs="Times New Roman"/>
          <w:sz w:val="28"/>
          <w:szCs w:val="28"/>
        </w:rPr>
        <w:t>È</w:t>
      </w:r>
      <w:r w:rsidR="001B1A0A">
        <w:rPr>
          <w:rFonts w:ascii="Times New Roman" w:hAnsi="Times New Roman" w:cs="Times New Roman"/>
          <w:sz w:val="28"/>
          <w:szCs w:val="28"/>
        </w:rPr>
        <w:t xml:space="preserve"> evidente che tali assegnazioni erano avvenute in modo non coerente alla scelta prioritaria formulata dagli interessati, con la conseguenza che alcuni docenti erano stati destinati in sedi più </w:t>
      </w:r>
      <w:r w:rsidR="006E616C">
        <w:rPr>
          <w:rFonts w:ascii="Times New Roman" w:hAnsi="Times New Roman" w:cs="Times New Roman"/>
          <w:sz w:val="28"/>
          <w:szCs w:val="28"/>
        </w:rPr>
        <w:t>d</w:t>
      </w:r>
      <w:r w:rsidR="001B1A0A">
        <w:rPr>
          <w:rFonts w:ascii="Times New Roman" w:hAnsi="Times New Roman" w:cs="Times New Roman"/>
          <w:sz w:val="28"/>
          <w:szCs w:val="28"/>
        </w:rPr>
        <w:t xml:space="preserve">istanti da quella indicata o da quella di residenza e pur essendo disponibili svariati posti presso le sedi di elezione. A fronte del margine di </w:t>
      </w:r>
      <w:r w:rsidR="004E1E4C">
        <w:rPr>
          <w:rFonts w:ascii="Times New Roman" w:hAnsi="Times New Roman" w:cs="Times New Roman"/>
          <w:sz w:val="28"/>
          <w:szCs w:val="28"/>
        </w:rPr>
        <w:t>errore del</w:t>
      </w:r>
      <w:r w:rsidR="00C25749">
        <w:rPr>
          <w:rFonts w:ascii="Times New Roman" w:hAnsi="Times New Roman" w:cs="Times New Roman"/>
          <w:sz w:val="28"/>
          <w:szCs w:val="28"/>
        </w:rPr>
        <w:t xml:space="preserve"> </w:t>
      </w:r>
      <w:r w:rsidR="00C25749" w:rsidRPr="006E616C">
        <w:rPr>
          <w:rFonts w:ascii="Times New Roman" w:hAnsi="Times New Roman" w:cs="Times New Roman"/>
          <w:i/>
          <w:iCs/>
          <w:sz w:val="28"/>
          <w:szCs w:val="28"/>
        </w:rPr>
        <w:t>software</w:t>
      </w:r>
      <w:r w:rsidR="006E616C">
        <w:rPr>
          <w:rFonts w:ascii="Times New Roman" w:hAnsi="Times New Roman" w:cs="Times New Roman"/>
          <w:i/>
          <w:iCs/>
          <w:sz w:val="28"/>
          <w:szCs w:val="28"/>
        </w:rPr>
        <w:t>,</w:t>
      </w:r>
      <w:r w:rsidR="00C25749">
        <w:rPr>
          <w:rFonts w:ascii="Times New Roman" w:hAnsi="Times New Roman" w:cs="Times New Roman"/>
          <w:sz w:val="28"/>
          <w:szCs w:val="28"/>
        </w:rPr>
        <w:t xml:space="preserve"> </w:t>
      </w:r>
      <w:r w:rsidR="001B1A0A">
        <w:rPr>
          <w:rFonts w:ascii="Times New Roman" w:hAnsi="Times New Roman" w:cs="Times New Roman"/>
          <w:sz w:val="28"/>
          <w:szCs w:val="28"/>
        </w:rPr>
        <w:t xml:space="preserve">si fa sempre più sentita </w:t>
      </w:r>
      <w:r w:rsidR="00C25749">
        <w:rPr>
          <w:rFonts w:ascii="Times New Roman" w:hAnsi="Times New Roman" w:cs="Times New Roman"/>
          <w:sz w:val="28"/>
          <w:szCs w:val="28"/>
        </w:rPr>
        <w:t xml:space="preserve">la necessità di assicurare la trasparenza, la conoscibilità e la partecipazione del privato al procedimento di formazione di ogni decisione pubblica, sia nell’ipotesi in cui l’algoritmo funga da presupposto per una decisione successiva, sia nel caso in cui il suo prodotto coincida </w:t>
      </w:r>
      <w:r w:rsidR="00C25749">
        <w:rPr>
          <w:rFonts w:ascii="Times New Roman" w:hAnsi="Times New Roman" w:cs="Times New Roman"/>
          <w:sz w:val="28"/>
          <w:szCs w:val="28"/>
        </w:rPr>
        <w:lastRenderedPageBreak/>
        <w:t>con la stessa decisione.</w:t>
      </w:r>
      <w:r w:rsidR="00A92F97">
        <w:rPr>
          <w:rFonts w:ascii="Times New Roman" w:hAnsi="Times New Roman" w:cs="Times New Roman"/>
          <w:sz w:val="28"/>
          <w:szCs w:val="28"/>
        </w:rPr>
        <w:t xml:space="preserve"> </w:t>
      </w:r>
      <w:r w:rsidR="00C25749">
        <w:rPr>
          <w:rFonts w:ascii="Times New Roman" w:hAnsi="Times New Roman" w:cs="Times New Roman"/>
          <w:sz w:val="28"/>
          <w:szCs w:val="28"/>
        </w:rPr>
        <w:t>Fermo restando che, per il principio di responsabilità, l’amministrazione</w:t>
      </w:r>
      <w:r w:rsidR="006E616C">
        <w:rPr>
          <w:rFonts w:ascii="Times New Roman" w:hAnsi="Times New Roman" w:cs="Times New Roman"/>
          <w:sz w:val="28"/>
          <w:szCs w:val="28"/>
        </w:rPr>
        <w:t>,</w:t>
      </w:r>
      <w:r w:rsidR="00C25749">
        <w:rPr>
          <w:rFonts w:ascii="Times New Roman" w:hAnsi="Times New Roman" w:cs="Times New Roman"/>
          <w:sz w:val="28"/>
          <w:szCs w:val="28"/>
        </w:rPr>
        <w:t xml:space="preserve"> e non un </w:t>
      </w:r>
      <w:r w:rsidR="00C25749" w:rsidRPr="006E616C">
        <w:rPr>
          <w:rFonts w:ascii="Times New Roman" w:hAnsi="Times New Roman" w:cs="Times New Roman"/>
          <w:i/>
          <w:iCs/>
          <w:sz w:val="28"/>
          <w:szCs w:val="28"/>
        </w:rPr>
        <w:t>software</w:t>
      </w:r>
      <w:r w:rsidR="00C25749">
        <w:rPr>
          <w:rFonts w:ascii="Times New Roman" w:hAnsi="Times New Roman" w:cs="Times New Roman"/>
          <w:sz w:val="28"/>
          <w:szCs w:val="28"/>
        </w:rPr>
        <w:t>, deve rispondere dei danni prodotti. In altri termini, applicato al processo di automazione della decisione pubblica, il principio di responsabilità si traduce, in un primo tempo, nell’esigenza di limitare il ruolo della tecnica in generale, e dell’a</w:t>
      </w:r>
      <w:r w:rsidR="00A92F97">
        <w:rPr>
          <w:rFonts w:ascii="Times New Roman" w:hAnsi="Times New Roman" w:cs="Times New Roman"/>
          <w:sz w:val="28"/>
          <w:szCs w:val="28"/>
        </w:rPr>
        <w:t>l</w:t>
      </w:r>
      <w:r w:rsidR="00C25749">
        <w:rPr>
          <w:rFonts w:ascii="Times New Roman" w:hAnsi="Times New Roman" w:cs="Times New Roman"/>
          <w:sz w:val="28"/>
          <w:szCs w:val="28"/>
        </w:rPr>
        <w:t>goritmo in particolare, a strumento servente dell’amministrazione, mantenendo così in capo all’agente la competenza e la responsabilità che deriva dall’assunzione della decisione</w:t>
      </w:r>
      <w:r w:rsidR="004E1E4C">
        <w:rPr>
          <w:rStyle w:val="Rimandonotaapidipagina"/>
          <w:rFonts w:ascii="Times New Roman" w:hAnsi="Times New Roman" w:cs="Times New Roman"/>
          <w:sz w:val="28"/>
          <w:szCs w:val="28"/>
        </w:rPr>
        <w:footnoteReference w:id="35"/>
      </w:r>
      <w:r w:rsidR="00C25749">
        <w:rPr>
          <w:rFonts w:ascii="Times New Roman" w:hAnsi="Times New Roman" w:cs="Times New Roman"/>
          <w:sz w:val="28"/>
          <w:szCs w:val="28"/>
        </w:rPr>
        <w:t>.</w:t>
      </w:r>
    </w:p>
    <w:p w14:paraId="51E5408F" w14:textId="3F6EE819" w:rsidR="00EF1D04" w:rsidRDefault="00A92F97" w:rsidP="006E616C">
      <w:pPr>
        <w:tabs>
          <w:tab w:val="left" w:pos="8364"/>
        </w:tabs>
        <w:spacing w:after="0"/>
        <w:jc w:val="both"/>
        <w:rPr>
          <w:rFonts w:ascii="Times New Roman" w:hAnsi="Times New Roman" w:cs="Times New Roman"/>
          <w:sz w:val="28"/>
          <w:szCs w:val="28"/>
        </w:rPr>
      </w:pPr>
      <w:r w:rsidRPr="00A92F97">
        <w:rPr>
          <w:rFonts w:ascii="Times New Roman" w:hAnsi="Times New Roman" w:cs="Times New Roman"/>
          <w:sz w:val="28"/>
          <w:szCs w:val="28"/>
        </w:rPr>
        <w:t>In modo complementare</w:t>
      </w:r>
      <w:r w:rsidR="006E616C">
        <w:rPr>
          <w:rFonts w:ascii="Times New Roman" w:hAnsi="Times New Roman" w:cs="Times New Roman"/>
          <w:sz w:val="28"/>
          <w:szCs w:val="28"/>
        </w:rPr>
        <w:t>,</w:t>
      </w:r>
      <w:r>
        <w:rPr>
          <w:rFonts w:ascii="Times New Roman" w:hAnsi="Times New Roman" w:cs="Times New Roman"/>
          <w:sz w:val="28"/>
          <w:szCs w:val="28"/>
        </w:rPr>
        <w:t xml:space="preserve"> il medesimo principio potrebbe condurre a stabilire, ad esempio, obblighi di tipo fiduciario a carico di chi raccoglie, analizza e utilizza informazioni nei confronti sia dei diretti interessati che della collettività in generale</w:t>
      </w:r>
      <w:r w:rsidR="00DA15B2">
        <w:rPr>
          <w:rStyle w:val="Rimandonotaapidipagina"/>
          <w:rFonts w:ascii="Times New Roman" w:hAnsi="Times New Roman" w:cs="Times New Roman"/>
          <w:sz w:val="28"/>
          <w:szCs w:val="28"/>
        </w:rPr>
        <w:footnoteReference w:id="36"/>
      </w:r>
      <w:r w:rsidRPr="00A92F97">
        <w:rPr>
          <w:rFonts w:ascii="Times New Roman" w:hAnsi="Times New Roman" w:cs="Times New Roman"/>
          <w:sz w:val="28"/>
          <w:szCs w:val="28"/>
        </w:rPr>
        <w:t>.</w:t>
      </w:r>
    </w:p>
    <w:p w14:paraId="1E355797" w14:textId="494FC2A7" w:rsidR="00A92F97" w:rsidRDefault="00A92F97" w:rsidP="006E616C">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Ancora,</w:t>
      </w:r>
      <w:r w:rsidR="00F56D06">
        <w:rPr>
          <w:rFonts w:ascii="Times New Roman" w:hAnsi="Times New Roman" w:cs="Times New Roman"/>
          <w:sz w:val="28"/>
          <w:szCs w:val="28"/>
        </w:rPr>
        <w:t xml:space="preserve"> </w:t>
      </w:r>
      <w:r>
        <w:rPr>
          <w:rFonts w:ascii="Times New Roman" w:hAnsi="Times New Roman" w:cs="Times New Roman"/>
          <w:sz w:val="28"/>
          <w:szCs w:val="28"/>
        </w:rPr>
        <w:t>sempre in attuazione del principio di responsabilità, potrebbe essere auspicabile adottare specifiche prescrizioni tecniche per la progettazione di algoritmi “equi”, disegnati,</w:t>
      </w:r>
      <w:r w:rsidR="00DA15B2">
        <w:rPr>
          <w:rFonts w:ascii="Times New Roman" w:hAnsi="Times New Roman" w:cs="Times New Roman"/>
          <w:sz w:val="28"/>
          <w:szCs w:val="28"/>
        </w:rPr>
        <w:t xml:space="preserve"> </w:t>
      </w:r>
      <w:r>
        <w:rPr>
          <w:rFonts w:ascii="Times New Roman" w:hAnsi="Times New Roman" w:cs="Times New Roman"/>
          <w:sz w:val="28"/>
          <w:szCs w:val="28"/>
        </w:rPr>
        <w:t>cioè in modo da rispettare i valori fondanti della nostra società</w:t>
      </w:r>
      <w:r w:rsidR="00DA15B2">
        <w:rPr>
          <w:rStyle w:val="Rimandonotaapidipagina"/>
          <w:rFonts w:ascii="Times New Roman" w:hAnsi="Times New Roman" w:cs="Times New Roman"/>
          <w:sz w:val="28"/>
          <w:szCs w:val="28"/>
        </w:rPr>
        <w:footnoteReference w:id="37"/>
      </w:r>
      <w:r>
        <w:rPr>
          <w:rFonts w:ascii="Times New Roman" w:hAnsi="Times New Roman" w:cs="Times New Roman"/>
          <w:sz w:val="28"/>
          <w:szCs w:val="28"/>
        </w:rPr>
        <w:t>.</w:t>
      </w:r>
    </w:p>
    <w:p w14:paraId="4B3703FD" w14:textId="77777777" w:rsidR="006E616C" w:rsidRDefault="00F56D06"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Dinanzi alla continua evoluzione della scienza e alla velocità delle trasformazioni tecnologiche, un atteggiamento di resistenza rispetto all’impiego di algoritmi nella formazione della volontà procedimentale risulta ingiustificato, oltre che di difficile </w:t>
      </w:r>
      <w:r>
        <w:rPr>
          <w:rFonts w:ascii="Times New Roman" w:hAnsi="Times New Roman" w:cs="Times New Roman"/>
          <w:sz w:val="28"/>
          <w:szCs w:val="28"/>
        </w:rPr>
        <w:lastRenderedPageBreak/>
        <w:t xml:space="preserve">attuazione, dato che il ricorso a </w:t>
      </w:r>
      <w:r w:rsidRPr="006E616C">
        <w:rPr>
          <w:rFonts w:ascii="Times New Roman" w:hAnsi="Times New Roman" w:cs="Times New Roman"/>
          <w:i/>
          <w:iCs/>
          <w:sz w:val="28"/>
          <w:szCs w:val="28"/>
        </w:rPr>
        <w:t>software</w:t>
      </w:r>
      <w:r>
        <w:rPr>
          <w:rFonts w:ascii="Times New Roman" w:hAnsi="Times New Roman" w:cs="Times New Roman"/>
          <w:sz w:val="28"/>
          <w:szCs w:val="28"/>
        </w:rPr>
        <w:t xml:space="preserve"> che possano supportare l’azione amministrativa è destinato a essere sempre più frequente e gli ambiti applicativi delle decisioni automatizzate aumentano di continuo. </w:t>
      </w:r>
    </w:p>
    <w:p w14:paraId="1660A717" w14:textId="77777777" w:rsidR="000A1788" w:rsidRDefault="00F56D06" w:rsidP="000A1788">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Di recente</w:t>
      </w:r>
      <w:r w:rsidR="00821B81">
        <w:rPr>
          <w:rFonts w:ascii="Times New Roman" w:hAnsi="Times New Roman" w:cs="Times New Roman"/>
          <w:sz w:val="28"/>
          <w:szCs w:val="28"/>
        </w:rPr>
        <w:t>,</w:t>
      </w:r>
      <w:r>
        <w:rPr>
          <w:rFonts w:ascii="Times New Roman" w:hAnsi="Times New Roman" w:cs="Times New Roman"/>
          <w:sz w:val="28"/>
          <w:szCs w:val="28"/>
        </w:rPr>
        <w:t xml:space="preserve"> il </w:t>
      </w:r>
      <w:r w:rsidR="006E616C">
        <w:rPr>
          <w:rFonts w:ascii="Times New Roman" w:hAnsi="Times New Roman" w:cs="Times New Roman"/>
          <w:sz w:val="28"/>
          <w:szCs w:val="28"/>
        </w:rPr>
        <w:t>P</w:t>
      </w:r>
      <w:r>
        <w:rPr>
          <w:rFonts w:ascii="Times New Roman" w:hAnsi="Times New Roman" w:cs="Times New Roman"/>
          <w:sz w:val="28"/>
          <w:szCs w:val="28"/>
        </w:rPr>
        <w:t>rof</w:t>
      </w:r>
      <w:r w:rsidR="006E616C">
        <w:rPr>
          <w:rFonts w:ascii="Times New Roman" w:hAnsi="Times New Roman" w:cs="Times New Roman"/>
          <w:sz w:val="28"/>
          <w:szCs w:val="28"/>
        </w:rPr>
        <w:t>essore</w:t>
      </w:r>
      <w:r w:rsidR="00DA15B2">
        <w:rPr>
          <w:rFonts w:ascii="Times New Roman" w:hAnsi="Times New Roman" w:cs="Times New Roman"/>
          <w:sz w:val="28"/>
          <w:szCs w:val="28"/>
        </w:rPr>
        <w:t xml:space="preserve"> </w:t>
      </w:r>
      <w:r>
        <w:rPr>
          <w:rFonts w:ascii="Times New Roman" w:hAnsi="Times New Roman" w:cs="Times New Roman"/>
          <w:sz w:val="28"/>
          <w:szCs w:val="28"/>
        </w:rPr>
        <w:t>Giorgio Parisi, vincitore del premio Nobel per la fisica 2021, ci ha ill</w:t>
      </w:r>
      <w:r w:rsidR="00C6657A">
        <w:rPr>
          <w:rFonts w:ascii="Times New Roman" w:hAnsi="Times New Roman" w:cs="Times New Roman"/>
          <w:sz w:val="28"/>
          <w:szCs w:val="28"/>
        </w:rPr>
        <w:t>u</w:t>
      </w:r>
      <w:r>
        <w:rPr>
          <w:rFonts w:ascii="Times New Roman" w:hAnsi="Times New Roman" w:cs="Times New Roman"/>
          <w:sz w:val="28"/>
          <w:szCs w:val="28"/>
        </w:rPr>
        <w:t xml:space="preserve">strato le dinamiche dei sistemi complessi su scala atomica e planetaria, dimostrandoci che la massa è un fenomeno dinamico. Anche il mondo degli algoritmi presenta una complessità che il giurista deve cercare di regolare per metterla </w:t>
      </w:r>
      <w:r w:rsidR="00DA15B2">
        <w:rPr>
          <w:rFonts w:ascii="Times New Roman" w:hAnsi="Times New Roman" w:cs="Times New Roman"/>
          <w:sz w:val="28"/>
          <w:szCs w:val="28"/>
        </w:rPr>
        <w:t>al</w:t>
      </w:r>
      <w:r>
        <w:rPr>
          <w:rFonts w:ascii="Times New Roman" w:hAnsi="Times New Roman" w:cs="Times New Roman"/>
          <w:sz w:val="28"/>
          <w:szCs w:val="28"/>
        </w:rPr>
        <w:t xml:space="preserve"> servizio dell’interesse </w:t>
      </w:r>
      <w:r w:rsidR="00CE6DA5">
        <w:rPr>
          <w:rFonts w:ascii="Times New Roman" w:hAnsi="Times New Roman" w:cs="Times New Roman"/>
          <w:sz w:val="28"/>
          <w:szCs w:val="28"/>
        </w:rPr>
        <w:t>dell’uomo.</w:t>
      </w:r>
      <w:r>
        <w:rPr>
          <w:rFonts w:ascii="Times New Roman" w:hAnsi="Times New Roman" w:cs="Times New Roman"/>
          <w:sz w:val="28"/>
          <w:szCs w:val="28"/>
        </w:rPr>
        <w:t xml:space="preserve"> </w:t>
      </w:r>
      <w:r w:rsidR="00DA15B2">
        <w:rPr>
          <w:rFonts w:ascii="Times New Roman" w:hAnsi="Times New Roman" w:cs="Times New Roman"/>
          <w:sz w:val="28"/>
          <w:szCs w:val="28"/>
        </w:rPr>
        <w:t>È</w:t>
      </w:r>
      <w:r>
        <w:rPr>
          <w:rFonts w:ascii="Times New Roman" w:hAnsi="Times New Roman" w:cs="Times New Roman"/>
          <w:sz w:val="28"/>
          <w:szCs w:val="28"/>
        </w:rPr>
        <w:t xml:space="preserve"> relativamente recente la notizia che in Sardegna è stata</w:t>
      </w:r>
      <w:r w:rsidR="00CE6DA5">
        <w:rPr>
          <w:rFonts w:ascii="Times New Roman" w:hAnsi="Times New Roman" w:cs="Times New Roman"/>
          <w:sz w:val="28"/>
          <w:szCs w:val="28"/>
        </w:rPr>
        <w:t xml:space="preserve"> avviata una </w:t>
      </w:r>
      <w:r w:rsidR="00DA15B2">
        <w:rPr>
          <w:rFonts w:ascii="Times New Roman" w:hAnsi="Times New Roman" w:cs="Times New Roman"/>
          <w:sz w:val="28"/>
          <w:szCs w:val="28"/>
        </w:rPr>
        <w:t>sperimentazione, che</w:t>
      </w:r>
      <w:r w:rsidR="00CE6DA5">
        <w:rPr>
          <w:rFonts w:ascii="Times New Roman" w:hAnsi="Times New Roman" w:cs="Times New Roman"/>
          <w:sz w:val="28"/>
          <w:szCs w:val="28"/>
        </w:rPr>
        <w:t xml:space="preserve"> riguarda ancora pochi comuni, per il monitoraggio del territorio attraverso satelliti radar che</w:t>
      </w:r>
      <w:r w:rsidR="00821B81">
        <w:rPr>
          <w:rFonts w:ascii="Times New Roman" w:hAnsi="Times New Roman" w:cs="Times New Roman"/>
          <w:sz w:val="28"/>
          <w:szCs w:val="28"/>
        </w:rPr>
        <w:t>,</w:t>
      </w:r>
      <w:r w:rsidR="00CE6DA5">
        <w:rPr>
          <w:rFonts w:ascii="Times New Roman" w:hAnsi="Times New Roman" w:cs="Times New Roman"/>
          <w:sz w:val="28"/>
          <w:szCs w:val="28"/>
        </w:rPr>
        <w:t xml:space="preserve"> tra i diversi obiettivi, si propone anche quello di individuare manufatti </w:t>
      </w:r>
      <w:proofErr w:type="gramStart"/>
      <w:r w:rsidR="00CE6DA5">
        <w:rPr>
          <w:rFonts w:ascii="Times New Roman" w:hAnsi="Times New Roman" w:cs="Times New Roman"/>
          <w:sz w:val="28"/>
          <w:szCs w:val="28"/>
        </w:rPr>
        <w:t>ed</w:t>
      </w:r>
      <w:proofErr w:type="gramEnd"/>
      <w:r w:rsidR="00CE6DA5">
        <w:rPr>
          <w:rFonts w:ascii="Times New Roman" w:hAnsi="Times New Roman" w:cs="Times New Roman"/>
          <w:sz w:val="28"/>
          <w:szCs w:val="28"/>
        </w:rPr>
        <w:t xml:space="preserve"> edifici abusivi. </w:t>
      </w:r>
    </w:p>
    <w:p w14:paraId="29D6B66E" w14:textId="77777777" w:rsidR="000A1788" w:rsidRDefault="00CE6DA5" w:rsidP="000A1788">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In </w:t>
      </w:r>
      <w:r w:rsidR="00B6786B">
        <w:rPr>
          <w:rFonts w:ascii="Times New Roman" w:hAnsi="Times New Roman" w:cs="Times New Roman"/>
          <w:sz w:val="28"/>
          <w:szCs w:val="28"/>
        </w:rPr>
        <w:t>particolare, la</w:t>
      </w:r>
      <w:r>
        <w:rPr>
          <w:rFonts w:ascii="Times New Roman" w:hAnsi="Times New Roman" w:cs="Times New Roman"/>
          <w:sz w:val="28"/>
          <w:szCs w:val="28"/>
        </w:rPr>
        <w:t xml:space="preserve"> </w:t>
      </w:r>
      <w:proofErr w:type="spellStart"/>
      <w:r w:rsidRPr="00821B81">
        <w:rPr>
          <w:rFonts w:ascii="Times New Roman" w:hAnsi="Times New Roman" w:cs="Times New Roman"/>
          <w:i/>
          <w:iCs/>
          <w:sz w:val="28"/>
          <w:szCs w:val="28"/>
        </w:rPr>
        <w:t>NeMea</w:t>
      </w:r>
      <w:proofErr w:type="spellEnd"/>
      <w:r w:rsidRPr="00821B81">
        <w:rPr>
          <w:rFonts w:ascii="Times New Roman" w:hAnsi="Times New Roman" w:cs="Times New Roman"/>
          <w:i/>
          <w:iCs/>
          <w:sz w:val="28"/>
          <w:szCs w:val="28"/>
        </w:rPr>
        <w:t xml:space="preserve"> Sistemi</w:t>
      </w:r>
      <w:r>
        <w:rPr>
          <w:rFonts w:ascii="Times New Roman" w:hAnsi="Times New Roman" w:cs="Times New Roman"/>
          <w:sz w:val="28"/>
          <w:szCs w:val="28"/>
        </w:rPr>
        <w:t xml:space="preserve"> </w:t>
      </w:r>
      <w:r w:rsidR="00821B81">
        <w:rPr>
          <w:rFonts w:ascii="Times New Roman" w:hAnsi="Times New Roman" w:cs="Times New Roman"/>
          <w:sz w:val="28"/>
          <w:szCs w:val="28"/>
        </w:rPr>
        <w:t xml:space="preserve">– </w:t>
      </w:r>
      <w:r>
        <w:rPr>
          <w:rFonts w:ascii="Times New Roman" w:hAnsi="Times New Roman" w:cs="Times New Roman"/>
          <w:sz w:val="28"/>
          <w:szCs w:val="28"/>
        </w:rPr>
        <w:t xml:space="preserve">che dal 2015 è socia del distretto </w:t>
      </w:r>
      <w:r w:rsidR="00B6786B">
        <w:rPr>
          <w:rFonts w:ascii="Times New Roman" w:hAnsi="Times New Roman" w:cs="Times New Roman"/>
          <w:sz w:val="28"/>
          <w:szCs w:val="28"/>
        </w:rPr>
        <w:t>aerospaziale</w:t>
      </w:r>
      <w:r>
        <w:rPr>
          <w:rFonts w:ascii="Times New Roman" w:hAnsi="Times New Roman" w:cs="Times New Roman"/>
          <w:sz w:val="28"/>
          <w:szCs w:val="28"/>
        </w:rPr>
        <w:t xml:space="preserve"> della Sardegna</w:t>
      </w:r>
      <w:r w:rsidR="00821B81">
        <w:rPr>
          <w:rFonts w:ascii="Times New Roman" w:hAnsi="Times New Roman" w:cs="Times New Roman"/>
          <w:sz w:val="28"/>
          <w:szCs w:val="28"/>
        </w:rPr>
        <w:t xml:space="preserve"> –</w:t>
      </w:r>
      <w:r>
        <w:rPr>
          <w:rFonts w:ascii="Times New Roman" w:hAnsi="Times New Roman" w:cs="Times New Roman"/>
          <w:sz w:val="28"/>
          <w:szCs w:val="28"/>
        </w:rPr>
        <w:t xml:space="preserve"> intende calcolare </w:t>
      </w:r>
      <w:r w:rsidR="00821B81">
        <w:rPr>
          <w:rFonts w:ascii="Times New Roman" w:hAnsi="Times New Roman" w:cs="Times New Roman"/>
          <w:sz w:val="28"/>
          <w:szCs w:val="28"/>
        </w:rPr>
        <w:t>«</w:t>
      </w:r>
      <w:r w:rsidRPr="00B6786B">
        <w:rPr>
          <w:rFonts w:ascii="Times New Roman" w:hAnsi="Times New Roman" w:cs="Times New Roman"/>
          <w:i/>
          <w:iCs/>
          <w:sz w:val="28"/>
          <w:szCs w:val="28"/>
        </w:rPr>
        <w:t>un algoritmo che consentirà di misurare se i fabbricati si innalzano oppure no, offrendo alla pubblica amministrazione uno strumento formidabile per individuare abusi e interventi sui fabbricati</w:t>
      </w:r>
      <w:r w:rsidR="00821B81">
        <w:rPr>
          <w:rFonts w:ascii="Times New Roman" w:hAnsi="Times New Roman" w:cs="Times New Roman"/>
          <w:sz w:val="28"/>
          <w:szCs w:val="28"/>
        </w:rPr>
        <w:t>»</w:t>
      </w:r>
      <w:r w:rsidR="00B6786B">
        <w:rPr>
          <w:rStyle w:val="Rimandonotaapidipagina"/>
          <w:rFonts w:ascii="Times New Roman" w:hAnsi="Times New Roman" w:cs="Times New Roman"/>
          <w:sz w:val="28"/>
          <w:szCs w:val="28"/>
        </w:rPr>
        <w:footnoteReference w:id="38"/>
      </w:r>
      <w:r>
        <w:rPr>
          <w:rFonts w:ascii="Times New Roman" w:hAnsi="Times New Roman" w:cs="Times New Roman"/>
          <w:sz w:val="28"/>
          <w:szCs w:val="28"/>
        </w:rPr>
        <w:t xml:space="preserve">. </w:t>
      </w:r>
    </w:p>
    <w:p w14:paraId="0F975E2B" w14:textId="41B0771F" w:rsidR="00F56D06" w:rsidRDefault="00CE6DA5" w:rsidP="000A1788">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questione è molto complessa, se si considera il noto orientamento della giurisprudenza amministrativa sulla possibilità di valutare le aerofotogrammetrie quali prove dell’avvenuto abuso</w:t>
      </w:r>
      <w:r w:rsidR="00B6786B">
        <w:rPr>
          <w:rStyle w:val="Rimandonotaapidipagina"/>
          <w:rFonts w:ascii="Times New Roman" w:hAnsi="Times New Roman" w:cs="Times New Roman"/>
          <w:sz w:val="28"/>
          <w:szCs w:val="28"/>
        </w:rPr>
        <w:footnoteReference w:id="39"/>
      </w:r>
      <w:r w:rsidR="00B6786B">
        <w:rPr>
          <w:rFonts w:ascii="Times New Roman" w:hAnsi="Times New Roman" w:cs="Times New Roman"/>
          <w:sz w:val="28"/>
          <w:szCs w:val="28"/>
        </w:rPr>
        <w:t>.</w:t>
      </w:r>
      <w:r>
        <w:rPr>
          <w:rFonts w:ascii="Times New Roman" w:hAnsi="Times New Roman" w:cs="Times New Roman"/>
          <w:sz w:val="28"/>
          <w:szCs w:val="28"/>
        </w:rPr>
        <w:t xml:space="preserve"> </w:t>
      </w:r>
      <w:r w:rsidR="004E0BEF">
        <w:rPr>
          <w:rFonts w:ascii="Times New Roman" w:hAnsi="Times New Roman" w:cs="Times New Roman"/>
          <w:sz w:val="28"/>
          <w:szCs w:val="28"/>
        </w:rPr>
        <w:t xml:space="preserve">Negare l’utilità degli algoritmi nell’attività amministrativa potrebbe rappresentare una forma di </w:t>
      </w:r>
      <w:proofErr w:type="spellStart"/>
      <w:r w:rsidR="004E0BEF" w:rsidRPr="004E0BEF">
        <w:rPr>
          <w:rFonts w:ascii="Times New Roman" w:hAnsi="Times New Roman" w:cs="Times New Roman"/>
          <w:i/>
          <w:iCs/>
          <w:sz w:val="28"/>
          <w:szCs w:val="28"/>
        </w:rPr>
        <w:t>neoluddismo</w:t>
      </w:r>
      <w:proofErr w:type="spellEnd"/>
      <w:r w:rsidR="004E0BEF" w:rsidRPr="004E0BEF">
        <w:rPr>
          <w:rFonts w:ascii="Times New Roman" w:hAnsi="Times New Roman" w:cs="Times New Roman"/>
          <w:i/>
          <w:iCs/>
          <w:sz w:val="28"/>
          <w:szCs w:val="28"/>
        </w:rPr>
        <w:t>,</w:t>
      </w:r>
      <w:r w:rsidR="004E0BEF">
        <w:rPr>
          <w:rFonts w:ascii="Times New Roman" w:hAnsi="Times New Roman" w:cs="Times New Roman"/>
          <w:sz w:val="28"/>
          <w:szCs w:val="28"/>
        </w:rPr>
        <w:t xml:space="preserve"> la “</w:t>
      </w:r>
      <w:r w:rsidR="004E0BEF" w:rsidRPr="004E0BEF">
        <w:rPr>
          <w:rFonts w:ascii="Times New Roman" w:hAnsi="Times New Roman" w:cs="Times New Roman"/>
          <w:i/>
          <w:iCs/>
          <w:sz w:val="28"/>
          <w:szCs w:val="28"/>
        </w:rPr>
        <w:t>c</w:t>
      </w:r>
      <w:r w:rsidR="00821B81">
        <w:rPr>
          <w:rFonts w:ascii="Times New Roman" w:hAnsi="Times New Roman" w:cs="Times New Roman"/>
          <w:i/>
          <w:iCs/>
          <w:sz w:val="28"/>
          <w:szCs w:val="28"/>
        </w:rPr>
        <w:t>.</w:t>
      </w:r>
      <w:r w:rsidR="004E0BEF" w:rsidRPr="004E0BEF">
        <w:rPr>
          <w:rFonts w:ascii="Times New Roman" w:hAnsi="Times New Roman" w:cs="Times New Roman"/>
          <w:i/>
          <w:iCs/>
          <w:sz w:val="28"/>
          <w:szCs w:val="28"/>
        </w:rPr>
        <w:t>d</w:t>
      </w:r>
      <w:r w:rsidR="00821B81">
        <w:rPr>
          <w:rFonts w:ascii="Times New Roman" w:hAnsi="Times New Roman" w:cs="Times New Roman"/>
          <w:i/>
          <w:iCs/>
          <w:sz w:val="28"/>
          <w:szCs w:val="28"/>
        </w:rPr>
        <w:t>.</w:t>
      </w:r>
      <w:r w:rsidR="004E0BEF" w:rsidRPr="004E0BEF">
        <w:rPr>
          <w:rFonts w:ascii="Times New Roman" w:hAnsi="Times New Roman" w:cs="Times New Roman"/>
          <w:i/>
          <w:iCs/>
          <w:sz w:val="28"/>
          <w:szCs w:val="28"/>
        </w:rPr>
        <w:t xml:space="preserve"> paura del nuovo imponderabile</w:t>
      </w:r>
      <w:r w:rsidR="004E0BEF">
        <w:rPr>
          <w:rFonts w:ascii="Times New Roman" w:hAnsi="Times New Roman" w:cs="Times New Roman"/>
          <w:sz w:val="28"/>
          <w:szCs w:val="28"/>
        </w:rPr>
        <w:t xml:space="preserve">”, non auspicabile in un’era postmoderna. L’utilizzo dell’intelligenza algoritmica implica, però, che l’esercizio del potere pubblico debba essere chiamato a rispondere degli eventuali pregiudizi arrecati, laddove incide in misura apprezzabile sulla libertà dei singoli. L’obiettivo è allora quello di definire un sistema adeguato di </w:t>
      </w:r>
      <w:proofErr w:type="spellStart"/>
      <w:r w:rsidR="004E0BEF" w:rsidRPr="004E0BEF">
        <w:rPr>
          <w:rFonts w:ascii="Times New Roman" w:hAnsi="Times New Roman" w:cs="Times New Roman"/>
          <w:i/>
          <w:iCs/>
          <w:sz w:val="28"/>
          <w:szCs w:val="28"/>
        </w:rPr>
        <w:t>accountability</w:t>
      </w:r>
      <w:proofErr w:type="spellEnd"/>
      <w:r w:rsidR="004E0BEF">
        <w:rPr>
          <w:rFonts w:ascii="Times New Roman" w:hAnsi="Times New Roman" w:cs="Times New Roman"/>
          <w:sz w:val="28"/>
          <w:szCs w:val="28"/>
        </w:rPr>
        <w:t xml:space="preserve"> per le decisioni assunte in modo automatizzato</w:t>
      </w:r>
      <w:r w:rsidR="00821B81">
        <w:rPr>
          <w:rFonts w:ascii="Times New Roman" w:hAnsi="Times New Roman" w:cs="Times New Roman"/>
          <w:sz w:val="28"/>
          <w:szCs w:val="28"/>
        </w:rPr>
        <w:t>,</w:t>
      </w:r>
      <w:r w:rsidR="004E0BEF">
        <w:rPr>
          <w:rFonts w:ascii="Times New Roman" w:hAnsi="Times New Roman" w:cs="Times New Roman"/>
          <w:sz w:val="28"/>
          <w:szCs w:val="28"/>
        </w:rPr>
        <w:t xml:space="preserve"> senza dover rinunciare ai vantaggi innegabili scaturenti dall’innovazione digitale.</w:t>
      </w:r>
      <w:r w:rsidR="00EC30FD">
        <w:rPr>
          <w:rFonts w:ascii="Times New Roman" w:hAnsi="Times New Roman" w:cs="Times New Roman"/>
          <w:sz w:val="28"/>
          <w:szCs w:val="28"/>
        </w:rPr>
        <w:t xml:space="preserve"> Occorre delineare una nozione di “algoritmo dominabile”</w:t>
      </w:r>
      <w:r w:rsidR="00821B81">
        <w:rPr>
          <w:rFonts w:ascii="Times New Roman" w:hAnsi="Times New Roman" w:cs="Times New Roman"/>
          <w:sz w:val="28"/>
          <w:szCs w:val="28"/>
        </w:rPr>
        <w:t>,</w:t>
      </w:r>
      <w:r w:rsidR="00EC30FD">
        <w:rPr>
          <w:rFonts w:ascii="Times New Roman" w:hAnsi="Times New Roman" w:cs="Times New Roman"/>
          <w:sz w:val="28"/>
          <w:szCs w:val="28"/>
        </w:rPr>
        <w:t xml:space="preserve"> che consenta di costruire la logica della decisione.</w:t>
      </w:r>
    </w:p>
    <w:p w14:paraId="3BE8CF6B" w14:textId="276D2B69" w:rsidR="00EC30FD" w:rsidRDefault="00EC30FD"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t>Qualche Autore</w:t>
      </w:r>
      <w:r w:rsidR="00B6786B">
        <w:rPr>
          <w:rStyle w:val="Rimandonotaapidipagina"/>
          <w:rFonts w:ascii="Times New Roman" w:hAnsi="Times New Roman" w:cs="Times New Roman"/>
          <w:sz w:val="28"/>
          <w:szCs w:val="28"/>
        </w:rPr>
        <w:footnoteReference w:id="40"/>
      </w:r>
      <w:r w:rsidR="00B6786B">
        <w:rPr>
          <w:rFonts w:ascii="Times New Roman" w:hAnsi="Times New Roman" w:cs="Times New Roman"/>
          <w:sz w:val="28"/>
          <w:szCs w:val="28"/>
        </w:rPr>
        <w:t xml:space="preserve"> </w:t>
      </w:r>
      <w:r>
        <w:rPr>
          <w:rFonts w:ascii="Times New Roman" w:hAnsi="Times New Roman" w:cs="Times New Roman"/>
          <w:sz w:val="28"/>
          <w:szCs w:val="28"/>
        </w:rPr>
        <w:t>sottolinea la distinzione</w:t>
      </w:r>
      <w:r w:rsidR="00585326">
        <w:rPr>
          <w:rFonts w:ascii="Times New Roman" w:hAnsi="Times New Roman" w:cs="Times New Roman"/>
          <w:sz w:val="28"/>
          <w:szCs w:val="28"/>
        </w:rPr>
        <w:t xml:space="preserve"> tra due tipi di algoritmo: </w:t>
      </w:r>
      <w:r w:rsidR="00B6786B">
        <w:rPr>
          <w:rFonts w:ascii="Times New Roman" w:hAnsi="Times New Roman" w:cs="Times New Roman"/>
          <w:sz w:val="28"/>
          <w:szCs w:val="28"/>
        </w:rPr>
        <w:t>l’algoritmo definito</w:t>
      </w:r>
      <w:r w:rsidR="00585326">
        <w:rPr>
          <w:rFonts w:ascii="Times New Roman" w:hAnsi="Times New Roman" w:cs="Times New Roman"/>
          <w:sz w:val="28"/>
          <w:szCs w:val="28"/>
        </w:rPr>
        <w:t xml:space="preserve"> tradizionale e quello che si inserisce in un contesto di intelligenza artificiale. </w:t>
      </w:r>
      <w:r w:rsidR="000A1788">
        <w:rPr>
          <w:rFonts w:ascii="Times New Roman" w:hAnsi="Times New Roman" w:cs="Times New Roman"/>
          <w:sz w:val="28"/>
          <w:szCs w:val="28"/>
        </w:rPr>
        <w:t>T</w:t>
      </w:r>
      <w:r w:rsidR="00585326">
        <w:rPr>
          <w:rFonts w:ascii="Times New Roman" w:hAnsi="Times New Roman" w:cs="Times New Roman"/>
          <w:sz w:val="28"/>
          <w:szCs w:val="28"/>
        </w:rPr>
        <w:t>ale impostazione duale è di fondamentale importanza, perché in base ad essa si delineano situazioni giuridiche soggettive completamente differenti, rischi differenti e, quindi, esigenze di tutela del tutto differenti.</w:t>
      </w:r>
    </w:p>
    <w:p w14:paraId="01238454" w14:textId="77777777" w:rsidR="00894795" w:rsidRDefault="00894795" w:rsidP="000A1788">
      <w:pPr>
        <w:tabs>
          <w:tab w:val="left" w:pos="8364"/>
        </w:tabs>
        <w:spacing w:after="0"/>
        <w:jc w:val="both"/>
        <w:rPr>
          <w:rFonts w:ascii="Times New Roman" w:hAnsi="Times New Roman" w:cs="Times New Roman"/>
          <w:i/>
          <w:iCs/>
          <w:sz w:val="28"/>
          <w:szCs w:val="28"/>
        </w:rPr>
      </w:pPr>
      <w:r w:rsidRPr="00894795">
        <w:rPr>
          <w:rFonts w:ascii="Times New Roman" w:hAnsi="Times New Roman" w:cs="Times New Roman"/>
          <w:i/>
          <w:iCs/>
          <w:sz w:val="28"/>
          <w:szCs w:val="28"/>
        </w:rPr>
        <w:lastRenderedPageBreak/>
        <w:t>“L</w:t>
      </w:r>
      <w:r>
        <w:rPr>
          <w:rFonts w:ascii="Times New Roman" w:hAnsi="Times New Roman" w:cs="Times New Roman"/>
          <w:i/>
          <w:iCs/>
          <w:sz w:val="28"/>
          <w:szCs w:val="28"/>
        </w:rPr>
        <w:t>’</w:t>
      </w:r>
      <w:r w:rsidRPr="00894795">
        <w:rPr>
          <w:rFonts w:ascii="Times New Roman" w:hAnsi="Times New Roman" w:cs="Times New Roman"/>
          <w:i/>
          <w:iCs/>
          <w:sz w:val="28"/>
          <w:szCs w:val="28"/>
        </w:rPr>
        <w:t>algoritmo tradizionale</w:t>
      </w:r>
      <w:r>
        <w:rPr>
          <w:rFonts w:ascii="Times New Roman" w:hAnsi="Times New Roman" w:cs="Times New Roman"/>
          <w:i/>
          <w:iCs/>
          <w:sz w:val="28"/>
          <w:szCs w:val="28"/>
        </w:rPr>
        <w:t xml:space="preserve"> è uno strumento a cui si ricorre spesso nell’ambito dell’attività normativa o amministrativa. In questa prospettiva, l’algoritmo diventa una rappresentazione della norma e della sua interpretazione applicativa; si traduce in un vero e proprio metodo matematico per applicare la legge. </w:t>
      </w:r>
    </w:p>
    <w:p w14:paraId="0AE84F84" w14:textId="59AFC760" w:rsidR="00894795" w:rsidRDefault="00894795" w:rsidP="000A1788">
      <w:pPr>
        <w:tabs>
          <w:tab w:val="left" w:pos="8364"/>
        </w:tabs>
        <w:spacing w:after="0"/>
        <w:jc w:val="both"/>
        <w:rPr>
          <w:rFonts w:ascii="Times New Roman" w:hAnsi="Times New Roman" w:cs="Times New Roman"/>
          <w:i/>
          <w:iCs/>
          <w:sz w:val="28"/>
          <w:szCs w:val="28"/>
        </w:rPr>
      </w:pPr>
      <w:r>
        <w:rPr>
          <w:rFonts w:ascii="Times New Roman" w:hAnsi="Times New Roman" w:cs="Times New Roman"/>
          <w:i/>
          <w:iCs/>
          <w:sz w:val="28"/>
          <w:szCs w:val="28"/>
        </w:rPr>
        <w:t>La legge, quindi, in questo caso, precede l’algoritmo che diventa solo un mezzo per applicare più celermente le scelte normative. Talvolta si tratta di algoritmi semplici, quasi coincidenti con formule matematiche più o meno complesse: si pensi, in via esemplificativa, ai criteri di individuazione delle offerte economicamente più vantaggios</w:t>
      </w:r>
      <w:r w:rsidR="00882A6B">
        <w:rPr>
          <w:rFonts w:ascii="Times New Roman" w:hAnsi="Times New Roman" w:cs="Times New Roman"/>
          <w:i/>
          <w:iCs/>
          <w:sz w:val="28"/>
          <w:szCs w:val="28"/>
        </w:rPr>
        <w:t>e</w:t>
      </w:r>
      <w:r>
        <w:rPr>
          <w:rFonts w:ascii="Times New Roman" w:hAnsi="Times New Roman" w:cs="Times New Roman"/>
          <w:i/>
          <w:iCs/>
          <w:sz w:val="28"/>
          <w:szCs w:val="28"/>
        </w:rPr>
        <w:t xml:space="preserve"> o agli algoritmi utilizzati dal Ministero </w:t>
      </w:r>
      <w:r w:rsidR="00B36A21">
        <w:rPr>
          <w:rFonts w:ascii="Times New Roman" w:hAnsi="Times New Roman" w:cs="Times New Roman"/>
          <w:i/>
          <w:iCs/>
          <w:sz w:val="28"/>
          <w:szCs w:val="28"/>
        </w:rPr>
        <w:t>dell’Istruzione per l’assunzione e l’assegnazione delle sedi ai docenti delle scuole che sono stati oggetto di recente di un’interessante vicenda giudiziaria oltre che di grande attenzione mediatica.</w:t>
      </w:r>
      <w:r w:rsidR="00404A31">
        <w:rPr>
          <w:rFonts w:ascii="Times New Roman" w:hAnsi="Times New Roman" w:cs="Times New Roman"/>
          <w:i/>
          <w:iCs/>
          <w:sz w:val="28"/>
          <w:szCs w:val="28"/>
        </w:rPr>
        <w:t xml:space="preserve"> In casi come questi, l’analisi dell’algoritmo consente di ricostruire la logica della decisione. L’algoritmo </w:t>
      </w:r>
      <w:r w:rsidR="00A22ED4">
        <w:rPr>
          <w:rFonts w:ascii="Times New Roman" w:hAnsi="Times New Roman" w:cs="Times New Roman"/>
          <w:i/>
          <w:iCs/>
          <w:sz w:val="28"/>
          <w:szCs w:val="28"/>
        </w:rPr>
        <w:t xml:space="preserve">è </w:t>
      </w:r>
      <w:r w:rsidR="00404A31">
        <w:rPr>
          <w:rFonts w:ascii="Times New Roman" w:hAnsi="Times New Roman" w:cs="Times New Roman"/>
          <w:i/>
          <w:iCs/>
          <w:sz w:val="28"/>
          <w:szCs w:val="28"/>
        </w:rPr>
        <w:t>“dominabile”.</w:t>
      </w:r>
    </w:p>
    <w:p w14:paraId="7E431760" w14:textId="63DC7261" w:rsidR="00404A31" w:rsidRDefault="00404A31" w:rsidP="000A1788">
      <w:pPr>
        <w:tabs>
          <w:tab w:val="left" w:pos="8364"/>
        </w:tabs>
        <w:spacing w:after="0"/>
        <w:jc w:val="both"/>
        <w:rPr>
          <w:rFonts w:ascii="Times New Roman" w:hAnsi="Times New Roman" w:cs="Times New Roman"/>
          <w:i/>
          <w:iCs/>
          <w:sz w:val="28"/>
          <w:szCs w:val="28"/>
        </w:rPr>
      </w:pPr>
      <w:r>
        <w:rPr>
          <w:rFonts w:ascii="Times New Roman" w:hAnsi="Times New Roman" w:cs="Times New Roman"/>
          <w:i/>
          <w:iCs/>
          <w:sz w:val="28"/>
          <w:szCs w:val="28"/>
        </w:rPr>
        <w:t>Certo, talvolta la sua complessità rende più difficile l’analisi e più facile l’errore, ma si tratta pur sempre di fallacia dell’uomo, di scelte sbagliate dell’uomo in cui il vizio non è ontologicamente differente da quelli tradizionalmente incasellati nella tradizionale triade oggi scolpita dalla legge sul procedimento amministrativo: incompetenza, violazione di legge ed eccesso di potere.</w:t>
      </w:r>
    </w:p>
    <w:p w14:paraId="1B1CE2F5" w14:textId="2E63A271" w:rsidR="00404A31" w:rsidRDefault="00404A31" w:rsidP="000A1788">
      <w:pPr>
        <w:tabs>
          <w:tab w:val="left" w:pos="8364"/>
        </w:tabs>
        <w:spacing w:after="0"/>
        <w:jc w:val="both"/>
        <w:rPr>
          <w:rFonts w:ascii="Times New Roman" w:hAnsi="Times New Roman" w:cs="Times New Roman"/>
          <w:sz w:val="28"/>
          <w:szCs w:val="28"/>
        </w:rPr>
      </w:pPr>
      <w:r>
        <w:rPr>
          <w:rFonts w:ascii="Times New Roman" w:hAnsi="Times New Roman" w:cs="Times New Roman"/>
          <w:i/>
          <w:iCs/>
          <w:sz w:val="28"/>
          <w:szCs w:val="28"/>
        </w:rPr>
        <w:t>Accanto all’algoritmo “tradizionale” che presuppone la partecipazione intellettiva umana, vi è, però, l’algoritmo basato sull’intelligenza artificiale che perde il carattere della “</w:t>
      </w:r>
      <w:proofErr w:type="spellStart"/>
      <w:r>
        <w:rPr>
          <w:rFonts w:ascii="Times New Roman" w:hAnsi="Times New Roman" w:cs="Times New Roman"/>
          <w:i/>
          <w:iCs/>
          <w:sz w:val="28"/>
          <w:szCs w:val="28"/>
        </w:rPr>
        <w:t>dominabilità</w:t>
      </w:r>
      <w:proofErr w:type="spellEnd"/>
      <w:r>
        <w:rPr>
          <w:rFonts w:ascii="Times New Roman" w:hAnsi="Times New Roman" w:cs="Times New Roman"/>
          <w:i/>
          <w:iCs/>
          <w:sz w:val="28"/>
          <w:szCs w:val="28"/>
        </w:rPr>
        <w:t>”. In questi casi, agli algoritmi</w:t>
      </w:r>
      <w:r w:rsidR="000A1788">
        <w:rPr>
          <w:rFonts w:ascii="Times New Roman" w:hAnsi="Times New Roman" w:cs="Times New Roman"/>
          <w:i/>
          <w:iCs/>
          <w:sz w:val="28"/>
          <w:szCs w:val="28"/>
        </w:rPr>
        <w:t xml:space="preserve"> – </w:t>
      </w:r>
      <w:r>
        <w:rPr>
          <w:rFonts w:ascii="Times New Roman" w:hAnsi="Times New Roman" w:cs="Times New Roman"/>
          <w:i/>
          <w:iCs/>
          <w:sz w:val="28"/>
          <w:szCs w:val="28"/>
        </w:rPr>
        <w:t>o, meglio, all’intelligenza artificiale</w:t>
      </w:r>
      <w:r w:rsidR="000A1788">
        <w:rPr>
          <w:rFonts w:ascii="Times New Roman" w:hAnsi="Times New Roman" w:cs="Times New Roman"/>
          <w:i/>
          <w:iCs/>
          <w:sz w:val="28"/>
          <w:szCs w:val="28"/>
        </w:rPr>
        <w:t xml:space="preserve"> – </w:t>
      </w:r>
      <w:r>
        <w:rPr>
          <w:rFonts w:ascii="Times New Roman" w:hAnsi="Times New Roman" w:cs="Times New Roman"/>
          <w:i/>
          <w:iCs/>
          <w:sz w:val="28"/>
          <w:szCs w:val="28"/>
        </w:rPr>
        <w:t>viene richiesto qualcosa in più e cioè assumere decisioni al posto dell’uomo. L’intelligenza artificiale si sostituisce all’uomo nella scelta dell’atto da compiere, secondo un processo di analisi, acquisizione di dati e scelte autonome a cui la volontà umana risulta estranea</w:t>
      </w:r>
      <w:r w:rsidRPr="00404A31">
        <w:rPr>
          <w:rFonts w:ascii="Times New Roman" w:hAnsi="Times New Roman" w:cs="Times New Roman"/>
          <w:sz w:val="28"/>
          <w:szCs w:val="28"/>
        </w:rPr>
        <w:t>”</w:t>
      </w:r>
      <w:r w:rsidR="00882A6B">
        <w:rPr>
          <w:rStyle w:val="Rimandonotaapidipagina"/>
          <w:rFonts w:ascii="Times New Roman" w:hAnsi="Times New Roman" w:cs="Times New Roman"/>
          <w:sz w:val="28"/>
          <w:szCs w:val="28"/>
        </w:rPr>
        <w:footnoteReference w:id="41"/>
      </w:r>
      <w:r w:rsidR="00882A6B">
        <w:rPr>
          <w:rFonts w:ascii="Times New Roman" w:hAnsi="Times New Roman" w:cs="Times New Roman"/>
          <w:sz w:val="28"/>
          <w:szCs w:val="28"/>
        </w:rPr>
        <w:t>.</w:t>
      </w:r>
    </w:p>
    <w:p w14:paraId="2F29A93C" w14:textId="2C59547D" w:rsidR="00404A31" w:rsidRDefault="00404A31" w:rsidP="00774481">
      <w:pPr>
        <w:tabs>
          <w:tab w:val="left" w:pos="8364"/>
        </w:tabs>
        <w:jc w:val="both"/>
        <w:rPr>
          <w:rFonts w:ascii="Times New Roman" w:hAnsi="Times New Roman" w:cs="Times New Roman"/>
          <w:sz w:val="28"/>
          <w:szCs w:val="28"/>
        </w:rPr>
      </w:pPr>
      <w:r w:rsidRPr="00404A31">
        <w:rPr>
          <w:rFonts w:ascii="Times New Roman" w:hAnsi="Times New Roman" w:cs="Times New Roman"/>
          <w:sz w:val="28"/>
          <w:szCs w:val="28"/>
        </w:rPr>
        <w:t>In realtà</w:t>
      </w:r>
      <w:r w:rsidR="00821B81">
        <w:rPr>
          <w:rFonts w:ascii="Times New Roman" w:hAnsi="Times New Roman" w:cs="Times New Roman"/>
          <w:sz w:val="28"/>
          <w:szCs w:val="28"/>
        </w:rPr>
        <w:t>,</w:t>
      </w:r>
      <w:r>
        <w:rPr>
          <w:rFonts w:ascii="Times New Roman" w:hAnsi="Times New Roman" w:cs="Times New Roman"/>
          <w:b/>
          <w:bCs/>
          <w:sz w:val="28"/>
          <w:szCs w:val="28"/>
        </w:rPr>
        <w:t xml:space="preserve"> </w:t>
      </w:r>
      <w:r w:rsidRPr="00404A31">
        <w:rPr>
          <w:rFonts w:ascii="Times New Roman" w:hAnsi="Times New Roman" w:cs="Times New Roman"/>
          <w:sz w:val="28"/>
          <w:szCs w:val="28"/>
        </w:rPr>
        <w:t>la volontà umana</w:t>
      </w:r>
      <w:r>
        <w:rPr>
          <w:rFonts w:ascii="Times New Roman" w:hAnsi="Times New Roman" w:cs="Times New Roman"/>
          <w:b/>
          <w:bCs/>
          <w:sz w:val="28"/>
          <w:szCs w:val="28"/>
        </w:rPr>
        <w:t xml:space="preserve"> </w:t>
      </w:r>
      <w:r w:rsidRPr="00404A31">
        <w:rPr>
          <w:rFonts w:ascii="Times New Roman" w:hAnsi="Times New Roman" w:cs="Times New Roman"/>
          <w:sz w:val="28"/>
          <w:szCs w:val="28"/>
        </w:rPr>
        <w:t xml:space="preserve">è ancora presente ed immanente nella fase </w:t>
      </w:r>
      <w:r w:rsidRPr="00882A6B">
        <w:rPr>
          <w:rFonts w:ascii="Times New Roman" w:hAnsi="Times New Roman" w:cs="Times New Roman"/>
          <w:sz w:val="28"/>
          <w:szCs w:val="28"/>
        </w:rPr>
        <w:t>di</w:t>
      </w:r>
      <w:r w:rsidRPr="00A22ED4">
        <w:rPr>
          <w:rFonts w:ascii="Times New Roman" w:hAnsi="Times New Roman" w:cs="Times New Roman"/>
          <w:i/>
          <w:iCs/>
          <w:sz w:val="28"/>
          <w:szCs w:val="28"/>
        </w:rPr>
        <w:t xml:space="preserve"> </w:t>
      </w:r>
      <w:r w:rsidR="00882A6B">
        <w:rPr>
          <w:rFonts w:ascii="Times New Roman" w:hAnsi="Times New Roman" w:cs="Times New Roman"/>
          <w:i/>
          <w:iCs/>
          <w:sz w:val="28"/>
          <w:szCs w:val="28"/>
        </w:rPr>
        <w:t>“</w:t>
      </w:r>
      <w:r w:rsidRPr="00A22ED4">
        <w:rPr>
          <w:rFonts w:ascii="Times New Roman" w:hAnsi="Times New Roman" w:cs="Times New Roman"/>
          <w:i/>
          <w:iCs/>
          <w:sz w:val="28"/>
          <w:szCs w:val="28"/>
        </w:rPr>
        <w:t>creazione</w:t>
      </w:r>
      <w:r>
        <w:rPr>
          <w:rFonts w:ascii="Times New Roman" w:hAnsi="Times New Roman" w:cs="Times New Roman"/>
          <w:sz w:val="28"/>
          <w:szCs w:val="28"/>
        </w:rPr>
        <w:t xml:space="preserve"> </w:t>
      </w:r>
      <w:r w:rsidRPr="00A22ED4">
        <w:rPr>
          <w:rFonts w:ascii="Times New Roman" w:hAnsi="Times New Roman" w:cs="Times New Roman"/>
          <w:i/>
          <w:iCs/>
          <w:sz w:val="28"/>
          <w:szCs w:val="28"/>
        </w:rPr>
        <w:t>dell’algoritmo</w:t>
      </w:r>
      <w:r>
        <w:rPr>
          <w:rFonts w:ascii="Times New Roman" w:hAnsi="Times New Roman" w:cs="Times New Roman"/>
          <w:sz w:val="28"/>
          <w:szCs w:val="28"/>
        </w:rPr>
        <w:t>”</w:t>
      </w:r>
      <w:r w:rsidR="00821B81">
        <w:rPr>
          <w:rFonts w:ascii="Times New Roman" w:hAnsi="Times New Roman" w:cs="Times New Roman"/>
          <w:sz w:val="28"/>
          <w:szCs w:val="28"/>
        </w:rPr>
        <w:t>,</w:t>
      </w:r>
      <w:r>
        <w:rPr>
          <w:rFonts w:ascii="Times New Roman" w:hAnsi="Times New Roman" w:cs="Times New Roman"/>
          <w:sz w:val="28"/>
          <w:szCs w:val="28"/>
        </w:rPr>
        <w:t xml:space="preserve"> con l’immissione de</w:t>
      </w:r>
      <w:r w:rsidR="00A22ED4">
        <w:rPr>
          <w:rFonts w:ascii="Times New Roman" w:hAnsi="Times New Roman" w:cs="Times New Roman"/>
          <w:sz w:val="28"/>
          <w:szCs w:val="28"/>
        </w:rPr>
        <w:t>i dati che devono essere il più possibile neutrali e nella fase della c</w:t>
      </w:r>
      <w:r w:rsidR="00821B81">
        <w:rPr>
          <w:rFonts w:ascii="Times New Roman" w:hAnsi="Times New Roman" w:cs="Times New Roman"/>
          <w:sz w:val="28"/>
          <w:szCs w:val="28"/>
        </w:rPr>
        <w:t>.</w:t>
      </w:r>
      <w:r w:rsidR="00A22ED4">
        <w:rPr>
          <w:rFonts w:ascii="Times New Roman" w:hAnsi="Times New Roman" w:cs="Times New Roman"/>
          <w:sz w:val="28"/>
          <w:szCs w:val="28"/>
        </w:rPr>
        <w:t>d</w:t>
      </w:r>
      <w:r w:rsidR="00821B81">
        <w:rPr>
          <w:rFonts w:ascii="Times New Roman" w:hAnsi="Times New Roman" w:cs="Times New Roman"/>
          <w:sz w:val="28"/>
          <w:szCs w:val="28"/>
        </w:rPr>
        <w:t>.</w:t>
      </w:r>
      <w:r w:rsidR="00A22ED4">
        <w:rPr>
          <w:rFonts w:ascii="Times New Roman" w:hAnsi="Times New Roman" w:cs="Times New Roman"/>
          <w:sz w:val="28"/>
          <w:szCs w:val="28"/>
        </w:rPr>
        <w:t xml:space="preserve"> </w:t>
      </w:r>
      <w:r w:rsidR="00821B81">
        <w:rPr>
          <w:rFonts w:ascii="Times New Roman" w:hAnsi="Times New Roman" w:cs="Times New Roman"/>
          <w:sz w:val="28"/>
          <w:szCs w:val="28"/>
        </w:rPr>
        <w:t>«</w:t>
      </w:r>
      <w:r w:rsidR="00A22ED4" w:rsidRPr="00A22ED4">
        <w:rPr>
          <w:rFonts w:ascii="Times New Roman" w:hAnsi="Times New Roman" w:cs="Times New Roman"/>
          <w:i/>
          <w:iCs/>
          <w:sz w:val="28"/>
          <w:szCs w:val="28"/>
        </w:rPr>
        <w:t>educazione dell’algoritmo</w:t>
      </w:r>
      <w:r w:rsidR="00821B81">
        <w:rPr>
          <w:rFonts w:ascii="Times New Roman" w:hAnsi="Times New Roman" w:cs="Times New Roman"/>
          <w:sz w:val="28"/>
          <w:szCs w:val="28"/>
        </w:rPr>
        <w:t>»</w:t>
      </w:r>
      <w:r w:rsidR="00A22ED4">
        <w:rPr>
          <w:rFonts w:ascii="Times New Roman" w:hAnsi="Times New Roman" w:cs="Times New Roman"/>
          <w:sz w:val="28"/>
          <w:szCs w:val="28"/>
        </w:rPr>
        <w:t xml:space="preserve">, </w:t>
      </w:r>
      <w:r w:rsidR="00882A6B">
        <w:rPr>
          <w:rFonts w:ascii="Times New Roman" w:hAnsi="Times New Roman" w:cs="Times New Roman"/>
          <w:sz w:val="28"/>
          <w:szCs w:val="28"/>
        </w:rPr>
        <w:t>poiché</w:t>
      </w:r>
      <w:r w:rsidR="00A22ED4">
        <w:rPr>
          <w:rFonts w:ascii="Times New Roman" w:hAnsi="Times New Roman" w:cs="Times New Roman"/>
          <w:sz w:val="28"/>
          <w:szCs w:val="28"/>
        </w:rPr>
        <w:t xml:space="preserve"> l’intelligenza artificiale può evolvere in intelligenza “</w:t>
      </w:r>
      <w:proofErr w:type="spellStart"/>
      <w:r w:rsidR="00A22ED4" w:rsidRPr="00A22ED4">
        <w:rPr>
          <w:rFonts w:ascii="Times New Roman" w:hAnsi="Times New Roman" w:cs="Times New Roman"/>
          <w:i/>
          <w:iCs/>
          <w:sz w:val="28"/>
          <w:szCs w:val="28"/>
        </w:rPr>
        <w:t>spontaneus</w:t>
      </w:r>
      <w:proofErr w:type="spellEnd"/>
      <w:r w:rsidR="00A22ED4" w:rsidRPr="00882A6B">
        <w:rPr>
          <w:rFonts w:ascii="Times New Roman" w:hAnsi="Times New Roman" w:cs="Times New Roman"/>
          <w:sz w:val="28"/>
          <w:szCs w:val="28"/>
        </w:rPr>
        <w:t>”</w:t>
      </w:r>
      <w:r w:rsidR="00A22ED4">
        <w:rPr>
          <w:rFonts w:ascii="Times New Roman" w:hAnsi="Times New Roman" w:cs="Times New Roman"/>
          <w:sz w:val="28"/>
          <w:szCs w:val="28"/>
        </w:rPr>
        <w:t xml:space="preserve">, evolversi autonomamente dagli </w:t>
      </w:r>
      <w:r w:rsidR="00A22ED4" w:rsidRPr="00882A6B">
        <w:rPr>
          <w:rFonts w:ascii="Times New Roman" w:hAnsi="Times New Roman" w:cs="Times New Roman"/>
          <w:i/>
          <w:iCs/>
          <w:sz w:val="28"/>
          <w:szCs w:val="28"/>
        </w:rPr>
        <w:t>i</w:t>
      </w:r>
      <w:r w:rsidR="00882A6B">
        <w:rPr>
          <w:rFonts w:ascii="Times New Roman" w:hAnsi="Times New Roman" w:cs="Times New Roman"/>
          <w:i/>
          <w:iCs/>
          <w:sz w:val="28"/>
          <w:szCs w:val="28"/>
        </w:rPr>
        <w:t>n</w:t>
      </w:r>
      <w:r w:rsidR="00A22ED4" w:rsidRPr="00882A6B">
        <w:rPr>
          <w:rFonts w:ascii="Times New Roman" w:hAnsi="Times New Roman" w:cs="Times New Roman"/>
          <w:i/>
          <w:iCs/>
          <w:sz w:val="28"/>
          <w:szCs w:val="28"/>
        </w:rPr>
        <w:t>put</w:t>
      </w:r>
      <w:r w:rsidR="00A22ED4">
        <w:rPr>
          <w:rFonts w:ascii="Times New Roman" w:hAnsi="Times New Roman" w:cs="Times New Roman"/>
          <w:sz w:val="28"/>
          <w:szCs w:val="28"/>
        </w:rPr>
        <w:t xml:space="preserve"> dati dall’uomo. Ecco che</w:t>
      </w:r>
      <w:r w:rsidR="000A1788">
        <w:rPr>
          <w:rFonts w:ascii="Times New Roman" w:hAnsi="Times New Roman" w:cs="Times New Roman"/>
          <w:sz w:val="28"/>
          <w:szCs w:val="28"/>
        </w:rPr>
        <w:t>,</w:t>
      </w:r>
      <w:r w:rsidR="00A22ED4">
        <w:rPr>
          <w:rFonts w:ascii="Times New Roman" w:hAnsi="Times New Roman" w:cs="Times New Roman"/>
          <w:sz w:val="28"/>
          <w:szCs w:val="28"/>
        </w:rPr>
        <w:t xml:space="preserve"> allora</w:t>
      </w:r>
      <w:r w:rsidR="000A1788">
        <w:rPr>
          <w:rFonts w:ascii="Times New Roman" w:hAnsi="Times New Roman" w:cs="Times New Roman"/>
          <w:sz w:val="28"/>
          <w:szCs w:val="28"/>
        </w:rPr>
        <w:t>,</w:t>
      </w:r>
      <w:r w:rsidR="00A22ED4">
        <w:rPr>
          <w:rFonts w:ascii="Times New Roman" w:hAnsi="Times New Roman" w:cs="Times New Roman"/>
          <w:sz w:val="28"/>
          <w:szCs w:val="28"/>
        </w:rPr>
        <w:t xml:space="preserve"> può venire a delinearsi la c</w:t>
      </w:r>
      <w:r w:rsidR="00821B81">
        <w:rPr>
          <w:rFonts w:ascii="Times New Roman" w:hAnsi="Times New Roman" w:cs="Times New Roman"/>
          <w:sz w:val="28"/>
          <w:szCs w:val="28"/>
        </w:rPr>
        <w:t>.</w:t>
      </w:r>
      <w:r w:rsidR="00A22ED4">
        <w:rPr>
          <w:rFonts w:ascii="Times New Roman" w:hAnsi="Times New Roman" w:cs="Times New Roman"/>
          <w:sz w:val="28"/>
          <w:szCs w:val="28"/>
        </w:rPr>
        <w:t>d</w:t>
      </w:r>
      <w:r w:rsidR="00882A6B">
        <w:rPr>
          <w:rFonts w:ascii="Times New Roman" w:hAnsi="Times New Roman" w:cs="Times New Roman"/>
          <w:sz w:val="28"/>
          <w:szCs w:val="28"/>
        </w:rPr>
        <w:t>.</w:t>
      </w:r>
      <w:r w:rsidR="00A22ED4">
        <w:rPr>
          <w:rFonts w:ascii="Times New Roman" w:hAnsi="Times New Roman" w:cs="Times New Roman"/>
          <w:sz w:val="28"/>
          <w:szCs w:val="28"/>
        </w:rPr>
        <w:t xml:space="preserve"> </w:t>
      </w:r>
      <w:r w:rsidR="00A22ED4" w:rsidRPr="00A22ED4">
        <w:rPr>
          <w:rFonts w:ascii="Times New Roman" w:hAnsi="Times New Roman" w:cs="Times New Roman"/>
          <w:i/>
          <w:iCs/>
          <w:sz w:val="28"/>
          <w:szCs w:val="28"/>
        </w:rPr>
        <w:t>opacità</w:t>
      </w:r>
      <w:r w:rsidR="00A22ED4">
        <w:rPr>
          <w:rFonts w:ascii="Times New Roman" w:hAnsi="Times New Roman" w:cs="Times New Roman"/>
          <w:sz w:val="28"/>
          <w:szCs w:val="28"/>
        </w:rPr>
        <w:t xml:space="preserve"> dell’algoritmo e la decisione algoritmica perde la sua decifrabilità e la sua intelligibilità.</w:t>
      </w:r>
    </w:p>
    <w:p w14:paraId="3E459C9B" w14:textId="77777777" w:rsidR="00F05445" w:rsidRDefault="00A22ED4" w:rsidP="00F0544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Al termine del percorso di valutazione, rielaborazione e creazione di nuove e autonome determinazioni, essa è sempre più difficilmente ricostruibile, perché è il risultato di una combinazione di valutazioni e decisioni “esterna”, “estranea” al sistema intellettivo umano. Il percorso non è per sintassi, ma per “inferenza”. La logica del “</w:t>
      </w:r>
      <w:proofErr w:type="spellStart"/>
      <w:r w:rsidRPr="00A22ED4">
        <w:rPr>
          <w:rFonts w:ascii="Times New Roman" w:hAnsi="Times New Roman" w:cs="Times New Roman"/>
          <w:i/>
          <w:iCs/>
          <w:sz w:val="28"/>
          <w:szCs w:val="28"/>
        </w:rPr>
        <w:t>what</w:t>
      </w:r>
      <w:proofErr w:type="spellEnd"/>
      <w:r w:rsidRPr="00A22ED4">
        <w:rPr>
          <w:rFonts w:ascii="Times New Roman" w:hAnsi="Times New Roman" w:cs="Times New Roman"/>
          <w:i/>
          <w:iCs/>
          <w:sz w:val="28"/>
          <w:szCs w:val="28"/>
        </w:rPr>
        <w:t xml:space="preserve"> </w:t>
      </w:r>
      <w:proofErr w:type="spellStart"/>
      <w:r w:rsidRPr="00A22ED4">
        <w:rPr>
          <w:rFonts w:ascii="Times New Roman" w:hAnsi="Times New Roman" w:cs="Times New Roman"/>
          <w:i/>
          <w:iCs/>
          <w:sz w:val="28"/>
          <w:szCs w:val="28"/>
        </w:rPr>
        <w:t>if</w:t>
      </w:r>
      <w:proofErr w:type="spellEnd"/>
      <w:r w:rsidRPr="00882A6B">
        <w:rPr>
          <w:rFonts w:ascii="Times New Roman" w:hAnsi="Times New Roman" w:cs="Times New Roman"/>
          <w:sz w:val="28"/>
          <w:szCs w:val="28"/>
        </w:rPr>
        <w:t>”</w:t>
      </w:r>
      <w:r>
        <w:rPr>
          <w:rFonts w:ascii="Times New Roman" w:hAnsi="Times New Roman" w:cs="Times New Roman"/>
          <w:i/>
          <w:iCs/>
          <w:sz w:val="28"/>
          <w:szCs w:val="28"/>
        </w:rPr>
        <w:t xml:space="preserve">, </w:t>
      </w:r>
      <w:r w:rsidRPr="00A22ED4">
        <w:rPr>
          <w:rFonts w:ascii="Times New Roman" w:hAnsi="Times New Roman" w:cs="Times New Roman"/>
          <w:sz w:val="28"/>
          <w:szCs w:val="28"/>
        </w:rPr>
        <w:t xml:space="preserve">tipica </w:t>
      </w:r>
      <w:r>
        <w:rPr>
          <w:rFonts w:ascii="Times New Roman" w:hAnsi="Times New Roman" w:cs="Times New Roman"/>
          <w:sz w:val="28"/>
          <w:szCs w:val="28"/>
        </w:rPr>
        <w:t>del nostro sistema normativo, la logica del “</w:t>
      </w:r>
      <w:r w:rsidRPr="00A22ED4">
        <w:rPr>
          <w:rFonts w:ascii="Times New Roman" w:hAnsi="Times New Roman" w:cs="Times New Roman"/>
          <w:i/>
          <w:iCs/>
          <w:sz w:val="28"/>
          <w:szCs w:val="28"/>
        </w:rPr>
        <w:t>norma-fatto/potere-effetto</w:t>
      </w:r>
      <w:r w:rsidRPr="00882A6B">
        <w:rPr>
          <w:rFonts w:ascii="Times New Roman" w:hAnsi="Times New Roman" w:cs="Times New Roman"/>
          <w:sz w:val="28"/>
          <w:szCs w:val="28"/>
        </w:rPr>
        <w:t>”</w:t>
      </w:r>
      <w:r>
        <w:rPr>
          <w:rFonts w:ascii="Times New Roman" w:hAnsi="Times New Roman" w:cs="Times New Roman"/>
          <w:i/>
          <w:iCs/>
          <w:sz w:val="28"/>
          <w:szCs w:val="28"/>
        </w:rPr>
        <w:t xml:space="preserve"> </w:t>
      </w:r>
      <w:r w:rsidRPr="00A22ED4">
        <w:rPr>
          <w:rFonts w:ascii="Times New Roman" w:hAnsi="Times New Roman" w:cs="Times New Roman"/>
          <w:sz w:val="28"/>
          <w:szCs w:val="28"/>
        </w:rPr>
        <w:t xml:space="preserve">che è tipica </w:t>
      </w:r>
      <w:r>
        <w:rPr>
          <w:rFonts w:ascii="Times New Roman" w:hAnsi="Times New Roman" w:cs="Times New Roman"/>
          <w:sz w:val="28"/>
          <w:szCs w:val="28"/>
        </w:rPr>
        <w:t xml:space="preserve">del </w:t>
      </w:r>
      <w:r>
        <w:rPr>
          <w:rFonts w:ascii="Times New Roman" w:hAnsi="Times New Roman" w:cs="Times New Roman"/>
          <w:sz w:val="28"/>
          <w:szCs w:val="28"/>
        </w:rPr>
        <w:lastRenderedPageBreak/>
        <w:t>nostro sistema giuridico</w:t>
      </w:r>
      <w:r w:rsidR="000A1788">
        <w:rPr>
          <w:rFonts w:ascii="Times New Roman" w:hAnsi="Times New Roman" w:cs="Times New Roman"/>
          <w:sz w:val="28"/>
          <w:szCs w:val="28"/>
        </w:rPr>
        <w:t>,</w:t>
      </w:r>
      <w:r w:rsidR="00B065DC">
        <w:rPr>
          <w:rFonts w:ascii="Times New Roman" w:hAnsi="Times New Roman" w:cs="Times New Roman"/>
          <w:sz w:val="28"/>
          <w:szCs w:val="28"/>
        </w:rPr>
        <w:t xml:space="preserve"> viene sostituita in questo quadro da una sovrapposizione di inferenze</w:t>
      </w:r>
      <w:r w:rsidR="00F05445">
        <w:rPr>
          <w:rFonts w:ascii="Times New Roman" w:hAnsi="Times New Roman" w:cs="Times New Roman"/>
          <w:sz w:val="28"/>
          <w:szCs w:val="28"/>
        </w:rPr>
        <w:t>,</w:t>
      </w:r>
      <w:r w:rsidR="00B065DC">
        <w:rPr>
          <w:rFonts w:ascii="Times New Roman" w:hAnsi="Times New Roman" w:cs="Times New Roman"/>
          <w:sz w:val="28"/>
          <w:szCs w:val="28"/>
        </w:rPr>
        <w:t xml:space="preserve"> che è elaborata e poi espressa in un altro linguaggio: il linguaggio della macchina</w:t>
      </w:r>
      <w:r w:rsidR="00F05445">
        <w:rPr>
          <w:rFonts w:ascii="Times New Roman" w:hAnsi="Times New Roman" w:cs="Times New Roman"/>
          <w:sz w:val="28"/>
          <w:szCs w:val="28"/>
        </w:rPr>
        <w:t>,</w:t>
      </w:r>
      <w:r w:rsidR="00B065DC">
        <w:rPr>
          <w:rFonts w:ascii="Times New Roman" w:hAnsi="Times New Roman" w:cs="Times New Roman"/>
          <w:sz w:val="28"/>
          <w:szCs w:val="28"/>
        </w:rPr>
        <w:t xml:space="preserve"> che è strutturalmente differente da quello umano. Tutto ciò incide sulla capacità decisionale dell’uomo e sulle sue libere scelte? Incide sull’efficacia delle leggi e sul potere </w:t>
      </w:r>
      <w:proofErr w:type="spellStart"/>
      <w:r w:rsidR="00B065DC">
        <w:rPr>
          <w:rFonts w:ascii="Times New Roman" w:hAnsi="Times New Roman" w:cs="Times New Roman"/>
          <w:sz w:val="28"/>
          <w:szCs w:val="28"/>
        </w:rPr>
        <w:t>regolatorio</w:t>
      </w:r>
      <w:proofErr w:type="spellEnd"/>
      <w:r w:rsidR="00B065DC">
        <w:rPr>
          <w:rFonts w:ascii="Times New Roman" w:hAnsi="Times New Roman" w:cs="Times New Roman"/>
          <w:sz w:val="28"/>
          <w:szCs w:val="28"/>
        </w:rPr>
        <w:t xml:space="preserve"> di uno Stato? </w:t>
      </w:r>
    </w:p>
    <w:p w14:paraId="6D1A06AC" w14:textId="7191F3D9" w:rsidR="00A22ED4" w:rsidRDefault="00B065DC" w:rsidP="00F05445">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L’autore prima citato giustamente osserva</w:t>
      </w:r>
      <w:r w:rsidR="00882A6B">
        <w:rPr>
          <w:rStyle w:val="Rimandonotaapidipagina"/>
          <w:rFonts w:ascii="Times New Roman" w:hAnsi="Times New Roman" w:cs="Times New Roman"/>
          <w:sz w:val="28"/>
          <w:szCs w:val="28"/>
        </w:rPr>
        <w:footnoteReference w:id="42"/>
      </w:r>
      <w:r>
        <w:rPr>
          <w:rFonts w:ascii="Times New Roman" w:hAnsi="Times New Roman" w:cs="Times New Roman"/>
          <w:sz w:val="28"/>
          <w:szCs w:val="28"/>
        </w:rPr>
        <w:t xml:space="preserve">: </w:t>
      </w:r>
      <w:r w:rsidR="00953B50">
        <w:rPr>
          <w:rFonts w:ascii="Times New Roman" w:hAnsi="Times New Roman" w:cs="Times New Roman"/>
          <w:sz w:val="28"/>
          <w:szCs w:val="28"/>
        </w:rPr>
        <w:t>«</w:t>
      </w:r>
      <w:r w:rsidRPr="00E64824">
        <w:rPr>
          <w:rFonts w:ascii="Times New Roman" w:hAnsi="Times New Roman" w:cs="Times New Roman"/>
          <w:i/>
          <w:iCs/>
          <w:sz w:val="28"/>
          <w:szCs w:val="28"/>
        </w:rPr>
        <w:t>Quanti di noi stamattina hanno deciso di non prendere una strada soltanto, perché</w:t>
      </w:r>
      <w:r>
        <w:rPr>
          <w:rFonts w:ascii="Times New Roman" w:hAnsi="Times New Roman" w:cs="Times New Roman"/>
          <w:sz w:val="28"/>
          <w:szCs w:val="28"/>
        </w:rPr>
        <w:t xml:space="preserve"> </w:t>
      </w:r>
      <w:r w:rsidRPr="00B065DC">
        <w:rPr>
          <w:rFonts w:ascii="Times New Roman" w:hAnsi="Times New Roman" w:cs="Times New Roman"/>
          <w:i/>
          <w:iCs/>
          <w:sz w:val="28"/>
          <w:szCs w:val="28"/>
        </w:rPr>
        <w:t xml:space="preserve">Google </w:t>
      </w:r>
      <w:proofErr w:type="spellStart"/>
      <w:r w:rsidRPr="00B065DC">
        <w:rPr>
          <w:rFonts w:ascii="Times New Roman" w:hAnsi="Times New Roman" w:cs="Times New Roman"/>
          <w:i/>
          <w:iCs/>
          <w:sz w:val="28"/>
          <w:szCs w:val="28"/>
        </w:rPr>
        <w:t>maps</w:t>
      </w:r>
      <w:proofErr w:type="spellEnd"/>
      <w:r>
        <w:rPr>
          <w:rFonts w:ascii="Times New Roman" w:hAnsi="Times New Roman" w:cs="Times New Roman"/>
          <w:sz w:val="28"/>
          <w:szCs w:val="28"/>
        </w:rPr>
        <w:t xml:space="preserve"> </w:t>
      </w:r>
      <w:r w:rsidRPr="00B065DC">
        <w:rPr>
          <w:rFonts w:ascii="Times New Roman" w:hAnsi="Times New Roman" w:cs="Times New Roman"/>
          <w:i/>
          <w:iCs/>
          <w:sz w:val="28"/>
          <w:szCs w:val="28"/>
        </w:rPr>
        <w:t xml:space="preserve">ha </w:t>
      </w:r>
      <w:r>
        <w:rPr>
          <w:rFonts w:ascii="Times New Roman" w:hAnsi="Times New Roman" w:cs="Times New Roman"/>
          <w:i/>
          <w:iCs/>
          <w:sz w:val="28"/>
          <w:szCs w:val="28"/>
        </w:rPr>
        <w:t>ritenuto che fosse più trafficata del solito inducendo, così, la maggior parte della popolazione a percorrerne un’altra? E la capacità di dettare e fare applicare regole è tanto più efficace quanto essa si salda con le tecniche di “</w:t>
      </w:r>
      <w:proofErr w:type="spellStart"/>
      <w:r>
        <w:rPr>
          <w:rFonts w:ascii="Times New Roman" w:hAnsi="Times New Roman" w:cs="Times New Roman"/>
          <w:i/>
          <w:iCs/>
          <w:sz w:val="28"/>
          <w:szCs w:val="28"/>
        </w:rPr>
        <w:t>nudging</w:t>
      </w:r>
      <w:proofErr w:type="spellEnd"/>
      <w:r>
        <w:rPr>
          <w:rFonts w:ascii="Times New Roman" w:hAnsi="Times New Roman" w:cs="Times New Roman"/>
          <w:i/>
          <w:iCs/>
          <w:sz w:val="28"/>
          <w:szCs w:val="28"/>
        </w:rPr>
        <w:t xml:space="preserve">”, la spinta gentile che orienta determinati comportamenti senza prevedere obblighi o minacciare sanzioni. Ancora più rilevante il tema </w:t>
      </w:r>
      <w:r w:rsidR="00DE1C45">
        <w:rPr>
          <w:rFonts w:ascii="Times New Roman" w:hAnsi="Times New Roman" w:cs="Times New Roman"/>
          <w:i/>
          <w:iCs/>
          <w:sz w:val="28"/>
          <w:szCs w:val="28"/>
        </w:rPr>
        <w:t xml:space="preserve">delle </w:t>
      </w:r>
      <w:proofErr w:type="spellStart"/>
      <w:r w:rsidR="00DE1C45">
        <w:rPr>
          <w:rFonts w:ascii="Times New Roman" w:hAnsi="Times New Roman" w:cs="Times New Roman"/>
          <w:i/>
          <w:iCs/>
          <w:sz w:val="28"/>
          <w:szCs w:val="28"/>
        </w:rPr>
        <w:t>blockchain</w:t>
      </w:r>
      <w:proofErr w:type="spellEnd"/>
      <w:r w:rsidR="00DE1C45">
        <w:rPr>
          <w:rFonts w:ascii="Times New Roman" w:hAnsi="Times New Roman" w:cs="Times New Roman"/>
          <w:i/>
          <w:iCs/>
          <w:sz w:val="28"/>
          <w:szCs w:val="28"/>
        </w:rPr>
        <w:t xml:space="preserve">, una tecnologia che consente di dare certezza assoluta alle transazioni avvenute tra soggetti appartenenti ad un determinato network e che è stata oggetto di grande attenzione mediatica, in quanto struttura sulla quale viaggiano, tra l’altro, gli scambi di </w:t>
      </w:r>
      <w:proofErr w:type="spellStart"/>
      <w:r w:rsidR="00DE1C45">
        <w:rPr>
          <w:rFonts w:ascii="Times New Roman" w:hAnsi="Times New Roman" w:cs="Times New Roman"/>
          <w:i/>
          <w:iCs/>
          <w:sz w:val="28"/>
          <w:szCs w:val="28"/>
        </w:rPr>
        <w:t>bitcoin</w:t>
      </w:r>
      <w:proofErr w:type="spellEnd"/>
      <w:r w:rsidR="00DE1C45">
        <w:rPr>
          <w:rFonts w:ascii="Times New Roman" w:hAnsi="Times New Roman" w:cs="Times New Roman"/>
          <w:i/>
          <w:iCs/>
          <w:sz w:val="28"/>
          <w:szCs w:val="28"/>
        </w:rPr>
        <w:t>. In essa la funzione di certificazione e di creazione di fiducia</w:t>
      </w:r>
      <w:r w:rsidR="00F05445">
        <w:rPr>
          <w:rFonts w:ascii="Times New Roman" w:hAnsi="Times New Roman" w:cs="Times New Roman"/>
          <w:i/>
          <w:iCs/>
          <w:sz w:val="28"/>
          <w:szCs w:val="28"/>
        </w:rPr>
        <w:t xml:space="preserve"> – </w:t>
      </w:r>
      <w:r w:rsidR="00DE1C45">
        <w:rPr>
          <w:rFonts w:ascii="Times New Roman" w:hAnsi="Times New Roman" w:cs="Times New Roman"/>
          <w:i/>
          <w:iCs/>
          <w:sz w:val="28"/>
          <w:szCs w:val="28"/>
        </w:rPr>
        <w:t>che è tipica dello Stato</w:t>
      </w:r>
      <w:r w:rsidR="00F05445">
        <w:rPr>
          <w:rFonts w:ascii="Times New Roman" w:hAnsi="Times New Roman" w:cs="Times New Roman"/>
          <w:i/>
          <w:iCs/>
          <w:sz w:val="28"/>
          <w:szCs w:val="28"/>
        </w:rPr>
        <w:t xml:space="preserve"> – </w:t>
      </w:r>
      <w:r w:rsidR="00DE1C45">
        <w:rPr>
          <w:rFonts w:ascii="Times New Roman" w:hAnsi="Times New Roman" w:cs="Times New Roman"/>
          <w:i/>
          <w:iCs/>
          <w:sz w:val="28"/>
          <w:szCs w:val="28"/>
        </w:rPr>
        <w:t xml:space="preserve">è esercitata in forma decentrata da tutti i soggetti che partecipano alla comunità di riferimento. In questo caso, le caratteristiche della tecnologia informatica- un registro condiviso e impossibile da modificare che registra in modo sequenziale qualunque tipo di transazione in modo che tutti i membri della comunità ne siano al tempo stesso fruitori e guardiani-permette di rinunciare ad un’Autorità pubblica centralizzata di controllo. La diffusione del modello nel settore finanziario e più in generale in quello di scambio di </w:t>
      </w:r>
      <w:proofErr w:type="spellStart"/>
      <w:r w:rsidR="00DE1C45">
        <w:rPr>
          <w:rFonts w:ascii="Times New Roman" w:hAnsi="Times New Roman" w:cs="Times New Roman"/>
          <w:i/>
          <w:iCs/>
          <w:sz w:val="28"/>
          <w:szCs w:val="28"/>
        </w:rPr>
        <w:t>asset</w:t>
      </w:r>
      <w:proofErr w:type="spellEnd"/>
      <w:r w:rsidR="00DE1C45">
        <w:rPr>
          <w:rFonts w:ascii="Times New Roman" w:hAnsi="Times New Roman" w:cs="Times New Roman"/>
          <w:i/>
          <w:iCs/>
          <w:sz w:val="28"/>
          <w:szCs w:val="28"/>
        </w:rPr>
        <w:t xml:space="preserve"> sia tangibile che intangibili dovrebbe far riflettere sulla capacità della tecnologia di cambiare il mondo giuridico nel quale siamo fin qui vissuti.</w:t>
      </w:r>
    </w:p>
    <w:p w14:paraId="1483AFEA" w14:textId="5EB87217" w:rsidR="00DE1C45" w:rsidRDefault="00DE1C45" w:rsidP="00F05445">
      <w:pPr>
        <w:tabs>
          <w:tab w:val="left" w:pos="8364"/>
        </w:tabs>
        <w:spacing w:after="0"/>
        <w:jc w:val="both"/>
        <w:rPr>
          <w:rFonts w:ascii="Times New Roman" w:hAnsi="Times New Roman" w:cs="Times New Roman"/>
          <w:i/>
          <w:iCs/>
          <w:sz w:val="28"/>
          <w:szCs w:val="28"/>
        </w:rPr>
      </w:pPr>
      <w:r>
        <w:rPr>
          <w:rFonts w:ascii="Times New Roman" w:hAnsi="Times New Roman" w:cs="Times New Roman"/>
          <w:i/>
          <w:iCs/>
          <w:sz w:val="28"/>
          <w:szCs w:val="28"/>
        </w:rPr>
        <w:t>Il disimpegno dello</w:t>
      </w:r>
      <w:r w:rsidR="00C04B71">
        <w:rPr>
          <w:rFonts w:ascii="Times New Roman" w:hAnsi="Times New Roman" w:cs="Times New Roman"/>
          <w:i/>
          <w:iCs/>
          <w:sz w:val="28"/>
          <w:szCs w:val="28"/>
        </w:rPr>
        <w:t xml:space="preserve"> Stato nella formazione della norma,</w:t>
      </w:r>
      <w:r w:rsidR="00F76FC7">
        <w:rPr>
          <w:rFonts w:ascii="Times New Roman" w:hAnsi="Times New Roman" w:cs="Times New Roman"/>
          <w:i/>
          <w:iCs/>
          <w:sz w:val="28"/>
          <w:szCs w:val="28"/>
        </w:rPr>
        <w:t xml:space="preserve"> </w:t>
      </w:r>
      <w:r w:rsidR="00C04B71">
        <w:rPr>
          <w:rFonts w:ascii="Times New Roman" w:hAnsi="Times New Roman" w:cs="Times New Roman"/>
          <w:i/>
          <w:iCs/>
          <w:sz w:val="28"/>
          <w:szCs w:val="28"/>
        </w:rPr>
        <w:t>o quanto meno dei comportamenti, è vissuto più serenamente nel diritto civile che storicamente ha g</w:t>
      </w:r>
      <w:r w:rsidR="00F76FC7">
        <w:rPr>
          <w:rFonts w:ascii="Times New Roman" w:hAnsi="Times New Roman" w:cs="Times New Roman"/>
          <w:i/>
          <w:iCs/>
          <w:sz w:val="28"/>
          <w:szCs w:val="28"/>
        </w:rPr>
        <w:t>i</w:t>
      </w:r>
      <w:r w:rsidR="00C04B71">
        <w:rPr>
          <w:rFonts w:ascii="Times New Roman" w:hAnsi="Times New Roman" w:cs="Times New Roman"/>
          <w:i/>
          <w:iCs/>
          <w:sz w:val="28"/>
          <w:szCs w:val="28"/>
        </w:rPr>
        <w:t xml:space="preserve">à vissuto senza traumi la liberazione dello Stato nell’affermarsi della </w:t>
      </w:r>
      <w:proofErr w:type="spellStart"/>
      <w:r w:rsidR="00C04B71">
        <w:rPr>
          <w:rFonts w:ascii="Times New Roman" w:hAnsi="Times New Roman" w:cs="Times New Roman"/>
          <w:i/>
          <w:iCs/>
          <w:sz w:val="28"/>
          <w:szCs w:val="28"/>
        </w:rPr>
        <w:t>lex</w:t>
      </w:r>
      <w:proofErr w:type="spellEnd"/>
      <w:r w:rsidR="00C04B71">
        <w:rPr>
          <w:rFonts w:ascii="Times New Roman" w:hAnsi="Times New Roman" w:cs="Times New Roman"/>
          <w:i/>
          <w:iCs/>
          <w:sz w:val="28"/>
          <w:szCs w:val="28"/>
        </w:rPr>
        <w:t xml:space="preserve"> mercatoria.</w:t>
      </w:r>
    </w:p>
    <w:p w14:paraId="5BEC00A0" w14:textId="3AA779BC" w:rsidR="00901515" w:rsidRPr="00901515" w:rsidRDefault="00F76FC7" w:rsidP="00F05445">
      <w:pPr>
        <w:tabs>
          <w:tab w:val="left" w:pos="8364"/>
        </w:tabs>
        <w:spacing w:after="0"/>
        <w:jc w:val="both"/>
        <w:rPr>
          <w:rFonts w:ascii="Times New Roman" w:hAnsi="Times New Roman" w:cs="Times New Roman"/>
          <w:sz w:val="28"/>
          <w:szCs w:val="28"/>
        </w:rPr>
      </w:pPr>
      <w:r>
        <w:rPr>
          <w:rFonts w:ascii="Times New Roman" w:hAnsi="Times New Roman" w:cs="Times New Roman"/>
          <w:i/>
          <w:iCs/>
          <w:sz w:val="28"/>
          <w:szCs w:val="28"/>
        </w:rPr>
        <w:t xml:space="preserve">Ne è una testimonianza la scarna regolamentazione legislativa degli </w:t>
      </w:r>
      <w:proofErr w:type="spellStart"/>
      <w:r>
        <w:rPr>
          <w:rFonts w:ascii="Times New Roman" w:hAnsi="Times New Roman" w:cs="Times New Roman"/>
          <w:i/>
          <w:iCs/>
          <w:sz w:val="28"/>
          <w:szCs w:val="28"/>
        </w:rPr>
        <w:t>smarts</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contracts</w:t>
      </w:r>
      <w:proofErr w:type="spellEnd"/>
      <w:r>
        <w:rPr>
          <w:rFonts w:ascii="Times New Roman" w:hAnsi="Times New Roman" w:cs="Times New Roman"/>
          <w:i/>
          <w:iCs/>
          <w:sz w:val="28"/>
          <w:szCs w:val="28"/>
        </w:rPr>
        <w:t xml:space="preserve"> che viaggiano proprio sulle strutture della </w:t>
      </w:r>
      <w:proofErr w:type="spellStart"/>
      <w:r>
        <w:rPr>
          <w:rFonts w:ascii="Times New Roman" w:hAnsi="Times New Roman" w:cs="Times New Roman"/>
          <w:i/>
          <w:iCs/>
          <w:sz w:val="28"/>
          <w:szCs w:val="28"/>
        </w:rPr>
        <w:t>blockchain</w:t>
      </w:r>
      <w:proofErr w:type="spellEnd"/>
      <w:r>
        <w:rPr>
          <w:rFonts w:ascii="Times New Roman" w:hAnsi="Times New Roman" w:cs="Times New Roman"/>
          <w:i/>
          <w:iCs/>
          <w:sz w:val="28"/>
          <w:szCs w:val="28"/>
        </w:rPr>
        <w:t xml:space="preserve"> contenute nella legge 22 febbraio 2019 n.12. tale fonte normativa, dopo aver dettato la nozione ed averli assimilati ai contratti a forma scritta, non sente la necessità di individuare dettagliatamente la disciplina e ne rimette la struttura, regolamentazioni e contenuti all’autonomia delle parti. Il problema si caratterizza in modo diverso, però, nel diritto amministrativo che è regolazione e controllo del potere pubblico e in cui il tema dell’autonomia dell’intelligenza artificiale nell’assunzione delle decisioni si salda con quelli della sovranità, della divisione dei poteri, del collegamento necessario tra la </w:t>
      </w:r>
      <w:r>
        <w:rPr>
          <w:rFonts w:ascii="Times New Roman" w:hAnsi="Times New Roman" w:cs="Times New Roman"/>
          <w:i/>
          <w:iCs/>
          <w:sz w:val="28"/>
          <w:szCs w:val="28"/>
        </w:rPr>
        <w:lastRenderedPageBreak/>
        <w:t>decisione della pubblica amministrazione e la volontà popolare. In una parola con la democrazia</w:t>
      </w:r>
      <w:r w:rsidR="00953B50">
        <w:rPr>
          <w:rFonts w:ascii="Times New Roman" w:hAnsi="Times New Roman" w:cs="Times New Roman"/>
          <w:sz w:val="28"/>
          <w:szCs w:val="28"/>
        </w:rPr>
        <w:t>».</w:t>
      </w:r>
    </w:p>
    <w:p w14:paraId="78AF5B11" w14:textId="58A0A112" w:rsidR="00F76FC7" w:rsidRDefault="00F76FC7" w:rsidP="00774481">
      <w:pPr>
        <w:tabs>
          <w:tab w:val="left" w:pos="8364"/>
        </w:tabs>
        <w:jc w:val="both"/>
        <w:rPr>
          <w:rFonts w:ascii="Times New Roman" w:hAnsi="Times New Roman" w:cs="Times New Roman"/>
          <w:sz w:val="28"/>
          <w:szCs w:val="28"/>
        </w:rPr>
      </w:pPr>
      <w:r w:rsidRPr="00F76FC7">
        <w:rPr>
          <w:rFonts w:ascii="Times New Roman" w:hAnsi="Times New Roman" w:cs="Times New Roman"/>
          <w:sz w:val="28"/>
          <w:szCs w:val="28"/>
        </w:rPr>
        <w:t xml:space="preserve">Tale </w:t>
      </w:r>
      <w:r>
        <w:rPr>
          <w:rFonts w:ascii="Times New Roman" w:hAnsi="Times New Roman" w:cs="Times New Roman"/>
          <w:sz w:val="28"/>
          <w:szCs w:val="28"/>
        </w:rPr>
        <w:t>Autore pone in luce la maggiore complessità dell’utilizzo dell’algoritmo nell’attività amministrativa rispetto all’attività contrat</w:t>
      </w:r>
      <w:r w:rsidR="00A62470">
        <w:rPr>
          <w:rFonts w:ascii="Times New Roman" w:hAnsi="Times New Roman" w:cs="Times New Roman"/>
          <w:sz w:val="28"/>
          <w:szCs w:val="28"/>
        </w:rPr>
        <w:t>t</w:t>
      </w:r>
      <w:r>
        <w:rPr>
          <w:rFonts w:ascii="Times New Roman" w:hAnsi="Times New Roman" w:cs="Times New Roman"/>
          <w:sz w:val="28"/>
          <w:szCs w:val="28"/>
        </w:rPr>
        <w:t>ualistica tra privati, venendo in rilievo l’esercizio del potere pubblico.</w:t>
      </w:r>
    </w:p>
    <w:p w14:paraId="594B1AFD" w14:textId="77777777" w:rsidR="00F05445" w:rsidRDefault="00F76FC7" w:rsidP="00F05445">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Vi sono state sentenze, come quella del TAR Lazio</w:t>
      </w:r>
      <w:r w:rsidR="00A62470">
        <w:rPr>
          <w:rFonts w:ascii="Times New Roman" w:hAnsi="Times New Roman" w:cs="Times New Roman"/>
          <w:sz w:val="28"/>
          <w:szCs w:val="28"/>
        </w:rPr>
        <w:t>, sez.</w:t>
      </w:r>
      <w:r w:rsidR="00901515">
        <w:rPr>
          <w:rFonts w:ascii="Times New Roman" w:hAnsi="Times New Roman" w:cs="Times New Roman"/>
          <w:sz w:val="28"/>
          <w:szCs w:val="28"/>
        </w:rPr>
        <w:t xml:space="preserve"> </w:t>
      </w:r>
      <w:r w:rsidR="00A62470">
        <w:rPr>
          <w:rFonts w:ascii="Times New Roman" w:hAnsi="Times New Roman" w:cs="Times New Roman"/>
          <w:sz w:val="28"/>
          <w:szCs w:val="28"/>
        </w:rPr>
        <w:t>III, n.</w:t>
      </w:r>
      <w:r w:rsidR="00901515">
        <w:rPr>
          <w:rFonts w:ascii="Times New Roman" w:hAnsi="Times New Roman" w:cs="Times New Roman"/>
          <w:sz w:val="28"/>
          <w:szCs w:val="28"/>
        </w:rPr>
        <w:t xml:space="preserve"> </w:t>
      </w:r>
      <w:r w:rsidR="00A62470">
        <w:rPr>
          <w:rFonts w:ascii="Times New Roman" w:hAnsi="Times New Roman" w:cs="Times New Roman"/>
          <w:sz w:val="28"/>
          <w:szCs w:val="28"/>
        </w:rPr>
        <w:t>4409 del 15 aprile 2021</w:t>
      </w:r>
      <w:r w:rsidR="00953B50">
        <w:rPr>
          <w:rFonts w:ascii="Times New Roman" w:hAnsi="Times New Roman" w:cs="Times New Roman"/>
          <w:sz w:val="28"/>
          <w:szCs w:val="28"/>
        </w:rPr>
        <w:t>,</w:t>
      </w:r>
      <w:r w:rsidR="00A62470">
        <w:rPr>
          <w:rFonts w:ascii="Times New Roman" w:hAnsi="Times New Roman" w:cs="Times New Roman"/>
          <w:sz w:val="28"/>
          <w:szCs w:val="28"/>
        </w:rPr>
        <w:t xml:space="preserve"> in cui viene espressa la preoccupazione in merito alla </w:t>
      </w:r>
      <w:r w:rsidR="00953B50">
        <w:rPr>
          <w:rFonts w:ascii="Times New Roman" w:hAnsi="Times New Roman" w:cs="Times New Roman"/>
          <w:sz w:val="28"/>
          <w:szCs w:val="28"/>
        </w:rPr>
        <w:t>«</w:t>
      </w:r>
      <w:r w:rsidR="00A62470" w:rsidRPr="00A62470">
        <w:rPr>
          <w:rFonts w:ascii="Times New Roman" w:hAnsi="Times New Roman" w:cs="Times New Roman"/>
          <w:i/>
          <w:iCs/>
          <w:sz w:val="28"/>
          <w:szCs w:val="28"/>
        </w:rPr>
        <w:t>abdicazione da parte del responsabile del procedimento del suo ruolo di timoniere ed anche di correttore</w:t>
      </w:r>
      <w:r w:rsidR="00953B50">
        <w:rPr>
          <w:rFonts w:ascii="Times New Roman" w:hAnsi="Times New Roman" w:cs="Times New Roman"/>
          <w:i/>
          <w:iCs/>
          <w:sz w:val="28"/>
          <w:szCs w:val="28"/>
        </w:rPr>
        <w:t>»</w:t>
      </w:r>
      <w:r w:rsidR="00A62470" w:rsidRPr="00A62470">
        <w:rPr>
          <w:rFonts w:ascii="Times New Roman" w:hAnsi="Times New Roman" w:cs="Times New Roman"/>
          <w:i/>
          <w:iCs/>
          <w:sz w:val="28"/>
          <w:szCs w:val="28"/>
        </w:rPr>
        <w:t>.</w:t>
      </w:r>
      <w:r w:rsidR="00A62470">
        <w:rPr>
          <w:rFonts w:ascii="Times New Roman" w:hAnsi="Times New Roman" w:cs="Times New Roman"/>
          <w:i/>
          <w:iCs/>
          <w:sz w:val="28"/>
          <w:szCs w:val="28"/>
        </w:rPr>
        <w:t xml:space="preserve"> </w:t>
      </w:r>
      <w:r w:rsidR="00A62470" w:rsidRPr="00A62470">
        <w:rPr>
          <w:rFonts w:ascii="Times New Roman" w:hAnsi="Times New Roman" w:cs="Times New Roman"/>
          <w:sz w:val="28"/>
          <w:szCs w:val="28"/>
        </w:rPr>
        <w:t xml:space="preserve">Ma maggiore apertura </w:t>
      </w:r>
      <w:r w:rsidR="00A62470">
        <w:rPr>
          <w:rFonts w:ascii="Times New Roman" w:hAnsi="Times New Roman" w:cs="Times New Roman"/>
          <w:sz w:val="28"/>
          <w:szCs w:val="28"/>
        </w:rPr>
        <w:t>si riscontra nell’orientamento del Consiglio di Stato</w:t>
      </w:r>
      <w:r w:rsidR="00901515">
        <w:rPr>
          <w:rStyle w:val="Rimandonotaapidipagina"/>
          <w:rFonts w:ascii="Times New Roman" w:hAnsi="Times New Roman" w:cs="Times New Roman"/>
          <w:sz w:val="28"/>
          <w:szCs w:val="28"/>
        </w:rPr>
        <w:footnoteReference w:id="43"/>
      </w:r>
      <w:r w:rsidR="00F05445">
        <w:rPr>
          <w:rFonts w:ascii="Times New Roman" w:hAnsi="Times New Roman" w:cs="Times New Roman"/>
          <w:sz w:val="28"/>
          <w:szCs w:val="28"/>
        </w:rPr>
        <w:t>,</w:t>
      </w:r>
      <w:r w:rsidR="00901515">
        <w:rPr>
          <w:rFonts w:ascii="Times New Roman" w:hAnsi="Times New Roman" w:cs="Times New Roman"/>
          <w:sz w:val="28"/>
          <w:szCs w:val="28"/>
        </w:rPr>
        <w:t xml:space="preserve"> </w:t>
      </w:r>
      <w:r w:rsidR="00A62470">
        <w:rPr>
          <w:rFonts w:ascii="Times New Roman" w:hAnsi="Times New Roman" w:cs="Times New Roman"/>
          <w:sz w:val="28"/>
          <w:szCs w:val="28"/>
        </w:rPr>
        <w:t>che testualmente ha affermato:</w:t>
      </w:r>
      <w:r w:rsidR="00901515">
        <w:rPr>
          <w:rFonts w:ascii="Times New Roman" w:hAnsi="Times New Roman" w:cs="Times New Roman"/>
          <w:sz w:val="28"/>
          <w:szCs w:val="28"/>
        </w:rPr>
        <w:t xml:space="preserve"> </w:t>
      </w:r>
      <w:r w:rsidR="00953B50">
        <w:rPr>
          <w:rFonts w:ascii="Times New Roman" w:hAnsi="Times New Roman" w:cs="Times New Roman"/>
          <w:sz w:val="28"/>
          <w:szCs w:val="28"/>
        </w:rPr>
        <w:t>«</w:t>
      </w:r>
      <w:r w:rsidR="00A62470" w:rsidRPr="00A62470">
        <w:rPr>
          <w:rFonts w:ascii="Times New Roman" w:hAnsi="Times New Roman" w:cs="Times New Roman"/>
          <w:i/>
          <w:iCs/>
          <w:sz w:val="28"/>
          <w:szCs w:val="28"/>
        </w:rPr>
        <w:t>Non vi sono</w:t>
      </w:r>
      <w:r w:rsidR="00A62470">
        <w:rPr>
          <w:rFonts w:ascii="Times New Roman" w:hAnsi="Times New Roman" w:cs="Times New Roman"/>
          <w:sz w:val="28"/>
          <w:szCs w:val="28"/>
        </w:rPr>
        <w:t xml:space="preserve"> </w:t>
      </w:r>
      <w:r w:rsidR="00A62470" w:rsidRPr="00A62470">
        <w:rPr>
          <w:rFonts w:ascii="Times New Roman" w:hAnsi="Times New Roman" w:cs="Times New Roman"/>
          <w:i/>
          <w:iCs/>
          <w:sz w:val="28"/>
          <w:szCs w:val="28"/>
        </w:rPr>
        <w:t xml:space="preserve">ragioni </w:t>
      </w:r>
      <w:r w:rsidR="00A62470">
        <w:rPr>
          <w:rFonts w:ascii="Times New Roman" w:hAnsi="Times New Roman" w:cs="Times New Roman"/>
          <w:i/>
          <w:iCs/>
          <w:sz w:val="28"/>
          <w:szCs w:val="28"/>
        </w:rPr>
        <w:t>di principio, ovvero concrete, per limitare l’utilizzo all’attività amministrativa vincolata piuttosto che discrezionale, entrambe espressione di attività autoritativa svolta nel perseguimento del pubblico interesse</w:t>
      </w:r>
      <w:r w:rsidR="00953B50">
        <w:rPr>
          <w:rFonts w:ascii="Times New Roman" w:hAnsi="Times New Roman" w:cs="Times New Roman"/>
          <w:i/>
          <w:iCs/>
          <w:sz w:val="28"/>
          <w:szCs w:val="28"/>
        </w:rPr>
        <w:t>»</w:t>
      </w:r>
      <w:r w:rsidR="00A62470">
        <w:rPr>
          <w:rFonts w:ascii="Times New Roman" w:hAnsi="Times New Roman" w:cs="Times New Roman"/>
          <w:i/>
          <w:iCs/>
          <w:sz w:val="28"/>
          <w:szCs w:val="28"/>
        </w:rPr>
        <w:t xml:space="preserve">. </w:t>
      </w:r>
    </w:p>
    <w:p w14:paraId="208EF11A" w14:textId="317E0D69" w:rsidR="00F76FC7" w:rsidRDefault="00A62470" w:rsidP="00F05445">
      <w:pPr>
        <w:tabs>
          <w:tab w:val="left" w:pos="8364"/>
        </w:tabs>
        <w:spacing w:after="0"/>
        <w:jc w:val="both"/>
        <w:rPr>
          <w:rFonts w:ascii="Times New Roman" w:hAnsi="Times New Roman" w:cs="Times New Roman"/>
          <w:sz w:val="28"/>
          <w:szCs w:val="28"/>
        </w:rPr>
      </w:pPr>
      <w:r w:rsidRPr="00A62470">
        <w:rPr>
          <w:rFonts w:ascii="Times New Roman" w:hAnsi="Times New Roman" w:cs="Times New Roman"/>
          <w:sz w:val="28"/>
          <w:szCs w:val="28"/>
        </w:rPr>
        <w:t>Il problema</w:t>
      </w:r>
      <w:r>
        <w:rPr>
          <w:rFonts w:ascii="Times New Roman" w:hAnsi="Times New Roman" w:cs="Times New Roman"/>
          <w:i/>
          <w:iCs/>
          <w:sz w:val="28"/>
          <w:szCs w:val="28"/>
        </w:rPr>
        <w:t xml:space="preserve"> </w:t>
      </w:r>
      <w:r>
        <w:rPr>
          <w:rFonts w:ascii="Times New Roman" w:hAnsi="Times New Roman" w:cs="Times New Roman"/>
          <w:sz w:val="28"/>
          <w:szCs w:val="28"/>
        </w:rPr>
        <w:t>reale è quello relativo alla perimetrazione dei limiti posti a garanzia dei diritti fondamentali. Tali limiti sono essenzialmente quelli che rinveniamo nel Regolamento in materia di Privacy (Regolamento</w:t>
      </w:r>
      <w:r w:rsidR="0039780D">
        <w:rPr>
          <w:rFonts w:ascii="Times New Roman" w:hAnsi="Times New Roman" w:cs="Times New Roman"/>
          <w:sz w:val="28"/>
          <w:szCs w:val="28"/>
        </w:rPr>
        <w:t xml:space="preserve"> </w:t>
      </w:r>
      <w:r>
        <w:rPr>
          <w:rFonts w:ascii="Times New Roman" w:hAnsi="Times New Roman" w:cs="Times New Roman"/>
          <w:sz w:val="28"/>
          <w:szCs w:val="28"/>
        </w:rPr>
        <w:t>UE n.</w:t>
      </w:r>
      <w:r w:rsidR="00901515">
        <w:rPr>
          <w:rFonts w:ascii="Times New Roman" w:hAnsi="Times New Roman" w:cs="Times New Roman"/>
          <w:sz w:val="28"/>
          <w:szCs w:val="28"/>
        </w:rPr>
        <w:t xml:space="preserve"> </w:t>
      </w:r>
      <w:r>
        <w:rPr>
          <w:rFonts w:ascii="Times New Roman" w:hAnsi="Times New Roman" w:cs="Times New Roman"/>
          <w:sz w:val="28"/>
          <w:szCs w:val="28"/>
        </w:rPr>
        <w:t>2016/679 del 27 aprile 2016, attuato dal D</w:t>
      </w:r>
      <w:r w:rsidR="00901515">
        <w:rPr>
          <w:rFonts w:ascii="Times New Roman" w:hAnsi="Times New Roman" w:cs="Times New Roman"/>
          <w:sz w:val="28"/>
          <w:szCs w:val="28"/>
        </w:rPr>
        <w:t>.</w:t>
      </w:r>
      <w:r>
        <w:rPr>
          <w:rFonts w:ascii="Times New Roman" w:hAnsi="Times New Roman" w:cs="Times New Roman"/>
          <w:sz w:val="28"/>
          <w:szCs w:val="28"/>
        </w:rPr>
        <w:t>lgs</w:t>
      </w:r>
      <w:r w:rsidR="00901515">
        <w:rPr>
          <w:rFonts w:ascii="Times New Roman" w:hAnsi="Times New Roman" w:cs="Times New Roman"/>
          <w:sz w:val="28"/>
          <w:szCs w:val="28"/>
        </w:rPr>
        <w:t>.</w:t>
      </w:r>
      <w:r>
        <w:rPr>
          <w:rFonts w:ascii="Times New Roman" w:hAnsi="Times New Roman" w:cs="Times New Roman"/>
          <w:sz w:val="28"/>
          <w:szCs w:val="28"/>
        </w:rPr>
        <w:t xml:space="preserve"> 2018 n.</w:t>
      </w:r>
      <w:r w:rsidR="00901515">
        <w:rPr>
          <w:rFonts w:ascii="Times New Roman" w:hAnsi="Times New Roman" w:cs="Times New Roman"/>
          <w:sz w:val="28"/>
          <w:szCs w:val="28"/>
        </w:rPr>
        <w:t xml:space="preserve"> </w:t>
      </w:r>
      <w:r>
        <w:rPr>
          <w:rFonts w:ascii="Times New Roman" w:hAnsi="Times New Roman" w:cs="Times New Roman"/>
          <w:sz w:val="28"/>
          <w:szCs w:val="28"/>
        </w:rPr>
        <w:t>101</w:t>
      </w:r>
      <w:r w:rsidR="00227FC2">
        <w:rPr>
          <w:rStyle w:val="Rimandonotaapidipagina"/>
          <w:rFonts w:ascii="Times New Roman" w:hAnsi="Times New Roman" w:cs="Times New Roman"/>
          <w:sz w:val="28"/>
          <w:szCs w:val="28"/>
        </w:rPr>
        <w:footnoteReference w:id="44"/>
      </w:r>
      <w:r w:rsidR="0088008F">
        <w:rPr>
          <w:rFonts w:ascii="Times New Roman" w:hAnsi="Times New Roman" w:cs="Times New Roman"/>
          <w:sz w:val="28"/>
          <w:szCs w:val="28"/>
        </w:rPr>
        <w:t xml:space="preserve">) e che troviamo confermati nella Proposta di Regolamento del parlamento Europea e del Consiglio del 21 </w:t>
      </w:r>
      <w:proofErr w:type="gramStart"/>
      <w:r w:rsidR="0088008F">
        <w:rPr>
          <w:rFonts w:ascii="Times New Roman" w:hAnsi="Times New Roman" w:cs="Times New Roman"/>
          <w:sz w:val="28"/>
          <w:szCs w:val="28"/>
        </w:rPr>
        <w:t>Aprile</w:t>
      </w:r>
      <w:proofErr w:type="gramEnd"/>
      <w:r w:rsidR="0088008F">
        <w:rPr>
          <w:rFonts w:ascii="Times New Roman" w:hAnsi="Times New Roman" w:cs="Times New Roman"/>
          <w:sz w:val="28"/>
          <w:szCs w:val="28"/>
        </w:rPr>
        <w:t xml:space="preserve"> 2021</w:t>
      </w:r>
      <w:r w:rsidR="00953B50">
        <w:rPr>
          <w:rFonts w:ascii="Times New Roman" w:hAnsi="Times New Roman" w:cs="Times New Roman"/>
          <w:sz w:val="28"/>
          <w:szCs w:val="28"/>
        </w:rPr>
        <w:t>,</w:t>
      </w:r>
      <w:r w:rsidR="0088008F">
        <w:rPr>
          <w:rFonts w:ascii="Times New Roman" w:hAnsi="Times New Roman" w:cs="Times New Roman"/>
          <w:sz w:val="28"/>
          <w:szCs w:val="28"/>
        </w:rPr>
        <w:t xml:space="preserve"> che stabilisce regola armonizzate sull’intelligenza artificiale e modifica alcuni atti legislativi dell’Unione. Sono i limiti della “conoscibilità”,</w:t>
      </w:r>
      <w:r w:rsidR="007C3F4A">
        <w:rPr>
          <w:rFonts w:ascii="Times New Roman" w:hAnsi="Times New Roman" w:cs="Times New Roman"/>
          <w:sz w:val="28"/>
          <w:szCs w:val="28"/>
        </w:rPr>
        <w:t xml:space="preserve"> </w:t>
      </w:r>
      <w:r w:rsidR="0088008F">
        <w:rPr>
          <w:rFonts w:ascii="Times New Roman" w:hAnsi="Times New Roman" w:cs="Times New Roman"/>
          <w:sz w:val="28"/>
          <w:szCs w:val="28"/>
        </w:rPr>
        <w:t>della “non esclusività” e “della non discriminazione”</w:t>
      </w:r>
      <w:r w:rsidR="007C3F4A">
        <w:rPr>
          <w:rFonts w:ascii="Times New Roman" w:hAnsi="Times New Roman" w:cs="Times New Roman"/>
          <w:sz w:val="28"/>
          <w:szCs w:val="28"/>
        </w:rPr>
        <w:t>. Tal</w:t>
      </w:r>
      <w:r w:rsidR="00953B50">
        <w:rPr>
          <w:rFonts w:ascii="Times New Roman" w:hAnsi="Times New Roman" w:cs="Times New Roman"/>
          <w:sz w:val="28"/>
          <w:szCs w:val="28"/>
        </w:rPr>
        <w:t>i</w:t>
      </w:r>
      <w:r w:rsidR="007C3F4A">
        <w:rPr>
          <w:rFonts w:ascii="Times New Roman" w:hAnsi="Times New Roman" w:cs="Times New Roman"/>
          <w:sz w:val="28"/>
          <w:szCs w:val="28"/>
        </w:rPr>
        <w:t xml:space="preserve"> principi delineano un’adeguata tutela in caso di algoritmo </w:t>
      </w:r>
      <w:r w:rsidR="007C3F4A">
        <w:rPr>
          <w:rFonts w:ascii="Times New Roman" w:hAnsi="Times New Roman" w:cs="Times New Roman"/>
          <w:sz w:val="28"/>
          <w:szCs w:val="28"/>
        </w:rPr>
        <w:lastRenderedPageBreak/>
        <w:t>definito tradizionale,</w:t>
      </w:r>
      <w:r w:rsidR="002809D7">
        <w:rPr>
          <w:rFonts w:ascii="Times New Roman" w:hAnsi="Times New Roman" w:cs="Times New Roman"/>
          <w:sz w:val="28"/>
          <w:szCs w:val="28"/>
        </w:rPr>
        <w:t xml:space="preserve"> </w:t>
      </w:r>
      <w:r w:rsidR="007C3F4A">
        <w:rPr>
          <w:rFonts w:ascii="Times New Roman" w:hAnsi="Times New Roman" w:cs="Times New Roman"/>
          <w:sz w:val="28"/>
          <w:szCs w:val="28"/>
        </w:rPr>
        <w:t xml:space="preserve">ma siamo sicuri </w:t>
      </w:r>
      <w:r w:rsidR="00B22532">
        <w:rPr>
          <w:rFonts w:ascii="Times New Roman" w:hAnsi="Times New Roman" w:cs="Times New Roman"/>
          <w:sz w:val="28"/>
          <w:szCs w:val="28"/>
        </w:rPr>
        <w:t xml:space="preserve">che tali principi possano assicurare </w:t>
      </w:r>
      <w:r w:rsidR="00901515">
        <w:rPr>
          <w:rFonts w:ascii="Times New Roman" w:hAnsi="Times New Roman" w:cs="Times New Roman"/>
          <w:sz w:val="28"/>
          <w:szCs w:val="28"/>
        </w:rPr>
        <w:t>un’adeguata tutela</w:t>
      </w:r>
      <w:r w:rsidR="00B22532">
        <w:rPr>
          <w:rFonts w:ascii="Times New Roman" w:hAnsi="Times New Roman" w:cs="Times New Roman"/>
          <w:sz w:val="28"/>
          <w:szCs w:val="28"/>
        </w:rPr>
        <w:t xml:space="preserve"> anche nel campo dell’intelligenza artificiale?</w:t>
      </w:r>
    </w:p>
    <w:p w14:paraId="4AD64389" w14:textId="77777777" w:rsidR="008C1E15" w:rsidRDefault="002809D7" w:rsidP="00F0544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Il principio della conoscibilità</w:t>
      </w:r>
      <w:r w:rsidR="00374944">
        <w:rPr>
          <w:rFonts w:ascii="Times New Roman" w:hAnsi="Times New Roman" w:cs="Times New Roman"/>
          <w:sz w:val="28"/>
          <w:szCs w:val="28"/>
        </w:rPr>
        <w:t xml:space="preserve"> si inserisce all’interno della trasparenza amministrativa: la conoscenza dell’algoritmo è lo strumento base per la conoscenza dell’</w:t>
      </w:r>
      <w:r w:rsidR="00374944" w:rsidRPr="00953B50">
        <w:rPr>
          <w:rFonts w:ascii="Times New Roman" w:hAnsi="Times New Roman" w:cs="Times New Roman"/>
          <w:i/>
          <w:iCs/>
          <w:sz w:val="28"/>
          <w:szCs w:val="28"/>
        </w:rPr>
        <w:t>iter</w:t>
      </w:r>
      <w:r w:rsidR="00374944">
        <w:rPr>
          <w:rFonts w:ascii="Times New Roman" w:hAnsi="Times New Roman" w:cs="Times New Roman"/>
          <w:sz w:val="28"/>
          <w:szCs w:val="28"/>
        </w:rPr>
        <w:t xml:space="preserve"> decisionale che ne consente </w:t>
      </w:r>
      <w:r w:rsidR="006E1EE0">
        <w:rPr>
          <w:rFonts w:ascii="Times New Roman" w:hAnsi="Times New Roman" w:cs="Times New Roman"/>
          <w:sz w:val="28"/>
          <w:szCs w:val="28"/>
        </w:rPr>
        <w:t xml:space="preserve">la valutazione sotto il profilo giuridico. </w:t>
      </w:r>
      <w:r w:rsidR="006E1EE0" w:rsidRPr="006E1EE0">
        <w:rPr>
          <w:rFonts w:ascii="Times New Roman" w:hAnsi="Times New Roman" w:cs="Times New Roman"/>
          <w:sz w:val="28"/>
          <w:szCs w:val="28"/>
        </w:rPr>
        <w:t>Emblematico il “</w:t>
      </w:r>
      <w:r w:rsidR="006E1EE0" w:rsidRPr="006E1EE0">
        <w:rPr>
          <w:rFonts w:ascii="Times New Roman" w:hAnsi="Times New Roman" w:cs="Times New Roman"/>
          <w:i/>
          <w:iCs/>
          <w:sz w:val="28"/>
          <w:szCs w:val="28"/>
        </w:rPr>
        <w:t xml:space="preserve">Caso </w:t>
      </w:r>
      <w:proofErr w:type="spellStart"/>
      <w:r w:rsidR="006E1EE0" w:rsidRPr="006E1EE0">
        <w:rPr>
          <w:rFonts w:ascii="Times New Roman" w:hAnsi="Times New Roman" w:cs="Times New Roman"/>
          <w:i/>
          <w:iCs/>
          <w:sz w:val="28"/>
          <w:szCs w:val="28"/>
        </w:rPr>
        <w:t>Loomis</w:t>
      </w:r>
      <w:proofErr w:type="spellEnd"/>
      <w:r w:rsidR="006E1EE0" w:rsidRPr="00953B50">
        <w:rPr>
          <w:rFonts w:ascii="Times New Roman" w:hAnsi="Times New Roman" w:cs="Times New Roman"/>
          <w:sz w:val="28"/>
          <w:szCs w:val="28"/>
        </w:rPr>
        <w:t>”</w:t>
      </w:r>
      <w:r w:rsidR="006E1EE0" w:rsidRPr="006E1EE0">
        <w:rPr>
          <w:rFonts w:ascii="Times New Roman" w:hAnsi="Times New Roman" w:cs="Times New Roman"/>
          <w:i/>
          <w:iCs/>
          <w:sz w:val="28"/>
          <w:szCs w:val="28"/>
        </w:rPr>
        <w:t xml:space="preserve"> </w:t>
      </w:r>
      <w:r w:rsidR="006E1EE0" w:rsidRPr="006E1EE0">
        <w:rPr>
          <w:rFonts w:ascii="Times New Roman" w:hAnsi="Times New Roman" w:cs="Times New Roman"/>
          <w:sz w:val="28"/>
          <w:szCs w:val="28"/>
        </w:rPr>
        <w:t>deciso dalla Supreme Court of Winsconsin</w:t>
      </w:r>
      <w:r w:rsidR="00901515">
        <w:rPr>
          <w:rStyle w:val="Rimandonotaapidipagina"/>
          <w:rFonts w:ascii="Times New Roman" w:hAnsi="Times New Roman" w:cs="Times New Roman"/>
          <w:sz w:val="28"/>
          <w:szCs w:val="28"/>
        </w:rPr>
        <w:footnoteReference w:id="45"/>
      </w:r>
      <w:r w:rsidR="006E1EE0" w:rsidRPr="006E1EE0">
        <w:rPr>
          <w:rFonts w:ascii="Times New Roman" w:hAnsi="Times New Roman" w:cs="Times New Roman"/>
          <w:sz w:val="28"/>
          <w:szCs w:val="28"/>
        </w:rPr>
        <w:t>,</w:t>
      </w:r>
      <w:r w:rsidR="00901515">
        <w:rPr>
          <w:rFonts w:ascii="Times New Roman" w:hAnsi="Times New Roman" w:cs="Times New Roman"/>
          <w:sz w:val="28"/>
          <w:szCs w:val="28"/>
        </w:rPr>
        <w:t xml:space="preserve"> </w:t>
      </w:r>
      <w:r w:rsidR="006E1EE0" w:rsidRPr="006E1EE0">
        <w:rPr>
          <w:rFonts w:ascii="Times New Roman" w:hAnsi="Times New Roman" w:cs="Times New Roman"/>
          <w:sz w:val="28"/>
          <w:szCs w:val="28"/>
        </w:rPr>
        <w:t>in cui un</w:t>
      </w:r>
      <w:r w:rsidR="006E1EE0">
        <w:rPr>
          <w:rFonts w:ascii="Times New Roman" w:hAnsi="Times New Roman" w:cs="Times New Roman"/>
          <w:sz w:val="28"/>
          <w:szCs w:val="28"/>
        </w:rPr>
        <w:t xml:space="preserve">a pena molto grave venne comminata da una corte statunitense sulla base di una valutazione di pericolosità formulata dall’intelligenza artificiale. La Corte rifiutò alla difesa il diritto di conoscere i criteri che orientarono il giudizio di pericolosità, perché nel bilanciamento tra gli interessi in gioco e tenuto conto della possibilità di giustificare la pena sulla base di altri fattori, le esigenze di tutela del segreto industriale vennero ritenute prevalenti su quelle di trasparenza e di conoscibilità dell’algoritmo. </w:t>
      </w:r>
    </w:p>
    <w:p w14:paraId="632BD1CF" w14:textId="46E7EF5B" w:rsidR="002809D7" w:rsidRDefault="006B3913" w:rsidP="00F0544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La conoscenza dei criteri dell’algoritmo si traduce nella conoscenza del percorso logico-motivazionale del provvedimento: </w:t>
      </w:r>
      <w:r w:rsidRPr="006B3913">
        <w:rPr>
          <w:rFonts w:ascii="Times New Roman" w:hAnsi="Times New Roman" w:cs="Times New Roman"/>
          <w:i/>
          <w:iCs/>
          <w:sz w:val="28"/>
          <w:szCs w:val="28"/>
        </w:rPr>
        <w:t xml:space="preserve">la </w:t>
      </w:r>
      <w:proofErr w:type="spellStart"/>
      <w:r w:rsidRPr="006B3913">
        <w:rPr>
          <w:rFonts w:ascii="Times New Roman" w:hAnsi="Times New Roman" w:cs="Times New Roman"/>
          <w:i/>
          <w:iCs/>
          <w:sz w:val="28"/>
          <w:szCs w:val="28"/>
        </w:rPr>
        <w:t>black</w:t>
      </w:r>
      <w:proofErr w:type="spellEnd"/>
      <w:r w:rsidRPr="006B3913">
        <w:rPr>
          <w:rFonts w:ascii="Times New Roman" w:hAnsi="Times New Roman" w:cs="Times New Roman"/>
          <w:i/>
          <w:iCs/>
          <w:sz w:val="28"/>
          <w:szCs w:val="28"/>
        </w:rPr>
        <w:t xml:space="preserve"> box</w:t>
      </w:r>
      <w:r>
        <w:rPr>
          <w:rFonts w:ascii="Times New Roman" w:hAnsi="Times New Roman" w:cs="Times New Roman"/>
          <w:i/>
          <w:iCs/>
          <w:sz w:val="28"/>
          <w:szCs w:val="28"/>
        </w:rPr>
        <w:t>,</w:t>
      </w:r>
      <w:r w:rsidR="00901515">
        <w:rPr>
          <w:rFonts w:ascii="Times New Roman" w:hAnsi="Times New Roman" w:cs="Times New Roman"/>
          <w:i/>
          <w:iCs/>
          <w:sz w:val="28"/>
          <w:szCs w:val="28"/>
        </w:rPr>
        <w:t xml:space="preserve"> </w:t>
      </w:r>
      <w:r w:rsidRPr="006B3913">
        <w:rPr>
          <w:rFonts w:ascii="Times New Roman" w:hAnsi="Times New Roman" w:cs="Times New Roman"/>
          <w:sz w:val="28"/>
          <w:szCs w:val="28"/>
        </w:rPr>
        <w:t xml:space="preserve">però, </w:t>
      </w:r>
      <w:r w:rsidR="00660EF6">
        <w:rPr>
          <w:rFonts w:ascii="Times New Roman" w:hAnsi="Times New Roman" w:cs="Times New Roman"/>
          <w:sz w:val="28"/>
          <w:szCs w:val="28"/>
        </w:rPr>
        <w:t>nucleo decisionale dell’</w:t>
      </w:r>
      <w:r>
        <w:rPr>
          <w:rFonts w:ascii="Times New Roman" w:hAnsi="Times New Roman" w:cs="Times New Roman"/>
          <w:sz w:val="28"/>
          <w:szCs w:val="28"/>
        </w:rPr>
        <w:t>intelligenza artificiale</w:t>
      </w:r>
      <w:r w:rsidR="00660EF6">
        <w:rPr>
          <w:rFonts w:ascii="Times New Roman" w:hAnsi="Times New Roman" w:cs="Times New Roman"/>
          <w:sz w:val="28"/>
          <w:szCs w:val="28"/>
        </w:rPr>
        <w:t>,</w:t>
      </w:r>
      <w:r w:rsidR="00901515">
        <w:rPr>
          <w:rFonts w:ascii="Times New Roman" w:hAnsi="Times New Roman" w:cs="Times New Roman"/>
          <w:sz w:val="28"/>
          <w:szCs w:val="28"/>
        </w:rPr>
        <w:t xml:space="preserve"> </w:t>
      </w:r>
      <w:r w:rsidR="00660EF6">
        <w:rPr>
          <w:rFonts w:ascii="Times New Roman" w:hAnsi="Times New Roman" w:cs="Times New Roman"/>
          <w:sz w:val="28"/>
          <w:szCs w:val="28"/>
        </w:rPr>
        <w:t xml:space="preserve">risultato di sintesi della capacità della macchina di </w:t>
      </w:r>
      <w:proofErr w:type="spellStart"/>
      <w:r w:rsidR="00660EF6">
        <w:rPr>
          <w:rFonts w:ascii="Times New Roman" w:hAnsi="Times New Roman" w:cs="Times New Roman"/>
          <w:sz w:val="28"/>
          <w:szCs w:val="28"/>
        </w:rPr>
        <w:t>autoevoluzione</w:t>
      </w:r>
      <w:proofErr w:type="spellEnd"/>
      <w:r w:rsidR="00660EF6">
        <w:rPr>
          <w:rFonts w:ascii="Times New Roman" w:hAnsi="Times New Roman" w:cs="Times New Roman"/>
          <w:sz w:val="28"/>
          <w:szCs w:val="28"/>
        </w:rPr>
        <w:t xml:space="preserve"> cognitiva, autoapprendimento e di affinamento di criteri di conoscenza e scelta per la realizzazione più efficiente dell’obiettivo</w:t>
      </w:r>
      <w:r w:rsidR="00901515">
        <w:rPr>
          <w:rFonts w:ascii="Times New Roman" w:hAnsi="Times New Roman" w:cs="Times New Roman"/>
          <w:sz w:val="28"/>
          <w:szCs w:val="28"/>
        </w:rPr>
        <w:t xml:space="preserve">, </w:t>
      </w:r>
      <w:r w:rsidR="00660EF6">
        <w:rPr>
          <w:rFonts w:ascii="Times New Roman" w:hAnsi="Times New Roman" w:cs="Times New Roman"/>
          <w:sz w:val="28"/>
          <w:szCs w:val="28"/>
        </w:rPr>
        <w:t>è non conoscibile, indecifrabile per natura.</w:t>
      </w:r>
    </w:p>
    <w:p w14:paraId="6B4581FB" w14:textId="351D6968" w:rsidR="00660EF6" w:rsidRDefault="00660EF6"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Rendere conoscibile quello che la Suprema Corte di </w:t>
      </w:r>
      <w:r w:rsidR="00F33BDF">
        <w:rPr>
          <w:rFonts w:ascii="Times New Roman" w:hAnsi="Times New Roman" w:cs="Times New Roman"/>
          <w:sz w:val="28"/>
          <w:szCs w:val="28"/>
        </w:rPr>
        <w:t>C</w:t>
      </w:r>
      <w:r>
        <w:rPr>
          <w:rFonts w:ascii="Times New Roman" w:hAnsi="Times New Roman" w:cs="Times New Roman"/>
          <w:sz w:val="28"/>
          <w:szCs w:val="28"/>
        </w:rPr>
        <w:t>assazione ha definito lo “schema esecutivo” dell’algoritmo non necessariamente svela</w:t>
      </w:r>
      <w:r w:rsidR="00F33BDF">
        <w:rPr>
          <w:rFonts w:ascii="Times New Roman" w:hAnsi="Times New Roman" w:cs="Times New Roman"/>
          <w:sz w:val="28"/>
          <w:szCs w:val="28"/>
        </w:rPr>
        <w:t xml:space="preserve"> o non necessariamente consente di svelare la correttezza della decisione. Oppure</w:t>
      </w:r>
      <w:r w:rsidR="00953B50">
        <w:rPr>
          <w:rFonts w:ascii="Times New Roman" w:hAnsi="Times New Roman" w:cs="Times New Roman"/>
          <w:sz w:val="28"/>
          <w:szCs w:val="28"/>
        </w:rPr>
        <w:t>, un’</w:t>
      </w:r>
      <w:r w:rsidR="00F33BDF">
        <w:rPr>
          <w:rFonts w:ascii="Times New Roman" w:hAnsi="Times New Roman" w:cs="Times New Roman"/>
          <w:sz w:val="28"/>
          <w:szCs w:val="28"/>
        </w:rPr>
        <w:t>altra possibilità che si potrebbe verificare è che la correttezza della decisione potrebbe essere conoscibile solo da soggetti che presentino una particolare qualificazione professionale e tecnica, una platea ristretta di pochi eletti, con la conseguenza, come sottolineato da autorevole dottrina, di creare una generazione di tecnocrati che governano il mondo. Ed è proprio per questo che</w:t>
      </w:r>
      <w:r w:rsidR="00953B50">
        <w:rPr>
          <w:rFonts w:ascii="Times New Roman" w:hAnsi="Times New Roman" w:cs="Times New Roman"/>
          <w:sz w:val="28"/>
          <w:szCs w:val="28"/>
        </w:rPr>
        <w:t>,</w:t>
      </w:r>
      <w:r w:rsidR="00F33BDF">
        <w:rPr>
          <w:rFonts w:ascii="Times New Roman" w:hAnsi="Times New Roman" w:cs="Times New Roman"/>
          <w:sz w:val="28"/>
          <w:szCs w:val="28"/>
        </w:rPr>
        <w:t xml:space="preserve"> in un’ottica di acquisizione di competenze trasversali</w:t>
      </w:r>
      <w:r w:rsidR="00953B50">
        <w:rPr>
          <w:rFonts w:ascii="Times New Roman" w:hAnsi="Times New Roman" w:cs="Times New Roman"/>
          <w:sz w:val="28"/>
          <w:szCs w:val="28"/>
        </w:rPr>
        <w:t>,</w:t>
      </w:r>
      <w:r w:rsidR="00F33BDF">
        <w:rPr>
          <w:rFonts w:ascii="Times New Roman" w:hAnsi="Times New Roman" w:cs="Times New Roman"/>
          <w:sz w:val="28"/>
          <w:szCs w:val="28"/>
        </w:rPr>
        <w:t xml:space="preserve"> </w:t>
      </w:r>
      <w:r w:rsidR="009A4E14">
        <w:rPr>
          <w:rFonts w:ascii="Times New Roman" w:hAnsi="Times New Roman" w:cs="Times New Roman"/>
          <w:sz w:val="28"/>
          <w:szCs w:val="28"/>
        </w:rPr>
        <w:t>in molte facoltà di giurisprudenza</w:t>
      </w:r>
      <w:r w:rsidR="00953B50">
        <w:rPr>
          <w:rFonts w:ascii="Times New Roman" w:hAnsi="Times New Roman" w:cs="Times New Roman"/>
          <w:sz w:val="28"/>
          <w:szCs w:val="28"/>
        </w:rPr>
        <w:t>,</w:t>
      </w:r>
      <w:r w:rsidR="009A4E14">
        <w:rPr>
          <w:rFonts w:ascii="Times New Roman" w:hAnsi="Times New Roman" w:cs="Times New Roman"/>
          <w:sz w:val="28"/>
          <w:szCs w:val="28"/>
        </w:rPr>
        <w:t xml:space="preserve"> soprattutto del Nord Europa</w:t>
      </w:r>
      <w:r w:rsidR="00953B50">
        <w:rPr>
          <w:rFonts w:ascii="Times New Roman" w:hAnsi="Times New Roman" w:cs="Times New Roman"/>
          <w:sz w:val="28"/>
          <w:szCs w:val="28"/>
        </w:rPr>
        <w:t>,</w:t>
      </w:r>
      <w:r w:rsidR="009A4E14">
        <w:rPr>
          <w:rFonts w:ascii="Times New Roman" w:hAnsi="Times New Roman" w:cs="Times New Roman"/>
          <w:sz w:val="28"/>
          <w:szCs w:val="28"/>
        </w:rPr>
        <w:t xml:space="preserve"> tra le materie giuridiche viene inserito anche il “</w:t>
      </w:r>
      <w:proofErr w:type="spellStart"/>
      <w:r w:rsidR="009A4E14" w:rsidRPr="009A4E14">
        <w:rPr>
          <w:rFonts w:ascii="Times New Roman" w:hAnsi="Times New Roman" w:cs="Times New Roman"/>
          <w:i/>
          <w:iCs/>
          <w:sz w:val="28"/>
          <w:szCs w:val="28"/>
        </w:rPr>
        <w:t>coding</w:t>
      </w:r>
      <w:proofErr w:type="spellEnd"/>
      <w:r w:rsidR="009A4E14" w:rsidRPr="009A4E14">
        <w:rPr>
          <w:rFonts w:ascii="Times New Roman" w:hAnsi="Times New Roman" w:cs="Times New Roman"/>
          <w:i/>
          <w:iCs/>
          <w:sz w:val="28"/>
          <w:szCs w:val="28"/>
        </w:rPr>
        <w:t>”</w:t>
      </w:r>
      <w:r w:rsidR="009A4E14">
        <w:rPr>
          <w:rFonts w:ascii="Times New Roman" w:hAnsi="Times New Roman" w:cs="Times New Roman"/>
          <w:sz w:val="28"/>
          <w:szCs w:val="28"/>
        </w:rPr>
        <w:t xml:space="preserve">, passaggio più qualificato della mera </w:t>
      </w:r>
      <w:r w:rsidR="00901515">
        <w:rPr>
          <w:rFonts w:ascii="Times New Roman" w:hAnsi="Times New Roman" w:cs="Times New Roman"/>
          <w:sz w:val="28"/>
          <w:szCs w:val="28"/>
        </w:rPr>
        <w:t>“</w:t>
      </w:r>
      <w:r w:rsidR="009A4E14">
        <w:rPr>
          <w:rFonts w:ascii="Times New Roman" w:hAnsi="Times New Roman" w:cs="Times New Roman"/>
          <w:sz w:val="28"/>
          <w:szCs w:val="28"/>
        </w:rPr>
        <w:t>alfabetizzazione” materiale.</w:t>
      </w:r>
    </w:p>
    <w:p w14:paraId="4188FA13" w14:textId="77777777" w:rsidR="008C1E15" w:rsidRDefault="009A4E14" w:rsidP="008C1E1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giurisprudenza amministrativa insiste molto, però</w:t>
      </w:r>
      <w:r w:rsidR="008C1E15">
        <w:rPr>
          <w:rFonts w:ascii="Times New Roman" w:hAnsi="Times New Roman" w:cs="Times New Roman"/>
          <w:sz w:val="28"/>
          <w:szCs w:val="28"/>
        </w:rPr>
        <w:t>,</w:t>
      </w:r>
      <w:r>
        <w:rPr>
          <w:rFonts w:ascii="Times New Roman" w:hAnsi="Times New Roman" w:cs="Times New Roman"/>
          <w:sz w:val="28"/>
          <w:szCs w:val="28"/>
        </w:rPr>
        <w:t xml:space="preserve"> anche sul principio di non esclusività fissato dall’art.</w:t>
      </w:r>
      <w:r w:rsidR="00901515">
        <w:rPr>
          <w:rFonts w:ascii="Times New Roman" w:hAnsi="Times New Roman" w:cs="Times New Roman"/>
          <w:sz w:val="28"/>
          <w:szCs w:val="28"/>
        </w:rPr>
        <w:t xml:space="preserve"> </w:t>
      </w:r>
      <w:r>
        <w:rPr>
          <w:rFonts w:ascii="Times New Roman" w:hAnsi="Times New Roman" w:cs="Times New Roman"/>
          <w:sz w:val="28"/>
          <w:szCs w:val="28"/>
        </w:rPr>
        <w:t>22 del citato Regolamento sulla privacy e sul necessario intervento correttivo dell</w:t>
      </w:r>
      <w:r w:rsidR="008C1E15">
        <w:rPr>
          <w:rFonts w:ascii="Times New Roman" w:hAnsi="Times New Roman" w:cs="Times New Roman"/>
          <w:sz w:val="28"/>
          <w:szCs w:val="28"/>
        </w:rPr>
        <w:t>o</w:t>
      </w:r>
      <w:r>
        <w:rPr>
          <w:rFonts w:ascii="Times New Roman" w:hAnsi="Times New Roman" w:cs="Times New Roman"/>
          <w:sz w:val="28"/>
          <w:szCs w:val="28"/>
        </w:rPr>
        <w:t xml:space="preserve"> </w:t>
      </w:r>
      <w:r w:rsidRPr="009A4E14">
        <w:rPr>
          <w:rFonts w:ascii="Times New Roman" w:hAnsi="Times New Roman" w:cs="Times New Roman"/>
          <w:i/>
          <w:iCs/>
          <w:sz w:val="28"/>
          <w:szCs w:val="28"/>
        </w:rPr>
        <w:t xml:space="preserve">Human in the </w:t>
      </w:r>
      <w:proofErr w:type="spellStart"/>
      <w:r w:rsidRPr="009A4E14">
        <w:rPr>
          <w:rFonts w:ascii="Times New Roman" w:hAnsi="Times New Roman" w:cs="Times New Roman"/>
          <w:i/>
          <w:iCs/>
          <w:sz w:val="28"/>
          <w:szCs w:val="28"/>
        </w:rPr>
        <w:t>loop</w:t>
      </w:r>
      <w:proofErr w:type="spellEnd"/>
      <w:r>
        <w:rPr>
          <w:rFonts w:ascii="Times New Roman" w:hAnsi="Times New Roman" w:cs="Times New Roman"/>
          <w:i/>
          <w:iCs/>
          <w:sz w:val="28"/>
          <w:szCs w:val="28"/>
        </w:rPr>
        <w:t xml:space="preserve">, </w:t>
      </w:r>
      <w:r w:rsidR="00901515" w:rsidRPr="009A4E14">
        <w:rPr>
          <w:rFonts w:ascii="Times New Roman" w:hAnsi="Times New Roman" w:cs="Times New Roman"/>
          <w:sz w:val="28"/>
          <w:szCs w:val="28"/>
        </w:rPr>
        <w:t>così</w:t>
      </w:r>
      <w:r w:rsidRPr="009A4E14">
        <w:rPr>
          <w:rFonts w:ascii="Times New Roman" w:hAnsi="Times New Roman" w:cs="Times New Roman"/>
          <w:sz w:val="28"/>
          <w:szCs w:val="28"/>
        </w:rPr>
        <w:t xml:space="preserve"> come previsto</w:t>
      </w:r>
      <w:r>
        <w:rPr>
          <w:rFonts w:ascii="Times New Roman" w:hAnsi="Times New Roman" w:cs="Times New Roman"/>
          <w:sz w:val="28"/>
          <w:szCs w:val="28"/>
        </w:rPr>
        <w:t xml:space="preserve"> nel</w:t>
      </w:r>
      <w:r w:rsidR="00A829AE">
        <w:rPr>
          <w:rFonts w:ascii="Times New Roman" w:hAnsi="Times New Roman" w:cs="Times New Roman"/>
          <w:sz w:val="28"/>
          <w:szCs w:val="28"/>
        </w:rPr>
        <w:t>la</w:t>
      </w:r>
      <w:r>
        <w:rPr>
          <w:rFonts w:ascii="Times New Roman" w:hAnsi="Times New Roman" w:cs="Times New Roman"/>
          <w:sz w:val="28"/>
          <w:szCs w:val="28"/>
        </w:rPr>
        <w:t xml:space="preserve"> Risoluzione del parlamento europeo, A9-0002/2021</w:t>
      </w:r>
      <w:r w:rsidR="00901515">
        <w:rPr>
          <w:rFonts w:ascii="Times New Roman" w:hAnsi="Times New Roman" w:cs="Times New Roman"/>
          <w:sz w:val="28"/>
          <w:szCs w:val="28"/>
        </w:rPr>
        <w:t xml:space="preserve"> d</w:t>
      </w:r>
      <w:r>
        <w:rPr>
          <w:rFonts w:ascii="Times New Roman" w:hAnsi="Times New Roman" w:cs="Times New Roman"/>
          <w:sz w:val="28"/>
          <w:szCs w:val="28"/>
        </w:rPr>
        <w:t xml:space="preserve">el 20 gennaio 2021 sull’intelligenza artificiale. Occorre, però, considerare che non tutte le decisioni pubbliche fondate sull’intelligenza artificiale sono comprimibili in un’alternativa </w:t>
      </w:r>
      <w:r w:rsidRPr="00901515">
        <w:rPr>
          <w:rFonts w:ascii="Times New Roman" w:hAnsi="Times New Roman" w:cs="Times New Roman"/>
          <w:i/>
          <w:iCs/>
          <w:sz w:val="28"/>
          <w:szCs w:val="28"/>
        </w:rPr>
        <w:t>on/off.</w:t>
      </w:r>
      <w:r>
        <w:rPr>
          <w:rFonts w:ascii="Times New Roman" w:hAnsi="Times New Roman" w:cs="Times New Roman"/>
          <w:sz w:val="28"/>
          <w:szCs w:val="28"/>
        </w:rPr>
        <w:t xml:space="preserve"> Spesso le decisioni sono multifattoriali, complesse, possono portare ad un’alternativa di risultati diversi la cui individuazione dipende dall’elaborazione dei dati, dalla loro valutazione, dall’applicazione dei principi di proporzionalità e di precauzione soprattutto dal c</w:t>
      </w:r>
      <w:r w:rsidR="00953B50">
        <w:rPr>
          <w:rFonts w:ascii="Times New Roman" w:hAnsi="Times New Roman" w:cs="Times New Roman"/>
          <w:sz w:val="28"/>
          <w:szCs w:val="28"/>
        </w:rPr>
        <w:t>.</w:t>
      </w:r>
      <w:r>
        <w:rPr>
          <w:rFonts w:ascii="Times New Roman" w:hAnsi="Times New Roman" w:cs="Times New Roman"/>
          <w:sz w:val="28"/>
          <w:szCs w:val="28"/>
        </w:rPr>
        <w:t>d</w:t>
      </w:r>
      <w:r w:rsidR="00953B5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A4E14">
        <w:rPr>
          <w:rFonts w:ascii="Times New Roman" w:hAnsi="Times New Roman" w:cs="Times New Roman"/>
          <w:i/>
          <w:iCs/>
          <w:sz w:val="28"/>
          <w:szCs w:val="28"/>
        </w:rPr>
        <w:t>Ermessen</w:t>
      </w:r>
      <w:proofErr w:type="spellEnd"/>
      <w:r w:rsidRPr="008C1E15">
        <w:rPr>
          <w:rFonts w:ascii="Times New Roman" w:hAnsi="Times New Roman" w:cs="Times New Roman"/>
          <w:sz w:val="28"/>
          <w:szCs w:val="28"/>
        </w:rPr>
        <w:t>”,</w:t>
      </w:r>
      <w:r>
        <w:rPr>
          <w:rFonts w:ascii="Times New Roman" w:hAnsi="Times New Roman" w:cs="Times New Roman"/>
          <w:sz w:val="28"/>
          <w:szCs w:val="28"/>
        </w:rPr>
        <w:t xml:space="preserve"> dal c</w:t>
      </w:r>
      <w:r w:rsidR="00953B50">
        <w:rPr>
          <w:rFonts w:ascii="Times New Roman" w:hAnsi="Times New Roman" w:cs="Times New Roman"/>
          <w:sz w:val="28"/>
          <w:szCs w:val="28"/>
        </w:rPr>
        <w:t>.</w:t>
      </w:r>
      <w:r>
        <w:rPr>
          <w:rFonts w:ascii="Times New Roman" w:hAnsi="Times New Roman" w:cs="Times New Roman"/>
          <w:sz w:val="28"/>
          <w:szCs w:val="28"/>
        </w:rPr>
        <w:t>d</w:t>
      </w:r>
      <w:r w:rsidR="00953B50">
        <w:rPr>
          <w:rFonts w:ascii="Times New Roman" w:hAnsi="Times New Roman" w:cs="Times New Roman"/>
          <w:sz w:val="28"/>
          <w:szCs w:val="28"/>
        </w:rPr>
        <w:t>.</w:t>
      </w:r>
      <w:r>
        <w:rPr>
          <w:rFonts w:ascii="Times New Roman" w:hAnsi="Times New Roman" w:cs="Times New Roman"/>
          <w:sz w:val="28"/>
          <w:szCs w:val="28"/>
        </w:rPr>
        <w:t xml:space="preserve"> bilanciamento degli interessi basato su valori costituzionali. </w:t>
      </w:r>
      <w:r>
        <w:rPr>
          <w:rFonts w:ascii="Times New Roman" w:hAnsi="Times New Roman" w:cs="Times New Roman"/>
          <w:sz w:val="28"/>
          <w:szCs w:val="28"/>
        </w:rPr>
        <w:lastRenderedPageBreak/>
        <w:t xml:space="preserve">Logica umana e logica della macchina </w:t>
      </w:r>
      <w:r w:rsidR="00AD4580">
        <w:rPr>
          <w:rFonts w:ascii="Times New Roman" w:hAnsi="Times New Roman" w:cs="Times New Roman"/>
          <w:sz w:val="28"/>
          <w:szCs w:val="28"/>
        </w:rPr>
        <w:t>poss</w:t>
      </w:r>
      <w:r w:rsidR="00C30C3A">
        <w:rPr>
          <w:rFonts w:ascii="Times New Roman" w:hAnsi="Times New Roman" w:cs="Times New Roman"/>
          <w:sz w:val="28"/>
          <w:szCs w:val="28"/>
        </w:rPr>
        <w:t>o</w:t>
      </w:r>
      <w:r w:rsidR="00AD4580">
        <w:rPr>
          <w:rFonts w:ascii="Times New Roman" w:hAnsi="Times New Roman" w:cs="Times New Roman"/>
          <w:sz w:val="28"/>
          <w:szCs w:val="28"/>
        </w:rPr>
        <w:t xml:space="preserve">no convivere nel medesimo procedimento senza che la prima sia in grado di sostituirsi alla seconda e spesso nemmeno di comprenderla. </w:t>
      </w:r>
    </w:p>
    <w:p w14:paraId="5B3D6A0A" w14:textId="5CB03276" w:rsidR="009A4E14" w:rsidRDefault="00AD4580" w:rsidP="008C1E1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Ciò potrebbe presentare dei problemi di discriminazione tra soggetti che aspirano al medesimo bene nelle ipotesi di provvedimento amministrativo plurimo</w:t>
      </w:r>
      <w:r w:rsidR="008C1E15">
        <w:rPr>
          <w:rFonts w:ascii="Times New Roman" w:hAnsi="Times New Roman" w:cs="Times New Roman"/>
          <w:sz w:val="28"/>
          <w:szCs w:val="28"/>
        </w:rPr>
        <w:t>,</w:t>
      </w:r>
      <w:r>
        <w:rPr>
          <w:rFonts w:ascii="Times New Roman" w:hAnsi="Times New Roman" w:cs="Times New Roman"/>
          <w:sz w:val="28"/>
          <w:szCs w:val="28"/>
        </w:rPr>
        <w:t xml:space="preserve"> con effetti scindibili di natura discrezionale o tecnico-discrezionale</w:t>
      </w:r>
      <w:r w:rsidR="008C1E15">
        <w:rPr>
          <w:rFonts w:ascii="Times New Roman" w:hAnsi="Times New Roman" w:cs="Times New Roman"/>
          <w:sz w:val="28"/>
          <w:szCs w:val="28"/>
        </w:rPr>
        <w:t>;</w:t>
      </w:r>
      <w:r>
        <w:rPr>
          <w:rFonts w:ascii="Times New Roman" w:hAnsi="Times New Roman" w:cs="Times New Roman"/>
          <w:sz w:val="28"/>
          <w:szCs w:val="28"/>
        </w:rPr>
        <w:t xml:space="preserve"> una graduatoria, ad esempio, in cui il giudice annulli la determinazione con riferimento alla posizione del solo ricorrente.</w:t>
      </w:r>
      <w:r w:rsidR="00901515">
        <w:rPr>
          <w:rFonts w:ascii="Times New Roman" w:hAnsi="Times New Roman" w:cs="Times New Roman"/>
          <w:sz w:val="28"/>
          <w:szCs w:val="28"/>
        </w:rPr>
        <w:t xml:space="preserve"> </w:t>
      </w:r>
      <w:r>
        <w:rPr>
          <w:rFonts w:ascii="Times New Roman" w:hAnsi="Times New Roman" w:cs="Times New Roman"/>
          <w:sz w:val="28"/>
          <w:szCs w:val="28"/>
        </w:rPr>
        <w:t>In tal caso</w:t>
      </w:r>
      <w:r w:rsidR="00953B50">
        <w:rPr>
          <w:rFonts w:ascii="Times New Roman" w:hAnsi="Times New Roman" w:cs="Times New Roman"/>
          <w:sz w:val="28"/>
          <w:szCs w:val="28"/>
        </w:rPr>
        <w:t>,</w:t>
      </w:r>
      <w:r>
        <w:rPr>
          <w:rFonts w:ascii="Times New Roman" w:hAnsi="Times New Roman" w:cs="Times New Roman"/>
          <w:sz w:val="28"/>
          <w:szCs w:val="28"/>
        </w:rPr>
        <w:t xml:space="preserve"> i destinatari del provvedimento si vedranno giudicati con criteri differenti: la logica dell’uomo</w:t>
      </w:r>
      <w:r w:rsidR="00901515">
        <w:rPr>
          <w:rFonts w:ascii="Times New Roman" w:hAnsi="Times New Roman" w:cs="Times New Roman"/>
          <w:sz w:val="28"/>
          <w:szCs w:val="28"/>
        </w:rPr>
        <w:t>-</w:t>
      </w:r>
      <w:r>
        <w:rPr>
          <w:rFonts w:ascii="Times New Roman" w:hAnsi="Times New Roman" w:cs="Times New Roman"/>
          <w:sz w:val="28"/>
          <w:szCs w:val="28"/>
        </w:rPr>
        <w:t>giudice per il caso portato alla sua attenzione e la logica della macchina per tutti gli altri. La non esclusività non può dirsi criterio sufficiente oggi per assicurare una tutela piena ed effettiva. Va certamente integrato con il principio di non discriminazione. “</w:t>
      </w:r>
      <w:r w:rsidRPr="00AD4580">
        <w:rPr>
          <w:rFonts w:ascii="Times New Roman" w:hAnsi="Times New Roman" w:cs="Times New Roman"/>
          <w:i/>
          <w:iCs/>
          <w:sz w:val="28"/>
          <w:szCs w:val="28"/>
        </w:rPr>
        <w:t xml:space="preserve">Garbage in, </w:t>
      </w:r>
      <w:proofErr w:type="spellStart"/>
      <w:r w:rsidRPr="00AD4580">
        <w:rPr>
          <w:rFonts w:ascii="Times New Roman" w:hAnsi="Times New Roman" w:cs="Times New Roman"/>
          <w:i/>
          <w:iCs/>
          <w:sz w:val="28"/>
          <w:szCs w:val="28"/>
        </w:rPr>
        <w:t>garbage</w:t>
      </w:r>
      <w:proofErr w:type="spellEnd"/>
      <w:r w:rsidRPr="00AD4580">
        <w:rPr>
          <w:rFonts w:ascii="Times New Roman" w:hAnsi="Times New Roman" w:cs="Times New Roman"/>
          <w:i/>
          <w:iCs/>
          <w:sz w:val="28"/>
          <w:szCs w:val="28"/>
        </w:rPr>
        <w:t xml:space="preserve"> out</w:t>
      </w:r>
      <w:r>
        <w:rPr>
          <w:rFonts w:ascii="Times New Roman" w:hAnsi="Times New Roman" w:cs="Times New Roman"/>
          <w:sz w:val="28"/>
          <w:szCs w:val="28"/>
        </w:rPr>
        <w:t>”: è importante verificare la correttezza dei dati inseriti e la corretta utilizzazione delle leggi statistiche</w:t>
      </w:r>
      <w:r w:rsidR="008C1E15">
        <w:rPr>
          <w:rFonts w:ascii="Times New Roman" w:hAnsi="Times New Roman" w:cs="Times New Roman"/>
          <w:sz w:val="28"/>
          <w:szCs w:val="28"/>
        </w:rPr>
        <w:t>. C</w:t>
      </w:r>
      <w:r>
        <w:rPr>
          <w:rFonts w:ascii="Times New Roman" w:hAnsi="Times New Roman" w:cs="Times New Roman"/>
          <w:sz w:val="28"/>
          <w:szCs w:val="28"/>
        </w:rPr>
        <w:t xml:space="preserve">e lo ha ricordato con molta umiltà il </w:t>
      </w:r>
      <w:r w:rsidR="008C1E15">
        <w:rPr>
          <w:rFonts w:ascii="Times New Roman" w:hAnsi="Times New Roman" w:cs="Times New Roman"/>
          <w:sz w:val="28"/>
          <w:szCs w:val="28"/>
        </w:rPr>
        <w:t>P</w:t>
      </w:r>
      <w:r>
        <w:rPr>
          <w:rFonts w:ascii="Times New Roman" w:hAnsi="Times New Roman" w:cs="Times New Roman"/>
          <w:sz w:val="28"/>
          <w:szCs w:val="28"/>
        </w:rPr>
        <w:t>rof</w:t>
      </w:r>
      <w:r w:rsidR="008C1E15">
        <w:rPr>
          <w:rFonts w:ascii="Times New Roman" w:hAnsi="Times New Roman" w:cs="Times New Roman"/>
          <w:sz w:val="28"/>
          <w:szCs w:val="28"/>
        </w:rPr>
        <w:t>essore</w:t>
      </w:r>
      <w:r w:rsidR="00901515">
        <w:rPr>
          <w:rFonts w:ascii="Times New Roman" w:hAnsi="Times New Roman" w:cs="Times New Roman"/>
          <w:sz w:val="28"/>
          <w:szCs w:val="28"/>
        </w:rPr>
        <w:t xml:space="preserve"> </w:t>
      </w:r>
      <w:r>
        <w:rPr>
          <w:rFonts w:ascii="Times New Roman" w:hAnsi="Times New Roman" w:cs="Times New Roman"/>
          <w:sz w:val="28"/>
          <w:szCs w:val="28"/>
        </w:rPr>
        <w:t>Giorgio Parisi</w:t>
      </w:r>
      <w:r w:rsidR="002606DB">
        <w:rPr>
          <w:rFonts w:ascii="Times New Roman" w:hAnsi="Times New Roman" w:cs="Times New Roman"/>
          <w:sz w:val="28"/>
          <w:szCs w:val="28"/>
        </w:rPr>
        <w:t xml:space="preserve"> – </w:t>
      </w:r>
      <w:r>
        <w:rPr>
          <w:rFonts w:ascii="Times New Roman" w:hAnsi="Times New Roman" w:cs="Times New Roman"/>
          <w:sz w:val="28"/>
          <w:szCs w:val="28"/>
        </w:rPr>
        <w:t xml:space="preserve">premio Nobel per la Fisica, Presidente dell’accademia dei </w:t>
      </w:r>
      <w:r w:rsidR="00953B50">
        <w:rPr>
          <w:rFonts w:ascii="Times New Roman" w:hAnsi="Times New Roman" w:cs="Times New Roman"/>
          <w:sz w:val="28"/>
          <w:szCs w:val="28"/>
        </w:rPr>
        <w:t>Lincei</w:t>
      </w:r>
      <w:r w:rsidR="002606DB">
        <w:rPr>
          <w:rFonts w:ascii="Times New Roman" w:hAnsi="Times New Roman" w:cs="Times New Roman"/>
          <w:sz w:val="28"/>
          <w:szCs w:val="28"/>
        </w:rPr>
        <w:t xml:space="preserve"> –</w:t>
      </w:r>
      <w:r w:rsidR="00953B50">
        <w:rPr>
          <w:rFonts w:ascii="Times New Roman" w:hAnsi="Times New Roman" w:cs="Times New Roman"/>
          <w:sz w:val="28"/>
          <w:szCs w:val="28"/>
        </w:rPr>
        <w:t xml:space="preserve"> parlando</w:t>
      </w:r>
      <w:r>
        <w:rPr>
          <w:rFonts w:ascii="Times New Roman" w:hAnsi="Times New Roman" w:cs="Times New Roman"/>
          <w:sz w:val="28"/>
          <w:szCs w:val="28"/>
        </w:rPr>
        <w:t xml:space="preserve"> dell’algoritmo </w:t>
      </w:r>
      <w:r w:rsidRPr="00953B50">
        <w:rPr>
          <w:rFonts w:ascii="Times New Roman" w:hAnsi="Times New Roman" w:cs="Times New Roman"/>
          <w:i/>
          <w:iCs/>
          <w:sz w:val="28"/>
          <w:szCs w:val="28"/>
        </w:rPr>
        <w:t>Chain Montecarlo</w:t>
      </w:r>
      <w:r>
        <w:rPr>
          <w:rFonts w:ascii="Times New Roman" w:hAnsi="Times New Roman" w:cs="Times New Roman"/>
          <w:sz w:val="28"/>
          <w:szCs w:val="28"/>
        </w:rPr>
        <w:t xml:space="preserve"> durante la pandemia da Covid</w:t>
      </w:r>
      <w:r w:rsidR="00953B50">
        <w:rPr>
          <w:rFonts w:ascii="Times New Roman" w:hAnsi="Times New Roman" w:cs="Times New Roman"/>
          <w:sz w:val="28"/>
          <w:szCs w:val="28"/>
        </w:rPr>
        <w:t>-</w:t>
      </w:r>
      <w:r>
        <w:rPr>
          <w:rFonts w:ascii="Times New Roman" w:hAnsi="Times New Roman" w:cs="Times New Roman"/>
          <w:sz w:val="28"/>
          <w:szCs w:val="28"/>
        </w:rPr>
        <w:t xml:space="preserve">19. Il caso </w:t>
      </w:r>
      <w:proofErr w:type="spellStart"/>
      <w:r>
        <w:rPr>
          <w:rFonts w:ascii="Times New Roman" w:hAnsi="Times New Roman" w:cs="Times New Roman"/>
          <w:sz w:val="28"/>
          <w:szCs w:val="28"/>
        </w:rPr>
        <w:t>Compass</w:t>
      </w:r>
      <w:proofErr w:type="spellEnd"/>
      <w:r>
        <w:rPr>
          <w:rFonts w:ascii="Times New Roman" w:hAnsi="Times New Roman" w:cs="Times New Roman"/>
          <w:sz w:val="28"/>
          <w:szCs w:val="28"/>
        </w:rPr>
        <w:t xml:space="preserve"> è rimasto un precedente importante nel ricordarci tale principio: </w:t>
      </w:r>
      <w:r w:rsidR="00897680">
        <w:rPr>
          <w:rFonts w:ascii="Times New Roman" w:hAnsi="Times New Roman" w:cs="Times New Roman"/>
          <w:sz w:val="28"/>
          <w:szCs w:val="28"/>
        </w:rPr>
        <w:t xml:space="preserve">una non corretta immissione di dati statistici relativi alla pericolosità correlata all’origine etnica delle persone, nel caso </w:t>
      </w:r>
      <w:r w:rsidR="00897680" w:rsidRPr="00901515">
        <w:rPr>
          <w:rFonts w:ascii="Times New Roman" w:hAnsi="Times New Roman" w:cs="Times New Roman"/>
          <w:i/>
          <w:iCs/>
          <w:sz w:val="28"/>
          <w:szCs w:val="28"/>
        </w:rPr>
        <w:t>de quo</w:t>
      </w:r>
      <w:r w:rsidR="00897680">
        <w:rPr>
          <w:rFonts w:ascii="Times New Roman" w:hAnsi="Times New Roman" w:cs="Times New Roman"/>
          <w:sz w:val="28"/>
          <w:szCs w:val="28"/>
        </w:rPr>
        <w:t xml:space="preserve"> </w:t>
      </w:r>
      <w:proofErr w:type="gramStart"/>
      <w:r w:rsidR="00897680">
        <w:rPr>
          <w:rFonts w:ascii="Times New Roman" w:hAnsi="Times New Roman" w:cs="Times New Roman"/>
          <w:sz w:val="28"/>
          <w:szCs w:val="28"/>
        </w:rPr>
        <w:t>afro-americane</w:t>
      </w:r>
      <w:proofErr w:type="gramEnd"/>
      <w:r w:rsidR="00897680">
        <w:rPr>
          <w:rFonts w:ascii="Times New Roman" w:hAnsi="Times New Roman" w:cs="Times New Roman"/>
          <w:sz w:val="28"/>
          <w:szCs w:val="28"/>
        </w:rPr>
        <w:t>, aveva indotto la macchina ad allargare oltremodo i confini della recidiva</w:t>
      </w:r>
      <w:r w:rsidR="002606DB">
        <w:rPr>
          <w:rFonts w:ascii="Times New Roman" w:hAnsi="Times New Roman" w:cs="Times New Roman"/>
          <w:sz w:val="28"/>
          <w:szCs w:val="28"/>
        </w:rPr>
        <w:t>,</w:t>
      </w:r>
      <w:r w:rsidR="00897680">
        <w:rPr>
          <w:rFonts w:ascii="Times New Roman" w:hAnsi="Times New Roman" w:cs="Times New Roman"/>
          <w:sz w:val="28"/>
          <w:szCs w:val="28"/>
        </w:rPr>
        <w:t xml:space="preserve"> pur in assenza delle necessarie condizioni.</w:t>
      </w:r>
    </w:p>
    <w:p w14:paraId="284BE715" w14:textId="41C5CD43" w:rsidR="00C6657A" w:rsidRDefault="00C6657A" w:rsidP="002606D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“legge di Moore”</w:t>
      </w:r>
      <w:r w:rsidR="002606DB">
        <w:rPr>
          <w:rFonts w:ascii="Times New Roman" w:hAnsi="Times New Roman" w:cs="Times New Roman"/>
          <w:sz w:val="28"/>
          <w:szCs w:val="28"/>
        </w:rPr>
        <w:t>,</w:t>
      </w:r>
      <w:r>
        <w:rPr>
          <w:rFonts w:ascii="Times New Roman" w:hAnsi="Times New Roman" w:cs="Times New Roman"/>
          <w:sz w:val="28"/>
          <w:szCs w:val="28"/>
        </w:rPr>
        <w:t xml:space="preserve"> secondo la quale i microchip raddoppieranno la loro potenza e la loro velocità esponenziale induce il giurista a non assumere un atteggiamento di rifiuto</w:t>
      </w:r>
      <w:r w:rsidR="002606DB">
        <w:rPr>
          <w:rFonts w:ascii="Times New Roman" w:hAnsi="Times New Roman" w:cs="Times New Roman"/>
          <w:sz w:val="28"/>
          <w:szCs w:val="28"/>
        </w:rPr>
        <w:t>,</w:t>
      </w:r>
      <w:r>
        <w:rPr>
          <w:rFonts w:ascii="Times New Roman" w:hAnsi="Times New Roman" w:cs="Times New Roman"/>
          <w:sz w:val="28"/>
          <w:szCs w:val="28"/>
        </w:rPr>
        <w:t xml:space="preserve"> dando origine al c</w:t>
      </w:r>
      <w:r w:rsidR="00953B50">
        <w:rPr>
          <w:rFonts w:ascii="Times New Roman" w:hAnsi="Times New Roman" w:cs="Times New Roman"/>
          <w:sz w:val="28"/>
          <w:szCs w:val="28"/>
        </w:rPr>
        <w:t>.</w:t>
      </w:r>
      <w:r>
        <w:rPr>
          <w:rFonts w:ascii="Times New Roman" w:hAnsi="Times New Roman" w:cs="Times New Roman"/>
          <w:sz w:val="28"/>
          <w:szCs w:val="28"/>
        </w:rPr>
        <w:t>d</w:t>
      </w:r>
      <w:r w:rsidR="00953B5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C6657A">
        <w:rPr>
          <w:rFonts w:ascii="Times New Roman" w:hAnsi="Times New Roman" w:cs="Times New Roman"/>
          <w:i/>
          <w:iCs/>
          <w:sz w:val="28"/>
          <w:szCs w:val="28"/>
        </w:rPr>
        <w:t>neoluddismo</w:t>
      </w:r>
      <w:proofErr w:type="spellEnd"/>
      <w:r>
        <w:rPr>
          <w:rFonts w:ascii="Times New Roman" w:hAnsi="Times New Roman" w:cs="Times New Roman"/>
          <w:sz w:val="28"/>
          <w:szCs w:val="28"/>
        </w:rPr>
        <w:t>, ma a tracciare dei criteri di regolazione che tengano in debito conto la complessità dei c</w:t>
      </w:r>
      <w:r w:rsidR="002606DB">
        <w:rPr>
          <w:rFonts w:ascii="Times New Roman" w:hAnsi="Times New Roman" w:cs="Times New Roman"/>
          <w:sz w:val="28"/>
          <w:szCs w:val="28"/>
        </w:rPr>
        <w:t>.</w:t>
      </w:r>
      <w:r>
        <w:rPr>
          <w:rFonts w:ascii="Times New Roman" w:hAnsi="Times New Roman" w:cs="Times New Roman"/>
          <w:sz w:val="28"/>
          <w:szCs w:val="28"/>
        </w:rPr>
        <w:t>d</w:t>
      </w:r>
      <w:r w:rsidR="002606DB">
        <w:rPr>
          <w:rFonts w:ascii="Times New Roman" w:hAnsi="Times New Roman" w:cs="Times New Roman"/>
          <w:sz w:val="28"/>
          <w:szCs w:val="28"/>
        </w:rPr>
        <w:t>.</w:t>
      </w:r>
      <w:r>
        <w:rPr>
          <w:rFonts w:ascii="Times New Roman" w:hAnsi="Times New Roman" w:cs="Times New Roman"/>
          <w:sz w:val="28"/>
          <w:szCs w:val="28"/>
        </w:rPr>
        <w:t xml:space="preserve"> </w:t>
      </w:r>
      <w:r w:rsidR="002606DB">
        <w:rPr>
          <w:rFonts w:ascii="Times New Roman" w:hAnsi="Times New Roman" w:cs="Times New Roman"/>
          <w:sz w:val="28"/>
          <w:szCs w:val="28"/>
        </w:rPr>
        <w:t>“</w:t>
      </w:r>
      <w:r>
        <w:rPr>
          <w:rFonts w:ascii="Times New Roman" w:hAnsi="Times New Roman" w:cs="Times New Roman"/>
          <w:sz w:val="28"/>
          <w:szCs w:val="28"/>
        </w:rPr>
        <w:t>agenti intelligenti”.</w:t>
      </w:r>
    </w:p>
    <w:p w14:paraId="5115ACF3" w14:textId="1F7C72B8" w:rsidR="00C6657A" w:rsidRDefault="00C6657A" w:rsidP="002606DB">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A tal proposito</w:t>
      </w:r>
      <w:r w:rsidR="00953B50">
        <w:rPr>
          <w:rFonts w:ascii="Times New Roman" w:hAnsi="Times New Roman" w:cs="Times New Roman"/>
          <w:sz w:val="28"/>
          <w:szCs w:val="28"/>
        </w:rPr>
        <w:t>,</w:t>
      </w:r>
      <w:r>
        <w:rPr>
          <w:rFonts w:ascii="Times New Roman" w:hAnsi="Times New Roman" w:cs="Times New Roman"/>
          <w:sz w:val="28"/>
          <w:szCs w:val="28"/>
        </w:rPr>
        <w:t xml:space="preserve"> giova ricordare che il Tribunale di Milano</w:t>
      </w:r>
      <w:r w:rsidR="00953B50">
        <w:rPr>
          <w:rFonts w:ascii="Times New Roman" w:hAnsi="Times New Roman" w:cs="Times New Roman"/>
          <w:sz w:val="28"/>
          <w:szCs w:val="28"/>
        </w:rPr>
        <w:t>,</w:t>
      </w:r>
      <w:r>
        <w:rPr>
          <w:rFonts w:ascii="Times New Roman" w:hAnsi="Times New Roman" w:cs="Times New Roman"/>
          <w:sz w:val="28"/>
          <w:szCs w:val="28"/>
        </w:rPr>
        <w:t xml:space="preserve"> con la sentenza n.</w:t>
      </w:r>
      <w:r w:rsidR="00B07E0E">
        <w:rPr>
          <w:rFonts w:ascii="Times New Roman" w:hAnsi="Times New Roman" w:cs="Times New Roman"/>
          <w:sz w:val="28"/>
          <w:szCs w:val="28"/>
        </w:rPr>
        <w:t xml:space="preserve"> </w:t>
      </w:r>
      <w:r>
        <w:rPr>
          <w:rFonts w:ascii="Times New Roman" w:hAnsi="Times New Roman" w:cs="Times New Roman"/>
          <w:sz w:val="28"/>
          <w:szCs w:val="28"/>
        </w:rPr>
        <w:t>843 del 13 marzo 2021, al fine di interpretare un bando di gara</w:t>
      </w:r>
      <w:r w:rsidR="00953B50">
        <w:rPr>
          <w:rFonts w:ascii="Times New Roman" w:hAnsi="Times New Roman" w:cs="Times New Roman"/>
          <w:sz w:val="28"/>
          <w:szCs w:val="28"/>
        </w:rPr>
        <w:t>,</w:t>
      </w:r>
      <w:r>
        <w:rPr>
          <w:rFonts w:ascii="Times New Roman" w:hAnsi="Times New Roman" w:cs="Times New Roman"/>
          <w:sz w:val="28"/>
          <w:szCs w:val="28"/>
        </w:rPr>
        <w:t xml:space="preserve"> ha messo in evidenza la necessità di non confondere </w:t>
      </w:r>
      <w:r w:rsidR="00953B50">
        <w:rPr>
          <w:rFonts w:ascii="Times New Roman" w:hAnsi="Times New Roman" w:cs="Times New Roman"/>
          <w:sz w:val="28"/>
          <w:szCs w:val="28"/>
        </w:rPr>
        <w:t>«</w:t>
      </w:r>
      <w:r w:rsidRPr="00C6657A">
        <w:rPr>
          <w:rFonts w:ascii="Times New Roman" w:hAnsi="Times New Roman" w:cs="Times New Roman"/>
          <w:i/>
          <w:iCs/>
          <w:sz w:val="28"/>
          <w:szCs w:val="28"/>
        </w:rPr>
        <w:t xml:space="preserve">la nozione di </w:t>
      </w:r>
      <w:r>
        <w:rPr>
          <w:rFonts w:ascii="Times New Roman" w:hAnsi="Times New Roman" w:cs="Times New Roman"/>
          <w:i/>
          <w:iCs/>
          <w:sz w:val="28"/>
          <w:szCs w:val="28"/>
        </w:rPr>
        <w:t>“algoritmo” con quella di “intelligenza ar</w:t>
      </w:r>
      <w:r w:rsidR="00C75505">
        <w:rPr>
          <w:rFonts w:ascii="Times New Roman" w:hAnsi="Times New Roman" w:cs="Times New Roman"/>
          <w:i/>
          <w:iCs/>
          <w:sz w:val="28"/>
          <w:szCs w:val="28"/>
        </w:rPr>
        <w:t>t</w:t>
      </w:r>
      <w:r>
        <w:rPr>
          <w:rFonts w:ascii="Times New Roman" w:hAnsi="Times New Roman" w:cs="Times New Roman"/>
          <w:i/>
          <w:iCs/>
          <w:sz w:val="28"/>
          <w:szCs w:val="28"/>
        </w:rPr>
        <w:t>ificiale”, riconducibile,</w:t>
      </w:r>
      <w:r w:rsidR="00B07E0E">
        <w:rPr>
          <w:rFonts w:ascii="Times New Roman" w:hAnsi="Times New Roman" w:cs="Times New Roman"/>
          <w:i/>
          <w:iCs/>
          <w:sz w:val="28"/>
          <w:szCs w:val="28"/>
        </w:rPr>
        <w:t xml:space="preserve"> </w:t>
      </w:r>
      <w:r>
        <w:rPr>
          <w:rFonts w:ascii="Times New Roman" w:hAnsi="Times New Roman" w:cs="Times New Roman"/>
          <w:i/>
          <w:iCs/>
          <w:sz w:val="28"/>
          <w:szCs w:val="28"/>
        </w:rPr>
        <w:t xml:space="preserve">invece, allo studio di “agenti intelligenti”, vale a dire allo studio di sistemi che percepiscono ciò che li circonda e intraprendono azioni che </w:t>
      </w:r>
      <w:r w:rsidR="00C75505">
        <w:rPr>
          <w:rFonts w:ascii="Times New Roman" w:hAnsi="Times New Roman" w:cs="Times New Roman"/>
          <w:i/>
          <w:iCs/>
          <w:sz w:val="28"/>
          <w:szCs w:val="28"/>
        </w:rPr>
        <w:t>massimizzano la probabilità di ottenere con successo gli obiettivi prefissati</w:t>
      </w:r>
      <w:r w:rsidR="00953B50">
        <w:rPr>
          <w:rFonts w:ascii="Times New Roman" w:hAnsi="Times New Roman" w:cs="Times New Roman"/>
          <w:i/>
          <w:iCs/>
          <w:sz w:val="28"/>
          <w:szCs w:val="28"/>
        </w:rPr>
        <w:t>»</w:t>
      </w:r>
      <w:r w:rsidR="00C75505">
        <w:rPr>
          <w:rFonts w:ascii="Times New Roman" w:hAnsi="Times New Roman" w:cs="Times New Roman"/>
          <w:i/>
          <w:iCs/>
          <w:sz w:val="28"/>
          <w:szCs w:val="28"/>
        </w:rPr>
        <w:t>.</w:t>
      </w:r>
    </w:p>
    <w:p w14:paraId="286EAFC5" w14:textId="77777777" w:rsidR="002606DB" w:rsidRPr="003A3D07" w:rsidRDefault="00C75505" w:rsidP="002606DB">
      <w:pPr>
        <w:tabs>
          <w:tab w:val="left" w:pos="8364"/>
        </w:tabs>
        <w:spacing w:after="0"/>
        <w:jc w:val="both"/>
        <w:rPr>
          <w:rFonts w:ascii="Times New Roman" w:hAnsi="Times New Roman" w:cs="Times New Roman"/>
          <w:sz w:val="28"/>
          <w:szCs w:val="28"/>
        </w:rPr>
      </w:pPr>
      <w:r w:rsidRPr="003A3D07">
        <w:rPr>
          <w:rFonts w:ascii="Times New Roman" w:hAnsi="Times New Roman" w:cs="Times New Roman"/>
          <w:sz w:val="28"/>
          <w:szCs w:val="28"/>
        </w:rPr>
        <w:t xml:space="preserve">Anche volendo negare l’intelligenza artificiale, quest’ultima avrà un’efficacia pervasiva ed invasiva di cui non si potrà fare a meno. </w:t>
      </w:r>
    </w:p>
    <w:p w14:paraId="32C6C22E" w14:textId="77777777" w:rsidR="003A3D07" w:rsidRDefault="00C75505" w:rsidP="002606DB">
      <w:pPr>
        <w:tabs>
          <w:tab w:val="left" w:pos="8364"/>
        </w:tabs>
        <w:spacing w:after="0"/>
        <w:jc w:val="both"/>
        <w:rPr>
          <w:rFonts w:ascii="Times New Roman" w:hAnsi="Times New Roman" w:cs="Times New Roman"/>
          <w:sz w:val="28"/>
          <w:szCs w:val="28"/>
        </w:rPr>
      </w:pPr>
      <w:r w:rsidRPr="003A3D07">
        <w:rPr>
          <w:rFonts w:ascii="Times New Roman" w:hAnsi="Times New Roman" w:cs="Times New Roman"/>
          <w:sz w:val="28"/>
          <w:szCs w:val="28"/>
        </w:rPr>
        <w:t>Pensiamo ai prezzi di riferimento dell’ANAC</w:t>
      </w:r>
      <w:r w:rsidR="002606DB" w:rsidRPr="003A3D07">
        <w:rPr>
          <w:rFonts w:ascii="Times New Roman" w:hAnsi="Times New Roman" w:cs="Times New Roman"/>
          <w:sz w:val="28"/>
          <w:szCs w:val="28"/>
        </w:rPr>
        <w:t>,</w:t>
      </w:r>
      <w:r w:rsidRPr="003A3D07">
        <w:rPr>
          <w:rFonts w:ascii="Times New Roman" w:hAnsi="Times New Roman" w:cs="Times New Roman"/>
          <w:sz w:val="28"/>
          <w:szCs w:val="28"/>
        </w:rPr>
        <w:t xml:space="preserve"> che hanno un ruolo centrale nella regolamentazione economica degli appalti e che sono sostanzialmente basati su formule algoritmiche che tengono conto di fattori diversi per individuare il prezzo medio effettivo “depurandolo”</w:t>
      </w:r>
      <w:r w:rsidR="0031677E" w:rsidRPr="003A3D07">
        <w:rPr>
          <w:rFonts w:ascii="Times New Roman" w:hAnsi="Times New Roman" w:cs="Times New Roman"/>
          <w:sz w:val="28"/>
          <w:szCs w:val="28"/>
        </w:rPr>
        <w:t xml:space="preserve"> </w:t>
      </w:r>
      <w:r w:rsidRPr="003A3D07">
        <w:rPr>
          <w:rFonts w:ascii="Times New Roman" w:hAnsi="Times New Roman" w:cs="Times New Roman"/>
          <w:sz w:val="28"/>
          <w:szCs w:val="28"/>
        </w:rPr>
        <w:t>da fattori straordinari che influenzano localmente la formazione dei prezzi che concorrono alla definizione del campione.</w:t>
      </w:r>
      <w:r w:rsidR="003A3D07" w:rsidRPr="003A3D07">
        <w:rPr>
          <w:rFonts w:ascii="Times New Roman" w:hAnsi="Times New Roman" w:cs="Times New Roman"/>
          <w:sz w:val="28"/>
          <w:szCs w:val="28"/>
        </w:rPr>
        <w:t xml:space="preserve"> </w:t>
      </w:r>
    </w:p>
    <w:p w14:paraId="7F6BA675" w14:textId="4F42FC21" w:rsidR="008649BE" w:rsidRDefault="003A3D07" w:rsidP="002606D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Molto importante è la</w:t>
      </w:r>
      <w:r w:rsidRPr="003A3D07">
        <w:rPr>
          <w:rFonts w:ascii="Times New Roman" w:hAnsi="Times New Roman" w:cs="Times New Roman"/>
          <w:sz w:val="28"/>
          <w:szCs w:val="28"/>
        </w:rPr>
        <w:t xml:space="preserve"> recente sentenza del C</w:t>
      </w:r>
      <w:r>
        <w:rPr>
          <w:rFonts w:ascii="Times New Roman" w:hAnsi="Times New Roman" w:cs="Times New Roman"/>
          <w:sz w:val="28"/>
          <w:szCs w:val="28"/>
        </w:rPr>
        <w:t xml:space="preserve">onsiglio di Stato del </w:t>
      </w:r>
      <w:r w:rsidRPr="003A3D07">
        <w:rPr>
          <w:rFonts w:ascii="Times New Roman" w:hAnsi="Times New Roman" w:cs="Times New Roman"/>
          <w:sz w:val="28"/>
          <w:szCs w:val="28"/>
        </w:rPr>
        <w:t>25 novembre 2021, n. 7891,</w:t>
      </w:r>
      <w:r>
        <w:rPr>
          <w:rFonts w:ascii="Times New Roman" w:hAnsi="Times New Roman" w:cs="Times New Roman"/>
          <w:sz w:val="28"/>
          <w:szCs w:val="28"/>
        </w:rPr>
        <w:t xml:space="preserve"> </w:t>
      </w:r>
      <w:r w:rsidRPr="003A3D07">
        <w:rPr>
          <w:rFonts w:ascii="Times New Roman" w:hAnsi="Times New Roman" w:cs="Times New Roman"/>
          <w:sz w:val="28"/>
          <w:szCs w:val="28"/>
        </w:rPr>
        <w:t xml:space="preserve">in cui, in tema di intelligenza artificiale e algoritmo nell’appalto di forniture di un dispositivo medico con elevato grado di </w:t>
      </w:r>
      <w:proofErr w:type="spellStart"/>
      <w:r w:rsidRPr="003A3D07">
        <w:rPr>
          <w:rFonts w:ascii="Times New Roman" w:hAnsi="Times New Roman" w:cs="Times New Roman"/>
          <w:sz w:val="28"/>
          <w:szCs w:val="28"/>
        </w:rPr>
        <w:t>autonomazione</w:t>
      </w:r>
      <w:proofErr w:type="spellEnd"/>
      <w:r w:rsidRPr="003A3D07">
        <w:rPr>
          <w:rFonts w:ascii="Times New Roman" w:hAnsi="Times New Roman" w:cs="Times New Roman"/>
          <w:sz w:val="28"/>
          <w:szCs w:val="28"/>
        </w:rPr>
        <w:t xml:space="preserve">, </w:t>
      </w:r>
      <w:r>
        <w:rPr>
          <w:rFonts w:ascii="Times New Roman" w:hAnsi="Times New Roman" w:cs="Times New Roman"/>
          <w:sz w:val="28"/>
          <w:szCs w:val="28"/>
        </w:rPr>
        <w:t xml:space="preserve">la Terza Sezione </w:t>
      </w:r>
      <w:r w:rsidRPr="003A3D07">
        <w:rPr>
          <w:rFonts w:ascii="Times New Roman" w:hAnsi="Times New Roman" w:cs="Times New Roman"/>
          <w:sz w:val="28"/>
          <w:szCs w:val="28"/>
        </w:rPr>
        <w:t xml:space="preserve">ha </w:t>
      </w:r>
      <w:r w:rsidRPr="003A3D07">
        <w:rPr>
          <w:rFonts w:ascii="Times New Roman" w:hAnsi="Times New Roman" w:cs="Times New Roman"/>
          <w:sz w:val="28"/>
          <w:szCs w:val="28"/>
        </w:rPr>
        <w:lastRenderedPageBreak/>
        <w:t>chiarito</w:t>
      </w:r>
      <w:r>
        <w:rPr>
          <w:rFonts w:ascii="Times New Roman" w:hAnsi="Times New Roman" w:cs="Times New Roman"/>
          <w:sz w:val="28"/>
          <w:szCs w:val="28"/>
        </w:rPr>
        <w:t xml:space="preserve"> </w:t>
      </w:r>
      <w:r w:rsidRPr="003A3D07">
        <w:rPr>
          <w:rFonts w:ascii="Times New Roman" w:hAnsi="Times New Roman" w:cs="Times New Roman"/>
          <w:sz w:val="28"/>
          <w:szCs w:val="28"/>
        </w:rPr>
        <w:t xml:space="preserve">che </w:t>
      </w:r>
      <w:r w:rsidR="00DB7A63">
        <w:rPr>
          <w:rFonts w:ascii="Times New Roman" w:hAnsi="Times New Roman" w:cs="Times New Roman"/>
          <w:sz w:val="28"/>
          <w:szCs w:val="28"/>
        </w:rPr>
        <w:t>«</w:t>
      </w:r>
      <w:r w:rsidRPr="003A3D07">
        <w:rPr>
          <w:rFonts w:ascii="Times New Roman" w:hAnsi="Times New Roman" w:cs="Times New Roman"/>
          <w:i/>
          <w:iCs/>
          <w:sz w:val="28"/>
          <w:szCs w:val="28"/>
        </w:rPr>
        <w:t>la nozione comune e generale di algoritmo riporti alla mente “semplicemente una sequenza finita di istruzioni, ben definite e non ambigue, così da poter essere eseguite meccanicamente e tali da produrre un determinato risultato” (questa la definizione fornit</w:t>
      </w:r>
      <w:r w:rsidR="008649BE">
        <w:rPr>
          <w:rFonts w:ascii="Times New Roman" w:hAnsi="Times New Roman" w:cs="Times New Roman"/>
          <w:i/>
          <w:iCs/>
          <w:sz w:val="28"/>
          <w:szCs w:val="28"/>
        </w:rPr>
        <w:t>a</w:t>
      </w:r>
      <w:r w:rsidRPr="003A3D07">
        <w:rPr>
          <w:rFonts w:ascii="Times New Roman" w:hAnsi="Times New Roman" w:cs="Times New Roman"/>
          <w:i/>
          <w:iCs/>
          <w:sz w:val="28"/>
          <w:szCs w:val="28"/>
        </w:rPr>
        <w:t xml:space="preserve"> in prime cure). Nondimeno si osserva che la nozione, quando è applicata a sistemi tecnologici, è ineludibilmente collegata al concetto di automazione ossia a sistemi di azione e controllo idonei a ridurre l’intervento umano. Il grado e la frequenza dell’intervento umano dipendono dalla complessità e dall’accuratezza dell’algoritmo che la macchina è chiamata a processare. Cosa diversa è l’intelligenza artificiale. In questo caso l’algoritmo contempla meccanismi di machine </w:t>
      </w:r>
      <w:proofErr w:type="spellStart"/>
      <w:r w:rsidRPr="003A3D07">
        <w:rPr>
          <w:rFonts w:ascii="Times New Roman" w:hAnsi="Times New Roman" w:cs="Times New Roman"/>
          <w:i/>
          <w:iCs/>
          <w:sz w:val="28"/>
          <w:szCs w:val="28"/>
        </w:rPr>
        <w:t>learning</w:t>
      </w:r>
      <w:proofErr w:type="spellEnd"/>
      <w:r w:rsidRPr="003A3D07">
        <w:rPr>
          <w:rFonts w:ascii="Times New Roman" w:hAnsi="Times New Roman" w:cs="Times New Roman"/>
          <w:i/>
          <w:iCs/>
          <w:sz w:val="28"/>
          <w:szCs w:val="28"/>
        </w:rPr>
        <w:t xml:space="preserve"> e crea un sistema che non si limita solo ad applicare le regole software e i parametri preimpostati (come fa invece l’algoritmo “tradizionale”) ma, al contrario, elabora costantemente nuovi criteri di inferenza tra dati e assume decisioni efficienti sulla base di tali elaborazioni, secondo un processo di apprendimento automatico. Nel caso di specie, per ottenere la fornitura di un dispositivo con elevato grado di automazione non occorreva che l’amministrazione facesse espresso riferiment</w:t>
      </w:r>
      <w:r w:rsidR="008649BE">
        <w:rPr>
          <w:rFonts w:ascii="Times New Roman" w:hAnsi="Times New Roman" w:cs="Times New Roman"/>
          <w:i/>
          <w:iCs/>
          <w:sz w:val="28"/>
          <w:szCs w:val="28"/>
        </w:rPr>
        <w:t>o</w:t>
      </w:r>
      <w:r w:rsidRPr="003A3D07">
        <w:rPr>
          <w:rFonts w:ascii="Times New Roman" w:hAnsi="Times New Roman" w:cs="Times New Roman"/>
          <w:i/>
          <w:iCs/>
          <w:sz w:val="28"/>
          <w:szCs w:val="28"/>
        </w:rPr>
        <w:t xml:space="preserve"> a elementi di intelligenza artificiale, essendo del tutto sufficiente – come ha fatto – anche in considerazione della peculiarità del prodotto (pacemaker dotati, per definizione, di una funzione continuativa di “</w:t>
      </w:r>
      <w:proofErr w:type="spellStart"/>
      <w:r w:rsidRPr="003A3D07">
        <w:rPr>
          <w:rFonts w:ascii="Times New Roman" w:hAnsi="Times New Roman" w:cs="Times New Roman"/>
          <w:i/>
          <w:iCs/>
          <w:sz w:val="28"/>
          <w:szCs w:val="28"/>
        </w:rPr>
        <w:t>sensing</w:t>
      </w:r>
      <w:proofErr w:type="spellEnd"/>
      <w:r w:rsidRPr="003A3D07">
        <w:rPr>
          <w:rFonts w:ascii="Times New Roman" w:hAnsi="Times New Roman" w:cs="Times New Roman"/>
          <w:i/>
          <w:iCs/>
          <w:sz w:val="28"/>
          <w:szCs w:val="28"/>
        </w:rPr>
        <w:t xml:space="preserve">” del ritmo cardiaco e di regolazione dello stesso) il riferimento allo specifico concetto di algoritmo, ossia ad istruzioni capaci di fornire un efficiente grado di automazione, ulteriore rispetto a quello di base, sia nell’area della prevenzione che del trattamento delle tachiaritmie atriali. I </w:t>
      </w:r>
      <w:proofErr w:type="spellStart"/>
      <w:r w:rsidRPr="003A3D07">
        <w:rPr>
          <w:rFonts w:ascii="Times New Roman" w:hAnsi="Times New Roman" w:cs="Times New Roman"/>
          <w:i/>
          <w:iCs/>
          <w:sz w:val="28"/>
          <w:szCs w:val="28"/>
        </w:rPr>
        <w:t>pacemakers</w:t>
      </w:r>
      <w:proofErr w:type="spellEnd"/>
      <w:r w:rsidRPr="003A3D07">
        <w:rPr>
          <w:rFonts w:ascii="Times New Roman" w:hAnsi="Times New Roman" w:cs="Times New Roman"/>
          <w:i/>
          <w:iCs/>
          <w:sz w:val="28"/>
          <w:szCs w:val="28"/>
        </w:rPr>
        <w:t xml:space="preserve"> moderni e di alta fascia sono infatti dotati di un numero sempre maggiore di parametri programmabili e di algoritmi specifici progettati per ottimizzare la terapia di stimolazione in rapporto alle caratteristiche specifiche del paziente. L’amministrazione ha espresso preferenza per la presenza congiunta di algoritmi di prevenzione e trattamento delle “tachiaritmie atriali</w:t>
      </w:r>
      <w:r>
        <w:rPr>
          <w:rFonts w:ascii="Times New Roman" w:hAnsi="Times New Roman" w:cs="Times New Roman"/>
          <w:i/>
          <w:iCs/>
          <w:sz w:val="28"/>
          <w:szCs w:val="28"/>
        </w:rPr>
        <w:t>”</w:t>
      </w:r>
      <w:r w:rsidR="00DB7A63" w:rsidRPr="00DB7A63">
        <w:rPr>
          <w:rFonts w:ascii="Times New Roman" w:hAnsi="Times New Roman" w:cs="Times New Roman"/>
          <w:sz w:val="28"/>
          <w:szCs w:val="28"/>
        </w:rPr>
        <w:t>»</w:t>
      </w:r>
      <w:r w:rsidR="008E400A" w:rsidRPr="00DB7A63">
        <w:rPr>
          <w:rStyle w:val="Rimandonotaapidipagina"/>
          <w:rFonts w:ascii="Times New Roman" w:hAnsi="Times New Roman" w:cs="Times New Roman"/>
          <w:sz w:val="28"/>
          <w:szCs w:val="28"/>
        </w:rPr>
        <w:footnoteReference w:id="46"/>
      </w:r>
      <w:r w:rsidR="00DB7A63" w:rsidRPr="00DB7A63">
        <w:rPr>
          <w:rFonts w:ascii="Times New Roman" w:hAnsi="Times New Roman" w:cs="Times New Roman"/>
          <w:sz w:val="28"/>
          <w:szCs w:val="28"/>
        </w:rPr>
        <w:t>.</w:t>
      </w:r>
    </w:p>
    <w:p w14:paraId="14944325" w14:textId="77777777" w:rsidR="00786499" w:rsidRDefault="00786499" w:rsidP="00786499">
      <w:pPr>
        <w:tabs>
          <w:tab w:val="left" w:pos="8364"/>
        </w:tabs>
        <w:spacing w:after="0"/>
        <w:jc w:val="both"/>
        <w:rPr>
          <w:rFonts w:ascii="Times New Roman" w:hAnsi="Times New Roman" w:cs="Times New Roman"/>
          <w:sz w:val="28"/>
          <w:szCs w:val="28"/>
        </w:rPr>
      </w:pPr>
      <w:r w:rsidRPr="00786499">
        <w:rPr>
          <w:rFonts w:ascii="Times New Roman" w:hAnsi="Times New Roman" w:cs="Times New Roman"/>
          <w:sz w:val="28"/>
          <w:szCs w:val="28"/>
        </w:rPr>
        <w:t xml:space="preserve">Con tale sentenza il Consiglio di Stato </w:t>
      </w:r>
      <w:r>
        <w:rPr>
          <w:rFonts w:ascii="Times New Roman" w:hAnsi="Times New Roman" w:cs="Times New Roman"/>
          <w:sz w:val="28"/>
          <w:szCs w:val="28"/>
        </w:rPr>
        <w:t>è giunto</w:t>
      </w:r>
      <w:r w:rsidRPr="00786499">
        <w:rPr>
          <w:rFonts w:ascii="Times New Roman" w:hAnsi="Times New Roman" w:cs="Times New Roman"/>
          <w:sz w:val="28"/>
          <w:szCs w:val="28"/>
        </w:rPr>
        <w:t xml:space="preserve"> ad una distinzione netta tra il concetto di algoritmo e quello di intelligenza artificiale, proprio perché nel pratico c’è una confusione tra sistemi automatici e sistemi artificiali. </w:t>
      </w:r>
    </w:p>
    <w:p w14:paraId="7838A08B" w14:textId="11C02D3D" w:rsidR="00786499" w:rsidRPr="00786499" w:rsidRDefault="00786499" w:rsidP="00786499">
      <w:pPr>
        <w:tabs>
          <w:tab w:val="left" w:pos="8364"/>
        </w:tabs>
        <w:spacing w:after="0"/>
        <w:jc w:val="both"/>
        <w:rPr>
          <w:rFonts w:ascii="Times New Roman" w:hAnsi="Times New Roman" w:cs="Times New Roman"/>
          <w:sz w:val="28"/>
          <w:szCs w:val="28"/>
        </w:rPr>
      </w:pPr>
      <w:r w:rsidRPr="00786499">
        <w:rPr>
          <w:rFonts w:ascii="Times New Roman" w:hAnsi="Times New Roman" w:cs="Times New Roman"/>
          <w:sz w:val="28"/>
          <w:szCs w:val="28"/>
        </w:rPr>
        <w:t>Tale differenza è posta in evidenza sia a livello nazionale che europeo. La stessa Commissione europea, nella proposta di regolamentazione dell’IA del 21 aprile 2021, ha statuito che «</w:t>
      </w:r>
      <w:r w:rsidRPr="00786499">
        <w:rPr>
          <w:rFonts w:ascii="Times New Roman" w:hAnsi="Times New Roman" w:cs="Times New Roman"/>
          <w:i/>
          <w:iCs/>
          <w:sz w:val="28"/>
          <w:szCs w:val="28"/>
        </w:rPr>
        <w:t xml:space="preserve">la nozione di sistema di IA dovrebbe essere chiaramente definita per garantire la certezza del diritto, fornendo </w:t>
      </w:r>
      <w:proofErr w:type="gramStart"/>
      <w:r w:rsidRPr="00786499">
        <w:rPr>
          <w:rFonts w:ascii="Times New Roman" w:hAnsi="Times New Roman" w:cs="Times New Roman"/>
          <w:i/>
          <w:iCs/>
          <w:sz w:val="28"/>
          <w:szCs w:val="28"/>
        </w:rPr>
        <w:t>nel contempo</w:t>
      </w:r>
      <w:proofErr w:type="gramEnd"/>
      <w:r w:rsidRPr="00786499">
        <w:rPr>
          <w:rFonts w:ascii="Times New Roman" w:hAnsi="Times New Roman" w:cs="Times New Roman"/>
          <w:i/>
          <w:iCs/>
          <w:sz w:val="28"/>
          <w:szCs w:val="28"/>
        </w:rPr>
        <w:t xml:space="preserve"> la flessibilità necessaria per accogliere i futuri sviluppi tecnologici. La definizione dovrebbe essere basata sulle caratteristiche funzionali chiave del software, in particolare la capacità, per un dato insieme di obiettivi definiti dall’uomo, di generare output quali contenuti, previsioni, raccomandazioni o decisioni che influenzano l’ambiente con cui il sistema interagisce, </w:t>
      </w:r>
      <w:r w:rsidRPr="00786499">
        <w:rPr>
          <w:rFonts w:ascii="Times New Roman" w:hAnsi="Times New Roman" w:cs="Times New Roman"/>
          <w:i/>
          <w:iCs/>
          <w:sz w:val="28"/>
          <w:szCs w:val="28"/>
        </w:rPr>
        <w:lastRenderedPageBreak/>
        <w:t>sia in una dimensione fisica che digitale. I sistemi di intelligenza artificiale possono essere progettati per funzionare con diversi livelli di autonomia ed essere utilizzati in modo autonomo o come componente di un prodotto, indipendentemente dal fatto che il sistema sia fisicamente integrato nel prodotto (incorporato) o serva la funzionalità del prodotto senza esservi integrato (non incorporato)</w:t>
      </w:r>
      <w:r w:rsidRPr="00786499">
        <w:rPr>
          <w:rFonts w:ascii="Times New Roman" w:hAnsi="Times New Roman" w:cs="Times New Roman"/>
          <w:sz w:val="28"/>
          <w:szCs w:val="28"/>
        </w:rPr>
        <w:t>».</w:t>
      </w:r>
    </w:p>
    <w:p w14:paraId="2F73F988" w14:textId="6C0BE8DD" w:rsidR="00786499" w:rsidRPr="00786499" w:rsidRDefault="00786499" w:rsidP="00786499">
      <w:pPr>
        <w:tabs>
          <w:tab w:val="left" w:pos="8364"/>
        </w:tabs>
        <w:spacing w:after="0"/>
        <w:jc w:val="both"/>
        <w:rPr>
          <w:rFonts w:ascii="Times New Roman" w:hAnsi="Times New Roman" w:cs="Times New Roman"/>
          <w:sz w:val="28"/>
          <w:szCs w:val="28"/>
        </w:rPr>
      </w:pPr>
      <w:r w:rsidRPr="00786499">
        <w:rPr>
          <w:rFonts w:ascii="Times New Roman" w:hAnsi="Times New Roman" w:cs="Times New Roman"/>
          <w:sz w:val="28"/>
          <w:szCs w:val="28"/>
        </w:rPr>
        <w:t>Non a caso, l’art. 3 della proposta dà una definizione di sistema “IA”: «</w:t>
      </w:r>
      <w:r w:rsidRPr="00786499">
        <w:rPr>
          <w:rFonts w:ascii="Times New Roman" w:hAnsi="Times New Roman" w:cs="Times New Roman"/>
          <w:i/>
          <w:iCs/>
          <w:sz w:val="28"/>
          <w:szCs w:val="28"/>
        </w:rPr>
        <w:t>un software sviluppato con una o più delle tecniche e degli approcci elencati nell’allegato I, che può, per una determinata serie di obiettivi definiti dall’uomo, generare output quali contenuti, previsioni, raccomandazioni o decisioni che influenzano gli ambienti con cui interagiscono</w:t>
      </w:r>
      <w:r w:rsidRPr="00786499">
        <w:rPr>
          <w:rFonts w:ascii="Times New Roman" w:hAnsi="Times New Roman" w:cs="Times New Roman"/>
          <w:sz w:val="28"/>
          <w:szCs w:val="28"/>
        </w:rPr>
        <w:t xml:space="preserve">», e l’allegato I richiamato comprende sia il </w:t>
      </w:r>
      <w:r w:rsidRPr="00786499">
        <w:rPr>
          <w:rFonts w:ascii="Times New Roman" w:hAnsi="Times New Roman" w:cs="Times New Roman"/>
          <w:i/>
          <w:iCs/>
          <w:sz w:val="28"/>
          <w:szCs w:val="28"/>
        </w:rPr>
        <w:t xml:space="preserve">machine </w:t>
      </w:r>
      <w:proofErr w:type="spellStart"/>
      <w:r w:rsidRPr="00786499">
        <w:rPr>
          <w:rFonts w:ascii="Times New Roman" w:hAnsi="Times New Roman" w:cs="Times New Roman"/>
          <w:i/>
          <w:iCs/>
          <w:sz w:val="28"/>
          <w:szCs w:val="28"/>
        </w:rPr>
        <w:t>learning</w:t>
      </w:r>
      <w:proofErr w:type="spellEnd"/>
      <w:r w:rsidRPr="00786499">
        <w:rPr>
          <w:rFonts w:ascii="Times New Roman" w:hAnsi="Times New Roman" w:cs="Times New Roman"/>
          <w:sz w:val="28"/>
          <w:szCs w:val="28"/>
        </w:rPr>
        <w:t xml:space="preserve"> (compreso l’apprendimento supervisionato, non supervisionato e profondo come il </w:t>
      </w:r>
      <w:proofErr w:type="spellStart"/>
      <w:r w:rsidRPr="00786499">
        <w:rPr>
          <w:rFonts w:ascii="Times New Roman" w:hAnsi="Times New Roman" w:cs="Times New Roman"/>
          <w:i/>
          <w:iCs/>
          <w:sz w:val="28"/>
          <w:szCs w:val="28"/>
        </w:rPr>
        <w:t>deep</w:t>
      </w:r>
      <w:proofErr w:type="spellEnd"/>
      <w:r w:rsidRPr="00786499">
        <w:rPr>
          <w:rFonts w:ascii="Times New Roman" w:hAnsi="Times New Roman" w:cs="Times New Roman"/>
          <w:i/>
          <w:iCs/>
          <w:sz w:val="28"/>
          <w:szCs w:val="28"/>
        </w:rPr>
        <w:t xml:space="preserve"> </w:t>
      </w:r>
      <w:proofErr w:type="spellStart"/>
      <w:r w:rsidRPr="00786499">
        <w:rPr>
          <w:rFonts w:ascii="Times New Roman" w:hAnsi="Times New Roman" w:cs="Times New Roman"/>
          <w:i/>
          <w:iCs/>
          <w:sz w:val="28"/>
          <w:szCs w:val="28"/>
        </w:rPr>
        <w:t>learning</w:t>
      </w:r>
      <w:proofErr w:type="spellEnd"/>
      <w:r w:rsidRPr="00786499">
        <w:rPr>
          <w:rFonts w:ascii="Times New Roman" w:hAnsi="Times New Roman" w:cs="Times New Roman"/>
          <w:sz w:val="28"/>
          <w:szCs w:val="28"/>
        </w:rPr>
        <w:t xml:space="preserve">), sia gli approcci basati sulla logica e sulla conoscenza (rappresentazione della conoscenza, programmazione logica induttiva, basi di conoscenza, motori deduttivi e inferenziali, ragionamento simbolico e sistemi esperti nonché persino approcci statistici, stima </w:t>
      </w:r>
      <w:proofErr w:type="spellStart"/>
      <w:r w:rsidRPr="00786499">
        <w:rPr>
          <w:rFonts w:ascii="Times New Roman" w:hAnsi="Times New Roman" w:cs="Times New Roman"/>
          <w:sz w:val="28"/>
          <w:szCs w:val="28"/>
        </w:rPr>
        <w:t>bayesiana</w:t>
      </w:r>
      <w:proofErr w:type="spellEnd"/>
      <w:r w:rsidRPr="00786499">
        <w:rPr>
          <w:rFonts w:ascii="Times New Roman" w:hAnsi="Times New Roman" w:cs="Times New Roman"/>
          <w:sz w:val="28"/>
          <w:szCs w:val="28"/>
        </w:rPr>
        <w:t>, metodi di ricerca e ottimizzazione).</w:t>
      </w:r>
    </w:p>
    <w:p w14:paraId="61E8DCEE" w14:textId="57CF5222" w:rsidR="008649BE" w:rsidRPr="003A3D07" w:rsidRDefault="00786499" w:rsidP="00786499">
      <w:pPr>
        <w:tabs>
          <w:tab w:val="left" w:pos="8364"/>
        </w:tabs>
        <w:spacing w:after="0"/>
        <w:jc w:val="both"/>
        <w:rPr>
          <w:rFonts w:ascii="Times New Roman" w:hAnsi="Times New Roman" w:cs="Times New Roman"/>
          <w:sz w:val="28"/>
          <w:szCs w:val="28"/>
        </w:rPr>
      </w:pPr>
      <w:r w:rsidRPr="00786499">
        <w:rPr>
          <w:rFonts w:ascii="Times New Roman" w:hAnsi="Times New Roman" w:cs="Times New Roman"/>
          <w:sz w:val="28"/>
          <w:szCs w:val="28"/>
        </w:rPr>
        <w:t xml:space="preserve">Rientra nella definizione della Commissione sia l’IA “forte”, volta a creare computer in grado di comprendere e possedere stati cognitivi, sia l’IA “debole”, finalizzata a realizzare sistemi informatici in grado di </w:t>
      </w:r>
      <w:proofErr w:type="gramStart"/>
      <w:r w:rsidRPr="00786499">
        <w:rPr>
          <w:rFonts w:ascii="Times New Roman" w:hAnsi="Times New Roman" w:cs="Times New Roman"/>
          <w:sz w:val="28"/>
          <w:szCs w:val="28"/>
        </w:rPr>
        <w:t>porre in essere</w:t>
      </w:r>
      <w:proofErr w:type="gramEnd"/>
      <w:r w:rsidRPr="00786499">
        <w:rPr>
          <w:rFonts w:ascii="Times New Roman" w:hAnsi="Times New Roman" w:cs="Times New Roman"/>
          <w:sz w:val="28"/>
          <w:szCs w:val="28"/>
        </w:rPr>
        <w:t xml:space="preserve"> prestazioni normalmente attribuite all’intelligenza umana.</w:t>
      </w:r>
      <w:r w:rsidR="00B37EEC">
        <w:rPr>
          <w:rFonts w:ascii="Times New Roman" w:hAnsi="Times New Roman" w:cs="Times New Roman"/>
          <w:sz w:val="28"/>
          <w:szCs w:val="28"/>
        </w:rPr>
        <w:t xml:space="preserve"> </w:t>
      </w:r>
      <w:r w:rsidRPr="00786499">
        <w:rPr>
          <w:rFonts w:ascii="Times New Roman" w:hAnsi="Times New Roman" w:cs="Times New Roman"/>
          <w:sz w:val="28"/>
          <w:szCs w:val="28"/>
        </w:rPr>
        <w:t>Dunque, il Consiglio di Stato pone l’attenzione sulla differenza tra sistemi automatici e attività intelligenti, che si basano su un impiego attivo, non rigidamente predeterminato, della conoscenza. Nei sistemi informatici tradizionali</w:t>
      </w:r>
      <w:r w:rsidR="00B37EEC">
        <w:rPr>
          <w:rFonts w:ascii="Times New Roman" w:hAnsi="Times New Roman" w:cs="Times New Roman"/>
          <w:sz w:val="28"/>
          <w:szCs w:val="28"/>
        </w:rPr>
        <w:t>,</w:t>
      </w:r>
      <w:r w:rsidRPr="00786499">
        <w:rPr>
          <w:rFonts w:ascii="Times New Roman" w:hAnsi="Times New Roman" w:cs="Times New Roman"/>
          <w:sz w:val="28"/>
          <w:szCs w:val="28"/>
        </w:rPr>
        <w:t xml:space="preserve"> «</w:t>
      </w:r>
      <w:r w:rsidRPr="00786499">
        <w:rPr>
          <w:rFonts w:ascii="Times New Roman" w:hAnsi="Times New Roman" w:cs="Times New Roman"/>
          <w:i/>
          <w:iCs/>
          <w:sz w:val="28"/>
          <w:szCs w:val="28"/>
        </w:rPr>
        <w:t>la conoscenza non è mai rappresentata esplicitamente e non è mai separata dalle procedure che la usano e che ne disciplinano l’elaborazione; la conoscenza è applicata in modo rigidamente predeterminato; non è possibile aggiungere nuova conoscenza senza modificare le procedure; il sistema non è in grado di esporre la conoscenza sulla quale si basa né di spiegare perché, sulla base della stessa, sia giunto a determinati risultati</w:t>
      </w:r>
      <w:r w:rsidRPr="00786499">
        <w:rPr>
          <w:rFonts w:ascii="Times New Roman" w:hAnsi="Times New Roman" w:cs="Times New Roman"/>
          <w:sz w:val="28"/>
          <w:szCs w:val="28"/>
        </w:rPr>
        <w:t>». Al contrario, nei sistemi basati sulla conoscenza, «</w:t>
      </w:r>
      <w:r w:rsidRPr="00786499">
        <w:rPr>
          <w:rFonts w:ascii="Times New Roman" w:hAnsi="Times New Roman" w:cs="Times New Roman"/>
          <w:i/>
          <w:iCs/>
          <w:sz w:val="28"/>
          <w:szCs w:val="28"/>
        </w:rPr>
        <w:t>la conoscenza è contenuta in una determinata base, dove è rappresentata in un linguaggio ad alto livello, cioè in una forma relativamente vicina al linguaggio usato nella comunicazione umana; è possibile adottare una rappresentazione dichiarativa del compito affidato al sistema informatico, lasciando al sistema l’individuazione della procedura da seguire per svolgere quel compito; la conoscenza è usata da un motore inferenziale, ovvero un meccanismo in grado di interpretare il contenuto della base di conoscenza ed effettuare deduzioni logiche in modo da risolvere il problema posto al sistema; la base di conoscenza può essere arricchita di nuove informazioni senza intervenire sul motore inferenziale; il sistema è in grado di esporre in forma comprensibile le premesse e le inferenze che hanno condotto ad un determinato risultato, cioè di giustificare le conclusioni cui giunge</w:t>
      </w:r>
      <w:r>
        <w:rPr>
          <w:rFonts w:ascii="Times New Roman" w:hAnsi="Times New Roman" w:cs="Times New Roman"/>
          <w:sz w:val="28"/>
          <w:szCs w:val="28"/>
        </w:rPr>
        <w:t>»</w:t>
      </w:r>
      <w:r w:rsidR="00B37EEC">
        <w:rPr>
          <w:rStyle w:val="Rimandonotaapidipagina"/>
          <w:rFonts w:ascii="Times New Roman" w:hAnsi="Times New Roman" w:cs="Times New Roman"/>
          <w:sz w:val="28"/>
          <w:szCs w:val="28"/>
        </w:rPr>
        <w:footnoteReference w:id="47"/>
      </w:r>
      <w:r>
        <w:rPr>
          <w:rFonts w:ascii="Times New Roman" w:hAnsi="Times New Roman" w:cs="Times New Roman"/>
          <w:sz w:val="28"/>
          <w:szCs w:val="28"/>
        </w:rPr>
        <w:t>.</w:t>
      </w:r>
    </w:p>
    <w:p w14:paraId="5A0BC704" w14:textId="0875C519" w:rsidR="00C75505" w:rsidRDefault="00C75505" w:rsidP="008649B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Negare l’intelligenza artificiale significa negare l’incalzare dell’innovazione tecnologica: il giurista deve allora tracciare delle linee direttrici.</w:t>
      </w:r>
    </w:p>
    <w:p w14:paraId="29171385" w14:textId="0FB41FEF" w:rsidR="00C75505" w:rsidRDefault="00C75505" w:rsidP="008649B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prima è intervenire sui dati, sull’</w:t>
      </w:r>
      <w:r w:rsidRPr="00953B50">
        <w:rPr>
          <w:rFonts w:ascii="Times New Roman" w:hAnsi="Times New Roman" w:cs="Times New Roman"/>
          <w:i/>
          <w:iCs/>
          <w:sz w:val="28"/>
          <w:szCs w:val="28"/>
        </w:rPr>
        <w:t>input</w:t>
      </w:r>
      <w:r>
        <w:rPr>
          <w:rFonts w:ascii="Times New Roman" w:hAnsi="Times New Roman" w:cs="Times New Roman"/>
          <w:sz w:val="28"/>
          <w:szCs w:val="28"/>
        </w:rPr>
        <w:t>, il primo momento su cui si basa l’elaborazione dell’intelligenza artificiale. La nozione di “interoperabilità”</w:t>
      </w:r>
      <w:r w:rsidR="00B07E0E">
        <w:rPr>
          <w:rFonts w:ascii="Times New Roman" w:hAnsi="Times New Roman" w:cs="Times New Roman"/>
          <w:sz w:val="28"/>
          <w:szCs w:val="28"/>
        </w:rPr>
        <w:t xml:space="preserve"> </w:t>
      </w:r>
      <w:r>
        <w:rPr>
          <w:rFonts w:ascii="Times New Roman" w:hAnsi="Times New Roman" w:cs="Times New Roman"/>
          <w:sz w:val="28"/>
          <w:szCs w:val="28"/>
        </w:rPr>
        <w:t>dei dati</w:t>
      </w:r>
      <w:r w:rsidR="00953B50">
        <w:rPr>
          <w:rFonts w:ascii="Times New Roman" w:hAnsi="Times New Roman" w:cs="Times New Roman"/>
          <w:sz w:val="28"/>
          <w:szCs w:val="28"/>
        </w:rPr>
        <w:t>,</w:t>
      </w:r>
      <w:r>
        <w:rPr>
          <w:rFonts w:ascii="Times New Roman" w:hAnsi="Times New Roman" w:cs="Times New Roman"/>
          <w:sz w:val="28"/>
          <w:szCs w:val="28"/>
        </w:rPr>
        <w:t xml:space="preserve"> con le c</w:t>
      </w:r>
      <w:r w:rsidR="00953B50">
        <w:rPr>
          <w:rFonts w:ascii="Times New Roman" w:hAnsi="Times New Roman" w:cs="Times New Roman"/>
          <w:sz w:val="28"/>
          <w:szCs w:val="28"/>
        </w:rPr>
        <w:t>.</w:t>
      </w:r>
      <w:r>
        <w:rPr>
          <w:rFonts w:ascii="Times New Roman" w:hAnsi="Times New Roman" w:cs="Times New Roman"/>
          <w:sz w:val="28"/>
          <w:szCs w:val="28"/>
        </w:rPr>
        <w:t>d</w:t>
      </w:r>
      <w:r w:rsidR="00953B50">
        <w:rPr>
          <w:rFonts w:ascii="Times New Roman" w:hAnsi="Times New Roman" w:cs="Times New Roman"/>
          <w:sz w:val="28"/>
          <w:szCs w:val="28"/>
        </w:rPr>
        <w:t>.</w:t>
      </w:r>
      <w:r>
        <w:rPr>
          <w:rFonts w:ascii="Times New Roman" w:hAnsi="Times New Roman" w:cs="Times New Roman"/>
          <w:sz w:val="28"/>
          <w:szCs w:val="28"/>
        </w:rPr>
        <w:t xml:space="preserve"> porte di dominio</w:t>
      </w:r>
      <w:r w:rsidR="00953B50">
        <w:rPr>
          <w:rFonts w:ascii="Times New Roman" w:hAnsi="Times New Roman" w:cs="Times New Roman"/>
          <w:sz w:val="28"/>
          <w:szCs w:val="28"/>
        </w:rPr>
        <w:t>,</w:t>
      </w:r>
      <w:r w:rsidR="00C81EA0">
        <w:rPr>
          <w:rFonts w:ascii="Times New Roman" w:hAnsi="Times New Roman" w:cs="Times New Roman"/>
          <w:sz w:val="28"/>
          <w:szCs w:val="28"/>
        </w:rPr>
        <w:t xml:space="preserve"> potrà realizzarsi solo se i dati sono esatti con razionali metodi di acquisizione. Si pensi, volendo richiamare ancora una volta la materia degli appalti</w:t>
      </w:r>
      <w:r w:rsidR="00953B50">
        <w:rPr>
          <w:rFonts w:ascii="Times New Roman" w:hAnsi="Times New Roman" w:cs="Times New Roman"/>
          <w:sz w:val="28"/>
          <w:szCs w:val="28"/>
        </w:rPr>
        <w:t>, a</w:t>
      </w:r>
      <w:r w:rsidR="00C81EA0">
        <w:rPr>
          <w:rFonts w:ascii="Times New Roman" w:hAnsi="Times New Roman" w:cs="Times New Roman"/>
          <w:sz w:val="28"/>
          <w:szCs w:val="28"/>
        </w:rPr>
        <w:t>lla grande banca dati dell’ANAC che è immensa, ma non è autoalimentata. Le amminist</w:t>
      </w:r>
      <w:r w:rsidR="0031677E">
        <w:rPr>
          <w:rFonts w:ascii="Times New Roman" w:hAnsi="Times New Roman" w:cs="Times New Roman"/>
          <w:sz w:val="28"/>
          <w:szCs w:val="28"/>
        </w:rPr>
        <w:t>ra</w:t>
      </w:r>
      <w:r w:rsidR="00C81EA0">
        <w:rPr>
          <w:rFonts w:ascii="Times New Roman" w:hAnsi="Times New Roman" w:cs="Times New Roman"/>
          <w:sz w:val="28"/>
          <w:szCs w:val="28"/>
        </w:rPr>
        <w:t>zioni non mandano i dati all’A</w:t>
      </w:r>
      <w:r w:rsidR="00B07E0E">
        <w:rPr>
          <w:rFonts w:ascii="Times New Roman" w:hAnsi="Times New Roman" w:cs="Times New Roman"/>
          <w:sz w:val="28"/>
          <w:szCs w:val="28"/>
        </w:rPr>
        <w:t>NAC</w:t>
      </w:r>
      <w:r w:rsidR="00C81EA0">
        <w:rPr>
          <w:rFonts w:ascii="Times New Roman" w:hAnsi="Times New Roman" w:cs="Times New Roman"/>
          <w:sz w:val="28"/>
          <w:szCs w:val="28"/>
        </w:rPr>
        <w:t>, ma a degli Osservatori regionali che li rielaborano, inoltrandolo poi all’ANAC stessa. Molto spesso i dati si presentano obsoleti o ridondanti, carenti di informazioni che potrebbero essere fondamentali nell’analisi dei mercati.</w:t>
      </w:r>
    </w:p>
    <w:p w14:paraId="6AA7FA00" w14:textId="3405B512" w:rsidR="002606DB" w:rsidRPr="00C378E9" w:rsidRDefault="00C81EA0" w:rsidP="002606DB">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Il primo livello di controllo consiste nell’attività di selezione dei dati: inserire nella macchina dati necessari e corretti, di cui si abbia la governabilità, </w:t>
      </w:r>
      <w:proofErr w:type="spellStart"/>
      <w:r w:rsidRPr="00C81EA0">
        <w:rPr>
          <w:rFonts w:ascii="Times New Roman" w:hAnsi="Times New Roman" w:cs="Times New Roman"/>
          <w:i/>
          <w:iCs/>
          <w:sz w:val="28"/>
          <w:szCs w:val="28"/>
        </w:rPr>
        <w:t>trustwhorthy</w:t>
      </w:r>
      <w:proofErr w:type="spellEnd"/>
      <w:r>
        <w:rPr>
          <w:rFonts w:ascii="Times New Roman" w:hAnsi="Times New Roman" w:cs="Times New Roman"/>
          <w:i/>
          <w:iCs/>
          <w:sz w:val="28"/>
          <w:szCs w:val="28"/>
        </w:rPr>
        <w:t xml:space="preserve">, </w:t>
      </w:r>
      <w:r w:rsidRPr="00C81EA0">
        <w:rPr>
          <w:rFonts w:ascii="Times New Roman" w:hAnsi="Times New Roman" w:cs="Times New Roman"/>
          <w:sz w:val="28"/>
          <w:szCs w:val="28"/>
        </w:rPr>
        <w:t xml:space="preserve">ossia meritevole di </w:t>
      </w:r>
      <w:r>
        <w:rPr>
          <w:rFonts w:ascii="Times New Roman" w:hAnsi="Times New Roman" w:cs="Times New Roman"/>
          <w:sz w:val="28"/>
          <w:szCs w:val="28"/>
        </w:rPr>
        <w:t>“</w:t>
      </w:r>
      <w:r w:rsidRPr="00C81EA0">
        <w:rPr>
          <w:rFonts w:ascii="Times New Roman" w:hAnsi="Times New Roman" w:cs="Times New Roman"/>
          <w:sz w:val="28"/>
          <w:szCs w:val="28"/>
        </w:rPr>
        <w:t>fiducia</w:t>
      </w:r>
      <w:r>
        <w:rPr>
          <w:rFonts w:ascii="Times New Roman" w:hAnsi="Times New Roman" w:cs="Times New Roman"/>
          <w:sz w:val="28"/>
          <w:szCs w:val="28"/>
        </w:rPr>
        <w:t>”</w:t>
      </w:r>
      <w:r w:rsidR="00953B50">
        <w:rPr>
          <w:rFonts w:ascii="Times New Roman" w:hAnsi="Times New Roman" w:cs="Times New Roman"/>
          <w:sz w:val="28"/>
          <w:szCs w:val="28"/>
        </w:rPr>
        <w:t>;</w:t>
      </w:r>
      <w:r w:rsidRPr="00C81EA0">
        <w:rPr>
          <w:rFonts w:ascii="Times New Roman" w:hAnsi="Times New Roman" w:cs="Times New Roman"/>
          <w:sz w:val="28"/>
          <w:szCs w:val="28"/>
        </w:rPr>
        <w:t xml:space="preserve"> </w:t>
      </w:r>
      <w:r>
        <w:rPr>
          <w:rFonts w:ascii="Times New Roman" w:hAnsi="Times New Roman" w:cs="Times New Roman"/>
          <w:sz w:val="28"/>
          <w:szCs w:val="28"/>
        </w:rPr>
        <w:t>è il primo livello di</w:t>
      </w:r>
      <w:r w:rsidR="008E3A3F">
        <w:rPr>
          <w:rFonts w:ascii="Times New Roman" w:hAnsi="Times New Roman" w:cs="Times New Roman"/>
          <w:sz w:val="28"/>
          <w:szCs w:val="28"/>
        </w:rPr>
        <w:t xml:space="preserve"> </w:t>
      </w:r>
      <w:r>
        <w:rPr>
          <w:rFonts w:ascii="Times New Roman" w:hAnsi="Times New Roman" w:cs="Times New Roman"/>
          <w:sz w:val="28"/>
          <w:szCs w:val="28"/>
        </w:rPr>
        <w:t xml:space="preserve">tutela per prevenire soluzioni viziate </w:t>
      </w:r>
      <w:r w:rsidRPr="00C378E9">
        <w:rPr>
          <w:rFonts w:ascii="Times New Roman" w:hAnsi="Times New Roman" w:cs="Times New Roman"/>
          <w:i/>
          <w:iCs/>
          <w:sz w:val="28"/>
          <w:szCs w:val="28"/>
        </w:rPr>
        <w:t>ab origine.</w:t>
      </w:r>
    </w:p>
    <w:p w14:paraId="5B6EB450" w14:textId="2B5A2C21" w:rsidR="00C81EA0" w:rsidRDefault="00C81EA0" w:rsidP="002606D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seconda linea direttrice</w:t>
      </w:r>
      <w:r w:rsidR="000167D1">
        <w:rPr>
          <w:rFonts w:ascii="Times New Roman" w:hAnsi="Times New Roman" w:cs="Times New Roman"/>
          <w:sz w:val="28"/>
          <w:szCs w:val="28"/>
        </w:rPr>
        <w:t xml:space="preserve"> è</w:t>
      </w:r>
      <w:r>
        <w:rPr>
          <w:rFonts w:ascii="Times New Roman" w:hAnsi="Times New Roman" w:cs="Times New Roman"/>
          <w:sz w:val="28"/>
          <w:szCs w:val="28"/>
        </w:rPr>
        <w:t xml:space="preserve"> modulare e declinare le tradizionali categorie giuridiche in modo che possano adeguarsi agli schemi operativi dell’intelligenza artificiale.</w:t>
      </w:r>
    </w:p>
    <w:p w14:paraId="546A5330" w14:textId="60C92A8D" w:rsidR="00C81EA0" w:rsidRDefault="00C81EA0" w:rsidP="002606D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Pensiamo all’accertamento del nesso di causalità: </w:t>
      </w:r>
      <w:r w:rsidR="00B07E0E">
        <w:rPr>
          <w:rFonts w:ascii="Times New Roman" w:hAnsi="Times New Roman" w:cs="Times New Roman"/>
          <w:sz w:val="28"/>
          <w:szCs w:val="28"/>
        </w:rPr>
        <w:t>l</w:t>
      </w:r>
      <w:r>
        <w:rPr>
          <w:rFonts w:ascii="Times New Roman" w:hAnsi="Times New Roman" w:cs="Times New Roman"/>
          <w:sz w:val="28"/>
          <w:szCs w:val="28"/>
        </w:rPr>
        <w:t xml:space="preserve">a Risoluzione del Parlamento europeo del 25 marzo 2021 </w:t>
      </w:r>
      <w:r w:rsidR="0031677E">
        <w:rPr>
          <w:rFonts w:ascii="Times New Roman" w:hAnsi="Times New Roman" w:cs="Times New Roman"/>
          <w:sz w:val="28"/>
          <w:szCs w:val="28"/>
        </w:rPr>
        <w:t>(</w:t>
      </w:r>
      <w:r>
        <w:rPr>
          <w:rFonts w:ascii="Times New Roman" w:hAnsi="Times New Roman" w:cs="Times New Roman"/>
          <w:sz w:val="28"/>
          <w:szCs w:val="28"/>
        </w:rPr>
        <w:t xml:space="preserve">sull’attuazione della direttiva 2009/81/CE, relativa agli appalti nei settori della difesa e della sicurezza, e della direttiva 2009/43/CE, relativa ai trasferimenti di prodotti per la difesa </w:t>
      </w:r>
      <w:r w:rsidR="0031677E">
        <w:rPr>
          <w:rFonts w:ascii="Times New Roman" w:hAnsi="Times New Roman" w:cs="Times New Roman"/>
          <w:sz w:val="28"/>
          <w:szCs w:val="28"/>
        </w:rPr>
        <w:t>2019/2204</w:t>
      </w:r>
      <w:r w:rsidR="00B07E0E">
        <w:rPr>
          <w:rFonts w:ascii="Times New Roman" w:hAnsi="Times New Roman" w:cs="Times New Roman"/>
          <w:sz w:val="28"/>
          <w:szCs w:val="28"/>
        </w:rPr>
        <w:t xml:space="preserve"> </w:t>
      </w:r>
      <w:r w:rsidR="0031677E">
        <w:rPr>
          <w:rFonts w:ascii="Times New Roman" w:hAnsi="Times New Roman" w:cs="Times New Roman"/>
          <w:sz w:val="28"/>
          <w:szCs w:val="28"/>
        </w:rPr>
        <w:t>(INI)</w:t>
      </w:r>
      <w:r w:rsidR="00953B50">
        <w:rPr>
          <w:rFonts w:ascii="Times New Roman" w:hAnsi="Times New Roman" w:cs="Times New Roman"/>
          <w:sz w:val="28"/>
          <w:szCs w:val="28"/>
        </w:rPr>
        <w:t xml:space="preserve">) </w:t>
      </w:r>
      <w:r w:rsidR="0031677E">
        <w:rPr>
          <w:rFonts w:ascii="Times New Roman" w:hAnsi="Times New Roman" w:cs="Times New Roman"/>
          <w:sz w:val="28"/>
          <w:szCs w:val="28"/>
        </w:rPr>
        <w:t>si preoccupa di ricordare che occorre ribadire la responsabilità dello Stato per i danni creati dai droni militari alle popolazioni civili, perché il dato soggettivo</w:t>
      </w:r>
      <w:r w:rsidR="004F179D">
        <w:rPr>
          <w:rFonts w:ascii="Times New Roman" w:hAnsi="Times New Roman" w:cs="Times New Roman"/>
          <w:sz w:val="28"/>
          <w:szCs w:val="28"/>
        </w:rPr>
        <w:t xml:space="preserve"> </w:t>
      </w:r>
      <w:r w:rsidR="0031677E">
        <w:rPr>
          <w:rFonts w:ascii="Times New Roman" w:hAnsi="Times New Roman" w:cs="Times New Roman"/>
          <w:sz w:val="28"/>
          <w:szCs w:val="28"/>
        </w:rPr>
        <w:t>relativo all’attribuzione della colpa, non appare più certo, atteso che le scelte dalle quali i danni possono derivare, i luoghi da bombardare ad esempio, non sono attribuibili all’uomo. Allo stesso modo altri concetti fondamentali come l’imputabilità, la responsabilità, la discrezionalità, il sindacato giurisdizionale, il sillogismo giuridico sono da rimodulare sul funzionamento dei c</w:t>
      </w:r>
      <w:r w:rsidR="003024C3">
        <w:rPr>
          <w:rFonts w:ascii="Times New Roman" w:hAnsi="Times New Roman" w:cs="Times New Roman"/>
          <w:sz w:val="28"/>
          <w:szCs w:val="28"/>
        </w:rPr>
        <w:t>.</w:t>
      </w:r>
      <w:r w:rsidR="0031677E">
        <w:rPr>
          <w:rFonts w:ascii="Times New Roman" w:hAnsi="Times New Roman" w:cs="Times New Roman"/>
          <w:sz w:val="28"/>
          <w:szCs w:val="28"/>
        </w:rPr>
        <w:t>d</w:t>
      </w:r>
      <w:r w:rsidR="003024C3">
        <w:rPr>
          <w:rFonts w:ascii="Times New Roman" w:hAnsi="Times New Roman" w:cs="Times New Roman"/>
          <w:sz w:val="28"/>
          <w:szCs w:val="28"/>
        </w:rPr>
        <w:t>.</w:t>
      </w:r>
      <w:r w:rsidR="0031677E">
        <w:rPr>
          <w:rFonts w:ascii="Times New Roman" w:hAnsi="Times New Roman" w:cs="Times New Roman"/>
          <w:sz w:val="28"/>
          <w:szCs w:val="28"/>
        </w:rPr>
        <w:t xml:space="preserve"> agenti intelligenti.</w:t>
      </w:r>
    </w:p>
    <w:p w14:paraId="355182A6" w14:textId="57E4BC93" w:rsidR="0031677E" w:rsidRDefault="0031677E" w:rsidP="002606DB">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Sotto tale profilo</w:t>
      </w:r>
      <w:r w:rsidR="003024C3">
        <w:rPr>
          <w:rFonts w:ascii="Times New Roman" w:hAnsi="Times New Roman" w:cs="Times New Roman"/>
          <w:sz w:val="28"/>
          <w:szCs w:val="28"/>
        </w:rPr>
        <w:t>,</w:t>
      </w:r>
      <w:r>
        <w:rPr>
          <w:rFonts w:ascii="Times New Roman" w:hAnsi="Times New Roman" w:cs="Times New Roman"/>
          <w:sz w:val="28"/>
          <w:szCs w:val="28"/>
        </w:rPr>
        <w:t xml:space="preserve"> il Consiglio di Stato coglie la novità dell’intelligenza artificiale</w:t>
      </w:r>
      <w:r w:rsidR="003024C3">
        <w:rPr>
          <w:rFonts w:ascii="Times New Roman" w:hAnsi="Times New Roman" w:cs="Times New Roman"/>
          <w:sz w:val="28"/>
          <w:szCs w:val="28"/>
        </w:rPr>
        <w:t>,</w:t>
      </w:r>
      <w:r>
        <w:rPr>
          <w:rFonts w:ascii="Times New Roman" w:hAnsi="Times New Roman" w:cs="Times New Roman"/>
          <w:sz w:val="28"/>
          <w:szCs w:val="28"/>
        </w:rPr>
        <w:t xml:space="preserve"> statuendo nella nota sentenza n.</w:t>
      </w:r>
      <w:r w:rsidR="00B07E0E">
        <w:rPr>
          <w:rFonts w:ascii="Times New Roman" w:hAnsi="Times New Roman" w:cs="Times New Roman"/>
          <w:sz w:val="28"/>
          <w:szCs w:val="28"/>
        </w:rPr>
        <w:t xml:space="preserve"> </w:t>
      </w:r>
      <w:r>
        <w:rPr>
          <w:rFonts w:ascii="Times New Roman" w:hAnsi="Times New Roman" w:cs="Times New Roman"/>
          <w:sz w:val="28"/>
          <w:szCs w:val="28"/>
        </w:rPr>
        <w:t xml:space="preserve">881/2020 che </w:t>
      </w:r>
      <w:r w:rsidR="003024C3">
        <w:rPr>
          <w:rFonts w:ascii="Times New Roman" w:hAnsi="Times New Roman" w:cs="Times New Roman"/>
          <w:sz w:val="28"/>
          <w:szCs w:val="28"/>
        </w:rPr>
        <w:t>«</w:t>
      </w:r>
      <w:r w:rsidRPr="0031677E">
        <w:rPr>
          <w:rFonts w:ascii="Times New Roman" w:hAnsi="Times New Roman" w:cs="Times New Roman"/>
          <w:i/>
          <w:iCs/>
          <w:sz w:val="28"/>
          <w:szCs w:val="28"/>
        </w:rPr>
        <w:t xml:space="preserve">non può, quindi, ritenersi applicabile in modo </w:t>
      </w:r>
      <w:r>
        <w:rPr>
          <w:rFonts w:ascii="Times New Roman" w:hAnsi="Times New Roman" w:cs="Times New Roman"/>
          <w:i/>
          <w:iCs/>
          <w:sz w:val="28"/>
          <w:szCs w:val="28"/>
        </w:rPr>
        <w:t>indiscriminato</w:t>
      </w:r>
      <w:r w:rsidR="00B07E0E">
        <w:rPr>
          <w:rFonts w:ascii="Times New Roman" w:hAnsi="Times New Roman" w:cs="Times New Roman"/>
          <w:i/>
          <w:iCs/>
          <w:sz w:val="28"/>
          <w:szCs w:val="28"/>
        </w:rPr>
        <w:t xml:space="preserve"> …</w:t>
      </w:r>
      <w:r>
        <w:rPr>
          <w:rFonts w:ascii="Times New Roman" w:hAnsi="Times New Roman" w:cs="Times New Roman"/>
          <w:i/>
          <w:iCs/>
          <w:sz w:val="28"/>
          <w:szCs w:val="28"/>
        </w:rPr>
        <w:t>all’attività amministrativa algoritmica, tutta la legge sul procedimento amministrativo, concepita in un’epoca nella quale l’amministrazione non era investita dalla rivoluzione tecnologica. ..Il tema dei pericoli connessi allo strumento non è ovviato dalla rigida e meccanica applicazione di tutte le minute regole procedimentali della L.241/1990</w:t>
      </w:r>
      <w:r w:rsidR="009D7D29">
        <w:rPr>
          <w:rFonts w:ascii="Times New Roman" w:hAnsi="Times New Roman" w:cs="Times New Roman"/>
          <w:i/>
          <w:iCs/>
          <w:sz w:val="28"/>
          <w:szCs w:val="28"/>
        </w:rPr>
        <w:t xml:space="preserve"> (quali ad esempio la comunicazione di avvio del procedimento sulla quale si appunta buona parte dell’atto di appello o il responsabile del procedimento che, con tutta evidenza, non può essere una macchina in assenza di disposizioni espresse), dovendosi, invece, ritenere che la fondamentale esigenza di tutela posta dall’utilizzazione dello strumento informatico c</w:t>
      </w:r>
      <w:r w:rsidR="002606DB">
        <w:rPr>
          <w:rFonts w:ascii="Times New Roman" w:hAnsi="Times New Roman" w:cs="Times New Roman"/>
          <w:i/>
          <w:iCs/>
          <w:sz w:val="28"/>
          <w:szCs w:val="28"/>
        </w:rPr>
        <w:t>.</w:t>
      </w:r>
      <w:r w:rsidR="009D7D29">
        <w:rPr>
          <w:rFonts w:ascii="Times New Roman" w:hAnsi="Times New Roman" w:cs="Times New Roman"/>
          <w:i/>
          <w:iCs/>
          <w:sz w:val="28"/>
          <w:szCs w:val="28"/>
        </w:rPr>
        <w:t>d</w:t>
      </w:r>
      <w:r w:rsidR="002606DB">
        <w:rPr>
          <w:rFonts w:ascii="Times New Roman" w:hAnsi="Times New Roman" w:cs="Times New Roman"/>
          <w:i/>
          <w:iCs/>
          <w:sz w:val="28"/>
          <w:szCs w:val="28"/>
        </w:rPr>
        <w:t>.</w:t>
      </w:r>
      <w:r w:rsidR="009D7D29">
        <w:rPr>
          <w:rFonts w:ascii="Times New Roman" w:hAnsi="Times New Roman" w:cs="Times New Roman"/>
          <w:i/>
          <w:iCs/>
          <w:sz w:val="28"/>
          <w:szCs w:val="28"/>
        </w:rPr>
        <w:t xml:space="preserve"> algoritmico sia la </w:t>
      </w:r>
      <w:r w:rsidR="009D7D29">
        <w:rPr>
          <w:rFonts w:ascii="Times New Roman" w:hAnsi="Times New Roman" w:cs="Times New Roman"/>
          <w:i/>
          <w:iCs/>
          <w:sz w:val="28"/>
          <w:szCs w:val="28"/>
        </w:rPr>
        <w:lastRenderedPageBreak/>
        <w:t>trasparenza nei termini prima evidenziati riconducibili al principio di motivazione e/o giustificazione della decisione</w:t>
      </w:r>
      <w:r w:rsidR="003024C3">
        <w:rPr>
          <w:rFonts w:ascii="Times New Roman" w:hAnsi="Times New Roman" w:cs="Times New Roman"/>
          <w:i/>
          <w:iCs/>
          <w:sz w:val="28"/>
          <w:szCs w:val="28"/>
        </w:rPr>
        <w:t>»</w:t>
      </w:r>
      <w:r w:rsidR="009D7D29">
        <w:rPr>
          <w:rFonts w:ascii="Times New Roman" w:hAnsi="Times New Roman" w:cs="Times New Roman"/>
          <w:i/>
          <w:iCs/>
          <w:sz w:val="28"/>
          <w:szCs w:val="28"/>
        </w:rPr>
        <w:t>.</w:t>
      </w:r>
    </w:p>
    <w:p w14:paraId="231576D3" w14:textId="38FA57CC" w:rsidR="00B07E0E" w:rsidRPr="000350DD" w:rsidRDefault="009D7D29" w:rsidP="000350DD">
      <w:pPr>
        <w:tabs>
          <w:tab w:val="left" w:pos="8364"/>
        </w:tabs>
        <w:jc w:val="both"/>
        <w:rPr>
          <w:rFonts w:ascii="Times New Roman" w:hAnsi="Times New Roman" w:cs="Times New Roman"/>
          <w:sz w:val="28"/>
          <w:szCs w:val="28"/>
        </w:rPr>
      </w:pPr>
      <w:r w:rsidRPr="009D7D29">
        <w:rPr>
          <w:rFonts w:ascii="Times New Roman" w:hAnsi="Times New Roman" w:cs="Times New Roman"/>
          <w:sz w:val="28"/>
          <w:szCs w:val="28"/>
        </w:rPr>
        <w:t xml:space="preserve">La terza direttrice </w:t>
      </w:r>
      <w:r>
        <w:rPr>
          <w:rFonts w:ascii="Times New Roman" w:hAnsi="Times New Roman" w:cs="Times New Roman"/>
          <w:sz w:val="28"/>
          <w:szCs w:val="28"/>
        </w:rPr>
        <w:t xml:space="preserve">è il permanente controllo dell’uomo e la sua possibilità di intervento volto a far prevalere sempre un criterio di equità e di giustizia sostanziale nei processi di </w:t>
      </w:r>
      <w:proofErr w:type="spellStart"/>
      <w:r w:rsidRPr="009D7D29">
        <w:rPr>
          <w:rFonts w:ascii="Times New Roman" w:hAnsi="Times New Roman" w:cs="Times New Roman"/>
          <w:i/>
          <w:iCs/>
          <w:sz w:val="28"/>
          <w:szCs w:val="28"/>
        </w:rPr>
        <w:t>decision</w:t>
      </w:r>
      <w:proofErr w:type="spellEnd"/>
      <w:r w:rsidRPr="009D7D29">
        <w:rPr>
          <w:rFonts w:ascii="Times New Roman" w:hAnsi="Times New Roman" w:cs="Times New Roman"/>
          <w:i/>
          <w:iCs/>
          <w:sz w:val="28"/>
          <w:szCs w:val="28"/>
        </w:rPr>
        <w:t xml:space="preserve"> </w:t>
      </w:r>
      <w:proofErr w:type="spellStart"/>
      <w:r w:rsidRPr="009D7D29">
        <w:rPr>
          <w:rFonts w:ascii="Times New Roman" w:hAnsi="Times New Roman" w:cs="Times New Roman"/>
          <w:i/>
          <w:iCs/>
          <w:sz w:val="28"/>
          <w:szCs w:val="28"/>
        </w:rPr>
        <w:t>making</w:t>
      </w:r>
      <w:proofErr w:type="spellEnd"/>
      <w:r>
        <w:rPr>
          <w:rFonts w:ascii="Times New Roman" w:hAnsi="Times New Roman" w:cs="Times New Roman"/>
          <w:i/>
          <w:iCs/>
          <w:sz w:val="28"/>
          <w:szCs w:val="28"/>
        </w:rPr>
        <w:t>,</w:t>
      </w:r>
      <w:r w:rsidR="00B07E0E">
        <w:rPr>
          <w:rFonts w:ascii="Times New Roman" w:hAnsi="Times New Roman" w:cs="Times New Roman"/>
          <w:i/>
          <w:iCs/>
          <w:sz w:val="28"/>
          <w:szCs w:val="28"/>
        </w:rPr>
        <w:t xml:space="preserve"> </w:t>
      </w:r>
      <w:r w:rsidRPr="009D7D29">
        <w:rPr>
          <w:rFonts w:ascii="Times New Roman" w:hAnsi="Times New Roman" w:cs="Times New Roman"/>
          <w:sz w:val="28"/>
          <w:szCs w:val="28"/>
        </w:rPr>
        <w:t xml:space="preserve">in cui grande rilevanza deve mantenere la componente intuitiva </w:t>
      </w:r>
      <w:r>
        <w:rPr>
          <w:rFonts w:ascii="Times New Roman" w:hAnsi="Times New Roman" w:cs="Times New Roman"/>
          <w:sz w:val="28"/>
          <w:szCs w:val="28"/>
        </w:rPr>
        <w:t>ed emozionale, non solo la fredda sequenza algoritmica.</w:t>
      </w:r>
      <w:r w:rsidR="00B07E0E">
        <w:rPr>
          <w:rFonts w:ascii="Times New Roman" w:hAnsi="Times New Roman" w:cs="Times New Roman"/>
          <w:i/>
          <w:iCs/>
          <w:sz w:val="28"/>
          <w:szCs w:val="28"/>
        </w:rPr>
        <w:br w:type="page"/>
      </w:r>
    </w:p>
    <w:p w14:paraId="34AEDE6F" w14:textId="2B2610FD" w:rsidR="00A75A26" w:rsidRPr="00B07E0E" w:rsidRDefault="00A75A26" w:rsidP="00B07E0E">
      <w:pPr>
        <w:rPr>
          <w:rFonts w:ascii="Times New Roman" w:hAnsi="Times New Roman" w:cs="Times New Roman"/>
          <w:i/>
          <w:iCs/>
          <w:sz w:val="32"/>
          <w:szCs w:val="32"/>
        </w:rPr>
      </w:pPr>
      <w:r w:rsidRPr="00B07E0E">
        <w:rPr>
          <w:rFonts w:ascii="Times New Roman" w:hAnsi="Times New Roman" w:cs="Times New Roman"/>
          <w:b/>
          <w:bCs/>
          <w:sz w:val="32"/>
          <w:szCs w:val="32"/>
        </w:rPr>
        <w:lastRenderedPageBreak/>
        <w:t>Capitolo</w:t>
      </w:r>
      <w:r w:rsidR="000A002B">
        <w:rPr>
          <w:rFonts w:ascii="Times New Roman" w:hAnsi="Times New Roman" w:cs="Times New Roman"/>
          <w:b/>
          <w:bCs/>
          <w:sz w:val="32"/>
          <w:szCs w:val="32"/>
        </w:rPr>
        <w:t xml:space="preserve"> III</w:t>
      </w:r>
    </w:p>
    <w:p w14:paraId="38935B80" w14:textId="6E6677CC" w:rsidR="0037397E" w:rsidRPr="00B07E0E" w:rsidRDefault="00E94021" w:rsidP="00774481">
      <w:pPr>
        <w:tabs>
          <w:tab w:val="left" w:pos="8364"/>
        </w:tabs>
        <w:jc w:val="both"/>
        <w:rPr>
          <w:rFonts w:ascii="Times New Roman" w:hAnsi="Times New Roman" w:cs="Times New Roman"/>
          <w:b/>
          <w:bCs/>
          <w:sz w:val="32"/>
          <w:szCs w:val="32"/>
        </w:rPr>
      </w:pPr>
      <w:r w:rsidRPr="00B07E0E">
        <w:rPr>
          <w:rFonts w:ascii="Times New Roman" w:hAnsi="Times New Roman" w:cs="Times New Roman"/>
          <w:b/>
          <w:bCs/>
          <w:sz w:val="32"/>
          <w:szCs w:val="32"/>
        </w:rPr>
        <w:t>Algoritmo</w:t>
      </w:r>
      <w:r w:rsidR="0037397E" w:rsidRPr="00B07E0E">
        <w:rPr>
          <w:rFonts w:ascii="Times New Roman" w:hAnsi="Times New Roman" w:cs="Times New Roman"/>
          <w:b/>
          <w:bCs/>
          <w:sz w:val="32"/>
          <w:szCs w:val="32"/>
        </w:rPr>
        <w:t xml:space="preserve"> e diritto penale</w:t>
      </w:r>
    </w:p>
    <w:p w14:paraId="0A82171A" w14:textId="0DA7B7BC" w:rsidR="00E94021" w:rsidRDefault="00E94021" w:rsidP="00774481">
      <w:pPr>
        <w:tabs>
          <w:tab w:val="left" w:pos="8364"/>
        </w:tabs>
        <w:jc w:val="both"/>
        <w:rPr>
          <w:rFonts w:ascii="Times New Roman" w:hAnsi="Times New Roman" w:cs="Times New Roman"/>
          <w:sz w:val="28"/>
          <w:szCs w:val="28"/>
        </w:rPr>
      </w:pPr>
      <w:r w:rsidRPr="00E94021">
        <w:rPr>
          <w:rFonts w:ascii="Times New Roman" w:hAnsi="Times New Roman" w:cs="Times New Roman"/>
          <w:sz w:val="28"/>
          <w:szCs w:val="28"/>
        </w:rPr>
        <w:t>L’analisi del rapporto tra algoritmo e diritto penale</w:t>
      </w:r>
      <w:r w:rsidR="00A013E1">
        <w:rPr>
          <w:rStyle w:val="Rimandonotaapidipagina"/>
          <w:rFonts w:ascii="Times New Roman" w:hAnsi="Times New Roman" w:cs="Times New Roman"/>
          <w:sz w:val="28"/>
          <w:szCs w:val="28"/>
        </w:rPr>
        <w:footnoteReference w:id="48"/>
      </w:r>
      <w:r w:rsidRPr="00E94021">
        <w:rPr>
          <w:rFonts w:ascii="Times New Roman" w:hAnsi="Times New Roman" w:cs="Times New Roman"/>
          <w:sz w:val="28"/>
          <w:szCs w:val="28"/>
        </w:rPr>
        <w:t xml:space="preserve"> </w:t>
      </w:r>
      <w:r w:rsidR="00534F15" w:rsidRPr="00E94021">
        <w:rPr>
          <w:rFonts w:ascii="Times New Roman" w:hAnsi="Times New Roman" w:cs="Times New Roman"/>
          <w:sz w:val="28"/>
          <w:szCs w:val="28"/>
        </w:rPr>
        <w:t xml:space="preserve">deve </w:t>
      </w:r>
      <w:r w:rsidR="00534F15">
        <w:rPr>
          <w:rFonts w:ascii="Times New Roman" w:hAnsi="Times New Roman" w:cs="Times New Roman"/>
          <w:sz w:val="28"/>
          <w:szCs w:val="28"/>
        </w:rPr>
        <w:t>essere necessariamente condotta</w:t>
      </w:r>
      <w:r>
        <w:rPr>
          <w:rFonts w:ascii="Times New Roman" w:hAnsi="Times New Roman" w:cs="Times New Roman"/>
          <w:sz w:val="28"/>
          <w:szCs w:val="28"/>
        </w:rPr>
        <w:t xml:space="preserve"> sotto un </w:t>
      </w:r>
      <w:r w:rsidR="00512CA7">
        <w:rPr>
          <w:rFonts w:ascii="Times New Roman" w:hAnsi="Times New Roman" w:cs="Times New Roman"/>
          <w:sz w:val="28"/>
          <w:szCs w:val="28"/>
        </w:rPr>
        <w:t>triplice</w:t>
      </w:r>
      <w:r>
        <w:rPr>
          <w:rFonts w:ascii="Times New Roman" w:hAnsi="Times New Roman" w:cs="Times New Roman"/>
          <w:sz w:val="28"/>
          <w:szCs w:val="28"/>
        </w:rPr>
        <w:t xml:space="preserve"> profilo: quello del rapporto con il profilo della privacy nell’ambito del circuito investigativo</w:t>
      </w:r>
      <w:r w:rsidR="00512CA7">
        <w:rPr>
          <w:rFonts w:ascii="Times New Roman" w:hAnsi="Times New Roman" w:cs="Times New Roman"/>
          <w:sz w:val="28"/>
          <w:szCs w:val="28"/>
        </w:rPr>
        <w:t>,</w:t>
      </w:r>
      <w:r>
        <w:rPr>
          <w:rFonts w:ascii="Times New Roman" w:hAnsi="Times New Roman" w:cs="Times New Roman"/>
          <w:sz w:val="28"/>
          <w:szCs w:val="28"/>
        </w:rPr>
        <w:t xml:space="preserve"> quello relativo al profilo dell’imputabilità</w:t>
      </w:r>
      <w:r w:rsidR="00512CA7">
        <w:rPr>
          <w:rFonts w:ascii="Times New Roman" w:hAnsi="Times New Roman" w:cs="Times New Roman"/>
          <w:sz w:val="28"/>
          <w:szCs w:val="28"/>
        </w:rPr>
        <w:t xml:space="preserve"> e quello relativo alla configurazione di nuovi reati con l’utilizzo delle nuove tecnologie.</w:t>
      </w:r>
      <w:r w:rsidR="00534F15">
        <w:rPr>
          <w:rFonts w:ascii="Times New Roman" w:hAnsi="Times New Roman" w:cs="Times New Roman"/>
          <w:sz w:val="28"/>
          <w:szCs w:val="28"/>
        </w:rPr>
        <w:t xml:space="preserve"> </w:t>
      </w:r>
      <w:r>
        <w:rPr>
          <w:rFonts w:ascii="Times New Roman" w:hAnsi="Times New Roman" w:cs="Times New Roman"/>
          <w:sz w:val="28"/>
          <w:szCs w:val="28"/>
        </w:rPr>
        <w:t xml:space="preserve">In questo </w:t>
      </w:r>
      <w:r w:rsidR="0064371F">
        <w:rPr>
          <w:rFonts w:ascii="Times New Roman" w:hAnsi="Times New Roman" w:cs="Times New Roman"/>
          <w:sz w:val="28"/>
          <w:szCs w:val="28"/>
        </w:rPr>
        <w:t>capitolo</w:t>
      </w:r>
      <w:r>
        <w:rPr>
          <w:rFonts w:ascii="Times New Roman" w:hAnsi="Times New Roman" w:cs="Times New Roman"/>
          <w:sz w:val="28"/>
          <w:szCs w:val="28"/>
        </w:rPr>
        <w:t xml:space="preserve"> cercheremo di affrontare i profili problematici legati all</w:t>
      </w:r>
      <w:r w:rsidR="00A4708F">
        <w:rPr>
          <w:rFonts w:ascii="Times New Roman" w:hAnsi="Times New Roman" w:cs="Times New Roman"/>
          <w:sz w:val="28"/>
          <w:szCs w:val="28"/>
        </w:rPr>
        <w:t>e intercettazioni e tabulati in relazione alla</w:t>
      </w:r>
      <w:r>
        <w:rPr>
          <w:rFonts w:ascii="Times New Roman" w:hAnsi="Times New Roman" w:cs="Times New Roman"/>
          <w:sz w:val="28"/>
          <w:szCs w:val="28"/>
        </w:rPr>
        <w:t xml:space="preserve"> tutela della privacy, per poi affrontare il tema della eventuale riformulazione dell’imputabilità tramite algoritmi</w:t>
      </w:r>
      <w:r w:rsidR="00512CA7">
        <w:rPr>
          <w:rFonts w:ascii="Times New Roman" w:hAnsi="Times New Roman" w:cs="Times New Roman"/>
          <w:sz w:val="28"/>
          <w:szCs w:val="28"/>
        </w:rPr>
        <w:t xml:space="preserve"> e la configurazione dei nuovi reati</w:t>
      </w:r>
      <w:r>
        <w:rPr>
          <w:rFonts w:ascii="Times New Roman" w:hAnsi="Times New Roman" w:cs="Times New Roman"/>
          <w:sz w:val="28"/>
          <w:szCs w:val="28"/>
        </w:rPr>
        <w:t xml:space="preserve"> </w:t>
      </w:r>
      <w:r w:rsidR="00AB5E39">
        <w:rPr>
          <w:rFonts w:ascii="Times New Roman" w:hAnsi="Times New Roman" w:cs="Times New Roman"/>
          <w:sz w:val="28"/>
          <w:szCs w:val="28"/>
        </w:rPr>
        <w:t xml:space="preserve">tramite chat o altri mezzi informatici </w:t>
      </w:r>
      <w:r>
        <w:rPr>
          <w:rFonts w:ascii="Times New Roman" w:hAnsi="Times New Roman" w:cs="Times New Roman"/>
          <w:sz w:val="28"/>
          <w:szCs w:val="28"/>
        </w:rPr>
        <w:t xml:space="preserve">nei </w:t>
      </w:r>
      <w:r w:rsidR="0064371F">
        <w:rPr>
          <w:rFonts w:ascii="Times New Roman" w:hAnsi="Times New Roman" w:cs="Times New Roman"/>
          <w:sz w:val="28"/>
          <w:szCs w:val="28"/>
        </w:rPr>
        <w:t>capitoli</w:t>
      </w:r>
      <w:r>
        <w:rPr>
          <w:rFonts w:ascii="Times New Roman" w:hAnsi="Times New Roman" w:cs="Times New Roman"/>
          <w:sz w:val="28"/>
          <w:szCs w:val="28"/>
        </w:rPr>
        <w:t xml:space="preserve"> successivi.</w:t>
      </w:r>
    </w:p>
    <w:p w14:paraId="41E7AB3E" w14:textId="113FFD53" w:rsidR="0037397E" w:rsidRPr="00090004" w:rsidRDefault="00E94021" w:rsidP="0009000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Il tema del rapporto tra algoritmi basati sulla raccolta dei dati e tutela della privacy è venuto alla ribalta in seguito ad una nota sentenza della Corte di Giustizia dell’Unione Europea dello scorso marzo 2021</w:t>
      </w:r>
      <w:r w:rsidR="003024C3">
        <w:rPr>
          <w:rFonts w:ascii="Times New Roman" w:hAnsi="Times New Roman" w:cs="Times New Roman"/>
          <w:sz w:val="28"/>
          <w:szCs w:val="28"/>
        </w:rPr>
        <w:t>,</w:t>
      </w:r>
      <w:r>
        <w:rPr>
          <w:rFonts w:ascii="Times New Roman" w:hAnsi="Times New Roman" w:cs="Times New Roman"/>
          <w:sz w:val="28"/>
          <w:szCs w:val="28"/>
        </w:rPr>
        <w:t xml:space="preserve"> in merito al rapporto tra </w:t>
      </w:r>
      <w:r w:rsidRPr="00534F15">
        <w:rPr>
          <w:rFonts w:ascii="Times New Roman" w:hAnsi="Times New Roman" w:cs="Times New Roman"/>
          <w:i/>
          <w:iCs/>
          <w:sz w:val="28"/>
          <w:szCs w:val="28"/>
        </w:rPr>
        <w:t xml:space="preserve">data </w:t>
      </w:r>
      <w:proofErr w:type="spellStart"/>
      <w:r w:rsidRPr="00534F15">
        <w:rPr>
          <w:rFonts w:ascii="Times New Roman" w:hAnsi="Times New Roman" w:cs="Times New Roman"/>
          <w:i/>
          <w:iCs/>
          <w:sz w:val="28"/>
          <w:szCs w:val="28"/>
        </w:rPr>
        <w:t>retention</w:t>
      </w:r>
      <w:proofErr w:type="spellEnd"/>
      <w:r>
        <w:rPr>
          <w:rFonts w:ascii="Times New Roman" w:hAnsi="Times New Roman" w:cs="Times New Roman"/>
          <w:sz w:val="28"/>
          <w:szCs w:val="28"/>
        </w:rPr>
        <w:t xml:space="preserve"> e </w:t>
      </w:r>
      <w:proofErr w:type="spellStart"/>
      <w:r w:rsidRPr="00534F15">
        <w:rPr>
          <w:rFonts w:ascii="Times New Roman" w:hAnsi="Times New Roman" w:cs="Times New Roman"/>
          <w:i/>
          <w:iCs/>
          <w:sz w:val="28"/>
          <w:szCs w:val="28"/>
        </w:rPr>
        <w:t>serious</w:t>
      </w:r>
      <w:proofErr w:type="spellEnd"/>
      <w:r w:rsidRPr="00534F15">
        <w:rPr>
          <w:rFonts w:ascii="Times New Roman" w:hAnsi="Times New Roman" w:cs="Times New Roman"/>
          <w:i/>
          <w:iCs/>
          <w:sz w:val="28"/>
          <w:szCs w:val="28"/>
        </w:rPr>
        <w:t xml:space="preserve"> </w:t>
      </w:r>
      <w:proofErr w:type="spellStart"/>
      <w:r w:rsidRPr="00534F15">
        <w:rPr>
          <w:rFonts w:ascii="Times New Roman" w:hAnsi="Times New Roman" w:cs="Times New Roman"/>
          <w:i/>
          <w:iCs/>
          <w:sz w:val="28"/>
          <w:szCs w:val="28"/>
        </w:rPr>
        <w:t>crimes</w:t>
      </w:r>
      <w:proofErr w:type="spellEnd"/>
      <w:r>
        <w:rPr>
          <w:rFonts w:ascii="Times New Roman" w:hAnsi="Times New Roman" w:cs="Times New Roman"/>
          <w:sz w:val="28"/>
          <w:szCs w:val="28"/>
        </w:rPr>
        <w:t>: il principio emerso è che</w:t>
      </w:r>
      <w:r w:rsidR="0037397E">
        <w:rPr>
          <w:rFonts w:ascii="Times New Roman" w:hAnsi="Times New Roman" w:cs="Times New Roman"/>
          <w:b/>
          <w:bCs/>
          <w:sz w:val="28"/>
          <w:szCs w:val="28"/>
        </w:rPr>
        <w:t xml:space="preserve"> </w:t>
      </w:r>
      <w:r w:rsidR="0037397E" w:rsidRPr="00B51B91">
        <w:rPr>
          <w:rFonts w:ascii="Times New Roman" w:hAnsi="Times New Roman" w:cs="Times New Roman"/>
          <w:sz w:val="28"/>
          <w:szCs w:val="28"/>
        </w:rPr>
        <w:t>per i tabulati con i numeri di telefono serve l’autorizzazione di un’autorità terza che non sia il Pubblico Ministero.</w:t>
      </w:r>
      <w:r w:rsidR="002434DB" w:rsidRPr="00B51B91">
        <w:rPr>
          <w:rFonts w:ascii="Times New Roman" w:hAnsi="Times New Roman" w:cs="Times New Roman"/>
          <w:sz w:val="28"/>
          <w:szCs w:val="28"/>
        </w:rPr>
        <w:t xml:space="preserve"> La </w:t>
      </w:r>
      <w:r w:rsidR="002434DB" w:rsidRPr="00534F15">
        <w:rPr>
          <w:rFonts w:ascii="Times New Roman" w:hAnsi="Times New Roman" w:cs="Times New Roman"/>
          <w:i/>
          <w:iCs/>
          <w:sz w:val="28"/>
          <w:szCs w:val="28"/>
        </w:rPr>
        <w:t xml:space="preserve">data </w:t>
      </w:r>
      <w:proofErr w:type="spellStart"/>
      <w:r w:rsidR="002434DB" w:rsidRPr="00534F15">
        <w:rPr>
          <w:rFonts w:ascii="Times New Roman" w:hAnsi="Times New Roman" w:cs="Times New Roman"/>
          <w:i/>
          <w:iCs/>
          <w:sz w:val="28"/>
          <w:szCs w:val="28"/>
        </w:rPr>
        <w:t>retention</w:t>
      </w:r>
      <w:proofErr w:type="spellEnd"/>
      <w:r w:rsidRPr="00B51B91">
        <w:rPr>
          <w:rFonts w:ascii="Times New Roman" w:hAnsi="Times New Roman" w:cs="Times New Roman"/>
          <w:sz w:val="28"/>
          <w:szCs w:val="28"/>
        </w:rPr>
        <w:t xml:space="preserve">, quindi, </w:t>
      </w:r>
      <w:r w:rsidR="00B51B91" w:rsidRPr="00B51B91">
        <w:rPr>
          <w:rFonts w:ascii="Times New Roman" w:hAnsi="Times New Roman" w:cs="Times New Roman"/>
          <w:sz w:val="28"/>
          <w:szCs w:val="28"/>
        </w:rPr>
        <w:t>è ammissibile</w:t>
      </w:r>
      <w:r w:rsidR="002434DB" w:rsidRPr="00B51B91">
        <w:rPr>
          <w:rFonts w:ascii="Times New Roman" w:hAnsi="Times New Roman" w:cs="Times New Roman"/>
          <w:sz w:val="28"/>
          <w:szCs w:val="28"/>
        </w:rPr>
        <w:t xml:space="preserve"> solo per </w:t>
      </w:r>
      <w:proofErr w:type="spellStart"/>
      <w:r w:rsidR="002434DB" w:rsidRPr="00B51B91">
        <w:rPr>
          <w:rFonts w:ascii="Times New Roman" w:hAnsi="Times New Roman" w:cs="Times New Roman"/>
          <w:i/>
          <w:iCs/>
          <w:sz w:val="28"/>
          <w:szCs w:val="28"/>
        </w:rPr>
        <w:t>serious</w:t>
      </w:r>
      <w:proofErr w:type="spellEnd"/>
      <w:r w:rsidR="002434DB" w:rsidRPr="00B51B91">
        <w:rPr>
          <w:rFonts w:ascii="Times New Roman" w:hAnsi="Times New Roman" w:cs="Times New Roman"/>
          <w:i/>
          <w:iCs/>
          <w:sz w:val="28"/>
          <w:szCs w:val="28"/>
        </w:rPr>
        <w:t xml:space="preserve"> </w:t>
      </w:r>
      <w:proofErr w:type="spellStart"/>
      <w:r w:rsidR="002434DB" w:rsidRPr="00B51B91">
        <w:rPr>
          <w:rFonts w:ascii="Times New Roman" w:hAnsi="Times New Roman" w:cs="Times New Roman"/>
          <w:i/>
          <w:iCs/>
          <w:sz w:val="28"/>
          <w:szCs w:val="28"/>
        </w:rPr>
        <w:t>crimes</w:t>
      </w:r>
      <w:proofErr w:type="spellEnd"/>
      <w:r w:rsidR="002434DB" w:rsidRPr="00B51B91">
        <w:rPr>
          <w:rFonts w:ascii="Times New Roman" w:hAnsi="Times New Roman" w:cs="Times New Roman"/>
          <w:sz w:val="28"/>
          <w:szCs w:val="28"/>
        </w:rPr>
        <w:t>, in Italia quelli previsti dall’art.</w:t>
      </w:r>
      <w:r w:rsidR="00534F15">
        <w:rPr>
          <w:rFonts w:ascii="Times New Roman" w:hAnsi="Times New Roman" w:cs="Times New Roman"/>
          <w:sz w:val="28"/>
          <w:szCs w:val="28"/>
        </w:rPr>
        <w:t xml:space="preserve"> </w:t>
      </w:r>
      <w:r w:rsidR="002434DB" w:rsidRPr="00090004">
        <w:rPr>
          <w:rFonts w:ascii="Times New Roman" w:hAnsi="Times New Roman" w:cs="Times New Roman"/>
          <w:sz w:val="28"/>
          <w:szCs w:val="28"/>
        </w:rPr>
        <w:t>266 c</w:t>
      </w:r>
      <w:r w:rsidR="00534F15" w:rsidRPr="00090004">
        <w:rPr>
          <w:rFonts w:ascii="Times New Roman" w:hAnsi="Times New Roman" w:cs="Times New Roman"/>
          <w:sz w:val="28"/>
          <w:szCs w:val="28"/>
        </w:rPr>
        <w:t>.</w:t>
      </w:r>
      <w:r w:rsidR="002434DB" w:rsidRPr="00090004">
        <w:rPr>
          <w:rFonts w:ascii="Times New Roman" w:hAnsi="Times New Roman" w:cs="Times New Roman"/>
          <w:sz w:val="28"/>
          <w:szCs w:val="28"/>
        </w:rPr>
        <w:t>p</w:t>
      </w:r>
      <w:r w:rsidR="00534F15" w:rsidRPr="00090004">
        <w:rPr>
          <w:rFonts w:ascii="Times New Roman" w:hAnsi="Times New Roman" w:cs="Times New Roman"/>
          <w:sz w:val="28"/>
          <w:szCs w:val="28"/>
        </w:rPr>
        <w:t>.</w:t>
      </w:r>
      <w:r w:rsidR="002434DB" w:rsidRPr="00090004">
        <w:rPr>
          <w:rFonts w:ascii="Times New Roman" w:hAnsi="Times New Roman" w:cs="Times New Roman"/>
          <w:sz w:val="28"/>
          <w:szCs w:val="28"/>
        </w:rPr>
        <w:t>p.</w:t>
      </w:r>
    </w:p>
    <w:p w14:paraId="67BEBAD4" w14:textId="41EBC446" w:rsidR="0037397E" w:rsidRPr="00090004" w:rsidRDefault="00E94021" w:rsidP="00090004">
      <w:pPr>
        <w:tabs>
          <w:tab w:val="left" w:pos="8364"/>
        </w:tabs>
        <w:spacing w:after="0"/>
        <w:jc w:val="both"/>
        <w:rPr>
          <w:rFonts w:ascii="Times New Roman" w:hAnsi="Times New Roman" w:cs="Times New Roman"/>
          <w:sz w:val="28"/>
          <w:szCs w:val="28"/>
        </w:rPr>
      </w:pPr>
      <w:r w:rsidRPr="00090004">
        <w:rPr>
          <w:rFonts w:ascii="Times New Roman" w:hAnsi="Times New Roman" w:cs="Times New Roman"/>
          <w:sz w:val="28"/>
          <w:szCs w:val="28"/>
        </w:rPr>
        <w:t xml:space="preserve">Ma analizziamo il testo della sentenza della </w:t>
      </w:r>
      <w:r w:rsidR="0037397E" w:rsidRPr="00090004">
        <w:rPr>
          <w:rFonts w:ascii="Times New Roman" w:hAnsi="Times New Roman" w:cs="Times New Roman"/>
          <w:sz w:val="28"/>
          <w:szCs w:val="28"/>
        </w:rPr>
        <w:t>Corte di Giustizia dell’Unione Europea</w:t>
      </w:r>
      <w:r w:rsidR="003024C3" w:rsidRPr="00090004">
        <w:rPr>
          <w:rFonts w:ascii="Times New Roman" w:hAnsi="Times New Roman" w:cs="Times New Roman"/>
          <w:sz w:val="28"/>
          <w:szCs w:val="28"/>
        </w:rPr>
        <w:t xml:space="preserve">, </w:t>
      </w:r>
      <w:r w:rsidR="0037397E" w:rsidRPr="00090004">
        <w:rPr>
          <w:rFonts w:ascii="Times New Roman" w:hAnsi="Times New Roman" w:cs="Times New Roman"/>
          <w:sz w:val="28"/>
          <w:szCs w:val="28"/>
        </w:rPr>
        <w:t>Grande</w:t>
      </w:r>
      <w:r w:rsidR="003024C3" w:rsidRPr="00090004">
        <w:rPr>
          <w:rFonts w:ascii="Times New Roman" w:hAnsi="Times New Roman" w:cs="Times New Roman"/>
          <w:sz w:val="28"/>
          <w:szCs w:val="28"/>
        </w:rPr>
        <w:t xml:space="preserve"> </w:t>
      </w:r>
      <w:r w:rsidR="0037397E" w:rsidRPr="00090004">
        <w:rPr>
          <w:rFonts w:ascii="Times New Roman" w:hAnsi="Times New Roman" w:cs="Times New Roman"/>
          <w:sz w:val="28"/>
          <w:szCs w:val="28"/>
        </w:rPr>
        <w:t>sezione</w:t>
      </w:r>
      <w:r w:rsidR="003024C3" w:rsidRPr="00090004">
        <w:rPr>
          <w:rFonts w:ascii="Times New Roman" w:hAnsi="Times New Roman" w:cs="Times New Roman"/>
          <w:sz w:val="28"/>
          <w:szCs w:val="28"/>
        </w:rPr>
        <w:t xml:space="preserve">, </w:t>
      </w:r>
      <w:r w:rsidR="0037397E" w:rsidRPr="00090004">
        <w:rPr>
          <w:rFonts w:ascii="Times New Roman" w:hAnsi="Times New Roman" w:cs="Times New Roman"/>
          <w:sz w:val="28"/>
          <w:szCs w:val="28"/>
        </w:rPr>
        <w:t>sentenza 2 marzo 2021</w:t>
      </w:r>
      <w:r w:rsidR="003024C3" w:rsidRPr="00090004">
        <w:rPr>
          <w:rFonts w:ascii="Times New Roman" w:hAnsi="Times New Roman" w:cs="Times New Roman"/>
          <w:sz w:val="28"/>
          <w:szCs w:val="28"/>
        </w:rPr>
        <w:t>,</w:t>
      </w:r>
      <w:r w:rsidR="0037397E" w:rsidRPr="00090004">
        <w:rPr>
          <w:rFonts w:ascii="Times New Roman" w:hAnsi="Times New Roman" w:cs="Times New Roman"/>
          <w:sz w:val="28"/>
          <w:szCs w:val="28"/>
        </w:rPr>
        <w:t xml:space="preserve"> Causa C-746/18</w:t>
      </w:r>
      <w:r w:rsidRPr="00090004">
        <w:rPr>
          <w:rFonts w:ascii="Times New Roman" w:hAnsi="Times New Roman" w:cs="Times New Roman"/>
          <w:sz w:val="28"/>
          <w:szCs w:val="28"/>
        </w:rPr>
        <w:t xml:space="preserve"> nelle sue conclusioni:</w:t>
      </w:r>
    </w:p>
    <w:p w14:paraId="1194ED6D" w14:textId="34AE32BD" w:rsidR="0037397E" w:rsidRDefault="0037397E" w:rsidP="00090004">
      <w:pPr>
        <w:tabs>
          <w:tab w:val="left" w:pos="8364"/>
        </w:tabs>
        <w:spacing w:after="0"/>
        <w:ind w:left="357"/>
        <w:jc w:val="both"/>
        <w:rPr>
          <w:rFonts w:ascii="Times New Roman" w:hAnsi="Times New Roman" w:cs="Times New Roman"/>
          <w:i/>
          <w:iCs/>
          <w:sz w:val="28"/>
          <w:szCs w:val="28"/>
        </w:rPr>
      </w:pPr>
      <w:r w:rsidRPr="00090004">
        <w:rPr>
          <w:rFonts w:ascii="Times New Roman" w:hAnsi="Times New Roman" w:cs="Times New Roman"/>
          <w:sz w:val="28"/>
          <w:szCs w:val="28"/>
        </w:rPr>
        <w:t>“</w:t>
      </w:r>
      <w:r w:rsidR="002434DB" w:rsidRPr="00090004">
        <w:rPr>
          <w:rFonts w:ascii="Times New Roman" w:hAnsi="Times New Roman" w:cs="Times New Roman"/>
          <w:sz w:val="28"/>
          <w:szCs w:val="28"/>
        </w:rPr>
        <w:t>1)</w:t>
      </w:r>
      <w:r w:rsidR="00534F15" w:rsidRPr="00090004">
        <w:rPr>
          <w:rFonts w:ascii="Times New Roman" w:hAnsi="Times New Roman" w:cs="Times New Roman"/>
          <w:sz w:val="28"/>
          <w:szCs w:val="28"/>
        </w:rPr>
        <w:t xml:space="preserve"> </w:t>
      </w:r>
      <w:r w:rsidRPr="00090004">
        <w:rPr>
          <w:rFonts w:ascii="Times New Roman" w:hAnsi="Times New Roman" w:cs="Times New Roman"/>
          <w:i/>
          <w:iCs/>
          <w:sz w:val="28"/>
          <w:szCs w:val="28"/>
        </w:rPr>
        <w:t>L’articolo</w:t>
      </w:r>
      <w:r w:rsidRPr="0037397E">
        <w:rPr>
          <w:rFonts w:ascii="Times New Roman" w:hAnsi="Times New Roman" w:cs="Times New Roman"/>
          <w:i/>
          <w:iCs/>
          <w:sz w:val="28"/>
          <w:szCs w:val="28"/>
        </w:rPr>
        <w:t xml:space="preserve"> 15, paragrafo 1,</w:t>
      </w:r>
      <w:r>
        <w:rPr>
          <w:rFonts w:ascii="Times New Roman" w:hAnsi="Times New Roman" w:cs="Times New Roman"/>
          <w:b/>
          <w:bCs/>
          <w:sz w:val="28"/>
          <w:szCs w:val="28"/>
        </w:rPr>
        <w:t xml:space="preserve"> </w:t>
      </w:r>
      <w:r w:rsidRPr="0037397E">
        <w:rPr>
          <w:rFonts w:ascii="Times New Roman" w:hAnsi="Times New Roman" w:cs="Times New Roman"/>
          <w:i/>
          <w:iCs/>
          <w:sz w:val="28"/>
          <w:szCs w:val="28"/>
        </w:rPr>
        <w:t xml:space="preserve">della direttiva </w:t>
      </w:r>
      <w:r w:rsidR="002434DB">
        <w:rPr>
          <w:rFonts w:ascii="Times New Roman" w:hAnsi="Times New Roman" w:cs="Times New Roman"/>
          <w:i/>
          <w:iCs/>
          <w:sz w:val="28"/>
          <w:szCs w:val="28"/>
        </w:rPr>
        <w:t>2002/58/CE del Parlamento europeo e del Consiglio del 12 luglio 2002, relativa al trattamento dei dati personali e alla tutela della vita privata nel settore delle comunicazioni elettroniche</w:t>
      </w:r>
      <w:r w:rsidR="00090004">
        <w:rPr>
          <w:rFonts w:ascii="Times New Roman" w:hAnsi="Times New Roman" w:cs="Times New Roman"/>
          <w:i/>
          <w:iCs/>
          <w:sz w:val="28"/>
          <w:szCs w:val="28"/>
        </w:rPr>
        <w:t xml:space="preserve"> </w:t>
      </w:r>
      <w:r w:rsidR="002434DB">
        <w:rPr>
          <w:rFonts w:ascii="Times New Roman" w:hAnsi="Times New Roman" w:cs="Times New Roman"/>
          <w:i/>
          <w:iCs/>
          <w:sz w:val="28"/>
          <w:szCs w:val="28"/>
        </w:rPr>
        <w:t>(direttiva relativa alla vita privata e alle comunicazioni elettroniche), come modificata dalla direttiva 2009/136/Ce del Parlamento europeo e del consiglio, del 25 novembre 2009, letto alla luce degli art.7, 8 e 11, nonché de</w:t>
      </w:r>
      <w:r w:rsidR="003F3348">
        <w:rPr>
          <w:rFonts w:ascii="Times New Roman" w:hAnsi="Times New Roman" w:cs="Times New Roman"/>
          <w:i/>
          <w:iCs/>
          <w:sz w:val="28"/>
          <w:szCs w:val="28"/>
        </w:rPr>
        <w:t>l</w:t>
      </w:r>
      <w:r w:rsidR="002434DB">
        <w:rPr>
          <w:rFonts w:ascii="Times New Roman" w:hAnsi="Times New Roman" w:cs="Times New Roman"/>
          <w:i/>
          <w:iCs/>
          <w:sz w:val="28"/>
          <w:szCs w:val="28"/>
        </w:rPr>
        <w:t xml:space="preserve">l’articolo 52, paragrafo 1, della Carta dei diritti fondamentali dell’Unione europea, deve essere interpretato nel </w:t>
      </w:r>
      <w:r w:rsidR="002434DB">
        <w:rPr>
          <w:rFonts w:ascii="Times New Roman" w:hAnsi="Times New Roman" w:cs="Times New Roman"/>
          <w:i/>
          <w:iCs/>
          <w:sz w:val="28"/>
          <w:szCs w:val="28"/>
        </w:rPr>
        <w:lastRenderedPageBreak/>
        <w:t>senso che esso osta a una normativa nazionale, la quale consenta l’accesso di autorità pubbliche a un insieme di dati relativi al traffico o di dati relativi all’ubicazione, idonei a fornire informazioni sulle comunicazioni effettuate da un utente di un mezzo di comunicazione elettronica o sull’ubicazione delle apparecchiature terminali da costui utilizzate e a permettere di trarre precise conclusioni sulla sua vita privata, per finalità di prevenzione, ricerca, accertamento e perseguimento di reati, senza che tale accesso sia circoscritto a procedure aventi per scopo la lotta contro le forme gravi di criminalità o la prevenzione di</w:t>
      </w:r>
      <w:r w:rsidR="003F3348">
        <w:rPr>
          <w:rFonts w:ascii="Times New Roman" w:hAnsi="Times New Roman" w:cs="Times New Roman"/>
          <w:i/>
          <w:iCs/>
          <w:sz w:val="28"/>
          <w:szCs w:val="28"/>
        </w:rPr>
        <w:t xml:space="preserve"> gravi minacce alla sicurezza pubblica, e ciò indipendentemente dalla durata del periodo per il quale l’accesso ai dati suddetti viene richiesto, nonché dalla quantità o dalla natura dei dati disponibili per tale periodo.</w:t>
      </w:r>
    </w:p>
    <w:p w14:paraId="1AD60896" w14:textId="0CD58D5F" w:rsidR="003F3348" w:rsidRDefault="003F3348" w:rsidP="00090004">
      <w:pPr>
        <w:tabs>
          <w:tab w:val="left" w:pos="8364"/>
        </w:tabs>
        <w:spacing w:after="0"/>
        <w:ind w:left="357"/>
        <w:jc w:val="both"/>
        <w:rPr>
          <w:rFonts w:ascii="Times New Roman" w:hAnsi="Times New Roman" w:cs="Times New Roman"/>
          <w:i/>
          <w:iCs/>
          <w:sz w:val="28"/>
          <w:szCs w:val="28"/>
        </w:rPr>
      </w:pPr>
      <w:r w:rsidRPr="00090004">
        <w:rPr>
          <w:rFonts w:ascii="Times New Roman" w:hAnsi="Times New Roman" w:cs="Times New Roman"/>
          <w:sz w:val="28"/>
          <w:szCs w:val="28"/>
        </w:rPr>
        <w:t xml:space="preserve">2) </w:t>
      </w:r>
      <w:r w:rsidRPr="00090004">
        <w:rPr>
          <w:rFonts w:ascii="Times New Roman" w:hAnsi="Times New Roman" w:cs="Times New Roman"/>
          <w:i/>
          <w:iCs/>
          <w:sz w:val="28"/>
          <w:szCs w:val="28"/>
        </w:rPr>
        <w:t>L’art</w:t>
      </w:r>
      <w:r w:rsidRPr="003F3348">
        <w:rPr>
          <w:rFonts w:ascii="Times New Roman" w:hAnsi="Times New Roman" w:cs="Times New Roman"/>
          <w:i/>
          <w:iCs/>
          <w:sz w:val="28"/>
          <w:szCs w:val="28"/>
        </w:rPr>
        <w:t>.</w:t>
      </w:r>
      <w:r w:rsidR="003024C3">
        <w:rPr>
          <w:rFonts w:ascii="Times New Roman" w:hAnsi="Times New Roman" w:cs="Times New Roman"/>
          <w:i/>
          <w:iCs/>
          <w:sz w:val="28"/>
          <w:szCs w:val="28"/>
        </w:rPr>
        <w:t xml:space="preserve"> </w:t>
      </w:r>
      <w:r w:rsidRPr="003F3348">
        <w:rPr>
          <w:rFonts w:ascii="Times New Roman" w:hAnsi="Times New Roman" w:cs="Times New Roman"/>
          <w:i/>
          <w:iCs/>
          <w:sz w:val="28"/>
          <w:szCs w:val="28"/>
        </w:rPr>
        <w:t>15, paragrafo1, della direttiva 2002/58, come modificata</w:t>
      </w:r>
      <w:r>
        <w:rPr>
          <w:rFonts w:ascii="Times New Roman" w:hAnsi="Times New Roman" w:cs="Times New Roman"/>
          <w:sz w:val="28"/>
          <w:szCs w:val="28"/>
        </w:rPr>
        <w:t xml:space="preserve"> </w:t>
      </w:r>
      <w:r w:rsidRPr="003F3348">
        <w:rPr>
          <w:rFonts w:ascii="Times New Roman" w:hAnsi="Times New Roman" w:cs="Times New Roman"/>
          <w:i/>
          <w:iCs/>
          <w:sz w:val="28"/>
          <w:szCs w:val="28"/>
        </w:rPr>
        <w:t xml:space="preserve">dalla direttiva 2009/136, letto </w:t>
      </w:r>
      <w:r>
        <w:rPr>
          <w:rFonts w:ascii="Times New Roman" w:hAnsi="Times New Roman" w:cs="Times New Roman"/>
          <w:i/>
          <w:iCs/>
          <w:sz w:val="28"/>
          <w:szCs w:val="28"/>
        </w:rPr>
        <w:t>alla luce degli articoli 7, 8 e 11, nonché dell’articolo 52, paragrafo 1, della Carta dei diritti fondamentali, deve essere interpretato nel senso che esso osta ad una normativa nazionale, la quale renda il pubblico ministero, il cui compito è di dirigere il procedimento istruttorio penale e di esercitare, eventualmente,</w:t>
      </w:r>
      <w:r w:rsidR="007476BD">
        <w:rPr>
          <w:rFonts w:ascii="Times New Roman" w:hAnsi="Times New Roman" w:cs="Times New Roman"/>
          <w:i/>
          <w:iCs/>
          <w:sz w:val="28"/>
          <w:szCs w:val="28"/>
        </w:rPr>
        <w:t xml:space="preserve"> </w:t>
      </w:r>
      <w:r>
        <w:rPr>
          <w:rFonts w:ascii="Times New Roman" w:hAnsi="Times New Roman" w:cs="Times New Roman"/>
          <w:i/>
          <w:iCs/>
          <w:sz w:val="28"/>
          <w:szCs w:val="28"/>
        </w:rPr>
        <w:t>l’azione penale in un successivo procedimento, competente ad autorizzare l’accesso di un’autorità pubblica ai dati relativi al traffico e ai dati relativi all’ubicazione ai fini di un’istruttoria penale.</w:t>
      </w:r>
      <w:r w:rsidR="00534F15" w:rsidRPr="00534F15">
        <w:rPr>
          <w:rFonts w:ascii="Times New Roman" w:hAnsi="Times New Roman" w:cs="Times New Roman"/>
          <w:sz w:val="28"/>
          <w:szCs w:val="28"/>
        </w:rPr>
        <w:t>”</w:t>
      </w:r>
    </w:p>
    <w:p w14:paraId="0A79C644" w14:textId="0D79BAE5" w:rsidR="003F3348" w:rsidRPr="00E94021" w:rsidRDefault="00E94021" w:rsidP="00090004">
      <w:pPr>
        <w:tabs>
          <w:tab w:val="left" w:pos="8364"/>
        </w:tabs>
        <w:spacing w:after="0"/>
        <w:jc w:val="both"/>
        <w:rPr>
          <w:rFonts w:ascii="Times New Roman" w:hAnsi="Times New Roman" w:cs="Times New Roman"/>
          <w:sz w:val="28"/>
          <w:szCs w:val="28"/>
        </w:rPr>
      </w:pPr>
      <w:r w:rsidRPr="00E94021">
        <w:rPr>
          <w:rFonts w:ascii="Times New Roman" w:hAnsi="Times New Roman" w:cs="Times New Roman"/>
          <w:sz w:val="28"/>
          <w:szCs w:val="28"/>
        </w:rPr>
        <w:t>Si è affermato che l</w:t>
      </w:r>
      <w:r w:rsidR="003F3348" w:rsidRPr="00E94021">
        <w:rPr>
          <w:rFonts w:ascii="Times New Roman" w:hAnsi="Times New Roman" w:cs="Times New Roman"/>
          <w:sz w:val="28"/>
          <w:szCs w:val="28"/>
        </w:rPr>
        <w:t>a sentenza C</w:t>
      </w:r>
      <w:r w:rsidR="007476BD" w:rsidRPr="00E94021">
        <w:rPr>
          <w:rFonts w:ascii="Times New Roman" w:hAnsi="Times New Roman" w:cs="Times New Roman"/>
          <w:sz w:val="28"/>
          <w:szCs w:val="28"/>
        </w:rPr>
        <w:t>GUE</w:t>
      </w:r>
      <w:r w:rsidR="003F3348" w:rsidRPr="00E94021">
        <w:rPr>
          <w:rFonts w:ascii="Times New Roman" w:hAnsi="Times New Roman" w:cs="Times New Roman"/>
          <w:sz w:val="28"/>
          <w:szCs w:val="28"/>
        </w:rPr>
        <w:t xml:space="preserve"> del 2 marzo 2021 apre scenari imprevedibili nell’assetto costituzionale e processuale del pubblico ministero</w:t>
      </w:r>
      <w:r w:rsidR="007476BD" w:rsidRPr="00E94021">
        <w:rPr>
          <w:rFonts w:ascii="Times New Roman" w:hAnsi="Times New Roman" w:cs="Times New Roman"/>
          <w:sz w:val="28"/>
          <w:szCs w:val="28"/>
        </w:rPr>
        <w:t>.</w:t>
      </w:r>
    </w:p>
    <w:p w14:paraId="29A554F5" w14:textId="77777777" w:rsidR="00090004" w:rsidRDefault="007476BD" w:rsidP="00090004">
      <w:pPr>
        <w:tabs>
          <w:tab w:val="left" w:pos="8364"/>
        </w:tabs>
        <w:spacing w:after="0"/>
        <w:jc w:val="both"/>
        <w:rPr>
          <w:rFonts w:ascii="Times New Roman" w:hAnsi="Times New Roman" w:cs="Times New Roman"/>
          <w:sz w:val="28"/>
          <w:szCs w:val="28"/>
        </w:rPr>
      </w:pPr>
      <w:r w:rsidRPr="00CD172E">
        <w:rPr>
          <w:rFonts w:ascii="Times New Roman" w:hAnsi="Times New Roman" w:cs="Times New Roman"/>
          <w:sz w:val="28"/>
          <w:szCs w:val="28"/>
        </w:rPr>
        <w:t>La prospettiva della C</w:t>
      </w:r>
      <w:r w:rsidR="00090004">
        <w:rPr>
          <w:rFonts w:ascii="Times New Roman" w:hAnsi="Times New Roman" w:cs="Times New Roman"/>
          <w:sz w:val="28"/>
          <w:szCs w:val="28"/>
        </w:rPr>
        <w:t>GUE</w:t>
      </w:r>
      <w:r w:rsidRPr="00CD172E">
        <w:rPr>
          <w:rFonts w:ascii="Times New Roman" w:hAnsi="Times New Roman" w:cs="Times New Roman"/>
          <w:sz w:val="28"/>
          <w:szCs w:val="28"/>
        </w:rPr>
        <w:t xml:space="preserve"> è affatto diversa da quella nazionale, poiché non assegna alcun rilievo alla collocazione ordinamentale del pubblico ministero e volge lo sguardo</w:t>
      </w:r>
      <w:r w:rsidR="00090004">
        <w:rPr>
          <w:rFonts w:ascii="Times New Roman" w:hAnsi="Times New Roman" w:cs="Times New Roman"/>
          <w:sz w:val="28"/>
          <w:szCs w:val="28"/>
        </w:rPr>
        <w:t>,</w:t>
      </w:r>
      <w:r w:rsidRPr="00CD172E">
        <w:rPr>
          <w:rFonts w:ascii="Times New Roman" w:hAnsi="Times New Roman" w:cs="Times New Roman"/>
          <w:sz w:val="28"/>
          <w:szCs w:val="28"/>
        </w:rPr>
        <w:t xml:space="preserve"> in modo esclusivo</w:t>
      </w:r>
      <w:r w:rsidR="00090004">
        <w:rPr>
          <w:rFonts w:ascii="Times New Roman" w:hAnsi="Times New Roman" w:cs="Times New Roman"/>
          <w:sz w:val="28"/>
          <w:szCs w:val="28"/>
        </w:rPr>
        <w:t>,</w:t>
      </w:r>
      <w:r w:rsidRPr="00CD172E">
        <w:rPr>
          <w:rFonts w:ascii="Times New Roman" w:hAnsi="Times New Roman" w:cs="Times New Roman"/>
          <w:sz w:val="28"/>
          <w:szCs w:val="28"/>
        </w:rPr>
        <w:t xml:space="preserve"> al procedimento penale e alle sue regole. Una traiettoria che assume, anche, una valenza attuale alla luce del progetto di riforma del processo penale e al dibattito sulla cosiddetta “separazione delle carriere”. </w:t>
      </w:r>
    </w:p>
    <w:p w14:paraId="686E4074" w14:textId="77777777" w:rsidR="00E937F4" w:rsidRDefault="007476BD" w:rsidP="00090004">
      <w:pPr>
        <w:tabs>
          <w:tab w:val="left" w:pos="8364"/>
        </w:tabs>
        <w:spacing w:after="0"/>
        <w:jc w:val="both"/>
        <w:rPr>
          <w:rFonts w:ascii="Times New Roman" w:hAnsi="Times New Roman" w:cs="Times New Roman"/>
          <w:sz w:val="28"/>
          <w:szCs w:val="28"/>
        </w:rPr>
      </w:pPr>
      <w:r w:rsidRPr="00CD172E">
        <w:rPr>
          <w:rFonts w:ascii="Times New Roman" w:hAnsi="Times New Roman" w:cs="Times New Roman"/>
          <w:sz w:val="28"/>
          <w:szCs w:val="28"/>
        </w:rPr>
        <w:t>La mistica del pubblico ministero racchiuso nell’ossimoro della “parte imparziale”, si trova pragmaticamente a essere messa in discussione.</w:t>
      </w:r>
      <w:r w:rsidR="00CD172E">
        <w:rPr>
          <w:rFonts w:ascii="Times New Roman" w:hAnsi="Times New Roman" w:cs="Times New Roman"/>
          <w:sz w:val="28"/>
          <w:szCs w:val="28"/>
        </w:rPr>
        <w:t xml:space="preserve"> </w:t>
      </w:r>
    </w:p>
    <w:p w14:paraId="7BD8586A" w14:textId="4035BBB1" w:rsidR="007476BD" w:rsidRDefault="00CD172E" w:rsidP="0009000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Corte di Giustizia si era già espressa</w:t>
      </w:r>
      <w:r w:rsidR="00090004">
        <w:rPr>
          <w:rFonts w:ascii="Times New Roman" w:hAnsi="Times New Roman" w:cs="Times New Roman"/>
          <w:sz w:val="28"/>
          <w:szCs w:val="28"/>
        </w:rPr>
        <w:t>,</w:t>
      </w:r>
      <w:r>
        <w:rPr>
          <w:rFonts w:ascii="Times New Roman" w:hAnsi="Times New Roman" w:cs="Times New Roman"/>
          <w:sz w:val="28"/>
          <w:szCs w:val="28"/>
        </w:rPr>
        <w:t xml:space="preserve"> nel 2014</w:t>
      </w:r>
      <w:r w:rsidR="00090004">
        <w:rPr>
          <w:rFonts w:ascii="Times New Roman" w:hAnsi="Times New Roman" w:cs="Times New Roman"/>
          <w:sz w:val="28"/>
          <w:szCs w:val="28"/>
        </w:rPr>
        <w:t>,</w:t>
      </w:r>
      <w:r>
        <w:rPr>
          <w:rFonts w:ascii="Times New Roman" w:hAnsi="Times New Roman" w:cs="Times New Roman"/>
          <w:sz w:val="28"/>
          <w:szCs w:val="28"/>
        </w:rPr>
        <w:t xml:space="preserve"> con la sentenza </w:t>
      </w:r>
      <w:r w:rsidRPr="00CD172E">
        <w:rPr>
          <w:rFonts w:ascii="Times New Roman" w:hAnsi="Times New Roman" w:cs="Times New Roman"/>
          <w:i/>
          <w:iCs/>
          <w:sz w:val="28"/>
          <w:szCs w:val="28"/>
        </w:rPr>
        <w:t xml:space="preserve">Digital </w:t>
      </w:r>
      <w:proofErr w:type="spellStart"/>
      <w:r w:rsidRPr="00CD172E">
        <w:rPr>
          <w:rFonts w:ascii="Times New Roman" w:hAnsi="Times New Roman" w:cs="Times New Roman"/>
          <w:i/>
          <w:iCs/>
          <w:sz w:val="28"/>
          <w:szCs w:val="28"/>
        </w:rPr>
        <w:t>Rigths</w:t>
      </w:r>
      <w:proofErr w:type="spellEnd"/>
      <w:r w:rsidRPr="00CD172E">
        <w:rPr>
          <w:rFonts w:ascii="Times New Roman" w:hAnsi="Times New Roman" w:cs="Times New Roman"/>
          <w:i/>
          <w:iCs/>
          <w:sz w:val="28"/>
          <w:szCs w:val="28"/>
        </w:rPr>
        <w:t xml:space="preserve"> </w:t>
      </w:r>
      <w:proofErr w:type="spellStart"/>
      <w:r w:rsidRPr="00CD172E">
        <w:rPr>
          <w:rFonts w:ascii="Times New Roman" w:hAnsi="Times New Roman" w:cs="Times New Roman"/>
          <w:i/>
          <w:iCs/>
          <w:sz w:val="28"/>
          <w:szCs w:val="28"/>
        </w:rPr>
        <w:t>Ireland</w:t>
      </w:r>
      <w:proofErr w:type="spellEnd"/>
      <w:r>
        <w:rPr>
          <w:rFonts w:ascii="Times New Roman" w:hAnsi="Times New Roman" w:cs="Times New Roman"/>
          <w:sz w:val="28"/>
          <w:szCs w:val="28"/>
        </w:rPr>
        <w:t xml:space="preserve"> e nel 2016 con la sentenza </w:t>
      </w:r>
      <w:r w:rsidRPr="00CD172E">
        <w:rPr>
          <w:rFonts w:ascii="Times New Roman" w:hAnsi="Times New Roman" w:cs="Times New Roman"/>
          <w:i/>
          <w:iCs/>
          <w:sz w:val="28"/>
          <w:szCs w:val="28"/>
        </w:rPr>
        <w:t>Tele 2</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Sverige</w:t>
      </w:r>
      <w:proofErr w:type="spellEnd"/>
      <w:r>
        <w:rPr>
          <w:rFonts w:ascii="Times New Roman" w:hAnsi="Times New Roman" w:cs="Times New Roman"/>
          <w:i/>
          <w:iCs/>
          <w:sz w:val="28"/>
          <w:szCs w:val="28"/>
        </w:rPr>
        <w:t xml:space="preserve"> </w:t>
      </w:r>
      <w:r w:rsidRPr="00090004">
        <w:rPr>
          <w:rFonts w:ascii="Times New Roman" w:hAnsi="Times New Roman" w:cs="Times New Roman"/>
          <w:sz w:val="28"/>
          <w:szCs w:val="28"/>
        </w:rPr>
        <w:t>e</w:t>
      </w:r>
      <w:r>
        <w:rPr>
          <w:rFonts w:ascii="Times New Roman" w:hAnsi="Times New Roman" w:cs="Times New Roman"/>
          <w:i/>
          <w:iCs/>
          <w:sz w:val="28"/>
          <w:szCs w:val="28"/>
        </w:rPr>
        <w:t xml:space="preserve"> </w:t>
      </w:r>
      <w:r w:rsidRPr="00CD172E">
        <w:rPr>
          <w:rFonts w:ascii="Times New Roman" w:hAnsi="Times New Roman" w:cs="Times New Roman"/>
          <w:sz w:val="28"/>
          <w:szCs w:val="28"/>
        </w:rPr>
        <w:t xml:space="preserve">la Corte di </w:t>
      </w:r>
      <w:r>
        <w:rPr>
          <w:rFonts w:ascii="Times New Roman" w:hAnsi="Times New Roman" w:cs="Times New Roman"/>
          <w:sz w:val="28"/>
          <w:szCs w:val="28"/>
        </w:rPr>
        <w:t>C</w:t>
      </w:r>
      <w:r w:rsidRPr="00CD172E">
        <w:rPr>
          <w:rFonts w:ascii="Times New Roman" w:hAnsi="Times New Roman" w:cs="Times New Roman"/>
          <w:sz w:val="28"/>
          <w:szCs w:val="28"/>
        </w:rPr>
        <w:t>assazione</w:t>
      </w:r>
      <w:r>
        <w:rPr>
          <w:rFonts w:ascii="Times New Roman" w:hAnsi="Times New Roman" w:cs="Times New Roman"/>
          <w:sz w:val="28"/>
          <w:szCs w:val="28"/>
        </w:rPr>
        <w:t>, investita della questione dell’applicazione di questa giurisprudenza eurounitaria in modo diretto, aveva da ultimo convalidato tale impostazione</w:t>
      </w:r>
      <w:r w:rsidR="00090004">
        <w:rPr>
          <w:rFonts w:ascii="Times New Roman" w:hAnsi="Times New Roman" w:cs="Times New Roman"/>
          <w:sz w:val="28"/>
          <w:szCs w:val="28"/>
        </w:rPr>
        <w:t>,</w:t>
      </w:r>
      <w:r>
        <w:rPr>
          <w:rFonts w:ascii="Times New Roman" w:hAnsi="Times New Roman" w:cs="Times New Roman"/>
          <w:sz w:val="28"/>
          <w:szCs w:val="28"/>
        </w:rPr>
        <w:t xml:space="preserve"> sostenendo che certamente si doveva rientrare nel novero dei </w:t>
      </w:r>
      <w:proofErr w:type="spellStart"/>
      <w:r w:rsidRPr="00CD172E">
        <w:rPr>
          <w:rFonts w:ascii="Times New Roman" w:hAnsi="Times New Roman" w:cs="Times New Roman"/>
          <w:i/>
          <w:iCs/>
          <w:sz w:val="28"/>
          <w:szCs w:val="28"/>
        </w:rPr>
        <w:t>serious</w:t>
      </w:r>
      <w:proofErr w:type="spellEnd"/>
      <w:r w:rsidRPr="00CD172E">
        <w:rPr>
          <w:rFonts w:ascii="Times New Roman" w:hAnsi="Times New Roman" w:cs="Times New Roman"/>
          <w:i/>
          <w:iCs/>
          <w:sz w:val="28"/>
          <w:szCs w:val="28"/>
        </w:rPr>
        <w:t xml:space="preserve"> </w:t>
      </w:r>
      <w:proofErr w:type="spellStart"/>
      <w:r w:rsidRPr="00CD172E">
        <w:rPr>
          <w:rFonts w:ascii="Times New Roman" w:hAnsi="Times New Roman" w:cs="Times New Roman"/>
          <w:i/>
          <w:iCs/>
          <w:sz w:val="28"/>
          <w:szCs w:val="28"/>
        </w:rPr>
        <w:t>crimes</w:t>
      </w:r>
      <w:proofErr w:type="spellEnd"/>
      <w:r>
        <w:rPr>
          <w:rFonts w:ascii="Times New Roman" w:hAnsi="Times New Roman" w:cs="Times New Roman"/>
          <w:sz w:val="28"/>
          <w:szCs w:val="28"/>
        </w:rPr>
        <w:t xml:space="preserve">: </w:t>
      </w:r>
      <w:r w:rsidR="003024C3">
        <w:rPr>
          <w:rFonts w:ascii="Times New Roman" w:hAnsi="Times New Roman" w:cs="Times New Roman"/>
          <w:sz w:val="28"/>
          <w:szCs w:val="28"/>
        </w:rPr>
        <w:t>«</w:t>
      </w:r>
      <w:r w:rsidRPr="00CD172E">
        <w:rPr>
          <w:rFonts w:ascii="Times New Roman" w:hAnsi="Times New Roman" w:cs="Times New Roman"/>
          <w:i/>
          <w:iCs/>
          <w:sz w:val="28"/>
          <w:szCs w:val="28"/>
        </w:rPr>
        <w:t>nel caso in esame</w:t>
      </w:r>
      <w:r>
        <w:rPr>
          <w:rFonts w:ascii="Times New Roman" w:hAnsi="Times New Roman" w:cs="Times New Roman"/>
          <w:i/>
          <w:iCs/>
          <w:sz w:val="28"/>
          <w:szCs w:val="28"/>
        </w:rPr>
        <w:t xml:space="preserve">, essendosi proceduto </w:t>
      </w:r>
      <w:r w:rsidR="00387855">
        <w:rPr>
          <w:rFonts w:ascii="Times New Roman" w:hAnsi="Times New Roman" w:cs="Times New Roman"/>
          <w:i/>
          <w:iCs/>
          <w:sz w:val="28"/>
          <w:szCs w:val="28"/>
        </w:rPr>
        <w:t>per associazione a delinquere finalizzata alla consumazione di reati contro il patrimonio, nonché per molteplici episodi di furti aggravati ed anche rapina, deve ritenersi che l’accesso ai dati di traffico sia avvenuto</w:t>
      </w:r>
      <w:r w:rsidR="000420B2">
        <w:rPr>
          <w:rFonts w:ascii="Times New Roman" w:hAnsi="Times New Roman" w:cs="Times New Roman"/>
          <w:i/>
          <w:iCs/>
          <w:sz w:val="28"/>
          <w:szCs w:val="28"/>
        </w:rPr>
        <w:t xml:space="preserve"> in un contesto di indagini di criminalità organizzata a seguito di provvedimento di un’autorità giurisdizionale e con </w:t>
      </w:r>
      <w:r w:rsidR="000420B2">
        <w:rPr>
          <w:rFonts w:ascii="Times New Roman" w:hAnsi="Times New Roman" w:cs="Times New Roman"/>
          <w:i/>
          <w:iCs/>
          <w:sz w:val="28"/>
          <w:szCs w:val="28"/>
        </w:rPr>
        <w:lastRenderedPageBreak/>
        <w:t>l’acquisizione effettuata entro il biennio che costituisce un periodo di tempo limitato</w:t>
      </w:r>
      <w:r w:rsidR="003024C3">
        <w:rPr>
          <w:rFonts w:ascii="Times New Roman" w:hAnsi="Times New Roman" w:cs="Times New Roman"/>
          <w:i/>
          <w:iCs/>
          <w:sz w:val="28"/>
          <w:szCs w:val="28"/>
        </w:rPr>
        <w:t>»</w:t>
      </w:r>
      <w:r w:rsidR="00534F15" w:rsidRPr="00534F15">
        <w:rPr>
          <w:rStyle w:val="Rimandonotaapidipagina"/>
          <w:rFonts w:ascii="Times New Roman" w:hAnsi="Times New Roman" w:cs="Times New Roman"/>
          <w:sz w:val="28"/>
          <w:szCs w:val="28"/>
        </w:rPr>
        <w:footnoteReference w:id="49"/>
      </w:r>
      <w:r w:rsidR="00534F15" w:rsidRPr="00534F15">
        <w:rPr>
          <w:rFonts w:ascii="Times New Roman" w:hAnsi="Times New Roman" w:cs="Times New Roman"/>
          <w:sz w:val="28"/>
          <w:szCs w:val="28"/>
        </w:rPr>
        <w:t>.</w:t>
      </w:r>
    </w:p>
    <w:p w14:paraId="3EFCEA47" w14:textId="11C66461" w:rsidR="000420B2" w:rsidRDefault="000420B2" w:rsidP="0009000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Non si può omettere di considerare che la giurisprudenza nazionale aveva, comunque, dichiarato di porsi sulla scia delle precedenti pronunce della Corte di Lussemburgo</w:t>
      </w:r>
      <w:r w:rsidR="00090004">
        <w:rPr>
          <w:rFonts w:ascii="Times New Roman" w:hAnsi="Times New Roman" w:cs="Times New Roman"/>
          <w:sz w:val="28"/>
          <w:szCs w:val="28"/>
        </w:rPr>
        <w:t>,</w:t>
      </w:r>
      <w:r>
        <w:rPr>
          <w:rFonts w:ascii="Times New Roman" w:hAnsi="Times New Roman" w:cs="Times New Roman"/>
          <w:sz w:val="28"/>
          <w:szCs w:val="28"/>
        </w:rPr>
        <w:t xml:space="preserve"> quanto meno ai fini della delimitazione dei casi e dei tempi per l’acquisizione dei dati di traffico</w:t>
      </w:r>
      <w:r w:rsidR="00534F15">
        <w:rPr>
          <w:rStyle w:val="Rimandonotaapidipagina"/>
          <w:rFonts w:ascii="Times New Roman" w:hAnsi="Times New Roman" w:cs="Times New Roman"/>
          <w:sz w:val="28"/>
          <w:szCs w:val="28"/>
        </w:rPr>
        <w:footnoteReference w:id="50"/>
      </w:r>
      <w:r>
        <w:rPr>
          <w:rFonts w:ascii="Times New Roman" w:hAnsi="Times New Roman" w:cs="Times New Roman"/>
          <w:sz w:val="28"/>
          <w:szCs w:val="28"/>
        </w:rPr>
        <w:t>. Quel che era inatteso</w:t>
      </w:r>
      <w:r w:rsidR="00502704">
        <w:rPr>
          <w:rFonts w:ascii="Times New Roman" w:hAnsi="Times New Roman" w:cs="Times New Roman"/>
          <w:sz w:val="28"/>
          <w:szCs w:val="28"/>
        </w:rPr>
        <w:t xml:space="preserve"> –</w:t>
      </w:r>
      <w:r>
        <w:rPr>
          <w:rFonts w:ascii="Times New Roman" w:hAnsi="Times New Roman" w:cs="Times New Roman"/>
          <w:sz w:val="28"/>
          <w:szCs w:val="28"/>
        </w:rPr>
        <w:t xml:space="preserve"> e che è destinato </w:t>
      </w:r>
      <w:r w:rsidR="00D309AA">
        <w:rPr>
          <w:rFonts w:ascii="Times New Roman" w:hAnsi="Times New Roman" w:cs="Times New Roman"/>
          <w:sz w:val="28"/>
          <w:szCs w:val="28"/>
        </w:rPr>
        <w:t>a sollevare innumerevoli controversie</w:t>
      </w:r>
      <w:r w:rsidR="00502704">
        <w:rPr>
          <w:rFonts w:ascii="Times New Roman" w:hAnsi="Times New Roman" w:cs="Times New Roman"/>
          <w:sz w:val="28"/>
          <w:szCs w:val="28"/>
        </w:rPr>
        <w:t xml:space="preserve"> –</w:t>
      </w:r>
      <w:r w:rsidR="00D309AA">
        <w:rPr>
          <w:rFonts w:ascii="Times New Roman" w:hAnsi="Times New Roman" w:cs="Times New Roman"/>
          <w:sz w:val="28"/>
          <w:szCs w:val="28"/>
        </w:rPr>
        <w:t xml:space="preserve"> è che la Corte di Giustizia negasse al pubblico ministero la potestà di poter operare direttamente tali acquisizioni senza il tramite di un provvedimento adottato da un giudice terzo e imparziale. </w:t>
      </w:r>
    </w:p>
    <w:p w14:paraId="0305A732" w14:textId="77777777" w:rsidR="0064371F" w:rsidRDefault="0064371F" w:rsidP="00090004">
      <w:pPr>
        <w:tabs>
          <w:tab w:val="left" w:pos="8364"/>
        </w:tabs>
        <w:spacing w:after="0"/>
        <w:jc w:val="both"/>
        <w:rPr>
          <w:rFonts w:ascii="Times New Roman" w:hAnsi="Times New Roman" w:cs="Times New Roman"/>
          <w:sz w:val="28"/>
          <w:szCs w:val="28"/>
        </w:rPr>
      </w:pPr>
    </w:p>
    <w:p w14:paraId="4AFEA611" w14:textId="77777777" w:rsidR="00502704" w:rsidRDefault="003E7E7B" w:rsidP="00502704">
      <w:pPr>
        <w:tabs>
          <w:tab w:val="left" w:pos="8364"/>
        </w:tabs>
        <w:spacing w:after="0"/>
        <w:jc w:val="both"/>
        <w:rPr>
          <w:rFonts w:ascii="Times New Roman" w:hAnsi="Times New Roman" w:cs="Times New Roman"/>
          <w:sz w:val="28"/>
          <w:szCs w:val="28"/>
        </w:rPr>
      </w:pPr>
      <w:r w:rsidRPr="003E7E7B">
        <w:rPr>
          <w:rFonts w:ascii="Times New Roman" w:hAnsi="Times New Roman" w:cs="Times New Roman"/>
          <w:sz w:val="28"/>
          <w:szCs w:val="28"/>
        </w:rPr>
        <w:t xml:space="preserve">Autorevole dottrina </w:t>
      </w:r>
      <w:r>
        <w:rPr>
          <w:rFonts w:ascii="Times New Roman" w:hAnsi="Times New Roman" w:cs="Times New Roman"/>
          <w:sz w:val="28"/>
          <w:szCs w:val="28"/>
        </w:rPr>
        <w:t>ha sostenuto che “</w:t>
      </w:r>
      <w:r w:rsidRPr="003E7E7B">
        <w:rPr>
          <w:rFonts w:ascii="Times New Roman" w:hAnsi="Times New Roman" w:cs="Times New Roman"/>
          <w:i/>
          <w:iCs/>
          <w:sz w:val="28"/>
          <w:szCs w:val="28"/>
        </w:rPr>
        <w:t xml:space="preserve">imparzialità e terzietà sono concetti in rapporto di specialità; il più generale è quello della imparzialità, il più specifico quello della terzietà, </w:t>
      </w:r>
      <w:r w:rsidR="0082172A" w:rsidRPr="003E7E7B">
        <w:rPr>
          <w:rFonts w:ascii="Times New Roman" w:hAnsi="Times New Roman" w:cs="Times New Roman"/>
          <w:i/>
          <w:iCs/>
          <w:sz w:val="28"/>
          <w:szCs w:val="28"/>
        </w:rPr>
        <w:t>cosicché</w:t>
      </w:r>
      <w:r w:rsidRPr="003E7E7B">
        <w:rPr>
          <w:rFonts w:ascii="Times New Roman" w:hAnsi="Times New Roman" w:cs="Times New Roman"/>
          <w:i/>
          <w:iCs/>
          <w:sz w:val="28"/>
          <w:szCs w:val="28"/>
        </w:rPr>
        <w:t xml:space="preserve"> mentre si possono avere casi di imparzialità senza terzietà, non è pensabile una terzietà senza imparzialità.</w:t>
      </w:r>
      <w:r w:rsidR="00D027E5">
        <w:rPr>
          <w:rFonts w:ascii="Times New Roman" w:hAnsi="Times New Roman" w:cs="Times New Roman"/>
          <w:i/>
          <w:iCs/>
          <w:sz w:val="28"/>
          <w:szCs w:val="28"/>
        </w:rPr>
        <w:t xml:space="preserve"> </w:t>
      </w:r>
      <w:r w:rsidRPr="003E7E7B">
        <w:rPr>
          <w:rFonts w:ascii="Times New Roman" w:hAnsi="Times New Roman" w:cs="Times New Roman"/>
          <w:i/>
          <w:iCs/>
          <w:sz w:val="28"/>
          <w:szCs w:val="28"/>
        </w:rPr>
        <w:t xml:space="preserve">Usando i diagrammi di </w:t>
      </w:r>
      <w:proofErr w:type="spellStart"/>
      <w:r w:rsidRPr="003E7E7B">
        <w:rPr>
          <w:rFonts w:ascii="Times New Roman" w:hAnsi="Times New Roman" w:cs="Times New Roman"/>
          <w:i/>
          <w:iCs/>
          <w:sz w:val="28"/>
          <w:szCs w:val="28"/>
        </w:rPr>
        <w:t>Venn</w:t>
      </w:r>
      <w:proofErr w:type="spellEnd"/>
      <w:r w:rsidRPr="003E7E7B">
        <w:rPr>
          <w:rFonts w:ascii="Times New Roman" w:hAnsi="Times New Roman" w:cs="Times New Roman"/>
          <w:i/>
          <w:iCs/>
          <w:sz w:val="28"/>
          <w:szCs w:val="28"/>
        </w:rPr>
        <w:t>, l’imparzialità è un cerchio più ampio al cu</w:t>
      </w:r>
      <w:r w:rsidR="00502704">
        <w:rPr>
          <w:rFonts w:ascii="Times New Roman" w:hAnsi="Times New Roman" w:cs="Times New Roman"/>
          <w:i/>
          <w:iCs/>
          <w:sz w:val="28"/>
          <w:szCs w:val="28"/>
        </w:rPr>
        <w:t>i</w:t>
      </w:r>
      <w:r>
        <w:rPr>
          <w:rFonts w:ascii="Times New Roman" w:hAnsi="Times New Roman" w:cs="Times New Roman"/>
          <w:i/>
          <w:iCs/>
          <w:sz w:val="28"/>
          <w:szCs w:val="28"/>
        </w:rPr>
        <w:t xml:space="preserve"> interno sta interamente un cerchio più piccolo che rappresenta la terzietà</w:t>
      </w:r>
      <w:r w:rsidR="0082172A" w:rsidRPr="0082172A">
        <w:rPr>
          <w:rFonts w:ascii="Times New Roman" w:hAnsi="Times New Roman" w:cs="Times New Roman"/>
          <w:sz w:val="28"/>
          <w:szCs w:val="28"/>
        </w:rPr>
        <w:t>”</w:t>
      </w:r>
      <w:r w:rsidR="0082172A" w:rsidRPr="0082172A">
        <w:rPr>
          <w:rStyle w:val="Rimandonotaapidipagina"/>
          <w:rFonts w:ascii="Times New Roman" w:hAnsi="Times New Roman" w:cs="Times New Roman"/>
          <w:sz w:val="28"/>
          <w:szCs w:val="28"/>
        </w:rPr>
        <w:footnoteReference w:id="51"/>
      </w:r>
      <w:r w:rsidR="0082172A" w:rsidRPr="0082172A">
        <w:rPr>
          <w:rFonts w:ascii="Times New Roman" w:hAnsi="Times New Roman" w:cs="Times New Roman"/>
          <w:sz w:val="28"/>
          <w:szCs w:val="28"/>
        </w:rPr>
        <w:t>;</w:t>
      </w:r>
      <w:r w:rsidR="0082172A">
        <w:rPr>
          <w:rFonts w:ascii="Times New Roman" w:hAnsi="Times New Roman" w:cs="Times New Roman"/>
          <w:i/>
          <w:iCs/>
          <w:sz w:val="28"/>
          <w:szCs w:val="28"/>
        </w:rPr>
        <w:t xml:space="preserve"> </w:t>
      </w:r>
      <w:r>
        <w:rPr>
          <w:rFonts w:ascii="Times New Roman" w:hAnsi="Times New Roman" w:cs="Times New Roman"/>
          <w:sz w:val="28"/>
          <w:szCs w:val="28"/>
        </w:rPr>
        <w:t xml:space="preserve">in altre parole, a prescindere da precari equilibrismi verbali, può anche </w:t>
      </w:r>
      <w:r w:rsidR="006F1873">
        <w:rPr>
          <w:rFonts w:ascii="Times New Roman" w:hAnsi="Times New Roman" w:cs="Times New Roman"/>
          <w:sz w:val="28"/>
          <w:szCs w:val="28"/>
        </w:rPr>
        <w:t>convenirsi che il pubblico ministero</w:t>
      </w:r>
      <w:r w:rsidR="00502704">
        <w:rPr>
          <w:rFonts w:ascii="Times New Roman" w:hAnsi="Times New Roman" w:cs="Times New Roman"/>
          <w:sz w:val="28"/>
          <w:szCs w:val="28"/>
        </w:rPr>
        <w:t>,</w:t>
      </w:r>
      <w:r w:rsidR="006F1873">
        <w:rPr>
          <w:rFonts w:ascii="Times New Roman" w:hAnsi="Times New Roman" w:cs="Times New Roman"/>
          <w:sz w:val="28"/>
          <w:szCs w:val="28"/>
        </w:rPr>
        <w:t xml:space="preserve"> quale organo pubblico</w:t>
      </w:r>
      <w:r w:rsidR="00502704">
        <w:rPr>
          <w:rFonts w:ascii="Times New Roman" w:hAnsi="Times New Roman" w:cs="Times New Roman"/>
          <w:sz w:val="28"/>
          <w:szCs w:val="28"/>
        </w:rPr>
        <w:t>,</w:t>
      </w:r>
      <w:r w:rsidR="006F1873">
        <w:rPr>
          <w:rFonts w:ascii="Times New Roman" w:hAnsi="Times New Roman" w:cs="Times New Roman"/>
          <w:sz w:val="28"/>
          <w:szCs w:val="28"/>
        </w:rPr>
        <w:t xml:space="preserve"> agisca con imparzialità e che gli possa competere la qualifica di “parte imparziale”, ma quel che deve escludersi radicalmente è che il </w:t>
      </w:r>
      <w:proofErr w:type="spellStart"/>
      <w:r w:rsidR="006F1873" w:rsidRPr="00887A3D">
        <w:rPr>
          <w:rFonts w:ascii="Times New Roman" w:hAnsi="Times New Roman" w:cs="Times New Roman"/>
          <w:i/>
          <w:iCs/>
          <w:sz w:val="28"/>
          <w:szCs w:val="28"/>
        </w:rPr>
        <w:t>munus</w:t>
      </w:r>
      <w:proofErr w:type="spellEnd"/>
      <w:r w:rsidR="006F1873">
        <w:rPr>
          <w:rFonts w:ascii="Times New Roman" w:hAnsi="Times New Roman" w:cs="Times New Roman"/>
          <w:sz w:val="28"/>
          <w:szCs w:val="28"/>
        </w:rPr>
        <w:t xml:space="preserve"> sia connotato dal requisito della terzietà, fondamento costitutivo della giurisdizione.</w:t>
      </w:r>
      <w:r w:rsidR="00D027E5">
        <w:rPr>
          <w:rFonts w:ascii="Times New Roman" w:hAnsi="Times New Roman" w:cs="Times New Roman"/>
          <w:sz w:val="28"/>
          <w:szCs w:val="28"/>
        </w:rPr>
        <w:t xml:space="preserve"> </w:t>
      </w:r>
      <w:r w:rsidR="006F1873">
        <w:rPr>
          <w:rFonts w:ascii="Times New Roman" w:hAnsi="Times New Roman" w:cs="Times New Roman"/>
          <w:sz w:val="28"/>
          <w:szCs w:val="28"/>
        </w:rPr>
        <w:t>Ed è proprio nel solco di questa riflessione che si colloca la sentenza della Corte di Giustizia del 2 marzo 2021</w:t>
      </w:r>
      <w:r w:rsidR="00887A3D">
        <w:rPr>
          <w:rFonts w:ascii="Times New Roman" w:hAnsi="Times New Roman" w:cs="Times New Roman"/>
          <w:sz w:val="28"/>
          <w:szCs w:val="28"/>
        </w:rPr>
        <w:t xml:space="preserve">, la quale esclude che il pubblico ministero possa assolvere alla funzione di equilibrato, giusto e terzo titolare del potere di acquisizione dei dati di traffico presso i gestori. </w:t>
      </w:r>
    </w:p>
    <w:p w14:paraId="5D7AC1AA" w14:textId="251B2676" w:rsidR="003E7E7B" w:rsidRDefault="00887A3D" w:rsidP="0050270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Sul punto</w:t>
      </w:r>
      <w:r w:rsidR="00502704">
        <w:rPr>
          <w:rFonts w:ascii="Times New Roman" w:hAnsi="Times New Roman" w:cs="Times New Roman"/>
          <w:sz w:val="28"/>
          <w:szCs w:val="28"/>
        </w:rPr>
        <w:t>,</w:t>
      </w:r>
      <w:r>
        <w:rPr>
          <w:rFonts w:ascii="Times New Roman" w:hAnsi="Times New Roman" w:cs="Times New Roman"/>
          <w:sz w:val="28"/>
          <w:szCs w:val="28"/>
        </w:rPr>
        <w:t xml:space="preserve"> la pronuncia esprime valutazioni irretrattabili e definitive che, per la prima volta, revocano in dubbio anche la tesi di una protezione della privacy a “sfere concentriche” (secondo l’approccio della dottrina costituzionale tedesca)</w:t>
      </w:r>
      <w:r w:rsidR="00502704">
        <w:rPr>
          <w:rFonts w:ascii="Times New Roman" w:hAnsi="Times New Roman" w:cs="Times New Roman"/>
          <w:sz w:val="28"/>
          <w:szCs w:val="28"/>
        </w:rPr>
        <w:t>,</w:t>
      </w:r>
      <w:r>
        <w:rPr>
          <w:rFonts w:ascii="Times New Roman" w:hAnsi="Times New Roman" w:cs="Times New Roman"/>
          <w:sz w:val="28"/>
          <w:szCs w:val="28"/>
        </w:rPr>
        <w:t xml:space="preserve"> per cui si dovrebbe assicurare il massimo di tutela in presenza di captazioni e intercettazioni, laddove per i c</w:t>
      </w:r>
      <w:r w:rsidR="003024C3">
        <w:rPr>
          <w:rFonts w:ascii="Times New Roman" w:hAnsi="Times New Roman" w:cs="Times New Roman"/>
          <w:sz w:val="28"/>
          <w:szCs w:val="28"/>
        </w:rPr>
        <w:t>.</w:t>
      </w:r>
      <w:r>
        <w:rPr>
          <w:rFonts w:ascii="Times New Roman" w:hAnsi="Times New Roman" w:cs="Times New Roman"/>
          <w:sz w:val="28"/>
          <w:szCs w:val="28"/>
        </w:rPr>
        <w:t>d.</w:t>
      </w:r>
      <w:r w:rsidR="0082172A">
        <w:rPr>
          <w:rFonts w:ascii="Times New Roman" w:hAnsi="Times New Roman" w:cs="Times New Roman"/>
          <w:sz w:val="28"/>
          <w:szCs w:val="28"/>
        </w:rPr>
        <w:t xml:space="preserve"> “</w:t>
      </w:r>
      <w:r w:rsidRPr="004F78AA">
        <w:rPr>
          <w:rFonts w:ascii="Times New Roman" w:hAnsi="Times New Roman" w:cs="Times New Roman"/>
          <w:i/>
          <w:iCs/>
          <w:sz w:val="28"/>
          <w:szCs w:val="28"/>
        </w:rPr>
        <w:t>dati esteriori di traffico</w:t>
      </w:r>
      <w:r>
        <w:rPr>
          <w:rFonts w:ascii="Times New Roman" w:hAnsi="Times New Roman" w:cs="Times New Roman"/>
          <w:sz w:val="28"/>
          <w:szCs w:val="28"/>
        </w:rPr>
        <w:t xml:space="preserve">” si </w:t>
      </w:r>
      <w:r w:rsidR="004F78AA">
        <w:rPr>
          <w:rFonts w:ascii="Times New Roman" w:hAnsi="Times New Roman" w:cs="Times New Roman"/>
          <w:sz w:val="28"/>
          <w:szCs w:val="28"/>
        </w:rPr>
        <w:t>potrebbe assicurare una protezione affievolita sia in ordine ai presupposti</w:t>
      </w:r>
      <w:r w:rsidR="00502704">
        <w:rPr>
          <w:rFonts w:ascii="Times New Roman" w:hAnsi="Times New Roman" w:cs="Times New Roman"/>
          <w:sz w:val="28"/>
          <w:szCs w:val="28"/>
        </w:rPr>
        <w:t>,</w:t>
      </w:r>
      <w:r w:rsidR="004F78AA">
        <w:rPr>
          <w:rFonts w:ascii="Times New Roman" w:hAnsi="Times New Roman" w:cs="Times New Roman"/>
          <w:sz w:val="28"/>
          <w:szCs w:val="28"/>
        </w:rPr>
        <w:t xml:space="preserve"> che all’autorità procedente.</w:t>
      </w:r>
    </w:p>
    <w:p w14:paraId="071805E1" w14:textId="1D9F35D1" w:rsidR="004F78AA" w:rsidRDefault="004F78AA" w:rsidP="0050270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densità assiologica del diritto coinvolto è tale,</w:t>
      </w:r>
      <w:r w:rsidR="0082172A">
        <w:rPr>
          <w:rFonts w:ascii="Times New Roman" w:hAnsi="Times New Roman" w:cs="Times New Roman"/>
          <w:sz w:val="28"/>
          <w:szCs w:val="28"/>
        </w:rPr>
        <w:t xml:space="preserve"> </w:t>
      </w:r>
      <w:r>
        <w:rPr>
          <w:rFonts w:ascii="Times New Roman" w:hAnsi="Times New Roman" w:cs="Times New Roman"/>
          <w:sz w:val="28"/>
          <w:szCs w:val="28"/>
        </w:rPr>
        <w:t xml:space="preserve">infatti, da non consentire </w:t>
      </w:r>
      <w:r w:rsidRPr="00502704">
        <w:rPr>
          <w:rFonts w:ascii="Times New Roman" w:hAnsi="Times New Roman" w:cs="Times New Roman"/>
          <w:sz w:val="28"/>
          <w:szCs w:val="28"/>
        </w:rPr>
        <w:t>graduazioni di</w:t>
      </w:r>
      <w:r>
        <w:rPr>
          <w:rFonts w:ascii="Times New Roman" w:hAnsi="Times New Roman" w:cs="Times New Roman"/>
          <w:sz w:val="28"/>
          <w:szCs w:val="28"/>
        </w:rPr>
        <w:t xml:space="preserve"> tal fatta e di decentrare, quindi, l’individuazione dell’autorità che deve disporre </w:t>
      </w:r>
      <w:r>
        <w:rPr>
          <w:rFonts w:ascii="Times New Roman" w:hAnsi="Times New Roman" w:cs="Times New Roman"/>
          <w:sz w:val="28"/>
          <w:szCs w:val="28"/>
        </w:rPr>
        <w:lastRenderedPageBreak/>
        <w:t>l’acquisizione nel perimetro giurisdizionale (giudice) o fuori di esso (pubblico ministero)</w:t>
      </w:r>
      <w:r w:rsidR="00502704">
        <w:rPr>
          <w:rFonts w:ascii="Times New Roman" w:hAnsi="Times New Roman" w:cs="Times New Roman"/>
          <w:sz w:val="28"/>
          <w:szCs w:val="28"/>
        </w:rPr>
        <w:t>,</w:t>
      </w:r>
      <w:r w:rsidR="0082172A">
        <w:rPr>
          <w:rFonts w:ascii="Times New Roman" w:hAnsi="Times New Roman" w:cs="Times New Roman"/>
          <w:sz w:val="28"/>
          <w:szCs w:val="28"/>
        </w:rPr>
        <w:t xml:space="preserve"> </w:t>
      </w:r>
      <w:r>
        <w:rPr>
          <w:rFonts w:ascii="Times New Roman" w:hAnsi="Times New Roman" w:cs="Times New Roman"/>
          <w:sz w:val="28"/>
          <w:szCs w:val="28"/>
        </w:rPr>
        <w:t>in funzione della sola entità della lesione che va a realizzare.</w:t>
      </w:r>
    </w:p>
    <w:p w14:paraId="0BF9D8B3" w14:textId="0AEBE75C" w:rsidR="004F78AA" w:rsidRDefault="004F78AA" w:rsidP="0050270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Lo snodo argomentativo è chiaro e conduce a conclusioni che sono inevitabili: il pubblico ministero</w:t>
      </w:r>
      <w:r w:rsidR="003024C3">
        <w:rPr>
          <w:rFonts w:ascii="Times New Roman" w:hAnsi="Times New Roman" w:cs="Times New Roman"/>
          <w:sz w:val="28"/>
          <w:szCs w:val="28"/>
        </w:rPr>
        <w:t>,</w:t>
      </w:r>
      <w:r>
        <w:rPr>
          <w:rFonts w:ascii="Times New Roman" w:hAnsi="Times New Roman" w:cs="Times New Roman"/>
          <w:sz w:val="28"/>
          <w:szCs w:val="28"/>
        </w:rPr>
        <w:t xml:space="preserve"> per quanto possa agire imparzialmente</w:t>
      </w:r>
      <w:r w:rsidR="003024C3">
        <w:rPr>
          <w:rFonts w:ascii="Times New Roman" w:hAnsi="Times New Roman" w:cs="Times New Roman"/>
          <w:sz w:val="28"/>
          <w:szCs w:val="28"/>
        </w:rPr>
        <w:t>,</w:t>
      </w:r>
      <w:r>
        <w:rPr>
          <w:rFonts w:ascii="Times New Roman" w:hAnsi="Times New Roman" w:cs="Times New Roman"/>
          <w:sz w:val="28"/>
          <w:szCs w:val="28"/>
        </w:rPr>
        <w:t xml:space="preserve"> è, comunque, sprovvisto di terzietà rispetto al privato cittadino (sia esso indagato o no) e l’indipendenza che la </w:t>
      </w:r>
      <w:proofErr w:type="spellStart"/>
      <w:r w:rsidRPr="00BB0923">
        <w:rPr>
          <w:rFonts w:ascii="Times New Roman" w:hAnsi="Times New Roman" w:cs="Times New Roman"/>
          <w:i/>
          <w:iCs/>
          <w:sz w:val="28"/>
          <w:szCs w:val="28"/>
        </w:rPr>
        <w:t>Grundnorm</w:t>
      </w:r>
      <w:proofErr w:type="spellEnd"/>
      <w:r>
        <w:rPr>
          <w:rFonts w:ascii="Times New Roman" w:hAnsi="Times New Roman" w:cs="Times New Roman"/>
          <w:sz w:val="28"/>
          <w:szCs w:val="28"/>
        </w:rPr>
        <w:t xml:space="preserve"> comunitaria esige per l’autorità che dispone l’ingerenza nella vita privata </w:t>
      </w:r>
      <w:r w:rsidR="003024C3">
        <w:rPr>
          <w:rFonts w:ascii="Times New Roman" w:hAnsi="Times New Roman" w:cs="Times New Roman"/>
          <w:i/>
          <w:iCs/>
          <w:sz w:val="28"/>
          <w:szCs w:val="28"/>
        </w:rPr>
        <w:t>«</w:t>
      </w:r>
      <w:r w:rsidRPr="004F78AA">
        <w:rPr>
          <w:rFonts w:ascii="Times New Roman" w:hAnsi="Times New Roman" w:cs="Times New Roman"/>
          <w:i/>
          <w:iCs/>
          <w:sz w:val="28"/>
          <w:szCs w:val="28"/>
        </w:rPr>
        <w:t xml:space="preserve">impone </w:t>
      </w:r>
      <w:r>
        <w:rPr>
          <w:rFonts w:ascii="Times New Roman" w:hAnsi="Times New Roman" w:cs="Times New Roman"/>
          <w:i/>
          <w:iCs/>
          <w:sz w:val="28"/>
          <w:szCs w:val="28"/>
        </w:rPr>
        <w:t xml:space="preserve">che tale autorità abbia la qualità di terzo </w:t>
      </w:r>
      <w:r w:rsidR="00D16FE1">
        <w:rPr>
          <w:rFonts w:ascii="Times New Roman" w:hAnsi="Times New Roman" w:cs="Times New Roman"/>
          <w:i/>
          <w:iCs/>
          <w:sz w:val="28"/>
          <w:szCs w:val="28"/>
        </w:rPr>
        <w:t>rispetto a quella che chiede l’accesso</w:t>
      </w:r>
      <w:r w:rsidR="00BA3679">
        <w:rPr>
          <w:rFonts w:ascii="Times New Roman" w:hAnsi="Times New Roman" w:cs="Times New Roman"/>
          <w:i/>
          <w:iCs/>
          <w:sz w:val="28"/>
          <w:szCs w:val="28"/>
        </w:rPr>
        <w:t xml:space="preserve"> ai dati, di modo che la prima sia in grado di esercitare tale controllo in modo obiettivo e imparziale al riparo da qualsiasi influenza esterna.</w:t>
      </w:r>
      <w:r w:rsidR="00313A58">
        <w:rPr>
          <w:rFonts w:ascii="Times New Roman" w:hAnsi="Times New Roman" w:cs="Times New Roman"/>
          <w:i/>
          <w:iCs/>
          <w:sz w:val="28"/>
          <w:szCs w:val="28"/>
        </w:rPr>
        <w:t xml:space="preserve"> </w:t>
      </w:r>
      <w:r w:rsidR="00BA3679">
        <w:rPr>
          <w:rFonts w:ascii="Times New Roman" w:hAnsi="Times New Roman" w:cs="Times New Roman"/>
          <w:i/>
          <w:iCs/>
          <w:sz w:val="28"/>
          <w:szCs w:val="28"/>
        </w:rPr>
        <w:t xml:space="preserve">In particolare, in ambito penale, il requisito di indipendenza implica, come in sostanza rilevato dall’avvocato generale al paragrafo 126 delle sue conclusioni, che l’autorità incaricata di tale controllo preventivo, da un lato, non sia coinvolta nella conduzione dell’indagine penale di cui trattasi e, dall’altro, abbia una posizione di neutralità nei confronti delle parti del procedimento penale. Ciò non si verifica nel caso di un pubblico </w:t>
      </w:r>
      <w:r w:rsidR="000751F7">
        <w:rPr>
          <w:rFonts w:ascii="Times New Roman" w:hAnsi="Times New Roman" w:cs="Times New Roman"/>
          <w:i/>
          <w:iCs/>
          <w:sz w:val="28"/>
          <w:szCs w:val="28"/>
        </w:rPr>
        <w:t>ministero che dirige il procedimento di indagine ed esercita, se del caso, l’azione penale.</w:t>
      </w:r>
      <w:r w:rsidR="00D027E5">
        <w:rPr>
          <w:rFonts w:ascii="Times New Roman" w:hAnsi="Times New Roman" w:cs="Times New Roman"/>
          <w:i/>
          <w:iCs/>
          <w:sz w:val="28"/>
          <w:szCs w:val="28"/>
        </w:rPr>
        <w:t xml:space="preserve"> </w:t>
      </w:r>
      <w:r w:rsidR="000751F7">
        <w:rPr>
          <w:rFonts w:ascii="Times New Roman" w:hAnsi="Times New Roman" w:cs="Times New Roman"/>
          <w:i/>
          <w:iCs/>
          <w:sz w:val="28"/>
          <w:szCs w:val="28"/>
        </w:rPr>
        <w:t>Infatti, il pubblico ministero non ha il compito di dirimere in piena indipendenza una controversia, bensì quello di sottoporla, se del caso, al giudice competente, in quanto parte del processo che esercita l’azione penale</w:t>
      </w:r>
      <w:r w:rsidR="003024C3">
        <w:rPr>
          <w:rFonts w:ascii="Times New Roman" w:hAnsi="Times New Roman" w:cs="Times New Roman"/>
          <w:i/>
          <w:iCs/>
          <w:sz w:val="28"/>
          <w:szCs w:val="28"/>
        </w:rPr>
        <w:t>»</w:t>
      </w:r>
      <w:r w:rsidR="000751F7">
        <w:rPr>
          <w:rFonts w:ascii="Times New Roman" w:hAnsi="Times New Roman" w:cs="Times New Roman"/>
          <w:i/>
          <w:iCs/>
          <w:sz w:val="28"/>
          <w:szCs w:val="28"/>
        </w:rPr>
        <w:t xml:space="preserve"> </w:t>
      </w:r>
      <w:r w:rsidR="000751F7" w:rsidRPr="00502704">
        <w:rPr>
          <w:rFonts w:ascii="Times New Roman" w:hAnsi="Times New Roman" w:cs="Times New Roman"/>
          <w:sz w:val="28"/>
          <w:szCs w:val="28"/>
        </w:rPr>
        <w:t>(§54-55).</w:t>
      </w:r>
    </w:p>
    <w:p w14:paraId="17175EC3" w14:textId="77777777" w:rsidR="0064371F" w:rsidRDefault="0064371F" w:rsidP="00502704">
      <w:pPr>
        <w:tabs>
          <w:tab w:val="left" w:pos="8364"/>
        </w:tabs>
        <w:spacing w:after="0"/>
        <w:jc w:val="both"/>
        <w:rPr>
          <w:rFonts w:ascii="Times New Roman" w:hAnsi="Times New Roman" w:cs="Times New Roman"/>
          <w:i/>
          <w:iCs/>
          <w:sz w:val="28"/>
          <w:szCs w:val="28"/>
        </w:rPr>
      </w:pPr>
    </w:p>
    <w:p w14:paraId="05F739DA" w14:textId="3B7D3F82" w:rsidR="000751F7" w:rsidRDefault="00BB0923" w:rsidP="000361B1">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Tale sentenza della Corte di Giustizia supera, altresì, la posizione della Corte di Cassazione</w:t>
      </w:r>
      <w:r w:rsidR="003024C3">
        <w:rPr>
          <w:rFonts w:ascii="Times New Roman" w:hAnsi="Times New Roman" w:cs="Times New Roman"/>
          <w:sz w:val="28"/>
          <w:szCs w:val="28"/>
        </w:rPr>
        <w:t>,</w:t>
      </w:r>
      <w:r>
        <w:rPr>
          <w:rFonts w:ascii="Times New Roman" w:hAnsi="Times New Roman" w:cs="Times New Roman"/>
          <w:sz w:val="28"/>
          <w:szCs w:val="28"/>
        </w:rPr>
        <w:t xml:space="preserve"> che aveva fatto riferimento alla categoria dell’inutilizzabilità in relazione ai dati acquisiti dal pubblico ministero, oltre i limiti temporali previsti dall’art</w:t>
      </w:r>
      <w:r w:rsidR="000361B1">
        <w:rPr>
          <w:rFonts w:ascii="Times New Roman" w:hAnsi="Times New Roman" w:cs="Times New Roman"/>
          <w:sz w:val="28"/>
          <w:szCs w:val="28"/>
        </w:rPr>
        <w:t>.</w:t>
      </w:r>
      <w:r>
        <w:rPr>
          <w:rFonts w:ascii="Times New Roman" w:hAnsi="Times New Roman" w:cs="Times New Roman"/>
          <w:sz w:val="28"/>
          <w:szCs w:val="28"/>
        </w:rPr>
        <w:t xml:space="preserve"> 132 Codice Privacy, fondandola sulla violazione di un divieto probatorio posto a tutela dei diritti fondamentali della persona, quali il diritto alla inviolabilità del domicilio o della corrispondenza</w:t>
      </w:r>
      <w:r w:rsidR="00313A58">
        <w:rPr>
          <w:rStyle w:val="Rimandonotaapidipagina"/>
          <w:rFonts w:ascii="Times New Roman" w:hAnsi="Times New Roman" w:cs="Times New Roman"/>
          <w:sz w:val="28"/>
          <w:szCs w:val="28"/>
        </w:rPr>
        <w:footnoteReference w:id="52"/>
      </w:r>
      <w:r w:rsidR="00313A58">
        <w:rPr>
          <w:rFonts w:ascii="Times New Roman" w:hAnsi="Times New Roman" w:cs="Times New Roman"/>
          <w:sz w:val="28"/>
          <w:szCs w:val="28"/>
        </w:rPr>
        <w:t>.</w:t>
      </w:r>
    </w:p>
    <w:p w14:paraId="16D13193" w14:textId="77777777" w:rsidR="00E937F4" w:rsidRDefault="00D027E5" w:rsidP="000361B1">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Sarà tutto da esplorare il tema delle ricadute che questa sentenza può essere destinata a svolgere in Italia nei settori contigui delle intercettazioni e delle acquisizioni di dati di traffico per finalità preventive (art.</w:t>
      </w:r>
      <w:r w:rsidR="00313A58">
        <w:rPr>
          <w:rFonts w:ascii="Times New Roman" w:hAnsi="Times New Roman" w:cs="Times New Roman"/>
          <w:sz w:val="28"/>
          <w:szCs w:val="28"/>
        </w:rPr>
        <w:t xml:space="preserve"> </w:t>
      </w:r>
      <w:r>
        <w:rPr>
          <w:rFonts w:ascii="Times New Roman" w:hAnsi="Times New Roman" w:cs="Times New Roman"/>
          <w:sz w:val="28"/>
          <w:szCs w:val="28"/>
        </w:rPr>
        <w:t>2</w:t>
      </w:r>
      <w:r w:rsidR="00734A97">
        <w:rPr>
          <w:rFonts w:ascii="Times New Roman" w:hAnsi="Times New Roman" w:cs="Times New Roman"/>
          <w:sz w:val="28"/>
          <w:szCs w:val="28"/>
        </w:rPr>
        <w:t>2</w:t>
      </w:r>
      <w:r>
        <w:rPr>
          <w:rFonts w:ascii="Times New Roman" w:hAnsi="Times New Roman" w:cs="Times New Roman"/>
          <w:sz w:val="28"/>
          <w:szCs w:val="28"/>
        </w:rPr>
        <w:t>6 delle disposizioni di attuazione del c</w:t>
      </w:r>
      <w:r w:rsidR="00313A58">
        <w:rPr>
          <w:rFonts w:ascii="Times New Roman" w:hAnsi="Times New Roman" w:cs="Times New Roman"/>
          <w:sz w:val="28"/>
          <w:szCs w:val="28"/>
        </w:rPr>
        <w:t>.</w:t>
      </w:r>
      <w:r>
        <w:rPr>
          <w:rFonts w:ascii="Times New Roman" w:hAnsi="Times New Roman" w:cs="Times New Roman"/>
          <w:sz w:val="28"/>
          <w:szCs w:val="28"/>
        </w:rPr>
        <w:t>p</w:t>
      </w:r>
      <w:r w:rsidR="00313A58">
        <w:rPr>
          <w:rFonts w:ascii="Times New Roman" w:hAnsi="Times New Roman" w:cs="Times New Roman"/>
          <w:sz w:val="28"/>
          <w:szCs w:val="28"/>
        </w:rPr>
        <w:t>.</w:t>
      </w:r>
      <w:r>
        <w:rPr>
          <w:rFonts w:ascii="Times New Roman" w:hAnsi="Times New Roman" w:cs="Times New Roman"/>
          <w:sz w:val="28"/>
          <w:szCs w:val="28"/>
        </w:rPr>
        <w:t>p</w:t>
      </w:r>
      <w:r w:rsidR="00313A58">
        <w:rPr>
          <w:rFonts w:ascii="Times New Roman" w:hAnsi="Times New Roman" w:cs="Times New Roman"/>
          <w:sz w:val="28"/>
          <w:szCs w:val="28"/>
        </w:rPr>
        <w:t>.</w:t>
      </w:r>
      <w:r>
        <w:rPr>
          <w:rFonts w:ascii="Times New Roman" w:hAnsi="Times New Roman" w:cs="Times New Roman"/>
          <w:sz w:val="28"/>
          <w:szCs w:val="28"/>
        </w:rPr>
        <w:t>), per il controllo delle misure di prevenzione (art.</w:t>
      </w:r>
      <w:r w:rsidR="00A20519">
        <w:rPr>
          <w:rFonts w:ascii="Times New Roman" w:hAnsi="Times New Roman" w:cs="Times New Roman"/>
          <w:sz w:val="28"/>
          <w:szCs w:val="28"/>
        </w:rPr>
        <w:t xml:space="preserve"> </w:t>
      </w:r>
      <w:r>
        <w:rPr>
          <w:rFonts w:ascii="Times New Roman" w:hAnsi="Times New Roman" w:cs="Times New Roman"/>
          <w:sz w:val="28"/>
          <w:szCs w:val="28"/>
        </w:rPr>
        <w:t xml:space="preserve">78 del Codice </w:t>
      </w:r>
      <w:r w:rsidR="00A20519">
        <w:rPr>
          <w:rFonts w:ascii="Times New Roman" w:hAnsi="Times New Roman" w:cs="Times New Roman"/>
          <w:sz w:val="28"/>
          <w:szCs w:val="28"/>
        </w:rPr>
        <w:t>A</w:t>
      </w:r>
      <w:r>
        <w:rPr>
          <w:rFonts w:ascii="Times New Roman" w:hAnsi="Times New Roman" w:cs="Times New Roman"/>
          <w:sz w:val="28"/>
          <w:szCs w:val="28"/>
        </w:rPr>
        <w:t>ntimafia) e per le necessità dei Servizi di informazione per la sicurezza nazionale (art</w:t>
      </w:r>
      <w:r w:rsidR="00A20519">
        <w:rPr>
          <w:rFonts w:ascii="Times New Roman" w:hAnsi="Times New Roman" w:cs="Times New Roman"/>
          <w:sz w:val="28"/>
          <w:szCs w:val="28"/>
        </w:rPr>
        <w:t>.</w:t>
      </w:r>
      <w:r>
        <w:rPr>
          <w:rFonts w:ascii="Times New Roman" w:hAnsi="Times New Roman" w:cs="Times New Roman"/>
          <w:sz w:val="28"/>
          <w:szCs w:val="28"/>
        </w:rPr>
        <w:t xml:space="preserve"> 4 del </w:t>
      </w:r>
      <w:r w:rsidR="00A20519">
        <w:rPr>
          <w:rFonts w:ascii="Times New Roman" w:hAnsi="Times New Roman" w:cs="Times New Roman"/>
          <w:sz w:val="28"/>
          <w:szCs w:val="28"/>
        </w:rPr>
        <w:t>decreto-legge</w:t>
      </w:r>
      <w:r>
        <w:rPr>
          <w:rFonts w:ascii="Times New Roman" w:hAnsi="Times New Roman" w:cs="Times New Roman"/>
          <w:sz w:val="28"/>
          <w:szCs w:val="28"/>
        </w:rPr>
        <w:t xml:space="preserve"> 27 luglio 2005</w:t>
      </w:r>
      <w:r w:rsidR="00D95884">
        <w:rPr>
          <w:rFonts w:ascii="Times New Roman" w:hAnsi="Times New Roman" w:cs="Times New Roman"/>
          <w:sz w:val="28"/>
          <w:szCs w:val="28"/>
        </w:rPr>
        <w:t>,</w:t>
      </w:r>
      <w:r>
        <w:rPr>
          <w:rFonts w:ascii="Times New Roman" w:hAnsi="Times New Roman" w:cs="Times New Roman"/>
          <w:sz w:val="28"/>
          <w:szCs w:val="28"/>
        </w:rPr>
        <w:t xml:space="preserve"> n.</w:t>
      </w:r>
      <w:r w:rsidR="00A20519">
        <w:rPr>
          <w:rFonts w:ascii="Times New Roman" w:hAnsi="Times New Roman" w:cs="Times New Roman"/>
          <w:sz w:val="28"/>
          <w:szCs w:val="28"/>
        </w:rPr>
        <w:t xml:space="preserve"> </w:t>
      </w:r>
      <w:r>
        <w:rPr>
          <w:rFonts w:ascii="Times New Roman" w:hAnsi="Times New Roman" w:cs="Times New Roman"/>
          <w:sz w:val="28"/>
          <w:szCs w:val="28"/>
        </w:rPr>
        <w:t>144).</w:t>
      </w:r>
      <w:r w:rsidR="00A20519">
        <w:rPr>
          <w:rFonts w:ascii="Times New Roman" w:hAnsi="Times New Roman" w:cs="Times New Roman"/>
          <w:sz w:val="28"/>
          <w:szCs w:val="28"/>
        </w:rPr>
        <w:t xml:space="preserve"> </w:t>
      </w:r>
      <w:r>
        <w:rPr>
          <w:rFonts w:ascii="Times New Roman" w:hAnsi="Times New Roman" w:cs="Times New Roman"/>
          <w:sz w:val="28"/>
          <w:szCs w:val="28"/>
        </w:rPr>
        <w:t>Tutte attività rimesse all’attività di un organo della pubblica accusa (nei primi casi le procure ordinarie e distrettuali, a seconda della competenza, e nell’ultimo la Procura generale presso la Corte di appello di Roma) e certamente ingerenti nella privacy dei singoli.</w:t>
      </w:r>
      <w:r w:rsidR="00FE70C2">
        <w:rPr>
          <w:rFonts w:ascii="Times New Roman" w:hAnsi="Times New Roman" w:cs="Times New Roman"/>
          <w:sz w:val="28"/>
          <w:szCs w:val="28"/>
        </w:rPr>
        <w:t xml:space="preserve"> </w:t>
      </w:r>
    </w:p>
    <w:p w14:paraId="443379D2" w14:textId="68582B06" w:rsidR="00D95884" w:rsidRDefault="00FE70C2"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Sono attività intrusive consentite, ma che, secondo la direttiva 2002/758/CE</w:t>
      </w:r>
      <w:r w:rsidR="003024C3">
        <w:rPr>
          <w:rFonts w:ascii="Times New Roman" w:hAnsi="Times New Roman" w:cs="Times New Roman"/>
          <w:sz w:val="28"/>
          <w:szCs w:val="28"/>
        </w:rPr>
        <w:t>,</w:t>
      </w:r>
      <w:r>
        <w:rPr>
          <w:rFonts w:ascii="Times New Roman" w:hAnsi="Times New Roman" w:cs="Times New Roman"/>
          <w:sz w:val="28"/>
          <w:szCs w:val="28"/>
        </w:rPr>
        <w:t xml:space="preserve"> devono essere declinate in modo appropriato e proporzionato allo scopo perseguito attraverso la previsione di garanzie che salvaguardino i principi stabiliti nella Carta dei diritti  </w:t>
      </w:r>
      <w:r>
        <w:rPr>
          <w:rFonts w:ascii="Times New Roman" w:hAnsi="Times New Roman" w:cs="Times New Roman"/>
          <w:sz w:val="28"/>
          <w:szCs w:val="28"/>
        </w:rPr>
        <w:lastRenderedPageBreak/>
        <w:t>fondamentali dell’Unione Europea, in particolare agli art.</w:t>
      </w:r>
      <w:r w:rsidR="00A20519">
        <w:rPr>
          <w:rFonts w:ascii="Times New Roman" w:hAnsi="Times New Roman" w:cs="Times New Roman"/>
          <w:sz w:val="28"/>
          <w:szCs w:val="28"/>
        </w:rPr>
        <w:t xml:space="preserve"> </w:t>
      </w:r>
      <w:r>
        <w:rPr>
          <w:rFonts w:ascii="Times New Roman" w:hAnsi="Times New Roman" w:cs="Times New Roman"/>
          <w:sz w:val="28"/>
          <w:szCs w:val="28"/>
        </w:rPr>
        <w:t>7 (ogni persona ha diritto al rispetto della propria vita privata e familiare, del proprio domicilio e delle proprie comunicazioni), art.</w:t>
      </w:r>
      <w:r w:rsidR="00A20519">
        <w:rPr>
          <w:rFonts w:ascii="Times New Roman" w:hAnsi="Times New Roman" w:cs="Times New Roman"/>
          <w:sz w:val="28"/>
          <w:szCs w:val="28"/>
        </w:rPr>
        <w:t xml:space="preserve"> </w:t>
      </w:r>
      <w:r>
        <w:rPr>
          <w:rFonts w:ascii="Times New Roman" w:hAnsi="Times New Roman" w:cs="Times New Roman"/>
          <w:sz w:val="28"/>
          <w:szCs w:val="28"/>
        </w:rPr>
        <w:t>8 (ogni persona ha diritto alla protezione dei dati di carattere personale che la riguardano), art.</w:t>
      </w:r>
      <w:r w:rsidR="00A20519">
        <w:rPr>
          <w:rFonts w:ascii="Times New Roman" w:hAnsi="Times New Roman" w:cs="Times New Roman"/>
          <w:sz w:val="28"/>
          <w:szCs w:val="28"/>
        </w:rPr>
        <w:t xml:space="preserve"> </w:t>
      </w:r>
      <w:r>
        <w:rPr>
          <w:rFonts w:ascii="Times New Roman" w:hAnsi="Times New Roman" w:cs="Times New Roman"/>
          <w:sz w:val="28"/>
          <w:szCs w:val="28"/>
        </w:rPr>
        <w:t>11 (ogni persona ha diritto alla libertà di espressione</w:t>
      </w:r>
      <w:r w:rsidR="00A20519">
        <w:rPr>
          <w:rFonts w:ascii="Times New Roman" w:hAnsi="Times New Roman" w:cs="Times New Roman"/>
          <w:sz w:val="28"/>
          <w:szCs w:val="28"/>
        </w:rPr>
        <w:t>; t</w:t>
      </w:r>
      <w:r w:rsidR="00D912C0">
        <w:rPr>
          <w:rFonts w:ascii="Times New Roman" w:hAnsi="Times New Roman" w:cs="Times New Roman"/>
          <w:sz w:val="28"/>
          <w:szCs w:val="28"/>
        </w:rPr>
        <w:t xml:space="preserve">ale diritto include la libertà di opinione e la libertà di ricevere o di comunicare informazioni o idee senza che vi possa essere ingerenza da parte delle autorità pubbliche e senza limiti di frontiera) e </w:t>
      </w:r>
      <w:r w:rsidR="004620A9">
        <w:rPr>
          <w:rFonts w:ascii="Times New Roman" w:hAnsi="Times New Roman" w:cs="Times New Roman"/>
          <w:sz w:val="28"/>
          <w:szCs w:val="28"/>
        </w:rPr>
        <w:t>art.</w:t>
      </w:r>
      <w:r w:rsidR="00A20519">
        <w:rPr>
          <w:rFonts w:ascii="Times New Roman" w:hAnsi="Times New Roman" w:cs="Times New Roman"/>
          <w:sz w:val="28"/>
          <w:szCs w:val="28"/>
        </w:rPr>
        <w:t xml:space="preserve"> </w:t>
      </w:r>
      <w:r w:rsidR="00D912C0">
        <w:rPr>
          <w:rFonts w:ascii="Times New Roman" w:hAnsi="Times New Roman" w:cs="Times New Roman"/>
          <w:sz w:val="28"/>
          <w:szCs w:val="28"/>
        </w:rPr>
        <w:t xml:space="preserve">52 (laddove è stabilito che eventuali limitazioni dei diritti e delle libertà riconosciuti dalla Carta devono essere previste dalla legge e rispettare il contenuto essenziale di detti diritti e libertà, con la conseguenza che possono essere apportate limitazioni, </w:t>
      </w:r>
      <w:r w:rsidR="00FA0A4E">
        <w:rPr>
          <w:rFonts w:ascii="Times New Roman" w:hAnsi="Times New Roman" w:cs="Times New Roman"/>
          <w:sz w:val="28"/>
          <w:szCs w:val="28"/>
        </w:rPr>
        <w:t>nel</w:t>
      </w:r>
      <w:r w:rsidR="00D912C0">
        <w:rPr>
          <w:rFonts w:ascii="Times New Roman" w:hAnsi="Times New Roman" w:cs="Times New Roman"/>
          <w:sz w:val="28"/>
          <w:szCs w:val="28"/>
        </w:rPr>
        <w:t xml:space="preserve"> rispetto del principio di proporzionalità, solo laddove siano necessarie e rispondano effettivamente a finalità di interesse generale riconosciute dall’Unione o all’esigenza di proteggere i diritti e le libertà altrui). </w:t>
      </w:r>
      <w:r w:rsidR="000463A6">
        <w:rPr>
          <w:rFonts w:ascii="Times New Roman" w:hAnsi="Times New Roman" w:cs="Times New Roman"/>
          <w:sz w:val="28"/>
          <w:szCs w:val="28"/>
        </w:rPr>
        <w:t>Il principio del “</w:t>
      </w:r>
      <w:r w:rsidR="000463A6" w:rsidRPr="000463A6">
        <w:rPr>
          <w:rFonts w:ascii="Times New Roman" w:hAnsi="Times New Roman" w:cs="Times New Roman"/>
          <w:i/>
          <w:iCs/>
          <w:sz w:val="28"/>
          <w:szCs w:val="28"/>
        </w:rPr>
        <w:t>fair balance test</w:t>
      </w:r>
      <w:r w:rsidR="000463A6">
        <w:rPr>
          <w:rFonts w:ascii="Times New Roman" w:hAnsi="Times New Roman" w:cs="Times New Roman"/>
          <w:sz w:val="28"/>
          <w:szCs w:val="28"/>
        </w:rPr>
        <w:t xml:space="preserve">”, </w:t>
      </w:r>
      <w:r w:rsidR="000463A6" w:rsidRPr="000463A6">
        <w:rPr>
          <w:rFonts w:ascii="Times New Roman" w:hAnsi="Times New Roman" w:cs="Times New Roman"/>
          <w:i/>
          <w:iCs/>
          <w:sz w:val="28"/>
          <w:szCs w:val="28"/>
        </w:rPr>
        <w:t>“</w:t>
      </w:r>
      <w:proofErr w:type="spellStart"/>
      <w:r w:rsidR="000463A6" w:rsidRPr="000463A6">
        <w:rPr>
          <w:rFonts w:ascii="Times New Roman" w:hAnsi="Times New Roman" w:cs="Times New Roman"/>
          <w:i/>
          <w:iCs/>
          <w:sz w:val="28"/>
          <w:szCs w:val="28"/>
        </w:rPr>
        <w:t>principle</w:t>
      </w:r>
      <w:proofErr w:type="spellEnd"/>
      <w:r w:rsidR="000463A6" w:rsidRPr="000463A6">
        <w:rPr>
          <w:rFonts w:ascii="Times New Roman" w:hAnsi="Times New Roman" w:cs="Times New Roman"/>
          <w:i/>
          <w:iCs/>
          <w:sz w:val="28"/>
          <w:szCs w:val="28"/>
        </w:rPr>
        <w:t xml:space="preserve"> of </w:t>
      </w:r>
      <w:proofErr w:type="spellStart"/>
      <w:r w:rsidR="000463A6" w:rsidRPr="000463A6">
        <w:rPr>
          <w:rFonts w:ascii="Times New Roman" w:hAnsi="Times New Roman" w:cs="Times New Roman"/>
          <w:i/>
          <w:iCs/>
          <w:sz w:val="28"/>
          <w:szCs w:val="28"/>
        </w:rPr>
        <w:t>lawfulness</w:t>
      </w:r>
      <w:proofErr w:type="spellEnd"/>
      <w:r w:rsidR="000463A6">
        <w:rPr>
          <w:rFonts w:ascii="Times New Roman" w:hAnsi="Times New Roman" w:cs="Times New Roman"/>
          <w:sz w:val="28"/>
          <w:szCs w:val="28"/>
        </w:rPr>
        <w:t xml:space="preserve">” investe la cd </w:t>
      </w:r>
      <w:r w:rsidR="000463A6" w:rsidRPr="00511AF3">
        <w:rPr>
          <w:rFonts w:ascii="Times New Roman" w:hAnsi="Times New Roman" w:cs="Times New Roman"/>
          <w:i/>
          <w:iCs/>
          <w:sz w:val="28"/>
          <w:szCs w:val="28"/>
        </w:rPr>
        <w:t>“struttura trifasica progressiva della proporzionalità</w:t>
      </w:r>
      <w:r w:rsidR="000463A6">
        <w:rPr>
          <w:rFonts w:ascii="Times New Roman" w:hAnsi="Times New Roman" w:cs="Times New Roman"/>
          <w:sz w:val="28"/>
          <w:szCs w:val="28"/>
        </w:rPr>
        <w:t xml:space="preserve">”, laddove si </w:t>
      </w:r>
      <w:r w:rsidR="001435F2">
        <w:rPr>
          <w:rFonts w:ascii="Times New Roman" w:hAnsi="Times New Roman" w:cs="Times New Roman"/>
          <w:sz w:val="28"/>
          <w:szCs w:val="28"/>
        </w:rPr>
        <w:t xml:space="preserve">è </w:t>
      </w:r>
      <w:r w:rsidR="000463A6">
        <w:rPr>
          <w:rFonts w:ascii="Times New Roman" w:hAnsi="Times New Roman" w:cs="Times New Roman"/>
          <w:sz w:val="28"/>
          <w:szCs w:val="28"/>
        </w:rPr>
        <w:t>po</w:t>
      </w:r>
      <w:r w:rsidR="001435F2">
        <w:rPr>
          <w:rFonts w:ascii="Times New Roman" w:hAnsi="Times New Roman" w:cs="Times New Roman"/>
          <w:sz w:val="28"/>
          <w:szCs w:val="28"/>
        </w:rPr>
        <w:t>sta</w:t>
      </w:r>
      <w:r w:rsidR="004620A9">
        <w:rPr>
          <w:rFonts w:ascii="Times New Roman" w:hAnsi="Times New Roman" w:cs="Times New Roman"/>
          <w:sz w:val="28"/>
          <w:szCs w:val="28"/>
        </w:rPr>
        <w:t xml:space="preserve"> come evidente il problema della compatibilità euro-unitaria della disciplina italiana acquisitiva dei tabulati telefonici</w:t>
      </w:r>
      <w:r w:rsidR="000463A6">
        <w:rPr>
          <w:rFonts w:ascii="Times New Roman" w:hAnsi="Times New Roman" w:cs="Times New Roman"/>
          <w:sz w:val="28"/>
          <w:szCs w:val="28"/>
        </w:rPr>
        <w:t xml:space="preserve">: </w:t>
      </w:r>
      <w:r w:rsidR="00734A97">
        <w:rPr>
          <w:rFonts w:ascii="Times New Roman" w:hAnsi="Times New Roman" w:cs="Times New Roman"/>
          <w:sz w:val="28"/>
          <w:szCs w:val="28"/>
        </w:rPr>
        <w:t xml:space="preserve">art. 226 delle disposizioni di attuazione del </w:t>
      </w:r>
      <w:proofErr w:type="spellStart"/>
      <w:r w:rsidR="00734A97">
        <w:rPr>
          <w:rFonts w:ascii="Times New Roman" w:hAnsi="Times New Roman" w:cs="Times New Roman"/>
          <w:sz w:val="28"/>
          <w:szCs w:val="28"/>
        </w:rPr>
        <w:t>c.p.p</w:t>
      </w:r>
      <w:proofErr w:type="spellEnd"/>
      <w:r w:rsidR="00734A97">
        <w:rPr>
          <w:rFonts w:ascii="Times New Roman" w:hAnsi="Times New Roman" w:cs="Times New Roman"/>
          <w:sz w:val="28"/>
          <w:szCs w:val="28"/>
        </w:rPr>
        <w:t xml:space="preserve"> </w:t>
      </w:r>
      <w:r w:rsidR="004620A9">
        <w:rPr>
          <w:rFonts w:ascii="Times New Roman" w:hAnsi="Times New Roman" w:cs="Times New Roman"/>
          <w:sz w:val="28"/>
          <w:szCs w:val="28"/>
        </w:rPr>
        <w:t>e art</w:t>
      </w:r>
      <w:r w:rsidR="00A20519">
        <w:rPr>
          <w:rFonts w:ascii="Times New Roman" w:hAnsi="Times New Roman" w:cs="Times New Roman"/>
          <w:sz w:val="28"/>
          <w:szCs w:val="28"/>
        </w:rPr>
        <w:t>.</w:t>
      </w:r>
      <w:r w:rsidR="004620A9">
        <w:rPr>
          <w:rFonts w:ascii="Times New Roman" w:hAnsi="Times New Roman" w:cs="Times New Roman"/>
          <w:sz w:val="28"/>
          <w:szCs w:val="28"/>
        </w:rPr>
        <w:t xml:space="preserve"> 132 del D</w:t>
      </w:r>
      <w:r w:rsidR="00A20519">
        <w:rPr>
          <w:rFonts w:ascii="Times New Roman" w:hAnsi="Times New Roman" w:cs="Times New Roman"/>
          <w:sz w:val="28"/>
          <w:szCs w:val="28"/>
        </w:rPr>
        <w:t>.</w:t>
      </w:r>
      <w:r w:rsidR="004620A9">
        <w:rPr>
          <w:rFonts w:ascii="Times New Roman" w:hAnsi="Times New Roman" w:cs="Times New Roman"/>
          <w:sz w:val="28"/>
          <w:szCs w:val="28"/>
        </w:rPr>
        <w:t>lgs</w:t>
      </w:r>
      <w:r w:rsidR="00A20519">
        <w:rPr>
          <w:rFonts w:ascii="Times New Roman" w:hAnsi="Times New Roman" w:cs="Times New Roman"/>
          <w:sz w:val="28"/>
          <w:szCs w:val="28"/>
        </w:rPr>
        <w:t>.</w:t>
      </w:r>
      <w:r w:rsidR="004620A9">
        <w:rPr>
          <w:rFonts w:ascii="Times New Roman" w:hAnsi="Times New Roman" w:cs="Times New Roman"/>
          <w:sz w:val="28"/>
          <w:szCs w:val="28"/>
        </w:rPr>
        <w:t xml:space="preserve"> 30 giugno 2003</w:t>
      </w:r>
      <w:r w:rsidR="00A20519">
        <w:rPr>
          <w:rFonts w:ascii="Times New Roman" w:hAnsi="Times New Roman" w:cs="Times New Roman"/>
          <w:sz w:val="28"/>
          <w:szCs w:val="28"/>
        </w:rPr>
        <w:t>,</w:t>
      </w:r>
      <w:r w:rsidR="004620A9">
        <w:rPr>
          <w:rFonts w:ascii="Times New Roman" w:hAnsi="Times New Roman" w:cs="Times New Roman"/>
          <w:sz w:val="28"/>
          <w:szCs w:val="28"/>
        </w:rPr>
        <w:t xml:space="preserve"> n</w:t>
      </w:r>
      <w:r w:rsidR="00A20519">
        <w:rPr>
          <w:rFonts w:ascii="Times New Roman" w:hAnsi="Times New Roman" w:cs="Times New Roman"/>
          <w:sz w:val="28"/>
          <w:szCs w:val="28"/>
        </w:rPr>
        <w:t xml:space="preserve">. </w:t>
      </w:r>
      <w:r w:rsidR="004620A9">
        <w:rPr>
          <w:rFonts w:ascii="Times New Roman" w:hAnsi="Times New Roman" w:cs="Times New Roman"/>
          <w:sz w:val="28"/>
          <w:szCs w:val="28"/>
        </w:rPr>
        <w:t>196</w:t>
      </w:r>
      <w:r w:rsidR="000463A6">
        <w:rPr>
          <w:rFonts w:ascii="Times New Roman" w:hAnsi="Times New Roman" w:cs="Times New Roman"/>
          <w:sz w:val="28"/>
          <w:szCs w:val="28"/>
        </w:rPr>
        <w:t>.</w:t>
      </w:r>
      <w:r w:rsidR="008A5FFF">
        <w:rPr>
          <w:rFonts w:ascii="Times New Roman" w:hAnsi="Times New Roman" w:cs="Times New Roman"/>
          <w:sz w:val="28"/>
          <w:szCs w:val="28"/>
        </w:rPr>
        <w:t xml:space="preserve"> </w:t>
      </w:r>
    </w:p>
    <w:p w14:paraId="59C9DF85" w14:textId="32B0E66F" w:rsidR="004620A9" w:rsidRDefault="008A5FFF"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realtà</w:t>
      </w:r>
      <w:r w:rsidR="00B3603B">
        <w:rPr>
          <w:rFonts w:ascii="Times New Roman" w:hAnsi="Times New Roman" w:cs="Times New Roman"/>
          <w:sz w:val="28"/>
          <w:szCs w:val="28"/>
        </w:rPr>
        <w:t>,</w:t>
      </w:r>
      <w:r>
        <w:rPr>
          <w:rFonts w:ascii="Times New Roman" w:hAnsi="Times New Roman" w:cs="Times New Roman"/>
          <w:sz w:val="28"/>
          <w:szCs w:val="28"/>
        </w:rPr>
        <w:t xml:space="preserve"> la sentenza sembrerebbe porre anche un problema di competenza a disporre l’acquisizione dei tabulati, laddove esclude che tale soggetto possa essere il pubblico ministero.</w:t>
      </w:r>
      <w:r w:rsidR="00FA0A4E">
        <w:rPr>
          <w:rFonts w:ascii="Times New Roman" w:hAnsi="Times New Roman" w:cs="Times New Roman"/>
          <w:sz w:val="28"/>
          <w:szCs w:val="28"/>
        </w:rPr>
        <w:t xml:space="preserve"> Ma soprattutto da noi la decisione pone qualche dubbio su alcune interpretazioni e sulle conseguenti prassi applicative in tema di intercettazioni (con riguardo soprattutto all’utilizzo in sede diversa da quella ove l’intercettazione è stata disposta) e in tema di utilizzo in sede </w:t>
      </w:r>
      <w:proofErr w:type="spellStart"/>
      <w:r w:rsidR="00FA0A4E">
        <w:rPr>
          <w:rFonts w:ascii="Times New Roman" w:hAnsi="Times New Roman" w:cs="Times New Roman"/>
          <w:sz w:val="28"/>
          <w:szCs w:val="28"/>
        </w:rPr>
        <w:t>extrapenale</w:t>
      </w:r>
      <w:proofErr w:type="spellEnd"/>
      <w:r w:rsidR="00FA0A4E">
        <w:rPr>
          <w:rFonts w:ascii="Times New Roman" w:hAnsi="Times New Roman" w:cs="Times New Roman"/>
          <w:sz w:val="28"/>
          <w:szCs w:val="28"/>
        </w:rPr>
        <w:t xml:space="preserve"> di “conversazioni” il cui contenuto è stato acquisito in sede penale</w:t>
      </w:r>
      <w:r w:rsidR="00233EE6">
        <w:rPr>
          <w:rStyle w:val="Rimandonotaapidipagina"/>
          <w:rFonts w:ascii="Times New Roman" w:hAnsi="Times New Roman" w:cs="Times New Roman"/>
          <w:sz w:val="28"/>
          <w:szCs w:val="28"/>
        </w:rPr>
        <w:footnoteReference w:id="53"/>
      </w:r>
      <w:r w:rsidR="00FA0A4E">
        <w:rPr>
          <w:rFonts w:ascii="Times New Roman" w:hAnsi="Times New Roman" w:cs="Times New Roman"/>
          <w:sz w:val="28"/>
          <w:szCs w:val="28"/>
        </w:rPr>
        <w:t>.</w:t>
      </w:r>
    </w:p>
    <w:p w14:paraId="07FA66B7" w14:textId="77777777" w:rsidR="00233EE6" w:rsidRDefault="003F4783"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Per quanto riguarda le intercettazioni</w:t>
      </w:r>
      <w:r w:rsidR="00B3603B">
        <w:rPr>
          <w:rFonts w:ascii="Times New Roman" w:hAnsi="Times New Roman" w:cs="Times New Roman"/>
          <w:sz w:val="28"/>
          <w:szCs w:val="28"/>
        </w:rPr>
        <w:t>,</w:t>
      </w:r>
      <w:r>
        <w:rPr>
          <w:rFonts w:ascii="Times New Roman" w:hAnsi="Times New Roman" w:cs="Times New Roman"/>
          <w:sz w:val="28"/>
          <w:szCs w:val="28"/>
        </w:rPr>
        <w:t xml:space="preserve"> la sentenza impone un notevole rigore ermeneutico. </w:t>
      </w:r>
    </w:p>
    <w:p w14:paraId="27DAFD2A" w14:textId="10C245BF" w:rsidR="00D95884" w:rsidRDefault="00A20519"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Affinché</w:t>
      </w:r>
      <w:r w:rsidR="003F4783">
        <w:rPr>
          <w:rFonts w:ascii="Times New Roman" w:hAnsi="Times New Roman" w:cs="Times New Roman"/>
          <w:sz w:val="28"/>
          <w:szCs w:val="28"/>
        </w:rPr>
        <w:t>, attraverso una non consentita ampia lettura dell’art.</w:t>
      </w:r>
      <w:r>
        <w:rPr>
          <w:rFonts w:ascii="Times New Roman" w:hAnsi="Times New Roman" w:cs="Times New Roman"/>
          <w:sz w:val="28"/>
          <w:szCs w:val="28"/>
        </w:rPr>
        <w:t xml:space="preserve"> </w:t>
      </w:r>
      <w:r w:rsidR="003F4783">
        <w:rPr>
          <w:rFonts w:ascii="Times New Roman" w:hAnsi="Times New Roman" w:cs="Times New Roman"/>
          <w:sz w:val="28"/>
          <w:szCs w:val="28"/>
        </w:rPr>
        <w:t>270 del c</w:t>
      </w:r>
      <w:r>
        <w:rPr>
          <w:rFonts w:ascii="Times New Roman" w:hAnsi="Times New Roman" w:cs="Times New Roman"/>
          <w:sz w:val="28"/>
          <w:szCs w:val="28"/>
        </w:rPr>
        <w:t>.</w:t>
      </w:r>
      <w:r w:rsidR="003F4783">
        <w:rPr>
          <w:rFonts w:ascii="Times New Roman" w:hAnsi="Times New Roman" w:cs="Times New Roman"/>
          <w:sz w:val="28"/>
          <w:szCs w:val="28"/>
        </w:rPr>
        <w:t>p</w:t>
      </w:r>
      <w:r>
        <w:rPr>
          <w:rFonts w:ascii="Times New Roman" w:hAnsi="Times New Roman" w:cs="Times New Roman"/>
          <w:sz w:val="28"/>
          <w:szCs w:val="28"/>
        </w:rPr>
        <w:t>.</w:t>
      </w:r>
      <w:r w:rsidR="003F4783">
        <w:rPr>
          <w:rFonts w:ascii="Times New Roman" w:hAnsi="Times New Roman" w:cs="Times New Roman"/>
          <w:sz w:val="28"/>
          <w:szCs w:val="28"/>
        </w:rPr>
        <w:t>p</w:t>
      </w:r>
      <w:r>
        <w:rPr>
          <w:rFonts w:ascii="Times New Roman" w:hAnsi="Times New Roman" w:cs="Times New Roman"/>
          <w:sz w:val="28"/>
          <w:szCs w:val="28"/>
        </w:rPr>
        <w:t>.</w:t>
      </w:r>
      <w:r w:rsidR="003F4783">
        <w:rPr>
          <w:rFonts w:ascii="Times New Roman" w:hAnsi="Times New Roman" w:cs="Times New Roman"/>
          <w:sz w:val="28"/>
          <w:szCs w:val="28"/>
        </w:rPr>
        <w:t xml:space="preserve">, si possa finire con il legittimare le intercettazioni “a strascico”, con il rischio di utilizzazioni per una platea di reati diversi (e meno gravi) di quelli per cui è stata disposta l’attività </w:t>
      </w:r>
      <w:proofErr w:type="spellStart"/>
      <w:r w:rsidR="003F4783">
        <w:rPr>
          <w:rFonts w:ascii="Times New Roman" w:hAnsi="Times New Roman" w:cs="Times New Roman"/>
          <w:sz w:val="28"/>
          <w:szCs w:val="28"/>
        </w:rPr>
        <w:lastRenderedPageBreak/>
        <w:t>intercettativa</w:t>
      </w:r>
      <w:proofErr w:type="spellEnd"/>
      <w:r w:rsidR="003F4783">
        <w:rPr>
          <w:rFonts w:ascii="Times New Roman" w:hAnsi="Times New Roman" w:cs="Times New Roman"/>
          <w:sz w:val="28"/>
          <w:szCs w:val="28"/>
        </w:rPr>
        <w:t xml:space="preserve">. Il rigore applicativo si pone come necessario dopo tale sentenza della Corte di Giustizia. </w:t>
      </w:r>
    </w:p>
    <w:p w14:paraId="40F29CFC" w14:textId="23DB1C57" w:rsidR="003F4783" w:rsidRDefault="00A20519"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Così, per</w:t>
      </w:r>
      <w:r w:rsidR="003F4783">
        <w:rPr>
          <w:rFonts w:ascii="Times New Roman" w:hAnsi="Times New Roman" w:cs="Times New Roman"/>
          <w:sz w:val="28"/>
          <w:szCs w:val="28"/>
        </w:rPr>
        <w:t xml:space="preserve"> quanto riguarda le intercettazioni “ordinarie”</w:t>
      </w:r>
      <w:r w:rsidR="00806B97">
        <w:rPr>
          <w:rFonts w:ascii="Times New Roman" w:hAnsi="Times New Roman" w:cs="Times New Roman"/>
          <w:sz w:val="28"/>
          <w:szCs w:val="28"/>
        </w:rPr>
        <w:t>,</w:t>
      </w:r>
      <w:r w:rsidR="00165204">
        <w:rPr>
          <w:rFonts w:ascii="Times New Roman" w:hAnsi="Times New Roman" w:cs="Times New Roman"/>
          <w:sz w:val="28"/>
          <w:szCs w:val="28"/>
        </w:rPr>
        <w:t xml:space="preserve"> </w:t>
      </w:r>
      <w:r w:rsidR="00806B97">
        <w:rPr>
          <w:rFonts w:ascii="Times New Roman" w:hAnsi="Times New Roman" w:cs="Times New Roman"/>
          <w:sz w:val="28"/>
          <w:szCs w:val="28"/>
        </w:rPr>
        <w:t>provvede il disposto dell’art.</w:t>
      </w:r>
      <w:r>
        <w:rPr>
          <w:rFonts w:ascii="Times New Roman" w:hAnsi="Times New Roman" w:cs="Times New Roman"/>
          <w:sz w:val="28"/>
          <w:szCs w:val="28"/>
        </w:rPr>
        <w:t xml:space="preserve"> </w:t>
      </w:r>
      <w:r w:rsidR="00806B97">
        <w:rPr>
          <w:rFonts w:ascii="Times New Roman" w:hAnsi="Times New Roman" w:cs="Times New Roman"/>
          <w:sz w:val="28"/>
          <w:szCs w:val="28"/>
        </w:rPr>
        <w:t>270, comma 1, del c</w:t>
      </w:r>
      <w:r>
        <w:rPr>
          <w:rFonts w:ascii="Times New Roman" w:hAnsi="Times New Roman" w:cs="Times New Roman"/>
          <w:sz w:val="28"/>
          <w:szCs w:val="28"/>
        </w:rPr>
        <w:t>.</w:t>
      </w:r>
      <w:r w:rsidR="00806B97">
        <w:rPr>
          <w:rFonts w:ascii="Times New Roman" w:hAnsi="Times New Roman" w:cs="Times New Roman"/>
          <w:sz w:val="28"/>
          <w:szCs w:val="28"/>
        </w:rPr>
        <w:t>p</w:t>
      </w:r>
      <w:r>
        <w:rPr>
          <w:rFonts w:ascii="Times New Roman" w:hAnsi="Times New Roman" w:cs="Times New Roman"/>
          <w:sz w:val="28"/>
          <w:szCs w:val="28"/>
        </w:rPr>
        <w:t>.</w:t>
      </w:r>
      <w:r w:rsidR="00806B97">
        <w:rPr>
          <w:rFonts w:ascii="Times New Roman" w:hAnsi="Times New Roman" w:cs="Times New Roman"/>
          <w:sz w:val="28"/>
          <w:szCs w:val="28"/>
        </w:rPr>
        <w:t>p</w:t>
      </w:r>
      <w:r>
        <w:rPr>
          <w:rFonts w:ascii="Times New Roman" w:hAnsi="Times New Roman" w:cs="Times New Roman"/>
          <w:sz w:val="28"/>
          <w:szCs w:val="28"/>
        </w:rPr>
        <w:t>.</w:t>
      </w:r>
      <w:r w:rsidR="00806B97">
        <w:rPr>
          <w:rFonts w:ascii="Times New Roman" w:hAnsi="Times New Roman" w:cs="Times New Roman"/>
          <w:sz w:val="28"/>
          <w:szCs w:val="28"/>
        </w:rPr>
        <w:t xml:space="preserve">, laddove si stabilisce la regola secondo cui i risultati delle intercettazioni non possono essere utilizzati in procedimenti diversi da quelli nei quali sono stati disposti, salvo che risultino “rilevanti” e indispensabili per l’accertamento di delitti per i quali è obbligatorio l’arresto in flagranza e </w:t>
      </w:r>
      <w:r w:rsidR="00B3603B">
        <w:rPr>
          <w:rFonts w:ascii="Times New Roman" w:hAnsi="Times New Roman" w:cs="Times New Roman"/>
          <w:sz w:val="28"/>
          <w:szCs w:val="28"/>
        </w:rPr>
        <w:t>«d</w:t>
      </w:r>
      <w:r w:rsidR="00806B97">
        <w:rPr>
          <w:rFonts w:ascii="Times New Roman" w:hAnsi="Times New Roman" w:cs="Times New Roman"/>
          <w:sz w:val="28"/>
          <w:szCs w:val="28"/>
        </w:rPr>
        <w:t>ei reati di cui all’art.</w:t>
      </w:r>
      <w:r>
        <w:rPr>
          <w:rFonts w:ascii="Times New Roman" w:hAnsi="Times New Roman" w:cs="Times New Roman"/>
          <w:sz w:val="28"/>
          <w:szCs w:val="28"/>
        </w:rPr>
        <w:t xml:space="preserve"> </w:t>
      </w:r>
      <w:r w:rsidR="00806B97">
        <w:rPr>
          <w:rFonts w:ascii="Times New Roman" w:hAnsi="Times New Roman" w:cs="Times New Roman"/>
          <w:sz w:val="28"/>
          <w:szCs w:val="28"/>
        </w:rPr>
        <w:t>266, comma 1 del c</w:t>
      </w:r>
      <w:r>
        <w:rPr>
          <w:rFonts w:ascii="Times New Roman" w:hAnsi="Times New Roman" w:cs="Times New Roman"/>
          <w:sz w:val="28"/>
          <w:szCs w:val="28"/>
        </w:rPr>
        <w:t>.</w:t>
      </w:r>
      <w:r w:rsidR="00806B97">
        <w:rPr>
          <w:rFonts w:ascii="Times New Roman" w:hAnsi="Times New Roman" w:cs="Times New Roman"/>
          <w:sz w:val="28"/>
          <w:szCs w:val="28"/>
        </w:rPr>
        <w:t>p</w:t>
      </w:r>
      <w:r>
        <w:rPr>
          <w:rFonts w:ascii="Times New Roman" w:hAnsi="Times New Roman" w:cs="Times New Roman"/>
          <w:sz w:val="28"/>
          <w:szCs w:val="28"/>
        </w:rPr>
        <w:t>.</w:t>
      </w:r>
      <w:r w:rsidR="00806B97">
        <w:rPr>
          <w:rFonts w:ascii="Times New Roman" w:hAnsi="Times New Roman" w:cs="Times New Roman"/>
          <w:sz w:val="28"/>
          <w:szCs w:val="28"/>
        </w:rPr>
        <w:t>p</w:t>
      </w:r>
      <w:r>
        <w:rPr>
          <w:rFonts w:ascii="Times New Roman" w:hAnsi="Times New Roman" w:cs="Times New Roman"/>
          <w:sz w:val="28"/>
          <w:szCs w:val="28"/>
        </w:rPr>
        <w:t>.</w:t>
      </w:r>
      <w:r w:rsidR="00B3603B">
        <w:rPr>
          <w:rFonts w:ascii="Times New Roman" w:hAnsi="Times New Roman" w:cs="Times New Roman"/>
          <w:sz w:val="28"/>
          <w:szCs w:val="28"/>
        </w:rPr>
        <w:t>»</w:t>
      </w:r>
      <w:r w:rsidR="00806B97">
        <w:rPr>
          <w:rFonts w:ascii="Times New Roman" w:hAnsi="Times New Roman" w:cs="Times New Roman"/>
          <w:sz w:val="28"/>
          <w:szCs w:val="28"/>
        </w:rPr>
        <w:t>.</w:t>
      </w:r>
    </w:p>
    <w:p w14:paraId="44EC76DC" w14:textId="412ACB61" w:rsidR="00806B97" w:rsidRDefault="00806B97"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Deve, dunque, trattarsi di intercettazioni contenenti elementi rilevanti e spendibili per la prova di reati per i quali lo strumento delle intercettazioni sarebbe stato ordinariamente consentito. Rileva</w:t>
      </w:r>
      <w:r w:rsidR="00D95884">
        <w:rPr>
          <w:rFonts w:ascii="Times New Roman" w:hAnsi="Times New Roman" w:cs="Times New Roman"/>
          <w:sz w:val="28"/>
          <w:szCs w:val="28"/>
        </w:rPr>
        <w:t>,</w:t>
      </w:r>
      <w:r>
        <w:rPr>
          <w:rFonts w:ascii="Times New Roman" w:hAnsi="Times New Roman" w:cs="Times New Roman"/>
          <w:sz w:val="28"/>
          <w:szCs w:val="28"/>
        </w:rPr>
        <w:t xml:space="preserve"> in tal senso</w:t>
      </w:r>
      <w:r w:rsidR="00D95884">
        <w:rPr>
          <w:rFonts w:ascii="Times New Roman" w:hAnsi="Times New Roman" w:cs="Times New Roman"/>
          <w:sz w:val="28"/>
          <w:szCs w:val="28"/>
        </w:rPr>
        <w:t>,</w:t>
      </w:r>
      <w:r>
        <w:rPr>
          <w:rFonts w:ascii="Times New Roman" w:hAnsi="Times New Roman" w:cs="Times New Roman"/>
          <w:sz w:val="28"/>
          <w:szCs w:val="28"/>
        </w:rPr>
        <w:t xml:space="preserve"> la puntualizzazione della sentenza 28 novembre 2019, </w:t>
      </w:r>
      <w:r w:rsidRPr="000463A6">
        <w:rPr>
          <w:rFonts w:ascii="Times New Roman" w:hAnsi="Times New Roman" w:cs="Times New Roman"/>
          <w:i/>
          <w:iCs/>
          <w:sz w:val="28"/>
          <w:szCs w:val="28"/>
        </w:rPr>
        <w:t>Cavallo</w:t>
      </w:r>
      <w:r>
        <w:rPr>
          <w:rFonts w:ascii="Times New Roman" w:hAnsi="Times New Roman" w:cs="Times New Roman"/>
          <w:sz w:val="28"/>
          <w:szCs w:val="28"/>
        </w:rPr>
        <w:t xml:space="preserve"> e altro, nella quale le </w:t>
      </w:r>
      <w:r w:rsidR="00D95884">
        <w:rPr>
          <w:rFonts w:ascii="Times New Roman" w:hAnsi="Times New Roman" w:cs="Times New Roman"/>
          <w:sz w:val="28"/>
          <w:szCs w:val="28"/>
        </w:rPr>
        <w:t>S</w:t>
      </w:r>
      <w:r>
        <w:rPr>
          <w:rFonts w:ascii="Times New Roman" w:hAnsi="Times New Roman" w:cs="Times New Roman"/>
          <w:sz w:val="28"/>
          <w:szCs w:val="28"/>
        </w:rPr>
        <w:t xml:space="preserve">ezioni Unite hanno affermato che, al di là di ogni considerazione formale circa l’iscrizione (all’interno del medesimo fascicolo o in via autonoma), si è, comunque, </w:t>
      </w:r>
      <w:r w:rsidR="004F6B26">
        <w:rPr>
          <w:rFonts w:ascii="Times New Roman" w:hAnsi="Times New Roman" w:cs="Times New Roman"/>
          <w:sz w:val="28"/>
          <w:szCs w:val="28"/>
        </w:rPr>
        <w:t>a</w:t>
      </w:r>
      <w:r>
        <w:rPr>
          <w:rFonts w:ascii="Times New Roman" w:hAnsi="Times New Roman" w:cs="Times New Roman"/>
          <w:sz w:val="28"/>
          <w:szCs w:val="28"/>
        </w:rPr>
        <w:t>l di fuori del divieto di utilizzazione stabilito dall’art.</w:t>
      </w:r>
      <w:r w:rsidR="004F6B26">
        <w:rPr>
          <w:rFonts w:ascii="Times New Roman" w:hAnsi="Times New Roman" w:cs="Times New Roman"/>
          <w:sz w:val="28"/>
          <w:szCs w:val="28"/>
        </w:rPr>
        <w:t xml:space="preserve"> </w:t>
      </w:r>
      <w:r>
        <w:rPr>
          <w:rFonts w:ascii="Times New Roman" w:hAnsi="Times New Roman" w:cs="Times New Roman"/>
          <w:sz w:val="28"/>
          <w:szCs w:val="28"/>
        </w:rPr>
        <w:t>270 c</w:t>
      </w:r>
      <w:r w:rsidR="004F6B26">
        <w:rPr>
          <w:rFonts w:ascii="Times New Roman" w:hAnsi="Times New Roman" w:cs="Times New Roman"/>
          <w:sz w:val="28"/>
          <w:szCs w:val="28"/>
        </w:rPr>
        <w:t>.</w:t>
      </w:r>
      <w:r>
        <w:rPr>
          <w:rFonts w:ascii="Times New Roman" w:hAnsi="Times New Roman" w:cs="Times New Roman"/>
          <w:sz w:val="28"/>
          <w:szCs w:val="28"/>
        </w:rPr>
        <w:t>p</w:t>
      </w:r>
      <w:r w:rsidR="004F6B26">
        <w:rPr>
          <w:rFonts w:ascii="Times New Roman" w:hAnsi="Times New Roman" w:cs="Times New Roman"/>
          <w:sz w:val="28"/>
          <w:szCs w:val="28"/>
        </w:rPr>
        <w:t>.</w:t>
      </w:r>
      <w:r>
        <w:rPr>
          <w:rFonts w:ascii="Times New Roman" w:hAnsi="Times New Roman" w:cs="Times New Roman"/>
          <w:sz w:val="28"/>
          <w:szCs w:val="28"/>
        </w:rPr>
        <w:t>p</w:t>
      </w:r>
      <w:r w:rsidR="004F6B26">
        <w:rPr>
          <w:rFonts w:ascii="Times New Roman" w:hAnsi="Times New Roman" w:cs="Times New Roman"/>
          <w:sz w:val="28"/>
          <w:szCs w:val="28"/>
        </w:rPr>
        <w:t>.</w:t>
      </w:r>
      <w:r w:rsidR="00165204">
        <w:rPr>
          <w:rFonts w:ascii="Times New Roman" w:hAnsi="Times New Roman" w:cs="Times New Roman"/>
          <w:sz w:val="28"/>
          <w:szCs w:val="28"/>
        </w:rPr>
        <w:t xml:space="preserve"> </w:t>
      </w:r>
      <w:r>
        <w:rPr>
          <w:rFonts w:ascii="Times New Roman" w:hAnsi="Times New Roman" w:cs="Times New Roman"/>
          <w:sz w:val="28"/>
          <w:szCs w:val="28"/>
        </w:rPr>
        <w:t xml:space="preserve">rispetto ai reati </w:t>
      </w:r>
      <w:r w:rsidR="00165204">
        <w:rPr>
          <w:rFonts w:ascii="Times New Roman" w:hAnsi="Times New Roman" w:cs="Times New Roman"/>
          <w:sz w:val="28"/>
          <w:szCs w:val="28"/>
        </w:rPr>
        <w:t>che risultino connessi ex art.</w:t>
      </w:r>
      <w:r w:rsidR="004F6B26">
        <w:rPr>
          <w:rFonts w:ascii="Times New Roman" w:hAnsi="Times New Roman" w:cs="Times New Roman"/>
          <w:sz w:val="28"/>
          <w:szCs w:val="28"/>
        </w:rPr>
        <w:t xml:space="preserve"> </w:t>
      </w:r>
      <w:r w:rsidR="00165204">
        <w:rPr>
          <w:rFonts w:ascii="Times New Roman" w:hAnsi="Times New Roman" w:cs="Times New Roman"/>
          <w:sz w:val="28"/>
          <w:szCs w:val="28"/>
        </w:rPr>
        <w:t>12 del c</w:t>
      </w:r>
      <w:r w:rsidR="004F6B26">
        <w:rPr>
          <w:rFonts w:ascii="Times New Roman" w:hAnsi="Times New Roman" w:cs="Times New Roman"/>
          <w:sz w:val="28"/>
          <w:szCs w:val="28"/>
        </w:rPr>
        <w:t>.</w:t>
      </w:r>
      <w:r w:rsidR="00165204">
        <w:rPr>
          <w:rFonts w:ascii="Times New Roman" w:hAnsi="Times New Roman" w:cs="Times New Roman"/>
          <w:sz w:val="28"/>
          <w:szCs w:val="28"/>
        </w:rPr>
        <w:t>p</w:t>
      </w:r>
      <w:r w:rsidR="004F6B26">
        <w:rPr>
          <w:rFonts w:ascii="Times New Roman" w:hAnsi="Times New Roman" w:cs="Times New Roman"/>
          <w:sz w:val="28"/>
          <w:szCs w:val="28"/>
        </w:rPr>
        <w:t>.</w:t>
      </w:r>
      <w:r w:rsidR="00165204">
        <w:rPr>
          <w:rFonts w:ascii="Times New Roman" w:hAnsi="Times New Roman" w:cs="Times New Roman"/>
          <w:sz w:val="28"/>
          <w:szCs w:val="28"/>
        </w:rPr>
        <w:t>p</w:t>
      </w:r>
      <w:r w:rsidR="004F6B26">
        <w:rPr>
          <w:rFonts w:ascii="Times New Roman" w:hAnsi="Times New Roman" w:cs="Times New Roman"/>
          <w:sz w:val="28"/>
          <w:szCs w:val="28"/>
        </w:rPr>
        <w:t>.</w:t>
      </w:r>
      <w:r w:rsidR="00165204">
        <w:rPr>
          <w:rFonts w:ascii="Times New Roman" w:hAnsi="Times New Roman" w:cs="Times New Roman"/>
          <w:sz w:val="28"/>
          <w:szCs w:val="28"/>
        </w:rPr>
        <w:t xml:space="preserve">, a quelli in relazione ai quali l’autorizzazione era stata </w:t>
      </w:r>
      <w:r w:rsidR="00165204" w:rsidRPr="004F6B26">
        <w:rPr>
          <w:rFonts w:ascii="Times New Roman" w:hAnsi="Times New Roman" w:cs="Times New Roman"/>
          <w:i/>
          <w:iCs/>
          <w:sz w:val="28"/>
          <w:szCs w:val="28"/>
        </w:rPr>
        <w:t>ab origine</w:t>
      </w:r>
      <w:r w:rsidR="00165204">
        <w:rPr>
          <w:rFonts w:ascii="Times New Roman" w:hAnsi="Times New Roman" w:cs="Times New Roman"/>
          <w:sz w:val="28"/>
          <w:szCs w:val="28"/>
        </w:rPr>
        <w:t xml:space="preserve"> disposta, </w:t>
      </w:r>
      <w:r w:rsidR="004F6B26">
        <w:rPr>
          <w:rFonts w:ascii="Times New Roman" w:hAnsi="Times New Roman" w:cs="Times New Roman"/>
          <w:sz w:val="28"/>
          <w:szCs w:val="28"/>
        </w:rPr>
        <w:t>sempreché</w:t>
      </w:r>
      <w:r w:rsidR="00165204">
        <w:rPr>
          <w:rFonts w:ascii="Times New Roman" w:hAnsi="Times New Roman" w:cs="Times New Roman"/>
          <w:sz w:val="28"/>
          <w:szCs w:val="28"/>
        </w:rPr>
        <w:t xml:space="preserve"> rientrino nei limiti di ammissibilità previsti dall’art.</w:t>
      </w:r>
      <w:r w:rsidR="004F6B26">
        <w:rPr>
          <w:rFonts w:ascii="Times New Roman" w:hAnsi="Times New Roman" w:cs="Times New Roman"/>
          <w:sz w:val="28"/>
          <w:szCs w:val="28"/>
        </w:rPr>
        <w:t xml:space="preserve"> </w:t>
      </w:r>
      <w:r w:rsidR="00165204">
        <w:rPr>
          <w:rFonts w:ascii="Times New Roman" w:hAnsi="Times New Roman" w:cs="Times New Roman"/>
          <w:sz w:val="28"/>
          <w:szCs w:val="28"/>
        </w:rPr>
        <w:t>266 del c</w:t>
      </w:r>
      <w:r w:rsidR="004F6B26">
        <w:rPr>
          <w:rFonts w:ascii="Times New Roman" w:hAnsi="Times New Roman" w:cs="Times New Roman"/>
          <w:sz w:val="28"/>
          <w:szCs w:val="28"/>
        </w:rPr>
        <w:t>.</w:t>
      </w:r>
      <w:r w:rsidR="00165204">
        <w:rPr>
          <w:rFonts w:ascii="Times New Roman" w:hAnsi="Times New Roman" w:cs="Times New Roman"/>
          <w:sz w:val="28"/>
          <w:szCs w:val="28"/>
        </w:rPr>
        <w:t>p</w:t>
      </w:r>
      <w:r w:rsidR="004F6B26">
        <w:rPr>
          <w:rFonts w:ascii="Times New Roman" w:hAnsi="Times New Roman" w:cs="Times New Roman"/>
          <w:sz w:val="28"/>
          <w:szCs w:val="28"/>
        </w:rPr>
        <w:t>.</w:t>
      </w:r>
      <w:r w:rsidR="00165204">
        <w:rPr>
          <w:rFonts w:ascii="Times New Roman" w:hAnsi="Times New Roman" w:cs="Times New Roman"/>
          <w:sz w:val="28"/>
          <w:szCs w:val="28"/>
        </w:rPr>
        <w:t>p.</w:t>
      </w:r>
    </w:p>
    <w:p w14:paraId="48F80112" w14:textId="77777777" w:rsidR="00D95884" w:rsidRDefault="00165204"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Quanto alle intercettazioni tramite captatore, il comma 1-bis dell’art.</w:t>
      </w:r>
      <w:r w:rsidR="004F6B26">
        <w:rPr>
          <w:rFonts w:ascii="Times New Roman" w:hAnsi="Times New Roman" w:cs="Times New Roman"/>
          <w:sz w:val="28"/>
          <w:szCs w:val="28"/>
        </w:rPr>
        <w:t xml:space="preserve"> </w:t>
      </w:r>
      <w:r>
        <w:rPr>
          <w:rFonts w:ascii="Times New Roman" w:hAnsi="Times New Roman" w:cs="Times New Roman"/>
          <w:sz w:val="28"/>
          <w:szCs w:val="28"/>
        </w:rPr>
        <w:t xml:space="preserve">270 del </w:t>
      </w:r>
      <w:r w:rsidR="004F6B26">
        <w:rPr>
          <w:rFonts w:ascii="Times New Roman" w:hAnsi="Times New Roman" w:cs="Times New Roman"/>
          <w:sz w:val="28"/>
          <w:szCs w:val="28"/>
        </w:rPr>
        <w:t>c.p.p.</w:t>
      </w:r>
      <w:r>
        <w:rPr>
          <w:rFonts w:ascii="Times New Roman" w:hAnsi="Times New Roman" w:cs="Times New Roman"/>
          <w:sz w:val="28"/>
          <w:szCs w:val="28"/>
        </w:rPr>
        <w:t xml:space="preserve"> prevede che, fermo restando quanto previsto dal comma 1, i risultati delle intercettazioni tra presenti operate con captatore informatico su dispositivo elettronico portatile possono essere utilizzati anche per la prova di reati diversi da quelli per i quali è stato emesso il decreto di autorizzazione</w:t>
      </w:r>
      <w:r w:rsidR="00D95884">
        <w:rPr>
          <w:rFonts w:ascii="Times New Roman" w:hAnsi="Times New Roman" w:cs="Times New Roman"/>
          <w:sz w:val="28"/>
          <w:szCs w:val="28"/>
        </w:rPr>
        <w:t>,</w:t>
      </w:r>
      <w:r>
        <w:rPr>
          <w:rFonts w:ascii="Times New Roman" w:hAnsi="Times New Roman" w:cs="Times New Roman"/>
          <w:sz w:val="28"/>
          <w:szCs w:val="28"/>
        </w:rPr>
        <w:t xml:space="preserve"> </w:t>
      </w:r>
      <w:r w:rsidR="00B3603B">
        <w:rPr>
          <w:rFonts w:ascii="Times New Roman" w:hAnsi="Times New Roman" w:cs="Times New Roman"/>
          <w:sz w:val="28"/>
          <w:szCs w:val="28"/>
        </w:rPr>
        <w:t>«</w:t>
      </w:r>
      <w:r>
        <w:rPr>
          <w:rFonts w:ascii="Times New Roman" w:hAnsi="Times New Roman" w:cs="Times New Roman"/>
          <w:sz w:val="28"/>
          <w:szCs w:val="28"/>
        </w:rPr>
        <w:t>qualora risultino indispensabili per l’accertamento dei delitti indicati dall’articolo 266, comma 2-bis, del c</w:t>
      </w:r>
      <w:r w:rsidR="004F6B26">
        <w:rPr>
          <w:rFonts w:ascii="Times New Roman" w:hAnsi="Times New Roman" w:cs="Times New Roman"/>
          <w:sz w:val="28"/>
          <w:szCs w:val="28"/>
        </w:rPr>
        <w:t>.</w:t>
      </w:r>
      <w:r>
        <w:rPr>
          <w:rFonts w:ascii="Times New Roman" w:hAnsi="Times New Roman" w:cs="Times New Roman"/>
          <w:sz w:val="28"/>
          <w:szCs w:val="28"/>
        </w:rPr>
        <w:t>p</w:t>
      </w:r>
      <w:r w:rsidR="004F6B26">
        <w:rPr>
          <w:rFonts w:ascii="Times New Roman" w:hAnsi="Times New Roman" w:cs="Times New Roman"/>
          <w:sz w:val="28"/>
          <w:szCs w:val="28"/>
        </w:rPr>
        <w:t>.</w:t>
      </w:r>
      <w:r>
        <w:rPr>
          <w:rFonts w:ascii="Times New Roman" w:hAnsi="Times New Roman" w:cs="Times New Roman"/>
          <w:sz w:val="28"/>
          <w:szCs w:val="28"/>
        </w:rPr>
        <w:t>p</w:t>
      </w:r>
      <w:r w:rsidR="004F6B26">
        <w:rPr>
          <w:rFonts w:ascii="Times New Roman" w:hAnsi="Times New Roman" w:cs="Times New Roman"/>
          <w:sz w:val="28"/>
          <w:szCs w:val="28"/>
        </w:rPr>
        <w:t>.</w:t>
      </w:r>
      <w:r w:rsidR="00B3603B">
        <w:rPr>
          <w:rFonts w:ascii="Times New Roman" w:hAnsi="Times New Roman" w:cs="Times New Roman"/>
          <w:sz w:val="28"/>
          <w:szCs w:val="28"/>
        </w:rPr>
        <w:t>».</w:t>
      </w:r>
      <w:r w:rsidR="00682ABD">
        <w:rPr>
          <w:rFonts w:ascii="Times New Roman" w:hAnsi="Times New Roman" w:cs="Times New Roman"/>
          <w:sz w:val="28"/>
          <w:szCs w:val="28"/>
        </w:rPr>
        <w:t xml:space="preserve"> </w:t>
      </w:r>
    </w:p>
    <w:p w14:paraId="02EEAE2C" w14:textId="5FD40D5C" w:rsidR="00165204" w:rsidRDefault="00682ABD"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Per l’effetto, i risultati delle intercettazioni tramite </w:t>
      </w:r>
      <w:proofErr w:type="spellStart"/>
      <w:r w:rsidRPr="00682ABD">
        <w:rPr>
          <w:rFonts w:ascii="Times New Roman" w:hAnsi="Times New Roman" w:cs="Times New Roman"/>
          <w:i/>
          <w:iCs/>
          <w:sz w:val="28"/>
          <w:szCs w:val="28"/>
        </w:rPr>
        <w:t>trojan</w:t>
      </w:r>
      <w:proofErr w:type="spellEnd"/>
      <w:r w:rsidRPr="00682ABD">
        <w:rPr>
          <w:rFonts w:ascii="Times New Roman" w:hAnsi="Times New Roman" w:cs="Times New Roman"/>
          <w:i/>
          <w:iCs/>
          <w:sz w:val="28"/>
          <w:szCs w:val="28"/>
        </w:rPr>
        <w:t xml:space="preserve"> </w:t>
      </w:r>
      <w:r w:rsidRPr="00682ABD">
        <w:rPr>
          <w:rFonts w:ascii="Times New Roman" w:hAnsi="Times New Roman" w:cs="Times New Roman"/>
          <w:sz w:val="28"/>
          <w:szCs w:val="28"/>
        </w:rPr>
        <w:t>possono</w:t>
      </w:r>
      <w:r>
        <w:rPr>
          <w:rFonts w:ascii="Times New Roman" w:hAnsi="Times New Roman" w:cs="Times New Roman"/>
          <w:sz w:val="28"/>
          <w:szCs w:val="28"/>
        </w:rPr>
        <w:t xml:space="preserve"> essere utilizzati anche per la prova di “reati diversi”</w:t>
      </w:r>
      <w:r w:rsidR="00F37931">
        <w:rPr>
          <w:rFonts w:ascii="Times New Roman" w:hAnsi="Times New Roman" w:cs="Times New Roman"/>
          <w:sz w:val="28"/>
          <w:szCs w:val="28"/>
        </w:rPr>
        <w:t xml:space="preserve"> da quelli per i quali è stato emesso il decreto di autorizzazione, </w:t>
      </w:r>
      <w:r w:rsidR="00B3603B">
        <w:rPr>
          <w:rFonts w:ascii="Times New Roman" w:hAnsi="Times New Roman" w:cs="Times New Roman"/>
          <w:sz w:val="28"/>
          <w:szCs w:val="28"/>
        </w:rPr>
        <w:t>«</w:t>
      </w:r>
      <w:r w:rsidR="00F37931">
        <w:rPr>
          <w:rFonts w:ascii="Times New Roman" w:hAnsi="Times New Roman" w:cs="Times New Roman"/>
          <w:sz w:val="28"/>
          <w:szCs w:val="28"/>
        </w:rPr>
        <w:t>qualora risultino indispensabili per l’accertamento dei delitti indicati dall’art.</w:t>
      </w:r>
      <w:r w:rsidR="004F6B26">
        <w:rPr>
          <w:rFonts w:ascii="Times New Roman" w:hAnsi="Times New Roman" w:cs="Times New Roman"/>
          <w:sz w:val="28"/>
          <w:szCs w:val="28"/>
        </w:rPr>
        <w:t xml:space="preserve"> </w:t>
      </w:r>
      <w:r w:rsidR="00F37931">
        <w:rPr>
          <w:rFonts w:ascii="Times New Roman" w:hAnsi="Times New Roman" w:cs="Times New Roman"/>
          <w:sz w:val="28"/>
          <w:szCs w:val="28"/>
        </w:rPr>
        <w:t>266, comma 2</w:t>
      </w:r>
      <w:r w:rsidR="004F6B26">
        <w:rPr>
          <w:rFonts w:ascii="Times New Roman" w:hAnsi="Times New Roman" w:cs="Times New Roman"/>
          <w:sz w:val="28"/>
          <w:szCs w:val="28"/>
        </w:rPr>
        <w:t>-</w:t>
      </w:r>
      <w:r w:rsidR="00F37931">
        <w:rPr>
          <w:rFonts w:ascii="Times New Roman" w:hAnsi="Times New Roman" w:cs="Times New Roman"/>
          <w:sz w:val="28"/>
          <w:szCs w:val="28"/>
        </w:rPr>
        <w:t xml:space="preserve">bis, del </w:t>
      </w:r>
      <w:r w:rsidR="004F6B26">
        <w:rPr>
          <w:rFonts w:ascii="Times New Roman" w:hAnsi="Times New Roman" w:cs="Times New Roman"/>
          <w:sz w:val="28"/>
          <w:szCs w:val="28"/>
        </w:rPr>
        <w:t>c.p.p.</w:t>
      </w:r>
      <w:r w:rsidR="00B3603B">
        <w:rPr>
          <w:rFonts w:ascii="Times New Roman" w:hAnsi="Times New Roman" w:cs="Times New Roman"/>
          <w:sz w:val="28"/>
          <w:szCs w:val="28"/>
        </w:rPr>
        <w:t>»</w:t>
      </w:r>
      <w:r w:rsidR="00F37931">
        <w:rPr>
          <w:rFonts w:ascii="Times New Roman" w:hAnsi="Times New Roman" w:cs="Times New Roman"/>
          <w:sz w:val="28"/>
          <w:szCs w:val="28"/>
        </w:rPr>
        <w:t xml:space="preserve"> (ossia, i delitti di cui all’articolo 51, commi</w:t>
      </w:r>
      <w:r w:rsidR="004F6B26">
        <w:rPr>
          <w:rFonts w:ascii="Times New Roman" w:hAnsi="Times New Roman" w:cs="Times New Roman"/>
          <w:sz w:val="28"/>
          <w:szCs w:val="28"/>
        </w:rPr>
        <w:t xml:space="preserve"> </w:t>
      </w:r>
      <w:r w:rsidR="00F37931">
        <w:rPr>
          <w:rFonts w:ascii="Times New Roman" w:hAnsi="Times New Roman" w:cs="Times New Roman"/>
          <w:sz w:val="28"/>
          <w:szCs w:val="28"/>
        </w:rPr>
        <w:t>3</w:t>
      </w:r>
      <w:r w:rsidR="00D95884">
        <w:rPr>
          <w:rFonts w:ascii="Times New Roman" w:hAnsi="Times New Roman" w:cs="Times New Roman"/>
          <w:sz w:val="28"/>
          <w:szCs w:val="28"/>
        </w:rPr>
        <w:t>-</w:t>
      </w:r>
      <w:r w:rsidR="00F37931">
        <w:rPr>
          <w:rFonts w:ascii="Times New Roman" w:hAnsi="Times New Roman" w:cs="Times New Roman"/>
          <w:sz w:val="28"/>
          <w:szCs w:val="28"/>
        </w:rPr>
        <w:t>bis e 3-quater, del c</w:t>
      </w:r>
      <w:r w:rsidR="00B3603B">
        <w:rPr>
          <w:rFonts w:ascii="Times New Roman" w:hAnsi="Times New Roman" w:cs="Times New Roman"/>
          <w:sz w:val="28"/>
          <w:szCs w:val="28"/>
        </w:rPr>
        <w:t>.</w:t>
      </w:r>
      <w:r w:rsidR="00F37931">
        <w:rPr>
          <w:rFonts w:ascii="Times New Roman" w:hAnsi="Times New Roman" w:cs="Times New Roman"/>
          <w:sz w:val="28"/>
          <w:szCs w:val="28"/>
        </w:rPr>
        <w:t>p</w:t>
      </w:r>
      <w:r w:rsidR="00B3603B">
        <w:rPr>
          <w:rFonts w:ascii="Times New Roman" w:hAnsi="Times New Roman" w:cs="Times New Roman"/>
          <w:sz w:val="28"/>
          <w:szCs w:val="28"/>
        </w:rPr>
        <w:t>.</w:t>
      </w:r>
      <w:r w:rsidR="00F37931">
        <w:rPr>
          <w:rFonts w:ascii="Times New Roman" w:hAnsi="Times New Roman" w:cs="Times New Roman"/>
          <w:sz w:val="28"/>
          <w:szCs w:val="28"/>
        </w:rPr>
        <w:t>p</w:t>
      </w:r>
      <w:r w:rsidR="00B3603B">
        <w:rPr>
          <w:rFonts w:ascii="Times New Roman" w:hAnsi="Times New Roman" w:cs="Times New Roman"/>
          <w:sz w:val="28"/>
          <w:szCs w:val="28"/>
        </w:rPr>
        <w:t>.</w:t>
      </w:r>
      <w:r w:rsidR="00F37931">
        <w:rPr>
          <w:rFonts w:ascii="Times New Roman" w:hAnsi="Times New Roman" w:cs="Times New Roman"/>
          <w:sz w:val="28"/>
          <w:szCs w:val="28"/>
        </w:rPr>
        <w:t>, ovvero i delitti dei pubblici ufficiali e degli incaricati di un pubblico servizio contro la pubblica amministrazione).</w:t>
      </w:r>
    </w:p>
    <w:p w14:paraId="6F3C2CF3" w14:textId="0DFDDD0E" w:rsidR="00F37931" w:rsidRDefault="00F37931"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Il rigore notevole che accompagna l’utilizzabilità delle intercettazioni in “altri” e “diversi” procedimenti penali, alla luce degli argomenti sviluppati nella sentenza della Corte europea a garanzia e presidio della riservatezza, quando non ricorrono le esigenze di contrasto di gravi reati, sembrerebbero imporre una rilettura della giurisprudenza delle sezioni unite che, in modo ormai ripetitivo e riproduttivo di principi consolidati, ammette l’utilizzabilità delle intercettazioni anche in sede disciplinare a carico di magistrati</w:t>
      </w:r>
      <w:r w:rsidR="004F6B26">
        <w:rPr>
          <w:rStyle w:val="Rimandonotaapidipagina"/>
          <w:rFonts w:ascii="Times New Roman" w:hAnsi="Times New Roman" w:cs="Times New Roman"/>
          <w:sz w:val="28"/>
          <w:szCs w:val="28"/>
        </w:rPr>
        <w:footnoteReference w:id="54"/>
      </w:r>
      <w:r w:rsidR="004F6B26">
        <w:rPr>
          <w:rFonts w:ascii="Times New Roman" w:hAnsi="Times New Roman" w:cs="Times New Roman"/>
          <w:sz w:val="28"/>
          <w:szCs w:val="28"/>
        </w:rPr>
        <w:t>.</w:t>
      </w:r>
    </w:p>
    <w:p w14:paraId="25D4EA28" w14:textId="77777777" w:rsidR="00D95884" w:rsidRDefault="00B43622"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La decisione della Corte europea dovrebbe indurre a una più meditata riflessione sull’esportabilità automatica di registrazioni in contesti e per finalità diverse dal </w:t>
      </w:r>
      <w:r>
        <w:rPr>
          <w:rFonts w:ascii="Times New Roman" w:hAnsi="Times New Roman" w:cs="Times New Roman"/>
          <w:sz w:val="28"/>
          <w:szCs w:val="28"/>
        </w:rPr>
        <w:lastRenderedPageBreak/>
        <w:t>contrasto dei “gravi reati” che, nella lettura dei giudici europei, è l’unica ragione legittimante l’invasione della sfera privata altrui. Conclusione, questa, maggiormente valida ove si discuta di utilizzabilità delle intercettazioni a mezzo captatore informatico: proprio l’invasività del captatore ha già imposto una disciplina di maggior rigore rispetto a quelle delle ordinarie intercettazioni (art</w:t>
      </w:r>
      <w:r w:rsidR="004F6B26">
        <w:rPr>
          <w:rFonts w:ascii="Times New Roman" w:hAnsi="Times New Roman" w:cs="Times New Roman"/>
          <w:sz w:val="28"/>
          <w:szCs w:val="28"/>
        </w:rPr>
        <w:t xml:space="preserve">. </w:t>
      </w:r>
      <w:r>
        <w:rPr>
          <w:rFonts w:ascii="Times New Roman" w:hAnsi="Times New Roman" w:cs="Times New Roman"/>
          <w:sz w:val="28"/>
          <w:szCs w:val="28"/>
        </w:rPr>
        <w:t>270, comma 1</w:t>
      </w:r>
      <w:r w:rsidR="004F6B26">
        <w:rPr>
          <w:rFonts w:ascii="Times New Roman" w:hAnsi="Times New Roman" w:cs="Times New Roman"/>
          <w:sz w:val="28"/>
          <w:szCs w:val="28"/>
        </w:rPr>
        <w:t>,</w:t>
      </w:r>
      <w:r>
        <w:rPr>
          <w:rFonts w:ascii="Times New Roman" w:hAnsi="Times New Roman" w:cs="Times New Roman"/>
          <w:sz w:val="28"/>
          <w:szCs w:val="28"/>
        </w:rPr>
        <w:t xml:space="preserve"> c</w:t>
      </w:r>
      <w:r w:rsidR="004F6B26">
        <w:rPr>
          <w:rFonts w:ascii="Times New Roman" w:hAnsi="Times New Roman" w:cs="Times New Roman"/>
          <w:sz w:val="28"/>
          <w:szCs w:val="28"/>
        </w:rPr>
        <w:t>.</w:t>
      </w:r>
      <w:r>
        <w:rPr>
          <w:rFonts w:ascii="Times New Roman" w:hAnsi="Times New Roman" w:cs="Times New Roman"/>
          <w:sz w:val="28"/>
          <w:szCs w:val="28"/>
        </w:rPr>
        <w:t>p</w:t>
      </w:r>
      <w:r w:rsidR="004F6B26">
        <w:rPr>
          <w:rFonts w:ascii="Times New Roman" w:hAnsi="Times New Roman" w:cs="Times New Roman"/>
          <w:sz w:val="28"/>
          <w:szCs w:val="28"/>
        </w:rPr>
        <w:t>.</w:t>
      </w:r>
      <w:r>
        <w:rPr>
          <w:rFonts w:ascii="Times New Roman" w:hAnsi="Times New Roman" w:cs="Times New Roman"/>
          <w:sz w:val="28"/>
          <w:szCs w:val="28"/>
        </w:rPr>
        <w:t>p</w:t>
      </w:r>
      <w:r w:rsidR="004F6B26">
        <w:rPr>
          <w:rFonts w:ascii="Times New Roman" w:hAnsi="Times New Roman" w:cs="Times New Roman"/>
          <w:sz w:val="28"/>
          <w:szCs w:val="28"/>
        </w:rPr>
        <w:t>.</w:t>
      </w:r>
      <w:r>
        <w:rPr>
          <w:rFonts w:ascii="Times New Roman" w:hAnsi="Times New Roman" w:cs="Times New Roman"/>
          <w:sz w:val="28"/>
          <w:szCs w:val="28"/>
        </w:rPr>
        <w:t>) e ciò</w:t>
      </w:r>
      <w:r w:rsidR="004F6B26">
        <w:rPr>
          <w:rFonts w:ascii="Times New Roman" w:hAnsi="Times New Roman" w:cs="Times New Roman"/>
          <w:sz w:val="28"/>
          <w:szCs w:val="28"/>
        </w:rPr>
        <w:t xml:space="preserve">, </w:t>
      </w:r>
      <w:r>
        <w:rPr>
          <w:rFonts w:ascii="Times New Roman" w:hAnsi="Times New Roman" w:cs="Times New Roman"/>
          <w:sz w:val="28"/>
          <w:szCs w:val="28"/>
        </w:rPr>
        <w:t xml:space="preserve">proprio alla luce delle indicazioni della Corte Europea, dovrebbe far riflettere sull’automatica esportabilità delle intercettazioni tramite </w:t>
      </w:r>
      <w:proofErr w:type="spellStart"/>
      <w:r w:rsidRPr="004F6B26">
        <w:rPr>
          <w:rFonts w:ascii="Times New Roman" w:hAnsi="Times New Roman" w:cs="Times New Roman"/>
          <w:i/>
          <w:iCs/>
          <w:sz w:val="28"/>
          <w:szCs w:val="28"/>
        </w:rPr>
        <w:t>trojan</w:t>
      </w:r>
      <w:proofErr w:type="spellEnd"/>
      <w:r w:rsidR="004F6B26">
        <w:rPr>
          <w:rFonts w:ascii="Times New Roman" w:hAnsi="Times New Roman" w:cs="Times New Roman"/>
          <w:sz w:val="28"/>
          <w:szCs w:val="28"/>
        </w:rPr>
        <w:t xml:space="preserve"> </w:t>
      </w:r>
      <w:r>
        <w:rPr>
          <w:rFonts w:ascii="Times New Roman" w:hAnsi="Times New Roman" w:cs="Times New Roman"/>
          <w:sz w:val="28"/>
          <w:szCs w:val="28"/>
        </w:rPr>
        <w:t xml:space="preserve">(magari riguardanti anche soggetti diversi da quelli oggetto di controllo giudiziario in sede disciplinare o </w:t>
      </w:r>
      <w:proofErr w:type="spellStart"/>
      <w:r>
        <w:rPr>
          <w:rFonts w:ascii="Times New Roman" w:hAnsi="Times New Roman" w:cs="Times New Roman"/>
          <w:sz w:val="28"/>
          <w:szCs w:val="28"/>
        </w:rPr>
        <w:t>paradisciplinare</w:t>
      </w:r>
      <w:proofErr w:type="spellEnd"/>
      <w:r>
        <w:rPr>
          <w:rFonts w:ascii="Times New Roman" w:hAnsi="Times New Roman" w:cs="Times New Roman"/>
          <w:sz w:val="28"/>
          <w:szCs w:val="28"/>
        </w:rPr>
        <w:t xml:space="preserve">). </w:t>
      </w:r>
    </w:p>
    <w:p w14:paraId="07B822FC" w14:textId="6518FCD4" w:rsidR="00B43622" w:rsidRDefault="00B43622"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Tale esportabilità si porrebbe in contrasto con gli ar</w:t>
      </w:r>
      <w:r w:rsidR="004F6B26">
        <w:rPr>
          <w:rFonts w:ascii="Times New Roman" w:hAnsi="Times New Roman" w:cs="Times New Roman"/>
          <w:sz w:val="28"/>
          <w:szCs w:val="28"/>
        </w:rPr>
        <w:t>t</w:t>
      </w:r>
      <w:r>
        <w:rPr>
          <w:rFonts w:ascii="Times New Roman" w:hAnsi="Times New Roman" w:cs="Times New Roman"/>
          <w:sz w:val="28"/>
          <w:szCs w:val="28"/>
        </w:rPr>
        <w:t>t.</w:t>
      </w:r>
      <w:r w:rsidR="004F6B26">
        <w:rPr>
          <w:rFonts w:ascii="Times New Roman" w:hAnsi="Times New Roman" w:cs="Times New Roman"/>
          <w:sz w:val="28"/>
          <w:szCs w:val="28"/>
        </w:rPr>
        <w:t xml:space="preserve"> </w:t>
      </w:r>
      <w:r>
        <w:rPr>
          <w:rFonts w:ascii="Times New Roman" w:hAnsi="Times New Roman" w:cs="Times New Roman"/>
          <w:sz w:val="28"/>
          <w:szCs w:val="28"/>
        </w:rPr>
        <w:t xml:space="preserve">7 e 8 della Carta dei diritti fondamentali della Unione </w:t>
      </w:r>
      <w:r w:rsidR="004F6B26">
        <w:rPr>
          <w:rFonts w:ascii="Times New Roman" w:hAnsi="Times New Roman" w:cs="Times New Roman"/>
          <w:sz w:val="28"/>
          <w:szCs w:val="28"/>
        </w:rPr>
        <w:t>europea: trattasi</w:t>
      </w:r>
      <w:r>
        <w:rPr>
          <w:rFonts w:ascii="Times New Roman" w:hAnsi="Times New Roman" w:cs="Times New Roman"/>
          <w:sz w:val="28"/>
          <w:szCs w:val="28"/>
        </w:rPr>
        <w:t xml:space="preserve"> di conversazioni private non correlate con l’addebito penale e, quindi, prive di alcun collegamento con la finalità di repressione</w:t>
      </w:r>
      <w:r w:rsidR="00EE12B7">
        <w:rPr>
          <w:rFonts w:ascii="Times New Roman" w:hAnsi="Times New Roman" w:cs="Times New Roman"/>
          <w:sz w:val="28"/>
          <w:szCs w:val="28"/>
        </w:rPr>
        <w:t xml:space="preserve"> di gravi reati, in termini tali da non ravvisarsi una ragione giustificativa a supporto della legittima limitazione del diritto alla segretezza delle comunicazioni.</w:t>
      </w:r>
    </w:p>
    <w:p w14:paraId="607A879F" w14:textId="341013CE" w:rsidR="0034715F" w:rsidRDefault="0034715F"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Alla luce della sentenza della Corte di Giustizia del 2 marzo 2021</w:t>
      </w:r>
      <w:r w:rsidR="00B3603B">
        <w:rPr>
          <w:rFonts w:ascii="Times New Roman" w:hAnsi="Times New Roman" w:cs="Times New Roman"/>
          <w:sz w:val="28"/>
          <w:szCs w:val="28"/>
        </w:rPr>
        <w:t>,</w:t>
      </w:r>
      <w:r>
        <w:rPr>
          <w:rFonts w:ascii="Times New Roman" w:hAnsi="Times New Roman" w:cs="Times New Roman"/>
          <w:sz w:val="28"/>
          <w:szCs w:val="28"/>
        </w:rPr>
        <w:t xml:space="preserve"> </w:t>
      </w:r>
      <w:r w:rsidR="00C10293">
        <w:rPr>
          <w:rFonts w:ascii="Times New Roman" w:hAnsi="Times New Roman" w:cs="Times New Roman"/>
          <w:sz w:val="28"/>
          <w:szCs w:val="28"/>
        </w:rPr>
        <w:t>si poneva come necessaria</w:t>
      </w:r>
      <w:r>
        <w:rPr>
          <w:rFonts w:ascii="Times New Roman" w:hAnsi="Times New Roman" w:cs="Times New Roman"/>
          <w:sz w:val="28"/>
          <w:szCs w:val="28"/>
        </w:rPr>
        <w:t xml:space="preserve"> una revisione dell’art.</w:t>
      </w:r>
      <w:r w:rsidR="004F6B26">
        <w:rPr>
          <w:rFonts w:ascii="Times New Roman" w:hAnsi="Times New Roman" w:cs="Times New Roman"/>
          <w:sz w:val="28"/>
          <w:szCs w:val="28"/>
        </w:rPr>
        <w:t xml:space="preserve"> </w:t>
      </w:r>
      <w:r>
        <w:rPr>
          <w:rFonts w:ascii="Times New Roman" w:hAnsi="Times New Roman" w:cs="Times New Roman"/>
          <w:sz w:val="28"/>
          <w:szCs w:val="28"/>
        </w:rPr>
        <w:t>132 del Codice della privacy, la cui disciplina si pone</w:t>
      </w:r>
      <w:r w:rsidR="00C10293">
        <w:rPr>
          <w:rFonts w:ascii="Times New Roman" w:hAnsi="Times New Roman" w:cs="Times New Roman"/>
          <w:sz w:val="28"/>
          <w:szCs w:val="28"/>
        </w:rPr>
        <w:t>va</w:t>
      </w:r>
      <w:r>
        <w:rPr>
          <w:rFonts w:ascii="Times New Roman" w:hAnsi="Times New Roman" w:cs="Times New Roman"/>
          <w:sz w:val="28"/>
          <w:szCs w:val="28"/>
        </w:rPr>
        <w:t xml:space="preserve"> come derogatoria a quella prevista dalla direttiva 2002/58/CE sulla acquisizione e conservazione dei dati ed in particolare l’art.</w:t>
      </w:r>
      <w:r w:rsidR="004F6B26">
        <w:rPr>
          <w:rFonts w:ascii="Times New Roman" w:hAnsi="Times New Roman" w:cs="Times New Roman"/>
          <w:sz w:val="28"/>
          <w:szCs w:val="28"/>
        </w:rPr>
        <w:t xml:space="preserve"> </w:t>
      </w:r>
      <w:r>
        <w:rPr>
          <w:rFonts w:ascii="Times New Roman" w:hAnsi="Times New Roman" w:cs="Times New Roman"/>
          <w:sz w:val="28"/>
          <w:szCs w:val="28"/>
        </w:rPr>
        <w:t>132,</w:t>
      </w:r>
      <w:r w:rsidR="00B6419B">
        <w:rPr>
          <w:rFonts w:ascii="Times New Roman" w:hAnsi="Times New Roman" w:cs="Times New Roman"/>
          <w:sz w:val="28"/>
          <w:szCs w:val="28"/>
        </w:rPr>
        <w:t xml:space="preserve"> </w:t>
      </w:r>
      <w:r>
        <w:rPr>
          <w:rFonts w:ascii="Times New Roman" w:hAnsi="Times New Roman" w:cs="Times New Roman"/>
          <w:sz w:val="28"/>
          <w:szCs w:val="28"/>
        </w:rPr>
        <w:t>terzo comma, che consente la richiesta al pubblico ministero</w:t>
      </w:r>
      <w:r w:rsidR="00D95884">
        <w:rPr>
          <w:rFonts w:ascii="Times New Roman" w:hAnsi="Times New Roman" w:cs="Times New Roman"/>
          <w:sz w:val="28"/>
          <w:szCs w:val="28"/>
        </w:rPr>
        <w:t>,</w:t>
      </w:r>
      <w:r>
        <w:rPr>
          <w:rFonts w:ascii="Times New Roman" w:hAnsi="Times New Roman" w:cs="Times New Roman"/>
          <w:sz w:val="28"/>
          <w:szCs w:val="28"/>
        </w:rPr>
        <w:t xml:space="preserve"> e comma quarto (ter, quater, </w:t>
      </w:r>
      <w:proofErr w:type="spellStart"/>
      <w:r>
        <w:rPr>
          <w:rFonts w:ascii="Times New Roman" w:hAnsi="Times New Roman" w:cs="Times New Roman"/>
          <w:sz w:val="28"/>
          <w:szCs w:val="28"/>
        </w:rPr>
        <w:t>quinq</w:t>
      </w:r>
      <w:r w:rsidR="004F6B26">
        <w:rPr>
          <w:rFonts w:ascii="Times New Roman" w:hAnsi="Times New Roman" w:cs="Times New Roman"/>
          <w:sz w:val="28"/>
          <w:szCs w:val="28"/>
        </w:rPr>
        <w:t>ui</w:t>
      </w:r>
      <w:r>
        <w:rPr>
          <w:rFonts w:ascii="Times New Roman" w:hAnsi="Times New Roman" w:cs="Times New Roman"/>
          <w:sz w:val="28"/>
          <w:szCs w:val="28"/>
        </w:rPr>
        <w:t>es</w:t>
      </w:r>
      <w:proofErr w:type="spellEnd"/>
      <w:r>
        <w:rPr>
          <w:rFonts w:ascii="Times New Roman" w:hAnsi="Times New Roman" w:cs="Times New Roman"/>
          <w:sz w:val="28"/>
          <w:szCs w:val="28"/>
        </w:rPr>
        <w:t>) che lo consente anche via decreto del Ministero dell’Interno.</w:t>
      </w:r>
      <w:r w:rsidR="00C10293">
        <w:rPr>
          <w:rFonts w:ascii="Times New Roman" w:hAnsi="Times New Roman" w:cs="Times New Roman"/>
          <w:sz w:val="28"/>
          <w:szCs w:val="28"/>
        </w:rPr>
        <w:t xml:space="preserve"> Tale modifica è intervenuta con il </w:t>
      </w:r>
      <w:proofErr w:type="gramStart"/>
      <w:r w:rsidR="00C10293">
        <w:rPr>
          <w:rFonts w:ascii="Times New Roman" w:hAnsi="Times New Roman" w:cs="Times New Roman"/>
          <w:sz w:val="28"/>
          <w:szCs w:val="28"/>
        </w:rPr>
        <w:t>decreto legge</w:t>
      </w:r>
      <w:proofErr w:type="gramEnd"/>
      <w:r w:rsidR="00C10293">
        <w:rPr>
          <w:rFonts w:ascii="Times New Roman" w:hAnsi="Times New Roman" w:cs="Times New Roman"/>
          <w:sz w:val="28"/>
          <w:szCs w:val="28"/>
        </w:rPr>
        <w:t xml:space="preserve"> del 30 settembre 2021 n.132</w:t>
      </w:r>
      <w:r w:rsidR="00A4222C">
        <w:rPr>
          <w:rFonts w:ascii="Times New Roman" w:hAnsi="Times New Roman" w:cs="Times New Roman"/>
          <w:sz w:val="28"/>
          <w:szCs w:val="28"/>
        </w:rPr>
        <w:t>, convertito nella legge</w:t>
      </w:r>
      <w:r w:rsidR="005B3DF8">
        <w:rPr>
          <w:rFonts w:ascii="Times New Roman" w:hAnsi="Times New Roman" w:cs="Times New Roman"/>
          <w:sz w:val="28"/>
          <w:szCs w:val="28"/>
        </w:rPr>
        <w:t xml:space="preserve"> 23 novembre 2021 n.178</w:t>
      </w:r>
      <w:r w:rsidR="00C10293">
        <w:rPr>
          <w:rFonts w:ascii="Times New Roman" w:hAnsi="Times New Roman" w:cs="Times New Roman"/>
          <w:sz w:val="28"/>
          <w:szCs w:val="28"/>
        </w:rPr>
        <w:t xml:space="preserve"> che ha recepito la necessità di introdurre in tale delicata materia il filtro del controllo del giudice terzo.</w:t>
      </w:r>
    </w:p>
    <w:p w14:paraId="18CDB5FB" w14:textId="2E61B3AD" w:rsidR="0049603D" w:rsidRDefault="00774481"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È</w:t>
      </w:r>
      <w:r w:rsidR="0049603D">
        <w:rPr>
          <w:rFonts w:ascii="Times New Roman" w:hAnsi="Times New Roman" w:cs="Times New Roman"/>
          <w:sz w:val="28"/>
          <w:szCs w:val="28"/>
        </w:rPr>
        <w:t xml:space="preserve"> noto come la direttiva 2002/58/CE non si applica alle attività che esulano dal campo di applicazione del Trattato sul Funzionamento dell’Unione Europea né, comunque, alle attività riguardanti la sicurezza pubblica, la difesa, la sicurezza dello Stato o alle attività dello Stato in settori che rientrano nel diritto penale.</w:t>
      </w:r>
    </w:p>
    <w:p w14:paraId="6C79A211" w14:textId="769B1AFF" w:rsidR="0034715F" w:rsidRDefault="0034715F"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L’art.</w:t>
      </w:r>
      <w:r w:rsidR="004F6B26">
        <w:rPr>
          <w:rFonts w:ascii="Times New Roman" w:hAnsi="Times New Roman" w:cs="Times New Roman"/>
          <w:sz w:val="28"/>
          <w:szCs w:val="28"/>
        </w:rPr>
        <w:t xml:space="preserve"> </w:t>
      </w:r>
      <w:r>
        <w:rPr>
          <w:rFonts w:ascii="Times New Roman" w:hAnsi="Times New Roman" w:cs="Times New Roman"/>
          <w:sz w:val="28"/>
          <w:szCs w:val="28"/>
        </w:rPr>
        <w:t>15, paragrafo 1, della direttiva soprarichiamata</w:t>
      </w:r>
      <w:r w:rsidR="0049603D">
        <w:rPr>
          <w:rFonts w:ascii="Times New Roman" w:hAnsi="Times New Roman" w:cs="Times New Roman"/>
          <w:sz w:val="28"/>
          <w:szCs w:val="28"/>
        </w:rPr>
        <w:t xml:space="preserve"> attribuisce agli Stati membri la possibilità di adottare disposizioni legislative volte a limitare taluni diritti da essa conferiti</w:t>
      </w:r>
      <w:r w:rsidR="00001732">
        <w:rPr>
          <w:rFonts w:ascii="Times New Roman" w:hAnsi="Times New Roman" w:cs="Times New Roman"/>
          <w:sz w:val="28"/>
          <w:szCs w:val="28"/>
        </w:rPr>
        <w:t>,</w:t>
      </w:r>
      <w:r w:rsidR="0049603D">
        <w:rPr>
          <w:rFonts w:ascii="Times New Roman" w:hAnsi="Times New Roman" w:cs="Times New Roman"/>
          <w:sz w:val="28"/>
          <w:szCs w:val="28"/>
        </w:rPr>
        <w:t xml:space="preserve"> qualora tale restrizione sia necessaria, opportuna e proporzionata per la salvaguardia della sicurezza nazionale, della difesa, della sicurezza pubblica; e la prevenzione, ricerca, accertamento e perseguimento dei reati, ovvero dell’uso non autorizzato del sistema di comunicazione elettronica. A tal fine</w:t>
      </w:r>
      <w:r w:rsidR="00001732">
        <w:rPr>
          <w:rFonts w:ascii="Times New Roman" w:hAnsi="Times New Roman" w:cs="Times New Roman"/>
          <w:sz w:val="28"/>
          <w:szCs w:val="28"/>
        </w:rPr>
        <w:t>,</w:t>
      </w:r>
      <w:r w:rsidR="0049603D">
        <w:rPr>
          <w:rFonts w:ascii="Times New Roman" w:hAnsi="Times New Roman" w:cs="Times New Roman"/>
          <w:sz w:val="28"/>
          <w:szCs w:val="28"/>
        </w:rPr>
        <w:t xml:space="preserve"> gli Stati membri possono</w:t>
      </w:r>
      <w:r w:rsidR="00001732">
        <w:rPr>
          <w:rFonts w:ascii="Times New Roman" w:hAnsi="Times New Roman" w:cs="Times New Roman"/>
          <w:sz w:val="28"/>
          <w:szCs w:val="28"/>
        </w:rPr>
        <w:t>,</w:t>
      </w:r>
      <w:r w:rsidR="0049603D">
        <w:rPr>
          <w:rFonts w:ascii="Times New Roman" w:hAnsi="Times New Roman" w:cs="Times New Roman"/>
          <w:sz w:val="28"/>
          <w:szCs w:val="28"/>
        </w:rPr>
        <w:t xml:space="preserve"> tra l’altro</w:t>
      </w:r>
      <w:r w:rsidR="00001732">
        <w:rPr>
          <w:rFonts w:ascii="Times New Roman" w:hAnsi="Times New Roman" w:cs="Times New Roman"/>
          <w:sz w:val="28"/>
          <w:szCs w:val="28"/>
        </w:rPr>
        <w:t>,</w:t>
      </w:r>
      <w:r w:rsidR="0049603D">
        <w:rPr>
          <w:rFonts w:ascii="Times New Roman" w:hAnsi="Times New Roman" w:cs="Times New Roman"/>
          <w:sz w:val="28"/>
          <w:szCs w:val="28"/>
        </w:rPr>
        <w:t xml:space="preserve"> adottare misure legislative, le quali prevedano che i dati siano conservati per un periodo di tempo limitato.</w:t>
      </w:r>
    </w:p>
    <w:p w14:paraId="3767941F" w14:textId="77777777" w:rsidR="0064371F" w:rsidRDefault="0064371F" w:rsidP="00D95884">
      <w:pPr>
        <w:tabs>
          <w:tab w:val="left" w:pos="8364"/>
        </w:tabs>
        <w:spacing w:after="0"/>
        <w:jc w:val="both"/>
        <w:rPr>
          <w:rFonts w:ascii="Times New Roman" w:hAnsi="Times New Roman" w:cs="Times New Roman"/>
          <w:sz w:val="28"/>
          <w:szCs w:val="28"/>
        </w:rPr>
      </w:pPr>
    </w:p>
    <w:p w14:paraId="0D374672" w14:textId="77777777" w:rsidR="00001732" w:rsidRDefault="0049603D"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A fronte di tale disciplina, la Corte estone ha posto due quesiti. </w:t>
      </w:r>
    </w:p>
    <w:p w14:paraId="47F8AF31" w14:textId="77777777" w:rsidR="00001732" w:rsidRDefault="004F6B26"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primo luogo,</w:t>
      </w:r>
      <w:r w:rsidR="0049603D">
        <w:rPr>
          <w:rFonts w:ascii="Times New Roman" w:hAnsi="Times New Roman" w:cs="Times New Roman"/>
          <w:sz w:val="28"/>
          <w:szCs w:val="28"/>
        </w:rPr>
        <w:t xml:space="preserve"> la questione se </w:t>
      </w:r>
      <w:r w:rsidR="0049603D" w:rsidRPr="00001732">
        <w:rPr>
          <w:rFonts w:ascii="Times New Roman" w:hAnsi="Times New Roman" w:cs="Times New Roman"/>
          <w:sz w:val="28"/>
          <w:szCs w:val="28"/>
        </w:rPr>
        <w:t>la durata del periodo cui</w:t>
      </w:r>
      <w:r w:rsidR="0049603D">
        <w:rPr>
          <w:rFonts w:ascii="Times New Roman" w:hAnsi="Times New Roman" w:cs="Times New Roman"/>
          <w:sz w:val="28"/>
          <w:szCs w:val="28"/>
        </w:rPr>
        <w:t xml:space="preserve"> si riferiscono i dati ai quali i servizi inquirenti hanno avuto accesso costituisca un criterio che permette di valutare la gravità dell’ingerenza rappresentata da tale accesso </w:t>
      </w:r>
      <w:r w:rsidR="005E5936">
        <w:rPr>
          <w:rFonts w:ascii="Times New Roman" w:hAnsi="Times New Roman" w:cs="Times New Roman"/>
          <w:sz w:val="28"/>
          <w:szCs w:val="28"/>
        </w:rPr>
        <w:t xml:space="preserve">nei diritti fondamentali delle </w:t>
      </w:r>
      <w:r w:rsidR="005E5936">
        <w:rPr>
          <w:rFonts w:ascii="Times New Roman" w:hAnsi="Times New Roman" w:cs="Times New Roman"/>
          <w:sz w:val="28"/>
          <w:szCs w:val="28"/>
        </w:rPr>
        <w:lastRenderedPageBreak/>
        <w:t xml:space="preserve">persone interessate. Il giudice supremo estone si è chiesto, in particolare, per il caso in cui questo periodo sia molto breve o la quantità di dati raccolti sia assai limitata, se l’obiettivo della lotta contro la criminalità in generale, e non soltanto contro le forme più gravi di criminalità, sia idoneo a giustificare una siffatta ingerenza. </w:t>
      </w:r>
    </w:p>
    <w:p w14:paraId="73F7FBCF" w14:textId="1E384D9D" w:rsidR="0049603D" w:rsidRDefault="005E5936"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In secondo </w:t>
      </w:r>
      <w:r w:rsidR="004F6B26">
        <w:rPr>
          <w:rFonts w:ascii="Times New Roman" w:hAnsi="Times New Roman" w:cs="Times New Roman"/>
          <w:sz w:val="28"/>
          <w:szCs w:val="28"/>
        </w:rPr>
        <w:t>luogo, se</w:t>
      </w:r>
      <w:r>
        <w:rPr>
          <w:rFonts w:ascii="Times New Roman" w:hAnsi="Times New Roman" w:cs="Times New Roman"/>
          <w:sz w:val="28"/>
          <w:szCs w:val="28"/>
        </w:rPr>
        <w:t xml:space="preserve"> il pubblico ministero estone, tenuto conto delle varie f</w:t>
      </w:r>
      <w:r w:rsidR="00001732">
        <w:rPr>
          <w:rFonts w:ascii="Times New Roman" w:hAnsi="Times New Roman" w:cs="Times New Roman"/>
          <w:sz w:val="28"/>
          <w:szCs w:val="28"/>
        </w:rPr>
        <w:t>u</w:t>
      </w:r>
      <w:r>
        <w:rPr>
          <w:rFonts w:ascii="Times New Roman" w:hAnsi="Times New Roman" w:cs="Times New Roman"/>
          <w:sz w:val="28"/>
          <w:szCs w:val="28"/>
        </w:rPr>
        <w:t xml:space="preserve">nzioni affidategli dalla normativa nazionale, costituisca un’autorità amministrativa </w:t>
      </w:r>
      <w:r w:rsidR="00B3603B">
        <w:rPr>
          <w:rFonts w:ascii="Times New Roman" w:hAnsi="Times New Roman" w:cs="Times New Roman"/>
          <w:sz w:val="28"/>
          <w:szCs w:val="28"/>
        </w:rPr>
        <w:t>«</w:t>
      </w:r>
      <w:r>
        <w:rPr>
          <w:rFonts w:ascii="Times New Roman" w:hAnsi="Times New Roman" w:cs="Times New Roman"/>
          <w:sz w:val="28"/>
          <w:szCs w:val="28"/>
        </w:rPr>
        <w:t>indipendente</w:t>
      </w:r>
      <w:r w:rsidR="00B3603B">
        <w:rPr>
          <w:rFonts w:ascii="Times New Roman" w:hAnsi="Times New Roman" w:cs="Times New Roman"/>
          <w:sz w:val="28"/>
          <w:szCs w:val="28"/>
        </w:rPr>
        <w:t>»</w:t>
      </w:r>
      <w:r>
        <w:rPr>
          <w:rFonts w:ascii="Times New Roman" w:hAnsi="Times New Roman" w:cs="Times New Roman"/>
          <w:sz w:val="28"/>
          <w:szCs w:val="28"/>
        </w:rPr>
        <w:t>.</w:t>
      </w:r>
    </w:p>
    <w:p w14:paraId="1A12956A" w14:textId="66FF3546" w:rsidR="005E5936" w:rsidRDefault="005E5936" w:rsidP="00D9588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 quesiti si inseriscono in un contesto interpretativo già segnato con importanti decisioni della Corte di Giustizia che, a partire dal 2014, ha chiarito gradualmente i vari profili del tema in esame.</w:t>
      </w:r>
    </w:p>
    <w:p w14:paraId="196CB628" w14:textId="2CF5E144" w:rsidR="00001732" w:rsidRDefault="005E5936" w:rsidP="0000173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Tra queste precedenti sentenze</w:t>
      </w:r>
      <w:r w:rsidR="00001732">
        <w:rPr>
          <w:rFonts w:ascii="Times New Roman" w:hAnsi="Times New Roman" w:cs="Times New Roman"/>
          <w:sz w:val="28"/>
          <w:szCs w:val="28"/>
        </w:rPr>
        <w:t>,</w:t>
      </w:r>
      <w:r>
        <w:rPr>
          <w:rFonts w:ascii="Times New Roman" w:hAnsi="Times New Roman" w:cs="Times New Roman"/>
          <w:sz w:val="28"/>
          <w:szCs w:val="28"/>
        </w:rPr>
        <w:t xml:space="preserve"> occorre ricordare quella relativa ai </w:t>
      </w:r>
      <w:r w:rsidRPr="005E5936">
        <w:rPr>
          <w:rFonts w:ascii="Times New Roman" w:hAnsi="Times New Roman" w:cs="Times New Roman"/>
          <w:i/>
          <w:iCs/>
          <w:sz w:val="28"/>
          <w:szCs w:val="28"/>
        </w:rPr>
        <w:t xml:space="preserve">Digital </w:t>
      </w:r>
      <w:proofErr w:type="spellStart"/>
      <w:r w:rsidRPr="005E5936">
        <w:rPr>
          <w:rFonts w:ascii="Times New Roman" w:hAnsi="Times New Roman" w:cs="Times New Roman"/>
          <w:i/>
          <w:iCs/>
          <w:sz w:val="28"/>
          <w:szCs w:val="28"/>
        </w:rPr>
        <w:t>Rights</w:t>
      </w:r>
      <w:proofErr w:type="spellEnd"/>
      <w:r w:rsidRPr="005E5936">
        <w:rPr>
          <w:rFonts w:ascii="Times New Roman" w:hAnsi="Times New Roman" w:cs="Times New Roman"/>
          <w:i/>
          <w:iCs/>
          <w:sz w:val="28"/>
          <w:szCs w:val="28"/>
        </w:rPr>
        <w:t xml:space="preserve"> </w:t>
      </w:r>
      <w:r w:rsidRPr="005E5936">
        <w:rPr>
          <w:rFonts w:ascii="Times New Roman" w:hAnsi="Times New Roman" w:cs="Times New Roman"/>
          <w:sz w:val="28"/>
          <w:szCs w:val="28"/>
        </w:rPr>
        <w:t>dell’8 aprile 2014</w:t>
      </w:r>
      <w:r>
        <w:rPr>
          <w:rFonts w:ascii="Times New Roman" w:hAnsi="Times New Roman" w:cs="Times New Roman"/>
          <w:sz w:val="28"/>
          <w:szCs w:val="28"/>
        </w:rPr>
        <w:t>, con la quale la Corte di Giustizia ha dichiarato l’illegittimità della direttiva “Frattini”</w:t>
      </w:r>
      <w:r w:rsidR="00377DB4">
        <w:rPr>
          <w:rFonts w:ascii="Times New Roman" w:hAnsi="Times New Roman" w:cs="Times New Roman"/>
          <w:sz w:val="28"/>
          <w:szCs w:val="28"/>
        </w:rPr>
        <w:t xml:space="preserve"> </w:t>
      </w:r>
      <w:r>
        <w:rPr>
          <w:rFonts w:ascii="Times New Roman" w:hAnsi="Times New Roman" w:cs="Times New Roman"/>
          <w:sz w:val="28"/>
          <w:szCs w:val="28"/>
        </w:rPr>
        <w:t>(2006/24/Ce)</w:t>
      </w:r>
      <w:r w:rsidR="00001732">
        <w:rPr>
          <w:rFonts w:ascii="Times New Roman" w:hAnsi="Times New Roman" w:cs="Times New Roman"/>
          <w:sz w:val="28"/>
          <w:szCs w:val="28"/>
        </w:rPr>
        <w:t>,</w:t>
      </w:r>
      <w:r w:rsidR="004F6B26">
        <w:rPr>
          <w:rFonts w:ascii="Times New Roman" w:hAnsi="Times New Roman" w:cs="Times New Roman"/>
          <w:sz w:val="28"/>
          <w:szCs w:val="28"/>
        </w:rPr>
        <w:t xml:space="preserve"> </w:t>
      </w:r>
      <w:r>
        <w:rPr>
          <w:rFonts w:ascii="Times New Roman" w:hAnsi="Times New Roman" w:cs="Times New Roman"/>
          <w:sz w:val="28"/>
          <w:szCs w:val="28"/>
        </w:rPr>
        <w:t xml:space="preserve">per violazione del principio di proporzionalità nel bilanciamento tra diritto alla protezione dei dati personali ed esigenze di </w:t>
      </w:r>
      <w:r w:rsidR="00097DE0">
        <w:rPr>
          <w:rFonts w:ascii="Times New Roman" w:hAnsi="Times New Roman" w:cs="Times New Roman"/>
          <w:sz w:val="28"/>
          <w:szCs w:val="28"/>
        </w:rPr>
        <w:t>p</w:t>
      </w:r>
      <w:r>
        <w:rPr>
          <w:rFonts w:ascii="Times New Roman" w:hAnsi="Times New Roman" w:cs="Times New Roman"/>
          <w:sz w:val="28"/>
          <w:szCs w:val="28"/>
        </w:rPr>
        <w:t>ubblica sicurezza</w:t>
      </w:r>
      <w:r w:rsidR="00097DE0">
        <w:rPr>
          <w:rFonts w:ascii="Times New Roman" w:hAnsi="Times New Roman" w:cs="Times New Roman"/>
          <w:sz w:val="28"/>
          <w:szCs w:val="28"/>
        </w:rPr>
        <w:t xml:space="preserve">. </w:t>
      </w:r>
    </w:p>
    <w:p w14:paraId="1F8A9B88" w14:textId="77777777" w:rsidR="00001732" w:rsidRDefault="00097DE0" w:rsidP="0000173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All’attenzione della Corte erano state portate le disposizioni della direttiva volte a garantire la conservazione dei dati di traffico telefonico e telematico, i dati relativi all’ubicazione e quelli necessari all’identificazione dell’abbonato, per fini di accertamento e repressione dei reati. Se, in linea generale, l’accesso a tali dati può giustificarsi in ragione di un obiettivo </w:t>
      </w:r>
      <w:r w:rsidR="004F6B26">
        <w:rPr>
          <w:rFonts w:ascii="Times New Roman" w:hAnsi="Times New Roman" w:cs="Times New Roman"/>
          <w:sz w:val="28"/>
          <w:szCs w:val="28"/>
        </w:rPr>
        <w:t>di interesse</w:t>
      </w:r>
      <w:r>
        <w:rPr>
          <w:rFonts w:ascii="Times New Roman" w:hAnsi="Times New Roman" w:cs="Times New Roman"/>
          <w:sz w:val="28"/>
          <w:szCs w:val="28"/>
        </w:rPr>
        <w:t xml:space="preserve"> generale, quale, appunto, il contrasto a gravi forme di criminalità e, in definitiva, le esigenze di pubblica sicurezza, la direttiva avrebbe, secondo la Corte, ecceduto i limiti imposti dal principio di proporzionalità. </w:t>
      </w:r>
    </w:p>
    <w:p w14:paraId="56E13ECE" w14:textId="77777777" w:rsidR="00001732" w:rsidRDefault="00097DE0" w:rsidP="0000173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Tale violazione si sarebbe sostanziata, secondo la Corte, </w:t>
      </w:r>
      <w:r w:rsidR="00001732">
        <w:rPr>
          <w:rFonts w:ascii="Times New Roman" w:hAnsi="Times New Roman" w:cs="Times New Roman"/>
          <w:sz w:val="28"/>
          <w:szCs w:val="28"/>
        </w:rPr>
        <w:t>ne</w:t>
      </w:r>
      <w:r>
        <w:rPr>
          <w:rFonts w:ascii="Times New Roman" w:hAnsi="Times New Roman" w:cs="Times New Roman"/>
          <w:sz w:val="28"/>
          <w:szCs w:val="28"/>
        </w:rPr>
        <w:t>ll’avere la direttiva:</w:t>
      </w:r>
      <w:r w:rsidR="004F6B26">
        <w:rPr>
          <w:rFonts w:ascii="Times New Roman" w:hAnsi="Times New Roman" w:cs="Times New Roman"/>
          <w:sz w:val="28"/>
          <w:szCs w:val="28"/>
        </w:rPr>
        <w:t xml:space="preserve"> </w:t>
      </w:r>
    </w:p>
    <w:p w14:paraId="3D11CC56" w14:textId="77777777" w:rsidR="00001732" w:rsidRDefault="00097DE0" w:rsidP="00001732">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1) previsto le misure di conservazione dei dati come applicabili in via indifferenziata e generalizzata </w:t>
      </w:r>
      <w:r w:rsidR="00B3603B">
        <w:rPr>
          <w:rFonts w:ascii="Times New Roman" w:hAnsi="Times New Roman" w:cs="Times New Roman"/>
          <w:i/>
          <w:iCs/>
          <w:sz w:val="28"/>
          <w:szCs w:val="28"/>
        </w:rPr>
        <w:t>«</w:t>
      </w:r>
      <w:r w:rsidRPr="00097DE0">
        <w:rPr>
          <w:rFonts w:ascii="Times New Roman" w:hAnsi="Times New Roman" w:cs="Times New Roman"/>
          <w:i/>
          <w:iCs/>
          <w:sz w:val="28"/>
          <w:szCs w:val="28"/>
        </w:rPr>
        <w:t>all’insieme degli individui</w:t>
      </w:r>
      <w:r>
        <w:rPr>
          <w:rFonts w:ascii="Times New Roman" w:hAnsi="Times New Roman" w:cs="Times New Roman"/>
          <w:i/>
          <w:iCs/>
          <w:sz w:val="28"/>
          <w:szCs w:val="28"/>
        </w:rPr>
        <w:t>, dei mezzi di comunicazione elettronica e dei dati relativi al traffico, senza che venga operata alcuna differenziazione, limitazione o eccezione in ragione dell’obiettivo della lotta contro i reati gravi</w:t>
      </w:r>
      <w:r w:rsidR="00B3603B">
        <w:rPr>
          <w:rFonts w:ascii="Times New Roman" w:hAnsi="Times New Roman" w:cs="Times New Roman"/>
          <w:i/>
          <w:iCs/>
          <w:sz w:val="28"/>
          <w:szCs w:val="28"/>
        </w:rPr>
        <w:t>»</w:t>
      </w:r>
      <w:r>
        <w:rPr>
          <w:rFonts w:ascii="Times New Roman" w:hAnsi="Times New Roman" w:cs="Times New Roman"/>
          <w:i/>
          <w:iCs/>
          <w:sz w:val="28"/>
          <w:szCs w:val="28"/>
        </w:rPr>
        <w:t>;</w:t>
      </w:r>
      <w:r w:rsidR="004F6B26">
        <w:rPr>
          <w:rFonts w:ascii="Times New Roman" w:hAnsi="Times New Roman" w:cs="Times New Roman"/>
          <w:i/>
          <w:iCs/>
          <w:sz w:val="28"/>
          <w:szCs w:val="28"/>
        </w:rPr>
        <w:t xml:space="preserve"> </w:t>
      </w:r>
    </w:p>
    <w:p w14:paraId="0F7A32E6" w14:textId="77777777" w:rsidR="00001732" w:rsidRDefault="00097DE0" w:rsidP="00001732">
      <w:pPr>
        <w:tabs>
          <w:tab w:val="left" w:pos="8364"/>
        </w:tabs>
        <w:spacing w:after="0"/>
        <w:jc w:val="both"/>
        <w:rPr>
          <w:rFonts w:ascii="Times New Roman" w:hAnsi="Times New Roman" w:cs="Times New Roman"/>
          <w:i/>
          <w:iCs/>
          <w:sz w:val="28"/>
          <w:szCs w:val="28"/>
        </w:rPr>
      </w:pPr>
      <w:r w:rsidRPr="00097DE0">
        <w:rPr>
          <w:rFonts w:ascii="Times New Roman" w:hAnsi="Times New Roman" w:cs="Times New Roman"/>
          <w:sz w:val="28"/>
          <w:szCs w:val="28"/>
        </w:rPr>
        <w:t xml:space="preserve">2) omesso </w:t>
      </w:r>
      <w:r w:rsidR="004E1825">
        <w:rPr>
          <w:rFonts w:ascii="Times New Roman" w:hAnsi="Times New Roman" w:cs="Times New Roman"/>
          <w:sz w:val="28"/>
          <w:szCs w:val="28"/>
        </w:rPr>
        <w:t>di prevedere alcun criterio oggettivo che limiti l’accesso a tali dati per sole esigenze di accertamento di reati</w:t>
      </w:r>
      <w:r w:rsidR="00B3603B">
        <w:rPr>
          <w:rFonts w:ascii="Times New Roman" w:hAnsi="Times New Roman" w:cs="Times New Roman"/>
          <w:sz w:val="28"/>
          <w:szCs w:val="28"/>
        </w:rPr>
        <w:t xml:space="preserve"> «s</w:t>
      </w:r>
      <w:r w:rsidR="00B3603B" w:rsidRPr="00DC6B5F">
        <w:rPr>
          <w:rFonts w:ascii="Times New Roman" w:hAnsi="Times New Roman" w:cs="Times New Roman"/>
          <w:i/>
          <w:iCs/>
          <w:sz w:val="28"/>
          <w:szCs w:val="28"/>
        </w:rPr>
        <w:t>ufficientemente</w:t>
      </w:r>
      <w:r w:rsidR="004E1825" w:rsidRPr="00DC6B5F">
        <w:rPr>
          <w:rFonts w:ascii="Times New Roman" w:hAnsi="Times New Roman" w:cs="Times New Roman"/>
          <w:i/>
          <w:iCs/>
          <w:sz w:val="28"/>
          <w:szCs w:val="28"/>
        </w:rPr>
        <w:t xml:space="preserve"> </w:t>
      </w:r>
      <w:r w:rsidR="00DC6B5F">
        <w:rPr>
          <w:rFonts w:ascii="Times New Roman" w:hAnsi="Times New Roman" w:cs="Times New Roman"/>
          <w:i/>
          <w:iCs/>
          <w:sz w:val="28"/>
          <w:szCs w:val="28"/>
        </w:rPr>
        <w:t>gravi da giustificare una simile ingerenza</w:t>
      </w:r>
      <w:r w:rsidR="00B3603B">
        <w:rPr>
          <w:rFonts w:ascii="Times New Roman" w:hAnsi="Times New Roman" w:cs="Times New Roman"/>
          <w:i/>
          <w:iCs/>
          <w:sz w:val="28"/>
          <w:szCs w:val="28"/>
        </w:rPr>
        <w:t>»</w:t>
      </w:r>
      <w:r w:rsidR="00DC6B5F">
        <w:rPr>
          <w:rFonts w:ascii="Times New Roman" w:hAnsi="Times New Roman" w:cs="Times New Roman"/>
          <w:i/>
          <w:iCs/>
          <w:sz w:val="28"/>
          <w:szCs w:val="28"/>
        </w:rPr>
        <w:t>;</w:t>
      </w:r>
      <w:r w:rsidR="004F6B26">
        <w:rPr>
          <w:rFonts w:ascii="Times New Roman" w:hAnsi="Times New Roman" w:cs="Times New Roman"/>
          <w:i/>
          <w:iCs/>
          <w:sz w:val="28"/>
          <w:szCs w:val="28"/>
        </w:rPr>
        <w:t xml:space="preserve"> </w:t>
      </w:r>
    </w:p>
    <w:p w14:paraId="2A1FC68B" w14:textId="77777777" w:rsidR="00001732" w:rsidRDefault="00DC6B5F" w:rsidP="00001732">
      <w:pPr>
        <w:tabs>
          <w:tab w:val="left" w:pos="8364"/>
        </w:tabs>
        <w:spacing w:after="0"/>
        <w:jc w:val="both"/>
        <w:rPr>
          <w:rFonts w:ascii="Times New Roman" w:hAnsi="Times New Roman" w:cs="Times New Roman"/>
          <w:sz w:val="28"/>
          <w:szCs w:val="28"/>
        </w:rPr>
      </w:pPr>
      <w:r w:rsidRPr="00DC6B5F">
        <w:rPr>
          <w:rFonts w:ascii="Times New Roman" w:hAnsi="Times New Roman" w:cs="Times New Roman"/>
          <w:sz w:val="28"/>
          <w:szCs w:val="28"/>
        </w:rPr>
        <w:t>3)</w:t>
      </w:r>
      <w:r w:rsidR="004F6B26">
        <w:rPr>
          <w:rFonts w:ascii="Times New Roman" w:hAnsi="Times New Roman" w:cs="Times New Roman"/>
          <w:sz w:val="28"/>
          <w:szCs w:val="28"/>
        </w:rPr>
        <w:t xml:space="preserve"> </w:t>
      </w:r>
      <w:r>
        <w:rPr>
          <w:rFonts w:ascii="Times New Roman" w:hAnsi="Times New Roman" w:cs="Times New Roman"/>
          <w:sz w:val="28"/>
          <w:szCs w:val="28"/>
        </w:rPr>
        <w:t>omesso di sancire i presupposti sostanziali e procedurali ai quali subordinare l’accesso, da parte delle competenti autorità nazionali, ai dati in esame, in particolare non richiedendo in ogni caso il previo controllo dell’autorità giudiziaria o di un’autorità amministrativa indipendente;</w:t>
      </w:r>
      <w:r w:rsidR="004F6B26">
        <w:rPr>
          <w:rFonts w:ascii="Times New Roman" w:hAnsi="Times New Roman" w:cs="Times New Roman"/>
          <w:sz w:val="28"/>
          <w:szCs w:val="28"/>
        </w:rPr>
        <w:t xml:space="preserve"> </w:t>
      </w:r>
    </w:p>
    <w:p w14:paraId="33BB556C" w14:textId="77777777" w:rsidR="00001732" w:rsidRDefault="00DC6B5F" w:rsidP="0000173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4) omesso di prevedere criteri necessari a differenziare la durata della conservazione dei dati, limitandosi a stabilire i soli termini minimi</w:t>
      </w:r>
      <w:r w:rsidR="004F6B26">
        <w:rPr>
          <w:rFonts w:ascii="Times New Roman" w:hAnsi="Times New Roman" w:cs="Times New Roman"/>
          <w:sz w:val="28"/>
          <w:szCs w:val="28"/>
        </w:rPr>
        <w:t xml:space="preserve"> </w:t>
      </w:r>
      <w:r>
        <w:rPr>
          <w:rFonts w:ascii="Times New Roman" w:hAnsi="Times New Roman" w:cs="Times New Roman"/>
          <w:sz w:val="28"/>
          <w:szCs w:val="28"/>
        </w:rPr>
        <w:t>(6 mesi) e massimi (24 mesi)</w:t>
      </w:r>
      <w:r w:rsidR="004F6B26">
        <w:rPr>
          <w:rFonts w:ascii="Times New Roman" w:hAnsi="Times New Roman" w:cs="Times New Roman"/>
          <w:sz w:val="28"/>
          <w:szCs w:val="28"/>
        </w:rPr>
        <w:t xml:space="preserve">; </w:t>
      </w:r>
    </w:p>
    <w:p w14:paraId="67ABB5F0" w14:textId="1BAA45A7" w:rsidR="005E5936" w:rsidRDefault="00DC6B5F" w:rsidP="0000173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5) omesso di imporre che i dati così acquisiti siano conservati nel solo territorio UE.</w:t>
      </w:r>
    </w:p>
    <w:p w14:paraId="6E3EC9B8" w14:textId="77777777" w:rsidR="0064371F" w:rsidRDefault="0064371F" w:rsidP="00001732">
      <w:pPr>
        <w:tabs>
          <w:tab w:val="left" w:pos="8364"/>
        </w:tabs>
        <w:spacing w:after="0"/>
        <w:jc w:val="both"/>
        <w:rPr>
          <w:rFonts w:ascii="Times New Roman" w:hAnsi="Times New Roman" w:cs="Times New Roman"/>
          <w:sz w:val="28"/>
          <w:szCs w:val="28"/>
        </w:rPr>
      </w:pPr>
    </w:p>
    <w:p w14:paraId="187E46F6" w14:textId="77777777" w:rsidR="00001732" w:rsidRDefault="00DC6B5F" w:rsidP="0000173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Sulla stessa scia si pone la sentenza resa nel caso </w:t>
      </w:r>
      <w:r w:rsidRPr="00DC6B5F">
        <w:rPr>
          <w:rFonts w:ascii="Times New Roman" w:hAnsi="Times New Roman" w:cs="Times New Roman"/>
          <w:i/>
          <w:iCs/>
          <w:sz w:val="28"/>
          <w:szCs w:val="28"/>
        </w:rPr>
        <w:t xml:space="preserve">Tele2 </w:t>
      </w:r>
      <w:proofErr w:type="spellStart"/>
      <w:r w:rsidRPr="00DC6B5F">
        <w:rPr>
          <w:rFonts w:ascii="Times New Roman" w:hAnsi="Times New Roman" w:cs="Times New Roman"/>
          <w:i/>
          <w:iCs/>
          <w:sz w:val="28"/>
          <w:szCs w:val="28"/>
        </w:rPr>
        <w:t>Sverige</w:t>
      </w:r>
      <w:proofErr w:type="spellEnd"/>
      <w:r>
        <w:rPr>
          <w:rFonts w:ascii="Times New Roman" w:hAnsi="Times New Roman" w:cs="Times New Roman"/>
          <w:sz w:val="28"/>
          <w:szCs w:val="28"/>
        </w:rPr>
        <w:t xml:space="preserve"> del 21 dicembre 2016, con la quale la Corte di Giustizia ha dichiarato incompatibile con la direttiva 2002/58/CE la disciplina interna che, per fini di contrasto dei reati: a) imponga la generale e indiscriminata conservazione di tutti i dati di traffico e relativi all’ubicazione degli utenti dei mezzi; b) </w:t>
      </w:r>
      <w:r w:rsidR="000C5A32">
        <w:rPr>
          <w:rFonts w:ascii="Times New Roman" w:hAnsi="Times New Roman" w:cs="Times New Roman"/>
          <w:sz w:val="28"/>
          <w:szCs w:val="28"/>
        </w:rPr>
        <w:t xml:space="preserve">legittimi l’accesso delle autorità nazionali competenti ai dati conservati per finalità ulteriori rispetto a quelle di contrasto dei crimini gravi, in assenza di un previo vaglio giurisdizionale o comunque di un’autorità amministrativa indipendente e di garanzie relative alla conservazione dei dati nella UE. </w:t>
      </w:r>
    </w:p>
    <w:p w14:paraId="72A971A7" w14:textId="77777777" w:rsidR="00001732" w:rsidRDefault="000C5A32" w:rsidP="0000173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In tale sentenza la Corte ha, tuttavia, anche chiarito che la direttiva non osta ad una normativa nazionale che imponga una conservazione mirata dei dati per finalità di lotta contro gravi fenomeni di criminalità, a condizione che tale conservazione dei dati sia, per quanto riguarda le categorie di dati da conservare, i mezzi di comunicazione interessati, le persone implicate, nonché la durata di conservazione prevista, limitata allo stretto necessario. </w:t>
      </w:r>
    </w:p>
    <w:p w14:paraId="712E001E" w14:textId="15737927" w:rsidR="00256FC2" w:rsidRDefault="000C5A32" w:rsidP="0000173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Qualsiasi normativa nazionale che vada in tal senso deve essere chiara e precisa</w:t>
      </w:r>
      <w:r w:rsidR="00A10560">
        <w:rPr>
          <w:rFonts w:ascii="Times New Roman" w:hAnsi="Times New Roman" w:cs="Times New Roman"/>
          <w:sz w:val="28"/>
          <w:szCs w:val="28"/>
        </w:rPr>
        <w:t xml:space="preserve"> “</w:t>
      </w:r>
      <w:proofErr w:type="spellStart"/>
      <w:r w:rsidR="00C10293" w:rsidRPr="00C10293">
        <w:rPr>
          <w:rFonts w:ascii="Times New Roman" w:hAnsi="Times New Roman" w:cs="Times New Roman"/>
          <w:i/>
          <w:iCs/>
          <w:sz w:val="28"/>
          <w:szCs w:val="28"/>
        </w:rPr>
        <w:t>acce</w:t>
      </w:r>
      <w:r w:rsidR="00431639">
        <w:rPr>
          <w:rFonts w:ascii="Times New Roman" w:hAnsi="Times New Roman" w:cs="Times New Roman"/>
          <w:i/>
          <w:iCs/>
          <w:sz w:val="28"/>
          <w:szCs w:val="28"/>
        </w:rPr>
        <w:t>s</w:t>
      </w:r>
      <w:r w:rsidR="00C10293" w:rsidRPr="00C10293">
        <w:rPr>
          <w:rFonts w:ascii="Times New Roman" w:hAnsi="Times New Roman" w:cs="Times New Roman"/>
          <w:i/>
          <w:iCs/>
          <w:sz w:val="28"/>
          <w:szCs w:val="28"/>
        </w:rPr>
        <w:t>sible</w:t>
      </w:r>
      <w:proofErr w:type="spellEnd"/>
      <w:r w:rsidR="00C10293">
        <w:rPr>
          <w:rFonts w:ascii="Times New Roman" w:hAnsi="Times New Roman" w:cs="Times New Roman"/>
          <w:sz w:val="28"/>
          <w:szCs w:val="28"/>
        </w:rPr>
        <w:t>”</w:t>
      </w:r>
      <w:r>
        <w:rPr>
          <w:rFonts w:ascii="Times New Roman" w:hAnsi="Times New Roman" w:cs="Times New Roman"/>
          <w:sz w:val="28"/>
          <w:szCs w:val="28"/>
        </w:rPr>
        <w:t xml:space="preserve"> e prevedere garanzie sufficienti al fine di proteggere i dati contro i rischi di abuso.</w:t>
      </w:r>
      <w:r w:rsidR="00764B83">
        <w:rPr>
          <w:rFonts w:ascii="Times New Roman" w:hAnsi="Times New Roman" w:cs="Times New Roman"/>
          <w:sz w:val="28"/>
          <w:szCs w:val="28"/>
        </w:rPr>
        <w:t xml:space="preserve"> Le discipline interne sulla conservazione dei dati devono, pertanto, prevedere l’accessibilità dei dati conservati solo da parte dell’autorità giudiziaria o di un’autorità ammnistrativa indipendente, in base a circostanze e procedure disciplinate dalla legge per esigenze di accertamento di gravi reati, notificando la misura all’interessato, non appena le esigenze investigative lo consentano.</w:t>
      </w:r>
      <w:r w:rsidR="00256FC2">
        <w:rPr>
          <w:rFonts w:ascii="Times New Roman" w:hAnsi="Times New Roman" w:cs="Times New Roman"/>
          <w:sz w:val="28"/>
          <w:szCs w:val="28"/>
        </w:rPr>
        <w:t xml:space="preserve"> Infine, tenuto conto della quantità di dati conservati, del carattere sensibile di tali dati, nonché del rischio di accesso illecito a questi ultimi, la normativa nazionale deve prevedere che i dati siano conservati nel territorio dell’Unione e che essi vengano irreversibilmente distrutti al termine della durata della loro conservazione. </w:t>
      </w:r>
    </w:p>
    <w:p w14:paraId="5B7D8213" w14:textId="77777777" w:rsidR="0064371F" w:rsidRDefault="0064371F" w:rsidP="00001732">
      <w:pPr>
        <w:tabs>
          <w:tab w:val="left" w:pos="8364"/>
        </w:tabs>
        <w:spacing w:after="0"/>
        <w:jc w:val="both"/>
        <w:rPr>
          <w:rFonts w:ascii="Times New Roman" w:hAnsi="Times New Roman" w:cs="Times New Roman"/>
          <w:sz w:val="28"/>
          <w:szCs w:val="28"/>
        </w:rPr>
      </w:pPr>
    </w:p>
    <w:p w14:paraId="11BBC2C9" w14:textId="69BD436B" w:rsidR="004D22DB" w:rsidRDefault="00256FC2" w:rsidP="00371309">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Nella sentenza </w:t>
      </w:r>
      <w:proofErr w:type="spellStart"/>
      <w:r w:rsidRPr="00256FC2">
        <w:rPr>
          <w:rFonts w:ascii="Times New Roman" w:hAnsi="Times New Roman" w:cs="Times New Roman"/>
          <w:i/>
          <w:iCs/>
          <w:sz w:val="28"/>
          <w:szCs w:val="28"/>
        </w:rPr>
        <w:t>Ministerio</w:t>
      </w:r>
      <w:proofErr w:type="spellEnd"/>
      <w:r w:rsidRPr="00256FC2">
        <w:rPr>
          <w:rFonts w:ascii="Times New Roman" w:hAnsi="Times New Roman" w:cs="Times New Roman"/>
          <w:i/>
          <w:iCs/>
          <w:sz w:val="28"/>
          <w:szCs w:val="28"/>
        </w:rPr>
        <w:t xml:space="preserve"> Fiscal </w:t>
      </w:r>
      <w:r>
        <w:rPr>
          <w:rFonts w:ascii="Times New Roman" w:hAnsi="Times New Roman" w:cs="Times New Roman"/>
          <w:sz w:val="28"/>
          <w:szCs w:val="28"/>
        </w:rPr>
        <w:t>d</w:t>
      </w:r>
      <w:r w:rsidRPr="00256FC2">
        <w:rPr>
          <w:rFonts w:ascii="Times New Roman" w:hAnsi="Times New Roman" w:cs="Times New Roman"/>
          <w:sz w:val="28"/>
          <w:szCs w:val="28"/>
        </w:rPr>
        <w:t>el 2 ottobre 2018</w:t>
      </w:r>
      <w:r w:rsidR="00371309">
        <w:rPr>
          <w:rFonts w:ascii="Times New Roman" w:hAnsi="Times New Roman" w:cs="Times New Roman"/>
          <w:sz w:val="28"/>
          <w:szCs w:val="28"/>
        </w:rPr>
        <w:t>,</w:t>
      </w:r>
      <w:r w:rsidRPr="00256FC2">
        <w:rPr>
          <w:rFonts w:ascii="Times New Roman" w:hAnsi="Times New Roman" w:cs="Times New Roman"/>
          <w:sz w:val="28"/>
          <w:szCs w:val="28"/>
        </w:rPr>
        <w:t xml:space="preserve"> </w:t>
      </w:r>
      <w:r>
        <w:rPr>
          <w:rFonts w:ascii="Times New Roman" w:hAnsi="Times New Roman" w:cs="Times New Roman"/>
          <w:sz w:val="28"/>
          <w:szCs w:val="28"/>
        </w:rPr>
        <w:t xml:space="preserve">la Corte si è occupata dell’accesso ai dati che mirano </w:t>
      </w:r>
      <w:r w:rsidR="00DC056E">
        <w:rPr>
          <w:rFonts w:ascii="Times New Roman" w:hAnsi="Times New Roman" w:cs="Times New Roman"/>
          <w:sz w:val="28"/>
          <w:szCs w:val="28"/>
        </w:rPr>
        <w:t xml:space="preserve">all’identificazione dei titolari di carte </w:t>
      </w:r>
      <w:proofErr w:type="spellStart"/>
      <w:r w:rsidR="00DC056E">
        <w:rPr>
          <w:rFonts w:ascii="Times New Roman" w:hAnsi="Times New Roman" w:cs="Times New Roman"/>
          <w:sz w:val="28"/>
          <w:szCs w:val="28"/>
        </w:rPr>
        <w:t>Sim</w:t>
      </w:r>
      <w:proofErr w:type="spellEnd"/>
      <w:r w:rsidR="00DC056E">
        <w:rPr>
          <w:rFonts w:ascii="Times New Roman" w:hAnsi="Times New Roman" w:cs="Times New Roman"/>
          <w:sz w:val="28"/>
          <w:szCs w:val="28"/>
        </w:rPr>
        <w:t xml:space="preserve"> attivate con un telefono cellulare rubato, come il cognome, il nome e, se del caso, l’indirizzo di tali soggetti. Sebbene tale accesso determini un’ingerenza nei diritti fondamentali degli interessati sanciti nella Carta dei Diritti Fondamentali dell’Unione Europea, esso non presenta una gravità tale da dover limitare il suddetto accesso, in materia di prevenzione, ricerca, accertamento e perseguimento dei reati, alla lotta contro la criminalità grave.</w:t>
      </w:r>
    </w:p>
    <w:p w14:paraId="785F5F45" w14:textId="4AB5BFC8" w:rsidR="00DC056E" w:rsidRDefault="00A52291" w:rsidP="00371309">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È</w:t>
      </w:r>
      <w:r w:rsidR="00DC056E">
        <w:rPr>
          <w:rFonts w:ascii="Times New Roman" w:hAnsi="Times New Roman" w:cs="Times New Roman"/>
          <w:sz w:val="28"/>
          <w:szCs w:val="28"/>
        </w:rPr>
        <w:t xml:space="preserve"> da ricordare ancora la sentenza </w:t>
      </w:r>
      <w:r w:rsidR="00DC056E" w:rsidRPr="00DC056E">
        <w:rPr>
          <w:rFonts w:ascii="Times New Roman" w:hAnsi="Times New Roman" w:cs="Times New Roman"/>
          <w:i/>
          <w:iCs/>
          <w:sz w:val="28"/>
          <w:szCs w:val="28"/>
        </w:rPr>
        <w:t xml:space="preserve">Privacy International </w:t>
      </w:r>
      <w:r w:rsidR="00DC056E" w:rsidRPr="00DC056E">
        <w:rPr>
          <w:rFonts w:ascii="Times New Roman" w:hAnsi="Times New Roman" w:cs="Times New Roman"/>
          <w:sz w:val="28"/>
          <w:szCs w:val="28"/>
        </w:rPr>
        <w:t xml:space="preserve">del </w:t>
      </w:r>
      <w:r w:rsidR="00DC056E">
        <w:rPr>
          <w:rFonts w:ascii="Times New Roman" w:hAnsi="Times New Roman" w:cs="Times New Roman"/>
          <w:sz w:val="28"/>
          <w:szCs w:val="28"/>
        </w:rPr>
        <w:t>6 ottobre 2020</w:t>
      </w:r>
      <w:r w:rsidR="004F23C9">
        <w:rPr>
          <w:rFonts w:ascii="Times New Roman" w:hAnsi="Times New Roman" w:cs="Times New Roman"/>
          <w:sz w:val="28"/>
          <w:szCs w:val="28"/>
        </w:rPr>
        <w:t>,</w:t>
      </w:r>
      <w:r w:rsidR="00DC056E">
        <w:rPr>
          <w:rFonts w:ascii="Times New Roman" w:hAnsi="Times New Roman" w:cs="Times New Roman"/>
          <w:sz w:val="28"/>
          <w:szCs w:val="28"/>
        </w:rPr>
        <w:t xml:space="preserve"> con la quale la Corte di Giustizia ha sancito la contrarietà alla direttiva 2002/58/CE di una disciplina che imponga ai fornitori di servizi di comunicazione elettronica, al fine di salvaguardare la sicurezza nazionale, di effettuare la conservazione generale e indiscriminata dei dati sul traffico e dei dati sull’ubicazione come misura preventiva.</w:t>
      </w:r>
      <w:r w:rsidR="00E9619B">
        <w:rPr>
          <w:rFonts w:ascii="Times New Roman" w:hAnsi="Times New Roman" w:cs="Times New Roman"/>
          <w:sz w:val="28"/>
          <w:szCs w:val="28"/>
        </w:rPr>
        <w:t xml:space="preserve"> In altri termini, si è escluso che l’esimente della funzionalità del trattamento ai fini di </w:t>
      </w:r>
      <w:r w:rsidR="00E9619B">
        <w:rPr>
          <w:rFonts w:ascii="Times New Roman" w:hAnsi="Times New Roman" w:cs="Times New Roman"/>
          <w:sz w:val="28"/>
          <w:szCs w:val="28"/>
        </w:rPr>
        <w:lastRenderedPageBreak/>
        <w:t>sicurezza nazionale possa “coprire” anche la indiscriminata conservazione dei dati ad esso finalizzata.</w:t>
      </w:r>
    </w:p>
    <w:p w14:paraId="44CD58A8" w14:textId="14CEF548" w:rsidR="0064371F" w:rsidRDefault="00E9619B" w:rsidP="00371309">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Fondamentale è la conclusione che un organo giurisdizionale, il quale consideri che una parte non è in grado di svolgere efficacemente le proprie osservazioni in merito a un mezzo di prova rientrante in una materia estranea alla conoscenza dei giudici</w:t>
      </w:r>
      <w:r w:rsidR="00A52291">
        <w:rPr>
          <w:rFonts w:ascii="Times New Roman" w:hAnsi="Times New Roman" w:cs="Times New Roman"/>
          <w:sz w:val="28"/>
          <w:szCs w:val="28"/>
        </w:rPr>
        <w:t xml:space="preserve"> </w:t>
      </w:r>
      <w:r>
        <w:rPr>
          <w:rFonts w:ascii="Times New Roman" w:hAnsi="Times New Roman" w:cs="Times New Roman"/>
          <w:sz w:val="28"/>
          <w:szCs w:val="28"/>
        </w:rPr>
        <w:t xml:space="preserve">(in quanto decisa da un pubblico ministero) e idoneo a influire in modo preponderante sulla valutazione dei fatti, deve constatare una violazione del diritto a un processo equo ed escludere tale mezzo di prova, al fine di evitare una violazione siffatta. Ciò dovrebbe indurre, secondo la Corte di giustizia, il giudice penale nazionale </w:t>
      </w:r>
      <w:r w:rsidR="00371309">
        <w:rPr>
          <w:rFonts w:ascii="Times New Roman" w:hAnsi="Times New Roman" w:cs="Times New Roman"/>
          <w:sz w:val="28"/>
          <w:szCs w:val="28"/>
        </w:rPr>
        <w:t>ad</w:t>
      </w:r>
      <w:r>
        <w:rPr>
          <w:rFonts w:ascii="Times New Roman" w:hAnsi="Times New Roman" w:cs="Times New Roman"/>
          <w:sz w:val="28"/>
          <w:szCs w:val="28"/>
        </w:rPr>
        <w:t xml:space="preserve"> escludere informazioni ed elementi di prova che siano stati ottenuti mediante una conservazione generalizzata e indifferenziata dei dati relativi al traffico e dei dati relativi all’ubicazione</w:t>
      </w:r>
      <w:r w:rsidR="00371309">
        <w:rPr>
          <w:rFonts w:ascii="Times New Roman" w:hAnsi="Times New Roman" w:cs="Times New Roman"/>
          <w:sz w:val="28"/>
          <w:szCs w:val="28"/>
        </w:rPr>
        <w:t>,</w:t>
      </w:r>
      <w:r>
        <w:rPr>
          <w:rFonts w:ascii="Times New Roman" w:hAnsi="Times New Roman" w:cs="Times New Roman"/>
          <w:sz w:val="28"/>
          <w:szCs w:val="28"/>
        </w:rPr>
        <w:t xml:space="preserve"> incompatibile con il diritto dell’Unione, o anche mediante un accesso dell’autorità competente a tali dati in violazione del diritto dell’Unione.</w:t>
      </w:r>
      <w:r w:rsidR="00923EEB">
        <w:rPr>
          <w:rFonts w:ascii="Times New Roman" w:hAnsi="Times New Roman" w:cs="Times New Roman"/>
          <w:sz w:val="28"/>
          <w:szCs w:val="28"/>
        </w:rPr>
        <w:t xml:space="preserve"> </w:t>
      </w:r>
    </w:p>
    <w:p w14:paraId="203C4B17" w14:textId="77777777" w:rsidR="00371309" w:rsidRDefault="00923EEB" w:rsidP="00371309">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Circa la competenza ad autorizzare l’accesso di un’autorità pubblica ai dati relativi al traffico e ai dati relativi all’ubicazione, al fine di dirigere un’istruttoria penale, la Corte osserva che è essenziale che l’accesso delle autorità nazionali competenti ai dati conservati sia subordinato a un controllo preventivo effettuato o da un giudice o da un’entità amministrativa indipendente. Da ciò consegue che il requisito dell’indipendenza che l’autorità incaricata di esercitare il controllo preventivo deve soddisfare impone che tale autorità abbia la qualità di terzo rispetto a quella che chiede l’accesso ai dati, di modo che la prima sia in grado di esercitare tale controllo in modo obiettivo e imparziale</w:t>
      </w:r>
      <w:r w:rsidR="00371309">
        <w:rPr>
          <w:rFonts w:ascii="Times New Roman" w:hAnsi="Times New Roman" w:cs="Times New Roman"/>
          <w:sz w:val="28"/>
          <w:szCs w:val="28"/>
        </w:rPr>
        <w:t>,</w:t>
      </w:r>
      <w:r>
        <w:rPr>
          <w:rFonts w:ascii="Times New Roman" w:hAnsi="Times New Roman" w:cs="Times New Roman"/>
          <w:sz w:val="28"/>
          <w:szCs w:val="28"/>
        </w:rPr>
        <w:t xml:space="preserve"> al riparo da qualsiasi influenza esterna. </w:t>
      </w:r>
    </w:p>
    <w:p w14:paraId="37B7432C" w14:textId="5AD7B4B4" w:rsidR="00E9619B" w:rsidRDefault="00923EEB" w:rsidP="00371309">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In ambito penale, il requisito di indipendenza implica che l’autorità incaricata di tale controllo preventivo, da un lato, non sia coinvolta nella conduzione dell’indagine penale di cui trattasi, dall’altro, abbia una posizione di neutralità nei confronti delle parti del procedimento penale. Il pubblico </w:t>
      </w:r>
      <w:r w:rsidR="00A52291">
        <w:rPr>
          <w:rFonts w:ascii="Times New Roman" w:hAnsi="Times New Roman" w:cs="Times New Roman"/>
          <w:sz w:val="28"/>
          <w:szCs w:val="28"/>
        </w:rPr>
        <w:t>ministero non</w:t>
      </w:r>
      <w:r>
        <w:rPr>
          <w:rFonts w:ascii="Times New Roman" w:hAnsi="Times New Roman" w:cs="Times New Roman"/>
          <w:sz w:val="28"/>
          <w:szCs w:val="28"/>
        </w:rPr>
        <w:t xml:space="preserve"> garantisce la sua terzietà.</w:t>
      </w:r>
    </w:p>
    <w:p w14:paraId="7BA51D9E" w14:textId="1AD03073" w:rsidR="00923EEB" w:rsidRDefault="00923EEB" w:rsidP="00371309">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realtà</w:t>
      </w:r>
      <w:r w:rsidR="004F23C9">
        <w:rPr>
          <w:rFonts w:ascii="Times New Roman" w:hAnsi="Times New Roman" w:cs="Times New Roman"/>
          <w:sz w:val="28"/>
          <w:szCs w:val="28"/>
        </w:rPr>
        <w:t>,</w:t>
      </w:r>
      <w:r>
        <w:rPr>
          <w:rFonts w:ascii="Times New Roman" w:hAnsi="Times New Roman" w:cs="Times New Roman"/>
          <w:sz w:val="28"/>
          <w:szCs w:val="28"/>
        </w:rPr>
        <w:t xml:space="preserve"> prima di </w:t>
      </w:r>
      <w:r w:rsidR="004F23C9">
        <w:rPr>
          <w:rFonts w:ascii="Times New Roman" w:hAnsi="Times New Roman" w:cs="Times New Roman"/>
          <w:sz w:val="28"/>
          <w:szCs w:val="28"/>
        </w:rPr>
        <w:t>tali pronunce</w:t>
      </w:r>
      <w:r>
        <w:rPr>
          <w:rFonts w:ascii="Times New Roman" w:hAnsi="Times New Roman" w:cs="Times New Roman"/>
          <w:sz w:val="28"/>
          <w:szCs w:val="28"/>
        </w:rPr>
        <w:t xml:space="preserve"> della Corte di Giustizia dell’Unione Europea</w:t>
      </w:r>
      <w:r w:rsidR="004F23C9">
        <w:rPr>
          <w:rFonts w:ascii="Times New Roman" w:hAnsi="Times New Roman" w:cs="Times New Roman"/>
          <w:sz w:val="28"/>
          <w:szCs w:val="28"/>
        </w:rPr>
        <w:t>,</w:t>
      </w:r>
      <w:r>
        <w:rPr>
          <w:rFonts w:ascii="Times New Roman" w:hAnsi="Times New Roman" w:cs="Times New Roman"/>
          <w:sz w:val="28"/>
          <w:szCs w:val="28"/>
        </w:rPr>
        <w:t xml:space="preserve"> il Garante </w:t>
      </w:r>
      <w:r w:rsidR="00371309">
        <w:rPr>
          <w:rFonts w:ascii="Times New Roman" w:hAnsi="Times New Roman" w:cs="Times New Roman"/>
          <w:sz w:val="28"/>
          <w:szCs w:val="28"/>
        </w:rPr>
        <w:t xml:space="preserve">della </w:t>
      </w:r>
      <w:r w:rsidR="00EF2A2C">
        <w:rPr>
          <w:rFonts w:ascii="Times New Roman" w:hAnsi="Times New Roman" w:cs="Times New Roman"/>
          <w:sz w:val="28"/>
          <w:szCs w:val="28"/>
        </w:rPr>
        <w:t>privacy aveva invitato, senza successo, il legislatore a riformare la disciplina interna sulla conservazione dei tabulati che non limita l’acquisizione ai soli reati gravi né subordina tale acquisizione al vaglio del giudice</w:t>
      </w:r>
      <w:r w:rsidR="00A52291">
        <w:rPr>
          <w:rStyle w:val="Rimandonotaapidipagina"/>
          <w:rFonts w:ascii="Times New Roman" w:hAnsi="Times New Roman" w:cs="Times New Roman"/>
          <w:sz w:val="28"/>
          <w:szCs w:val="28"/>
        </w:rPr>
        <w:footnoteReference w:id="55"/>
      </w:r>
      <w:r w:rsidR="00A52291">
        <w:rPr>
          <w:rFonts w:ascii="Times New Roman" w:hAnsi="Times New Roman" w:cs="Times New Roman"/>
          <w:sz w:val="28"/>
          <w:szCs w:val="28"/>
        </w:rPr>
        <w:t>.</w:t>
      </w:r>
    </w:p>
    <w:p w14:paraId="5CFF97EF" w14:textId="62A4933C" w:rsidR="00EF2A2C" w:rsidRDefault="00EF2A2C" w:rsidP="00371309">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Similmente, anche la Corte di </w:t>
      </w:r>
      <w:r w:rsidR="00371309">
        <w:rPr>
          <w:rFonts w:ascii="Times New Roman" w:hAnsi="Times New Roman" w:cs="Times New Roman"/>
          <w:sz w:val="28"/>
          <w:szCs w:val="28"/>
        </w:rPr>
        <w:t>C</w:t>
      </w:r>
      <w:r w:rsidR="004F23C9">
        <w:rPr>
          <w:rFonts w:ascii="Times New Roman" w:hAnsi="Times New Roman" w:cs="Times New Roman"/>
          <w:sz w:val="28"/>
          <w:szCs w:val="28"/>
        </w:rPr>
        <w:t>assazione, con</w:t>
      </w:r>
      <w:r>
        <w:rPr>
          <w:rFonts w:ascii="Times New Roman" w:hAnsi="Times New Roman" w:cs="Times New Roman"/>
          <w:sz w:val="28"/>
          <w:szCs w:val="28"/>
        </w:rPr>
        <w:t xml:space="preserve"> sentenza 13 febbraio 2020</w:t>
      </w:r>
      <w:r w:rsidR="004F23C9">
        <w:rPr>
          <w:rFonts w:ascii="Times New Roman" w:hAnsi="Times New Roman" w:cs="Times New Roman"/>
          <w:sz w:val="28"/>
          <w:szCs w:val="28"/>
        </w:rPr>
        <w:t>,</w:t>
      </w:r>
      <w:r>
        <w:rPr>
          <w:rFonts w:ascii="Times New Roman" w:hAnsi="Times New Roman" w:cs="Times New Roman"/>
          <w:sz w:val="28"/>
          <w:szCs w:val="28"/>
        </w:rPr>
        <w:t xml:space="preserve"> n.</w:t>
      </w:r>
      <w:r w:rsidR="00A52291">
        <w:rPr>
          <w:rFonts w:ascii="Times New Roman" w:hAnsi="Times New Roman" w:cs="Times New Roman"/>
          <w:sz w:val="28"/>
          <w:szCs w:val="28"/>
        </w:rPr>
        <w:t xml:space="preserve"> </w:t>
      </w:r>
      <w:r>
        <w:rPr>
          <w:rFonts w:ascii="Times New Roman" w:hAnsi="Times New Roman" w:cs="Times New Roman"/>
          <w:sz w:val="28"/>
          <w:szCs w:val="28"/>
        </w:rPr>
        <w:t>5741, aveva “salvato” la “</w:t>
      </w:r>
      <w:r w:rsidRPr="00A52291">
        <w:rPr>
          <w:rFonts w:ascii="Times New Roman" w:hAnsi="Times New Roman" w:cs="Times New Roman"/>
          <w:i/>
          <w:iCs/>
          <w:sz w:val="28"/>
          <w:szCs w:val="28"/>
        </w:rPr>
        <w:t xml:space="preserve">data </w:t>
      </w:r>
      <w:proofErr w:type="spellStart"/>
      <w:r w:rsidRPr="00A52291">
        <w:rPr>
          <w:rFonts w:ascii="Times New Roman" w:hAnsi="Times New Roman" w:cs="Times New Roman"/>
          <w:i/>
          <w:iCs/>
          <w:sz w:val="28"/>
          <w:szCs w:val="28"/>
        </w:rPr>
        <w:t>retention</w:t>
      </w:r>
      <w:proofErr w:type="spellEnd"/>
      <w:r>
        <w:rPr>
          <w:rFonts w:ascii="Times New Roman" w:hAnsi="Times New Roman" w:cs="Times New Roman"/>
          <w:sz w:val="28"/>
          <w:szCs w:val="28"/>
        </w:rPr>
        <w:t xml:space="preserve">” italiana, ritenendo che le sentenze </w:t>
      </w:r>
      <w:r w:rsidRPr="00EF2A2C">
        <w:rPr>
          <w:rFonts w:ascii="Times New Roman" w:hAnsi="Times New Roman" w:cs="Times New Roman"/>
          <w:i/>
          <w:iCs/>
          <w:sz w:val="28"/>
          <w:szCs w:val="28"/>
        </w:rPr>
        <w:t xml:space="preserve">Digital </w:t>
      </w:r>
      <w:proofErr w:type="spellStart"/>
      <w:r w:rsidRPr="00EF2A2C">
        <w:rPr>
          <w:rFonts w:ascii="Times New Roman" w:hAnsi="Times New Roman" w:cs="Times New Roman"/>
          <w:i/>
          <w:iCs/>
          <w:sz w:val="28"/>
          <w:szCs w:val="28"/>
        </w:rPr>
        <w:t>Rights</w:t>
      </w:r>
      <w:proofErr w:type="spellEnd"/>
      <w:r>
        <w:rPr>
          <w:rFonts w:ascii="Times New Roman" w:hAnsi="Times New Roman" w:cs="Times New Roman"/>
          <w:sz w:val="28"/>
          <w:szCs w:val="28"/>
        </w:rPr>
        <w:t xml:space="preserve"> e </w:t>
      </w:r>
      <w:r w:rsidRPr="00EF2A2C">
        <w:rPr>
          <w:rFonts w:ascii="Times New Roman" w:hAnsi="Times New Roman" w:cs="Times New Roman"/>
          <w:i/>
          <w:iCs/>
          <w:sz w:val="28"/>
          <w:szCs w:val="28"/>
        </w:rPr>
        <w:t xml:space="preserve">Tele2 </w:t>
      </w:r>
      <w:proofErr w:type="spellStart"/>
      <w:r w:rsidRPr="00EF2A2C">
        <w:rPr>
          <w:rFonts w:ascii="Times New Roman" w:hAnsi="Times New Roman" w:cs="Times New Roman"/>
          <w:i/>
          <w:iCs/>
          <w:sz w:val="28"/>
          <w:szCs w:val="28"/>
        </w:rPr>
        <w:t>Sverige</w:t>
      </w:r>
      <w:proofErr w:type="spellEnd"/>
      <w:r>
        <w:rPr>
          <w:rFonts w:ascii="Times New Roman" w:hAnsi="Times New Roman" w:cs="Times New Roman"/>
          <w:sz w:val="28"/>
          <w:szCs w:val="28"/>
        </w:rPr>
        <w:t xml:space="preserve"> della Corte di Giustizia non intaccassero la compatibilità delle previsioni dell’art.</w:t>
      </w:r>
      <w:r w:rsidR="00A52291">
        <w:rPr>
          <w:rFonts w:ascii="Times New Roman" w:hAnsi="Times New Roman" w:cs="Times New Roman"/>
          <w:sz w:val="28"/>
          <w:szCs w:val="28"/>
        </w:rPr>
        <w:t xml:space="preserve"> </w:t>
      </w:r>
      <w:r>
        <w:rPr>
          <w:rFonts w:ascii="Times New Roman" w:hAnsi="Times New Roman" w:cs="Times New Roman"/>
          <w:sz w:val="28"/>
          <w:szCs w:val="28"/>
        </w:rPr>
        <w:t>132 con il diritto dell’UE.</w:t>
      </w:r>
    </w:p>
    <w:p w14:paraId="5EB15AF5" w14:textId="77777777" w:rsidR="0064371F" w:rsidRDefault="0064371F" w:rsidP="00371309">
      <w:pPr>
        <w:tabs>
          <w:tab w:val="left" w:pos="8364"/>
        </w:tabs>
        <w:spacing w:after="0"/>
        <w:jc w:val="both"/>
        <w:rPr>
          <w:rFonts w:ascii="Times New Roman" w:hAnsi="Times New Roman" w:cs="Times New Roman"/>
          <w:sz w:val="28"/>
          <w:szCs w:val="28"/>
        </w:rPr>
      </w:pPr>
    </w:p>
    <w:p w14:paraId="770595E7" w14:textId="6FE82A82" w:rsidR="00371309" w:rsidRDefault="00EF2A2C" w:rsidP="00371309">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A prescindere dalle perplessità che le affermazioni della Cassazione hanno suscitato sulla corretta lettura delle pronunce della Corte di Giustizia, </w:t>
      </w:r>
      <w:r w:rsidR="00C10293">
        <w:rPr>
          <w:rFonts w:ascii="Times New Roman" w:hAnsi="Times New Roman" w:cs="Times New Roman"/>
          <w:sz w:val="28"/>
          <w:szCs w:val="28"/>
        </w:rPr>
        <w:t>era</w:t>
      </w:r>
      <w:r>
        <w:rPr>
          <w:rFonts w:ascii="Times New Roman" w:hAnsi="Times New Roman" w:cs="Times New Roman"/>
          <w:sz w:val="28"/>
          <w:szCs w:val="28"/>
        </w:rPr>
        <w:t xml:space="preserve"> ormai inevitabile una revisione dell’art.</w:t>
      </w:r>
      <w:r w:rsidR="00A52291">
        <w:rPr>
          <w:rFonts w:ascii="Times New Roman" w:hAnsi="Times New Roman" w:cs="Times New Roman"/>
          <w:sz w:val="28"/>
          <w:szCs w:val="28"/>
        </w:rPr>
        <w:t xml:space="preserve"> </w:t>
      </w:r>
      <w:r>
        <w:rPr>
          <w:rFonts w:ascii="Times New Roman" w:hAnsi="Times New Roman" w:cs="Times New Roman"/>
          <w:sz w:val="28"/>
          <w:szCs w:val="28"/>
        </w:rPr>
        <w:t>132 del Codice della Privacy.</w:t>
      </w:r>
      <w:r w:rsidR="00D92C7E">
        <w:rPr>
          <w:rFonts w:ascii="Times New Roman" w:hAnsi="Times New Roman" w:cs="Times New Roman"/>
          <w:sz w:val="28"/>
          <w:szCs w:val="28"/>
        </w:rPr>
        <w:t xml:space="preserve"> </w:t>
      </w:r>
    </w:p>
    <w:p w14:paraId="7A4EF2D0" w14:textId="755E62C1" w:rsidR="00EF2A2C" w:rsidRDefault="00D92C7E" w:rsidP="00371309">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Di recente</w:t>
      </w:r>
      <w:r w:rsidR="004F23C9">
        <w:rPr>
          <w:rFonts w:ascii="Times New Roman" w:hAnsi="Times New Roman" w:cs="Times New Roman"/>
          <w:sz w:val="28"/>
          <w:szCs w:val="28"/>
        </w:rPr>
        <w:t>,</w:t>
      </w:r>
      <w:r>
        <w:rPr>
          <w:rFonts w:ascii="Times New Roman" w:hAnsi="Times New Roman" w:cs="Times New Roman"/>
          <w:sz w:val="28"/>
          <w:szCs w:val="28"/>
        </w:rPr>
        <w:t xml:space="preserve"> la Cassazione</w:t>
      </w:r>
      <w:r w:rsidR="00EB0D90">
        <w:rPr>
          <w:rFonts w:ascii="Times New Roman" w:hAnsi="Times New Roman" w:cs="Times New Roman"/>
          <w:sz w:val="28"/>
          <w:szCs w:val="28"/>
        </w:rPr>
        <w:t xml:space="preserve"> </w:t>
      </w:r>
      <w:r w:rsidR="00A52291">
        <w:rPr>
          <w:rFonts w:ascii="Times New Roman" w:hAnsi="Times New Roman" w:cs="Times New Roman"/>
          <w:sz w:val="28"/>
          <w:szCs w:val="28"/>
        </w:rPr>
        <w:t>Penale</w:t>
      </w:r>
      <w:r w:rsidR="00377DB4">
        <w:rPr>
          <w:rStyle w:val="Rimandonotaapidipagina"/>
          <w:rFonts w:ascii="Times New Roman" w:hAnsi="Times New Roman" w:cs="Times New Roman"/>
          <w:sz w:val="28"/>
          <w:szCs w:val="28"/>
        </w:rPr>
        <w:footnoteReference w:id="56"/>
      </w:r>
      <w:r w:rsidR="00377DB4">
        <w:rPr>
          <w:rFonts w:ascii="Times New Roman" w:hAnsi="Times New Roman" w:cs="Times New Roman"/>
          <w:sz w:val="28"/>
          <w:szCs w:val="28"/>
        </w:rPr>
        <w:t xml:space="preserve"> </w:t>
      </w:r>
      <w:r w:rsidR="004F7C74">
        <w:rPr>
          <w:rFonts w:ascii="Times New Roman" w:hAnsi="Times New Roman" w:cs="Times New Roman"/>
          <w:sz w:val="28"/>
          <w:szCs w:val="28"/>
        </w:rPr>
        <w:t xml:space="preserve">si è pronunciata </w:t>
      </w:r>
      <w:r w:rsidR="00A52291">
        <w:rPr>
          <w:rFonts w:ascii="Times New Roman" w:hAnsi="Times New Roman" w:cs="Times New Roman"/>
          <w:sz w:val="28"/>
          <w:szCs w:val="28"/>
        </w:rPr>
        <w:t>sugli effetti</w:t>
      </w:r>
      <w:r w:rsidR="004F7C74">
        <w:rPr>
          <w:rFonts w:ascii="Times New Roman" w:hAnsi="Times New Roman" w:cs="Times New Roman"/>
          <w:sz w:val="28"/>
          <w:szCs w:val="28"/>
        </w:rPr>
        <w:t xml:space="preserve"> de</w:t>
      </w:r>
      <w:r w:rsidR="0081715A">
        <w:rPr>
          <w:rFonts w:ascii="Times New Roman" w:hAnsi="Times New Roman" w:cs="Times New Roman"/>
          <w:sz w:val="28"/>
          <w:szCs w:val="28"/>
        </w:rPr>
        <w:t>lla sentenza del 2 marzo 2021 della Corte di Giustizia dell’Unione Europea</w:t>
      </w:r>
      <w:r w:rsidR="003F5EAA">
        <w:rPr>
          <w:rFonts w:ascii="Times New Roman" w:hAnsi="Times New Roman" w:cs="Times New Roman"/>
          <w:sz w:val="28"/>
          <w:szCs w:val="28"/>
        </w:rPr>
        <w:t xml:space="preserve"> nella causa C746/18.</w:t>
      </w:r>
    </w:p>
    <w:p w14:paraId="40E83C51" w14:textId="0C0F8B4E" w:rsidR="003F5EAA" w:rsidRDefault="003F5EAA" w:rsidP="00371309">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L’impostazione della CGUE</w:t>
      </w:r>
      <w:r w:rsidR="00A52291">
        <w:rPr>
          <w:rFonts w:ascii="Times New Roman" w:hAnsi="Times New Roman" w:cs="Times New Roman"/>
          <w:sz w:val="28"/>
          <w:szCs w:val="28"/>
        </w:rPr>
        <w:t xml:space="preserve"> – </w:t>
      </w:r>
      <w:r>
        <w:rPr>
          <w:rFonts w:ascii="Times New Roman" w:hAnsi="Times New Roman" w:cs="Times New Roman"/>
          <w:sz w:val="28"/>
          <w:szCs w:val="28"/>
        </w:rPr>
        <w:t xml:space="preserve">si </w:t>
      </w:r>
      <w:r w:rsidR="006673EB">
        <w:rPr>
          <w:rFonts w:ascii="Times New Roman" w:hAnsi="Times New Roman" w:cs="Times New Roman"/>
          <w:sz w:val="28"/>
          <w:szCs w:val="28"/>
        </w:rPr>
        <w:t>legge nella decisione</w:t>
      </w:r>
      <w:r w:rsidR="00A52291">
        <w:rPr>
          <w:rFonts w:ascii="Times New Roman" w:hAnsi="Times New Roman" w:cs="Times New Roman"/>
          <w:sz w:val="28"/>
          <w:szCs w:val="28"/>
        </w:rPr>
        <w:t xml:space="preserve"> – </w:t>
      </w:r>
      <w:r w:rsidR="004F23C9">
        <w:rPr>
          <w:rFonts w:ascii="Times New Roman" w:hAnsi="Times New Roman" w:cs="Times New Roman"/>
          <w:i/>
          <w:iCs/>
          <w:sz w:val="28"/>
          <w:szCs w:val="28"/>
        </w:rPr>
        <w:t>«</w:t>
      </w:r>
      <w:r w:rsidR="006673EB" w:rsidRPr="006673EB">
        <w:rPr>
          <w:rFonts w:ascii="Times New Roman" w:hAnsi="Times New Roman" w:cs="Times New Roman"/>
          <w:i/>
          <w:iCs/>
          <w:sz w:val="28"/>
          <w:szCs w:val="28"/>
        </w:rPr>
        <w:t>deve essere confrontata con l’assetto normativo</w:t>
      </w:r>
      <w:r w:rsidR="006673EB">
        <w:rPr>
          <w:rFonts w:ascii="Times New Roman" w:hAnsi="Times New Roman" w:cs="Times New Roman"/>
          <w:i/>
          <w:iCs/>
          <w:sz w:val="28"/>
          <w:szCs w:val="28"/>
        </w:rPr>
        <w:t xml:space="preserve"> attualmente delineatosi</w:t>
      </w:r>
      <w:r w:rsidR="00474087">
        <w:rPr>
          <w:rFonts w:ascii="Times New Roman" w:hAnsi="Times New Roman" w:cs="Times New Roman"/>
          <w:i/>
          <w:iCs/>
          <w:sz w:val="28"/>
          <w:szCs w:val="28"/>
        </w:rPr>
        <w:t xml:space="preserve"> nel nostro ordinamento</w:t>
      </w:r>
      <w:r w:rsidR="00C83995">
        <w:rPr>
          <w:rFonts w:ascii="Times New Roman" w:hAnsi="Times New Roman" w:cs="Times New Roman"/>
          <w:i/>
          <w:iCs/>
          <w:sz w:val="28"/>
          <w:szCs w:val="28"/>
        </w:rPr>
        <w:t xml:space="preserve"> </w:t>
      </w:r>
      <w:r w:rsidR="00474087">
        <w:rPr>
          <w:rFonts w:ascii="Times New Roman" w:hAnsi="Times New Roman" w:cs="Times New Roman"/>
          <w:i/>
          <w:iCs/>
          <w:sz w:val="28"/>
          <w:szCs w:val="28"/>
        </w:rPr>
        <w:t>e, in particolare, con il consolidato orientamento della Suprema Cor</w:t>
      </w:r>
      <w:r w:rsidR="00A52291">
        <w:rPr>
          <w:rFonts w:ascii="Times New Roman" w:hAnsi="Times New Roman" w:cs="Times New Roman"/>
          <w:i/>
          <w:iCs/>
          <w:sz w:val="28"/>
          <w:szCs w:val="28"/>
        </w:rPr>
        <w:t>te</w:t>
      </w:r>
      <w:r w:rsidR="00474087">
        <w:rPr>
          <w:rFonts w:ascii="Times New Roman" w:hAnsi="Times New Roman" w:cs="Times New Roman"/>
          <w:i/>
          <w:iCs/>
          <w:sz w:val="28"/>
          <w:szCs w:val="28"/>
        </w:rPr>
        <w:t>,</w:t>
      </w:r>
      <w:r w:rsidR="00A52291">
        <w:rPr>
          <w:rFonts w:ascii="Times New Roman" w:hAnsi="Times New Roman" w:cs="Times New Roman"/>
          <w:i/>
          <w:iCs/>
          <w:sz w:val="28"/>
          <w:szCs w:val="28"/>
        </w:rPr>
        <w:t xml:space="preserve"> </w:t>
      </w:r>
      <w:r w:rsidR="00474087">
        <w:rPr>
          <w:rFonts w:ascii="Times New Roman" w:hAnsi="Times New Roman" w:cs="Times New Roman"/>
          <w:i/>
          <w:iCs/>
          <w:sz w:val="28"/>
          <w:szCs w:val="28"/>
        </w:rPr>
        <w:t xml:space="preserve">secondo cui, in tema di acquisizione dei dati contenuti </w:t>
      </w:r>
      <w:r w:rsidR="009E105D">
        <w:rPr>
          <w:rFonts w:ascii="Times New Roman" w:hAnsi="Times New Roman" w:cs="Times New Roman"/>
          <w:i/>
          <w:iCs/>
          <w:sz w:val="28"/>
          <w:szCs w:val="28"/>
        </w:rPr>
        <w:t>nei cd.</w:t>
      </w:r>
      <w:r w:rsidR="00C83995">
        <w:rPr>
          <w:rFonts w:ascii="Times New Roman" w:hAnsi="Times New Roman" w:cs="Times New Roman"/>
          <w:i/>
          <w:iCs/>
          <w:sz w:val="28"/>
          <w:szCs w:val="28"/>
        </w:rPr>
        <w:t xml:space="preserve"> </w:t>
      </w:r>
      <w:r w:rsidR="009E105D">
        <w:rPr>
          <w:rFonts w:ascii="Times New Roman" w:hAnsi="Times New Roman" w:cs="Times New Roman"/>
          <w:i/>
          <w:iCs/>
          <w:sz w:val="28"/>
          <w:szCs w:val="28"/>
        </w:rPr>
        <w:t>tabulati telefonici, la disciplina italiana di conservazione dei dati di cui all’art.</w:t>
      </w:r>
      <w:r w:rsidR="004F23C9">
        <w:rPr>
          <w:rFonts w:ascii="Times New Roman" w:hAnsi="Times New Roman" w:cs="Times New Roman"/>
          <w:i/>
          <w:iCs/>
          <w:sz w:val="28"/>
          <w:szCs w:val="28"/>
        </w:rPr>
        <w:t xml:space="preserve"> </w:t>
      </w:r>
      <w:r w:rsidR="009E105D">
        <w:rPr>
          <w:rFonts w:ascii="Times New Roman" w:hAnsi="Times New Roman" w:cs="Times New Roman"/>
          <w:i/>
          <w:iCs/>
          <w:sz w:val="28"/>
          <w:szCs w:val="28"/>
        </w:rPr>
        <w:t>132 dlgs</w:t>
      </w:r>
      <w:r w:rsidR="00A81B67">
        <w:rPr>
          <w:rFonts w:ascii="Times New Roman" w:hAnsi="Times New Roman" w:cs="Times New Roman"/>
          <w:i/>
          <w:iCs/>
          <w:sz w:val="28"/>
          <w:szCs w:val="28"/>
        </w:rPr>
        <w:t>.196/2003 deve ritenersi compatibile con le direttive in tema di privacy</w:t>
      </w:r>
      <w:r w:rsidR="002C65A6">
        <w:rPr>
          <w:rFonts w:ascii="Times New Roman" w:hAnsi="Times New Roman" w:cs="Times New Roman"/>
          <w:i/>
          <w:iCs/>
          <w:sz w:val="28"/>
          <w:szCs w:val="28"/>
        </w:rPr>
        <w:t xml:space="preserve">, e ciò poiché la deroga stabilita dalla norma alla riservatezza delle comunicazioni </w:t>
      </w:r>
      <w:r w:rsidR="009F290A">
        <w:rPr>
          <w:rFonts w:ascii="Times New Roman" w:hAnsi="Times New Roman" w:cs="Times New Roman"/>
          <w:i/>
          <w:iCs/>
          <w:sz w:val="28"/>
          <w:szCs w:val="28"/>
        </w:rPr>
        <w:t>è prevista dall’art.</w:t>
      </w:r>
      <w:r w:rsidR="00371309">
        <w:rPr>
          <w:rFonts w:ascii="Times New Roman" w:hAnsi="Times New Roman" w:cs="Times New Roman"/>
          <w:i/>
          <w:iCs/>
          <w:sz w:val="28"/>
          <w:szCs w:val="28"/>
        </w:rPr>
        <w:t xml:space="preserve"> </w:t>
      </w:r>
      <w:r w:rsidR="009F290A">
        <w:rPr>
          <w:rFonts w:ascii="Times New Roman" w:hAnsi="Times New Roman" w:cs="Times New Roman"/>
          <w:i/>
          <w:iCs/>
          <w:sz w:val="28"/>
          <w:szCs w:val="28"/>
        </w:rPr>
        <w:t>132 cit. per un periodo di tempo limitato, ha come esclusivo obiettivo l’accertamento e la repressione dei reati ed è subordinata</w:t>
      </w:r>
      <w:r w:rsidR="003F3D1B">
        <w:rPr>
          <w:rFonts w:ascii="Times New Roman" w:hAnsi="Times New Roman" w:cs="Times New Roman"/>
          <w:i/>
          <w:iCs/>
          <w:sz w:val="28"/>
          <w:szCs w:val="28"/>
        </w:rPr>
        <w:t xml:space="preserve"> alla emissione di un provvedimento di una autorità giurisdizionale indipendente </w:t>
      </w:r>
      <w:r w:rsidR="00A52291">
        <w:rPr>
          <w:rFonts w:ascii="Times New Roman" w:hAnsi="Times New Roman" w:cs="Times New Roman"/>
          <w:i/>
          <w:iCs/>
          <w:sz w:val="28"/>
          <w:szCs w:val="28"/>
        </w:rPr>
        <w:t>com’è</w:t>
      </w:r>
      <w:r w:rsidR="003F3D1B">
        <w:rPr>
          <w:rFonts w:ascii="Times New Roman" w:hAnsi="Times New Roman" w:cs="Times New Roman"/>
          <w:i/>
          <w:iCs/>
          <w:sz w:val="28"/>
          <w:szCs w:val="28"/>
        </w:rPr>
        <w:t xml:space="preserve"> appunto il pubblico ministero</w:t>
      </w:r>
      <w:r w:rsidR="004F23C9">
        <w:rPr>
          <w:rFonts w:ascii="Times New Roman" w:hAnsi="Times New Roman" w:cs="Times New Roman"/>
          <w:i/>
          <w:iCs/>
          <w:sz w:val="28"/>
          <w:szCs w:val="28"/>
        </w:rPr>
        <w:t>».</w:t>
      </w:r>
    </w:p>
    <w:p w14:paraId="5F8E7370" w14:textId="7364673A" w:rsidR="007A1926" w:rsidRDefault="007A1926" w:rsidP="00371309">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Invero, se da un lato,</w:t>
      </w:r>
      <w:r w:rsidR="00A52291">
        <w:rPr>
          <w:rFonts w:ascii="Times New Roman" w:hAnsi="Times New Roman" w:cs="Times New Roman"/>
          <w:sz w:val="28"/>
          <w:szCs w:val="28"/>
        </w:rPr>
        <w:t xml:space="preserve"> </w:t>
      </w:r>
      <w:r w:rsidR="004F23C9">
        <w:rPr>
          <w:rFonts w:ascii="Times New Roman" w:hAnsi="Times New Roman" w:cs="Times New Roman"/>
          <w:sz w:val="28"/>
          <w:szCs w:val="28"/>
        </w:rPr>
        <w:t>«</w:t>
      </w:r>
      <w:r w:rsidRPr="007A1926">
        <w:rPr>
          <w:rFonts w:ascii="Times New Roman" w:hAnsi="Times New Roman" w:cs="Times New Roman"/>
          <w:i/>
          <w:iCs/>
          <w:sz w:val="28"/>
          <w:szCs w:val="28"/>
        </w:rPr>
        <w:t>è indubitabile</w:t>
      </w:r>
      <w:r w:rsidR="00E729D6">
        <w:rPr>
          <w:rFonts w:ascii="Times New Roman" w:hAnsi="Times New Roman" w:cs="Times New Roman"/>
          <w:i/>
          <w:iCs/>
          <w:sz w:val="28"/>
          <w:szCs w:val="28"/>
        </w:rPr>
        <w:t xml:space="preserve"> che debba attribuirsi ai principi espressi nelle sentenze CGUE</w:t>
      </w:r>
      <w:r w:rsidR="00F0042D">
        <w:rPr>
          <w:rFonts w:ascii="Times New Roman" w:hAnsi="Times New Roman" w:cs="Times New Roman"/>
          <w:i/>
          <w:iCs/>
          <w:sz w:val="28"/>
          <w:szCs w:val="28"/>
        </w:rPr>
        <w:t xml:space="preserve"> il valore fondante del diritto comunitario con efficacia erga </w:t>
      </w:r>
      <w:proofErr w:type="spellStart"/>
      <w:r w:rsidR="00F0042D">
        <w:rPr>
          <w:rFonts w:ascii="Times New Roman" w:hAnsi="Times New Roman" w:cs="Times New Roman"/>
          <w:i/>
          <w:iCs/>
          <w:sz w:val="28"/>
          <w:szCs w:val="28"/>
        </w:rPr>
        <w:t>omnes</w:t>
      </w:r>
      <w:proofErr w:type="spellEnd"/>
      <w:r w:rsidR="00926F88">
        <w:rPr>
          <w:rFonts w:ascii="Times New Roman" w:hAnsi="Times New Roman" w:cs="Times New Roman"/>
          <w:i/>
          <w:iCs/>
          <w:sz w:val="28"/>
          <w:szCs w:val="28"/>
        </w:rPr>
        <w:t xml:space="preserve"> nell’ambito della Comunità</w:t>
      </w:r>
      <w:r w:rsidR="004F23C9">
        <w:rPr>
          <w:rFonts w:ascii="Times New Roman" w:hAnsi="Times New Roman" w:cs="Times New Roman"/>
          <w:i/>
          <w:iCs/>
          <w:sz w:val="28"/>
          <w:szCs w:val="28"/>
        </w:rPr>
        <w:t>»</w:t>
      </w:r>
      <w:r w:rsidR="00926F88">
        <w:rPr>
          <w:rFonts w:ascii="Times New Roman" w:hAnsi="Times New Roman" w:cs="Times New Roman"/>
          <w:i/>
          <w:iCs/>
          <w:sz w:val="28"/>
          <w:szCs w:val="28"/>
        </w:rPr>
        <w:t xml:space="preserve">, </w:t>
      </w:r>
      <w:r w:rsidR="00926F88" w:rsidRPr="00926F88">
        <w:rPr>
          <w:rFonts w:ascii="Times New Roman" w:hAnsi="Times New Roman" w:cs="Times New Roman"/>
          <w:sz w:val="28"/>
          <w:szCs w:val="28"/>
        </w:rPr>
        <w:t>dall’altro,</w:t>
      </w:r>
      <w:r w:rsidR="00926F88">
        <w:rPr>
          <w:rFonts w:ascii="Times New Roman" w:hAnsi="Times New Roman" w:cs="Times New Roman"/>
          <w:i/>
          <w:iCs/>
          <w:sz w:val="28"/>
          <w:szCs w:val="28"/>
        </w:rPr>
        <w:t xml:space="preserve"> </w:t>
      </w:r>
      <w:r w:rsidR="004F23C9">
        <w:rPr>
          <w:rFonts w:ascii="Times New Roman" w:hAnsi="Times New Roman" w:cs="Times New Roman"/>
          <w:i/>
          <w:iCs/>
          <w:sz w:val="28"/>
          <w:szCs w:val="28"/>
        </w:rPr>
        <w:t>«</w:t>
      </w:r>
      <w:r w:rsidR="00926F88">
        <w:rPr>
          <w:rFonts w:ascii="Times New Roman" w:hAnsi="Times New Roman" w:cs="Times New Roman"/>
          <w:i/>
          <w:iCs/>
          <w:sz w:val="28"/>
          <w:szCs w:val="28"/>
        </w:rPr>
        <w:t>l’attività interpretativa</w:t>
      </w:r>
      <w:r w:rsidR="00142260">
        <w:rPr>
          <w:rFonts w:ascii="Times New Roman" w:hAnsi="Times New Roman" w:cs="Times New Roman"/>
          <w:i/>
          <w:iCs/>
          <w:sz w:val="28"/>
          <w:szCs w:val="28"/>
        </w:rPr>
        <w:t xml:space="preserve"> del significato e dei imiti di applicazione delle norme comunitarie, operata nelle sentenze CGUE, può avere efficacia immediata e diretta nel nostro ordinamento limitatament</w:t>
      </w:r>
      <w:r w:rsidR="00355895">
        <w:rPr>
          <w:rFonts w:ascii="Times New Roman" w:hAnsi="Times New Roman" w:cs="Times New Roman"/>
          <w:i/>
          <w:iCs/>
          <w:sz w:val="28"/>
          <w:szCs w:val="28"/>
        </w:rPr>
        <w:t>e alle ipotesi in cui non residuino, negli istituti giuridici regolati, concreti problemi applicativi e correlati profili di discrezionalità che richiedano l’intervento del legislatore nazionale, tanto più laddove si tratti di interpretazioni di norme contenute nelle direttive</w:t>
      </w:r>
      <w:r w:rsidR="00111208">
        <w:rPr>
          <w:rFonts w:ascii="Times New Roman" w:hAnsi="Times New Roman" w:cs="Times New Roman"/>
          <w:i/>
          <w:iCs/>
          <w:sz w:val="28"/>
          <w:szCs w:val="28"/>
        </w:rPr>
        <w:t>»</w:t>
      </w:r>
      <w:r w:rsidR="00355895">
        <w:rPr>
          <w:rFonts w:ascii="Times New Roman" w:hAnsi="Times New Roman" w:cs="Times New Roman"/>
          <w:i/>
          <w:iCs/>
          <w:sz w:val="28"/>
          <w:szCs w:val="28"/>
        </w:rPr>
        <w:t>.</w:t>
      </w:r>
    </w:p>
    <w:p w14:paraId="2049830B" w14:textId="42B19837" w:rsidR="00C83995" w:rsidRDefault="00C83995" w:rsidP="00371309">
      <w:pPr>
        <w:tabs>
          <w:tab w:val="left" w:pos="8364"/>
        </w:tabs>
        <w:spacing w:after="0"/>
        <w:jc w:val="both"/>
        <w:rPr>
          <w:rFonts w:ascii="Times New Roman" w:hAnsi="Times New Roman" w:cs="Times New Roman"/>
          <w:i/>
          <w:iCs/>
          <w:sz w:val="28"/>
          <w:szCs w:val="28"/>
        </w:rPr>
      </w:pPr>
      <w:r w:rsidRPr="00C83995">
        <w:rPr>
          <w:rFonts w:ascii="Times New Roman" w:hAnsi="Times New Roman" w:cs="Times New Roman"/>
          <w:sz w:val="28"/>
          <w:szCs w:val="28"/>
        </w:rPr>
        <w:t xml:space="preserve">Allo stato, quindi, </w:t>
      </w:r>
      <w:r w:rsidR="00111208">
        <w:rPr>
          <w:rFonts w:ascii="Times New Roman" w:hAnsi="Times New Roman" w:cs="Times New Roman"/>
          <w:sz w:val="28"/>
          <w:szCs w:val="28"/>
        </w:rPr>
        <w:t>«</w:t>
      </w:r>
      <w:r w:rsidRPr="00BE1FEE">
        <w:rPr>
          <w:rFonts w:ascii="Times New Roman" w:hAnsi="Times New Roman" w:cs="Times New Roman"/>
          <w:i/>
          <w:iCs/>
          <w:sz w:val="28"/>
          <w:szCs w:val="28"/>
        </w:rPr>
        <w:t xml:space="preserve">non può che ritenersi come </w:t>
      </w:r>
      <w:r w:rsidR="00BE1FEE">
        <w:rPr>
          <w:rFonts w:ascii="Times New Roman" w:hAnsi="Times New Roman" w:cs="Times New Roman"/>
          <w:i/>
          <w:iCs/>
          <w:sz w:val="28"/>
          <w:szCs w:val="28"/>
        </w:rPr>
        <w:t>l’interpretazione proposta dalla CGUE sia del tutto generica nell’individuazione dei casi nei quali i dati di traffico telematico</w:t>
      </w:r>
      <w:r w:rsidR="002C2009">
        <w:rPr>
          <w:rFonts w:ascii="Times New Roman" w:hAnsi="Times New Roman" w:cs="Times New Roman"/>
          <w:i/>
          <w:iCs/>
          <w:sz w:val="28"/>
          <w:szCs w:val="28"/>
        </w:rPr>
        <w:t xml:space="preserve"> e telefonico possono essere acquisiti (“lotta contro le forme gravi di criminalità” o “prevenzione di gravi minacce alla sicurezza pubblica”</w:t>
      </w:r>
      <w:r w:rsidR="00151405">
        <w:rPr>
          <w:rFonts w:ascii="Times New Roman" w:hAnsi="Times New Roman" w:cs="Times New Roman"/>
          <w:i/>
          <w:iCs/>
          <w:sz w:val="28"/>
          <w:szCs w:val="28"/>
        </w:rPr>
        <w:t xml:space="preserve">), essendo evidente che tali aspetti non possono </w:t>
      </w:r>
      <w:r w:rsidR="00F367AA">
        <w:rPr>
          <w:rFonts w:ascii="Times New Roman" w:hAnsi="Times New Roman" w:cs="Times New Roman"/>
          <w:i/>
          <w:iCs/>
          <w:sz w:val="28"/>
          <w:szCs w:val="28"/>
        </w:rPr>
        <w:t>essere disciplinati da singole (e potenzialmente contrastanti) decisioni giurisprudenziali</w:t>
      </w:r>
      <w:r w:rsidR="00A761F6">
        <w:rPr>
          <w:rFonts w:ascii="Times New Roman" w:hAnsi="Times New Roman" w:cs="Times New Roman"/>
          <w:i/>
          <w:iCs/>
          <w:sz w:val="28"/>
          <w:szCs w:val="28"/>
        </w:rPr>
        <w:t xml:space="preserve">, dovendosi demandare al legislatore nazionale il compito di trasfondere i principi interpretativi delineati dalla </w:t>
      </w:r>
      <w:r w:rsidR="000D6008">
        <w:rPr>
          <w:rFonts w:ascii="Times New Roman" w:hAnsi="Times New Roman" w:cs="Times New Roman"/>
          <w:i/>
          <w:iCs/>
          <w:sz w:val="28"/>
          <w:szCs w:val="28"/>
        </w:rPr>
        <w:t>Corte in una legge dello Stato</w:t>
      </w:r>
      <w:r w:rsidR="00111208">
        <w:rPr>
          <w:rFonts w:ascii="Times New Roman" w:hAnsi="Times New Roman" w:cs="Times New Roman"/>
          <w:i/>
          <w:iCs/>
          <w:sz w:val="28"/>
          <w:szCs w:val="28"/>
        </w:rPr>
        <w:t>»</w:t>
      </w:r>
      <w:r w:rsidR="000D6008">
        <w:rPr>
          <w:rFonts w:ascii="Times New Roman" w:hAnsi="Times New Roman" w:cs="Times New Roman"/>
          <w:i/>
          <w:iCs/>
          <w:sz w:val="28"/>
          <w:szCs w:val="28"/>
        </w:rPr>
        <w:t>.</w:t>
      </w:r>
    </w:p>
    <w:p w14:paraId="198DB7EE" w14:textId="0D5C1C42" w:rsidR="000D6008" w:rsidRDefault="000D6008" w:rsidP="00774481">
      <w:pPr>
        <w:tabs>
          <w:tab w:val="left" w:pos="8364"/>
        </w:tabs>
        <w:jc w:val="both"/>
        <w:rPr>
          <w:rFonts w:ascii="Times New Roman" w:hAnsi="Times New Roman" w:cs="Times New Roman"/>
          <w:sz w:val="28"/>
          <w:szCs w:val="28"/>
        </w:rPr>
      </w:pPr>
      <w:r>
        <w:rPr>
          <w:rFonts w:ascii="Times New Roman" w:hAnsi="Times New Roman" w:cs="Times New Roman"/>
          <w:i/>
          <w:iCs/>
          <w:sz w:val="28"/>
          <w:szCs w:val="28"/>
        </w:rPr>
        <w:t>Ne deriva</w:t>
      </w:r>
      <w:r w:rsidR="00A52291">
        <w:rPr>
          <w:rFonts w:ascii="Times New Roman" w:hAnsi="Times New Roman" w:cs="Times New Roman"/>
          <w:i/>
          <w:iCs/>
          <w:sz w:val="28"/>
          <w:szCs w:val="28"/>
        </w:rPr>
        <w:t xml:space="preserve"> – </w:t>
      </w:r>
      <w:r>
        <w:rPr>
          <w:rFonts w:ascii="Times New Roman" w:hAnsi="Times New Roman" w:cs="Times New Roman"/>
          <w:sz w:val="28"/>
          <w:szCs w:val="28"/>
        </w:rPr>
        <w:t>conclude la Cassazione</w:t>
      </w:r>
      <w:r w:rsidR="00A52291">
        <w:rPr>
          <w:rFonts w:ascii="Times New Roman" w:hAnsi="Times New Roman" w:cs="Times New Roman"/>
          <w:sz w:val="28"/>
          <w:szCs w:val="28"/>
        </w:rPr>
        <w:t xml:space="preserve"> – </w:t>
      </w:r>
      <w:r w:rsidR="00111208">
        <w:rPr>
          <w:rFonts w:ascii="Times New Roman" w:hAnsi="Times New Roman" w:cs="Times New Roman"/>
          <w:i/>
          <w:iCs/>
          <w:sz w:val="28"/>
          <w:szCs w:val="28"/>
        </w:rPr>
        <w:t>«</w:t>
      </w:r>
      <w:r w:rsidR="00913B02" w:rsidRPr="00913B02">
        <w:rPr>
          <w:rFonts w:ascii="Times New Roman" w:hAnsi="Times New Roman" w:cs="Times New Roman"/>
          <w:i/>
          <w:iCs/>
          <w:sz w:val="28"/>
          <w:szCs w:val="28"/>
        </w:rPr>
        <w:t>l’impossibilità di ritenere che la sentenza della CGUE</w:t>
      </w:r>
      <w:r w:rsidR="00677972">
        <w:rPr>
          <w:rFonts w:ascii="Times New Roman" w:hAnsi="Times New Roman" w:cs="Times New Roman"/>
          <w:i/>
          <w:iCs/>
          <w:sz w:val="28"/>
          <w:szCs w:val="28"/>
        </w:rPr>
        <w:t xml:space="preserve"> possa trovare diretta applicazione in Italia fino a quando non interverrà il legislatore italiano ed </w:t>
      </w:r>
      <w:r w:rsidR="00632819">
        <w:rPr>
          <w:rFonts w:ascii="Times New Roman" w:hAnsi="Times New Roman" w:cs="Times New Roman"/>
          <w:i/>
          <w:iCs/>
          <w:sz w:val="28"/>
          <w:szCs w:val="28"/>
        </w:rPr>
        <w:t>anche europeo, in quanto allo stato può e deve ritenersi applicabile l’art.</w:t>
      </w:r>
      <w:r w:rsidR="00111208">
        <w:rPr>
          <w:rFonts w:ascii="Times New Roman" w:hAnsi="Times New Roman" w:cs="Times New Roman"/>
          <w:i/>
          <w:iCs/>
          <w:sz w:val="28"/>
          <w:szCs w:val="28"/>
        </w:rPr>
        <w:t xml:space="preserve"> </w:t>
      </w:r>
      <w:r w:rsidR="00632819">
        <w:rPr>
          <w:rFonts w:ascii="Times New Roman" w:hAnsi="Times New Roman" w:cs="Times New Roman"/>
          <w:i/>
          <w:iCs/>
          <w:sz w:val="28"/>
          <w:szCs w:val="28"/>
        </w:rPr>
        <w:t xml:space="preserve">132 </w:t>
      </w:r>
      <w:proofErr w:type="spellStart"/>
      <w:r w:rsidR="00632819">
        <w:rPr>
          <w:rFonts w:ascii="Times New Roman" w:hAnsi="Times New Roman" w:cs="Times New Roman"/>
          <w:i/>
          <w:iCs/>
          <w:sz w:val="28"/>
          <w:szCs w:val="28"/>
        </w:rPr>
        <w:t>dlgs</w:t>
      </w:r>
      <w:proofErr w:type="spellEnd"/>
      <w:r w:rsidR="00632819">
        <w:rPr>
          <w:rFonts w:ascii="Times New Roman" w:hAnsi="Times New Roman" w:cs="Times New Roman"/>
          <w:i/>
          <w:iCs/>
          <w:sz w:val="28"/>
          <w:szCs w:val="28"/>
        </w:rPr>
        <w:t xml:space="preserve"> 196/2003</w:t>
      </w:r>
      <w:r w:rsidR="00111208">
        <w:rPr>
          <w:rFonts w:ascii="Times New Roman" w:hAnsi="Times New Roman" w:cs="Times New Roman"/>
          <w:i/>
          <w:iCs/>
          <w:sz w:val="28"/>
          <w:szCs w:val="28"/>
        </w:rPr>
        <w:t>»</w:t>
      </w:r>
      <w:r w:rsidR="00A52291">
        <w:rPr>
          <w:rStyle w:val="Rimandonotaapidipagina"/>
          <w:rFonts w:ascii="Times New Roman" w:hAnsi="Times New Roman" w:cs="Times New Roman"/>
          <w:i/>
          <w:iCs/>
          <w:sz w:val="28"/>
          <w:szCs w:val="28"/>
        </w:rPr>
        <w:footnoteReference w:id="57"/>
      </w:r>
      <w:r w:rsidR="00F53820">
        <w:rPr>
          <w:rFonts w:ascii="Times New Roman" w:hAnsi="Times New Roman" w:cs="Times New Roman"/>
          <w:i/>
          <w:iCs/>
          <w:sz w:val="28"/>
          <w:szCs w:val="28"/>
        </w:rPr>
        <w:t>.</w:t>
      </w:r>
    </w:p>
    <w:p w14:paraId="77AAB852" w14:textId="77777777" w:rsidR="00EA014E" w:rsidRDefault="00CD7B63" w:rsidP="00EA014E">
      <w:pPr>
        <w:tabs>
          <w:tab w:val="left" w:pos="8364"/>
        </w:tabs>
        <w:spacing w:after="0"/>
        <w:jc w:val="both"/>
        <w:rPr>
          <w:rFonts w:ascii="Times New Roman" w:hAnsi="Times New Roman" w:cs="Times New Roman"/>
          <w:sz w:val="28"/>
          <w:szCs w:val="28"/>
        </w:rPr>
      </w:pPr>
      <w:r w:rsidRPr="00111208">
        <w:rPr>
          <w:rFonts w:ascii="Times New Roman" w:hAnsi="Times New Roman" w:cs="Times New Roman"/>
          <w:sz w:val="28"/>
          <w:szCs w:val="28"/>
        </w:rPr>
        <w:lastRenderedPageBreak/>
        <w:t>Si ricord</w:t>
      </w:r>
      <w:r w:rsidR="00303AD1" w:rsidRPr="00111208">
        <w:rPr>
          <w:rFonts w:ascii="Times New Roman" w:hAnsi="Times New Roman" w:cs="Times New Roman"/>
          <w:sz w:val="28"/>
          <w:szCs w:val="28"/>
        </w:rPr>
        <w:t>a</w:t>
      </w:r>
      <w:r w:rsidR="00E74FCE" w:rsidRPr="00111208">
        <w:rPr>
          <w:rFonts w:ascii="Times New Roman" w:hAnsi="Times New Roman" w:cs="Times New Roman"/>
          <w:sz w:val="28"/>
          <w:szCs w:val="28"/>
        </w:rPr>
        <w:t>,</w:t>
      </w:r>
      <w:r w:rsidR="00303AD1" w:rsidRPr="00111208">
        <w:rPr>
          <w:rFonts w:ascii="Times New Roman" w:hAnsi="Times New Roman" w:cs="Times New Roman"/>
          <w:sz w:val="28"/>
          <w:szCs w:val="28"/>
        </w:rPr>
        <w:t xml:space="preserve"> </w:t>
      </w:r>
      <w:r w:rsidR="00E74FCE" w:rsidRPr="00111208">
        <w:rPr>
          <w:rFonts w:ascii="Times New Roman" w:hAnsi="Times New Roman" w:cs="Times New Roman"/>
          <w:sz w:val="28"/>
          <w:szCs w:val="28"/>
        </w:rPr>
        <w:t>comunque, che la Cassazione</w:t>
      </w:r>
      <w:r w:rsidR="00111208">
        <w:rPr>
          <w:rFonts w:ascii="Times New Roman" w:hAnsi="Times New Roman" w:cs="Times New Roman"/>
          <w:sz w:val="28"/>
          <w:szCs w:val="28"/>
        </w:rPr>
        <w:t>,</w:t>
      </w:r>
      <w:r w:rsidR="00E74FCE" w:rsidRPr="00111208">
        <w:rPr>
          <w:rFonts w:ascii="Times New Roman" w:hAnsi="Times New Roman" w:cs="Times New Roman"/>
          <w:sz w:val="28"/>
          <w:szCs w:val="28"/>
        </w:rPr>
        <w:t xml:space="preserve"> con sentenza del </w:t>
      </w:r>
      <w:r w:rsidR="00111208" w:rsidRPr="00111208">
        <w:rPr>
          <w:rFonts w:ascii="Times New Roman" w:hAnsi="Times New Roman" w:cs="Times New Roman"/>
          <w:sz w:val="28"/>
          <w:szCs w:val="28"/>
        </w:rPr>
        <w:t>1° settembre</w:t>
      </w:r>
      <w:r w:rsidR="00E74FCE" w:rsidRPr="00111208">
        <w:rPr>
          <w:rFonts w:ascii="Times New Roman" w:hAnsi="Times New Roman" w:cs="Times New Roman"/>
          <w:sz w:val="28"/>
          <w:szCs w:val="28"/>
        </w:rPr>
        <w:t xml:space="preserve"> 2021</w:t>
      </w:r>
      <w:r w:rsidR="00111208">
        <w:rPr>
          <w:rFonts w:ascii="Times New Roman" w:hAnsi="Times New Roman" w:cs="Times New Roman"/>
          <w:sz w:val="28"/>
          <w:szCs w:val="28"/>
        </w:rPr>
        <w:t>,</w:t>
      </w:r>
      <w:r w:rsidR="00E74FCE" w:rsidRPr="00111208">
        <w:rPr>
          <w:rFonts w:ascii="Times New Roman" w:hAnsi="Times New Roman" w:cs="Times New Roman"/>
          <w:sz w:val="28"/>
          <w:szCs w:val="28"/>
        </w:rPr>
        <w:t xml:space="preserve"> ha escluso</w:t>
      </w:r>
      <w:r w:rsidR="002361D5" w:rsidRPr="00111208">
        <w:rPr>
          <w:rFonts w:ascii="Times New Roman" w:hAnsi="Times New Roman" w:cs="Times New Roman"/>
          <w:sz w:val="28"/>
          <w:szCs w:val="28"/>
        </w:rPr>
        <w:t xml:space="preserve"> l’applicabilità del principio di diritto enucleato nella sentenza “Cavallo” in materia</w:t>
      </w:r>
      <w:r w:rsidR="002361D5">
        <w:rPr>
          <w:rFonts w:ascii="Times New Roman" w:hAnsi="Times New Roman" w:cs="Times New Roman"/>
          <w:sz w:val="28"/>
          <w:szCs w:val="28"/>
        </w:rPr>
        <w:t xml:space="preserve"> </w:t>
      </w:r>
      <w:r w:rsidR="00CC3D95">
        <w:rPr>
          <w:rFonts w:ascii="Times New Roman" w:hAnsi="Times New Roman" w:cs="Times New Roman"/>
          <w:sz w:val="28"/>
          <w:szCs w:val="28"/>
        </w:rPr>
        <w:t>di intercettazioni quando, dopo l’attività di c</w:t>
      </w:r>
      <w:r w:rsidR="001C2097">
        <w:rPr>
          <w:rFonts w:ascii="Times New Roman" w:hAnsi="Times New Roman" w:cs="Times New Roman"/>
          <w:sz w:val="28"/>
          <w:szCs w:val="28"/>
        </w:rPr>
        <w:t>a</w:t>
      </w:r>
      <w:r w:rsidR="00CC3D95">
        <w:rPr>
          <w:rFonts w:ascii="Times New Roman" w:hAnsi="Times New Roman" w:cs="Times New Roman"/>
          <w:sz w:val="28"/>
          <w:szCs w:val="28"/>
        </w:rPr>
        <w:t>ptazione, l’imputazione venga riqualificata in altra non annoverata nello speciale elenco di cui all’art.</w:t>
      </w:r>
      <w:r w:rsidR="00303AD1">
        <w:rPr>
          <w:rFonts w:ascii="Times New Roman" w:hAnsi="Times New Roman" w:cs="Times New Roman"/>
          <w:sz w:val="28"/>
          <w:szCs w:val="28"/>
        </w:rPr>
        <w:t xml:space="preserve"> </w:t>
      </w:r>
      <w:r w:rsidR="00CC3D95">
        <w:rPr>
          <w:rFonts w:ascii="Times New Roman" w:hAnsi="Times New Roman" w:cs="Times New Roman"/>
          <w:sz w:val="28"/>
          <w:szCs w:val="28"/>
        </w:rPr>
        <w:t>266 c.p.p.</w:t>
      </w:r>
      <w:r w:rsidR="00303AD1">
        <w:rPr>
          <w:rFonts w:ascii="Times New Roman" w:hAnsi="Times New Roman" w:cs="Times New Roman"/>
          <w:sz w:val="28"/>
          <w:szCs w:val="28"/>
        </w:rPr>
        <w:t xml:space="preserve"> (s</w:t>
      </w:r>
      <w:r w:rsidR="00F83A59">
        <w:rPr>
          <w:rFonts w:ascii="Times New Roman" w:hAnsi="Times New Roman" w:cs="Times New Roman"/>
          <w:sz w:val="28"/>
          <w:szCs w:val="28"/>
        </w:rPr>
        <w:t xml:space="preserve">i </w:t>
      </w:r>
      <w:r w:rsidR="008C744B">
        <w:rPr>
          <w:rFonts w:ascii="Times New Roman" w:hAnsi="Times New Roman" w:cs="Times New Roman"/>
          <w:sz w:val="28"/>
          <w:szCs w:val="28"/>
        </w:rPr>
        <w:t>pensi al concetto di “inutilizzabilità derivata”: l’ordinanza del GUP del Tribunale di Perugia del 20 giugno 2021 nel procedimento c</w:t>
      </w:r>
      <w:r w:rsidR="00111208">
        <w:rPr>
          <w:rFonts w:ascii="Times New Roman" w:hAnsi="Times New Roman" w:cs="Times New Roman"/>
          <w:sz w:val="28"/>
          <w:szCs w:val="28"/>
        </w:rPr>
        <w:t>.</w:t>
      </w:r>
      <w:r w:rsidR="008C744B">
        <w:rPr>
          <w:rFonts w:ascii="Times New Roman" w:hAnsi="Times New Roman" w:cs="Times New Roman"/>
          <w:sz w:val="28"/>
          <w:szCs w:val="28"/>
        </w:rPr>
        <w:t>d.</w:t>
      </w:r>
      <w:r w:rsidR="00303AD1">
        <w:rPr>
          <w:rFonts w:ascii="Times New Roman" w:hAnsi="Times New Roman" w:cs="Times New Roman"/>
          <w:sz w:val="28"/>
          <w:szCs w:val="28"/>
        </w:rPr>
        <w:t xml:space="preserve"> “</w:t>
      </w:r>
      <w:proofErr w:type="spellStart"/>
      <w:r w:rsidR="008C744B" w:rsidRPr="00EA014E">
        <w:rPr>
          <w:rFonts w:ascii="Times New Roman" w:hAnsi="Times New Roman" w:cs="Times New Roman"/>
          <w:i/>
          <w:iCs/>
          <w:sz w:val="28"/>
          <w:szCs w:val="28"/>
        </w:rPr>
        <w:t>Palamara</w:t>
      </w:r>
      <w:proofErr w:type="spellEnd"/>
      <w:r w:rsidR="008C744B" w:rsidRPr="00EA014E">
        <w:rPr>
          <w:rFonts w:ascii="Times New Roman" w:hAnsi="Times New Roman" w:cs="Times New Roman"/>
          <w:i/>
          <w:iCs/>
          <w:sz w:val="28"/>
          <w:szCs w:val="28"/>
        </w:rPr>
        <w:t xml:space="preserve"> bis</w:t>
      </w:r>
      <w:r w:rsidR="008C744B">
        <w:rPr>
          <w:rFonts w:ascii="Times New Roman" w:hAnsi="Times New Roman" w:cs="Times New Roman"/>
          <w:sz w:val="28"/>
          <w:szCs w:val="28"/>
        </w:rPr>
        <w:t>”).</w:t>
      </w:r>
      <w:r w:rsidR="008E3A3F">
        <w:rPr>
          <w:rFonts w:ascii="Times New Roman" w:hAnsi="Times New Roman" w:cs="Times New Roman"/>
          <w:sz w:val="28"/>
          <w:szCs w:val="28"/>
        </w:rPr>
        <w:t xml:space="preserve"> </w:t>
      </w:r>
    </w:p>
    <w:p w14:paraId="7EF830E2" w14:textId="61B16F74" w:rsidR="00EA014E" w:rsidRDefault="008E3A3F" w:rsidP="00EA01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L’auspicato intervento normativo si è concretizzato nell’art.</w:t>
      </w:r>
      <w:r w:rsidR="00303AD1">
        <w:rPr>
          <w:rFonts w:ascii="Times New Roman" w:hAnsi="Times New Roman" w:cs="Times New Roman"/>
          <w:sz w:val="28"/>
          <w:szCs w:val="28"/>
        </w:rPr>
        <w:t xml:space="preserve"> </w:t>
      </w:r>
      <w:r>
        <w:rPr>
          <w:rFonts w:ascii="Times New Roman" w:hAnsi="Times New Roman" w:cs="Times New Roman"/>
          <w:sz w:val="28"/>
          <w:szCs w:val="28"/>
        </w:rPr>
        <w:t xml:space="preserve">1 del </w:t>
      </w:r>
      <w:r w:rsidR="00303AD1">
        <w:rPr>
          <w:rFonts w:ascii="Times New Roman" w:hAnsi="Times New Roman" w:cs="Times New Roman"/>
          <w:sz w:val="28"/>
          <w:szCs w:val="28"/>
        </w:rPr>
        <w:t>decreto-legge</w:t>
      </w:r>
      <w:r>
        <w:rPr>
          <w:rFonts w:ascii="Times New Roman" w:hAnsi="Times New Roman" w:cs="Times New Roman"/>
          <w:sz w:val="28"/>
          <w:szCs w:val="28"/>
        </w:rPr>
        <w:t xml:space="preserve"> 30 settembre 2021</w:t>
      </w:r>
      <w:r w:rsidR="00111208">
        <w:rPr>
          <w:rFonts w:ascii="Times New Roman" w:hAnsi="Times New Roman" w:cs="Times New Roman"/>
          <w:sz w:val="28"/>
          <w:szCs w:val="28"/>
        </w:rPr>
        <w:t>,</w:t>
      </w:r>
      <w:r>
        <w:rPr>
          <w:rFonts w:ascii="Times New Roman" w:hAnsi="Times New Roman" w:cs="Times New Roman"/>
          <w:sz w:val="28"/>
          <w:szCs w:val="28"/>
        </w:rPr>
        <w:t xml:space="preserve"> n.</w:t>
      </w:r>
      <w:r w:rsidR="00303AD1">
        <w:rPr>
          <w:rFonts w:ascii="Times New Roman" w:hAnsi="Times New Roman" w:cs="Times New Roman"/>
          <w:sz w:val="28"/>
          <w:szCs w:val="28"/>
        </w:rPr>
        <w:t xml:space="preserve"> </w:t>
      </w:r>
      <w:r>
        <w:rPr>
          <w:rFonts w:ascii="Times New Roman" w:hAnsi="Times New Roman" w:cs="Times New Roman"/>
          <w:sz w:val="28"/>
          <w:szCs w:val="28"/>
        </w:rPr>
        <w:t>132</w:t>
      </w:r>
      <w:r w:rsidR="00111208">
        <w:rPr>
          <w:rFonts w:ascii="Times New Roman" w:hAnsi="Times New Roman" w:cs="Times New Roman"/>
          <w:sz w:val="28"/>
          <w:szCs w:val="28"/>
        </w:rPr>
        <w:t xml:space="preserve">, </w:t>
      </w:r>
      <w:r>
        <w:rPr>
          <w:rFonts w:ascii="Times New Roman" w:hAnsi="Times New Roman" w:cs="Times New Roman"/>
          <w:sz w:val="28"/>
          <w:szCs w:val="28"/>
        </w:rPr>
        <w:t xml:space="preserve">con il quale il legislatore è intervenuto in via d’urgenza a </w:t>
      </w:r>
      <w:proofErr w:type="spellStart"/>
      <w:r>
        <w:rPr>
          <w:rFonts w:ascii="Times New Roman" w:hAnsi="Times New Roman" w:cs="Times New Roman"/>
          <w:sz w:val="28"/>
          <w:szCs w:val="28"/>
        </w:rPr>
        <w:t>ridisciplinare</w:t>
      </w:r>
      <w:proofErr w:type="spellEnd"/>
      <w:r>
        <w:rPr>
          <w:rFonts w:ascii="Times New Roman" w:hAnsi="Times New Roman" w:cs="Times New Roman"/>
          <w:sz w:val="28"/>
          <w:szCs w:val="28"/>
        </w:rPr>
        <w:t xml:space="preserve"> la materia dell’acquisizione dei dati di traffico telefon</w:t>
      </w:r>
      <w:r w:rsidR="001E2DC7">
        <w:rPr>
          <w:rFonts w:ascii="Times New Roman" w:hAnsi="Times New Roman" w:cs="Times New Roman"/>
          <w:sz w:val="28"/>
          <w:szCs w:val="28"/>
        </w:rPr>
        <w:t>i</w:t>
      </w:r>
      <w:r>
        <w:rPr>
          <w:rFonts w:ascii="Times New Roman" w:hAnsi="Times New Roman" w:cs="Times New Roman"/>
          <w:sz w:val="28"/>
          <w:szCs w:val="28"/>
        </w:rPr>
        <w:t>co e telematico per fini di indagini penale (c</w:t>
      </w:r>
      <w:r w:rsidR="00111208">
        <w:rPr>
          <w:rFonts w:ascii="Times New Roman" w:hAnsi="Times New Roman" w:cs="Times New Roman"/>
          <w:sz w:val="28"/>
          <w:szCs w:val="28"/>
        </w:rPr>
        <w:t>.</w:t>
      </w:r>
      <w:r>
        <w:rPr>
          <w:rFonts w:ascii="Times New Roman" w:hAnsi="Times New Roman" w:cs="Times New Roman"/>
          <w:sz w:val="28"/>
          <w:szCs w:val="28"/>
        </w:rPr>
        <w:t>d</w:t>
      </w:r>
      <w:r w:rsidR="00111208">
        <w:rPr>
          <w:rFonts w:ascii="Times New Roman" w:hAnsi="Times New Roman" w:cs="Times New Roman"/>
          <w:sz w:val="28"/>
          <w:szCs w:val="28"/>
        </w:rPr>
        <w:t>.</w:t>
      </w:r>
      <w:r>
        <w:rPr>
          <w:rFonts w:ascii="Times New Roman" w:hAnsi="Times New Roman" w:cs="Times New Roman"/>
          <w:sz w:val="28"/>
          <w:szCs w:val="28"/>
        </w:rPr>
        <w:t xml:space="preserve"> Tabulati). L’adeguamento del nostro sistema ai principi comunitari non poteva che richiedere un intervento del legislatore, non essendosi in presenza di una decisione immediatamente e automaticamente </w:t>
      </w:r>
      <w:proofErr w:type="spellStart"/>
      <w:r>
        <w:rPr>
          <w:rFonts w:ascii="Times New Roman" w:hAnsi="Times New Roman" w:cs="Times New Roman"/>
          <w:sz w:val="28"/>
          <w:szCs w:val="28"/>
        </w:rPr>
        <w:t>autoapplicativa</w:t>
      </w:r>
      <w:proofErr w:type="spellEnd"/>
      <w:r>
        <w:rPr>
          <w:rFonts w:ascii="Times New Roman" w:hAnsi="Times New Roman" w:cs="Times New Roman"/>
          <w:sz w:val="28"/>
          <w:szCs w:val="28"/>
        </w:rPr>
        <w:t>, quanto meno con riguardo alla “selezione” dei reati “gravi”</w:t>
      </w:r>
      <w:r w:rsidR="00EA014E">
        <w:rPr>
          <w:rFonts w:ascii="Times New Roman" w:hAnsi="Times New Roman" w:cs="Times New Roman"/>
          <w:sz w:val="28"/>
          <w:szCs w:val="28"/>
        </w:rPr>
        <w:t>,</w:t>
      </w:r>
      <w:r>
        <w:rPr>
          <w:rFonts w:ascii="Times New Roman" w:hAnsi="Times New Roman" w:cs="Times New Roman"/>
          <w:sz w:val="28"/>
          <w:szCs w:val="28"/>
        </w:rPr>
        <w:t xml:space="preserve"> tali da legittimare l’acquisizione dei tabulati</w:t>
      </w:r>
      <w:r w:rsidR="00BF0831">
        <w:rPr>
          <w:rStyle w:val="Rimandonotaapidipagina"/>
          <w:rFonts w:ascii="Times New Roman" w:hAnsi="Times New Roman" w:cs="Times New Roman"/>
          <w:sz w:val="28"/>
          <w:szCs w:val="28"/>
        </w:rPr>
        <w:footnoteReference w:id="58"/>
      </w:r>
      <w:r>
        <w:rPr>
          <w:rFonts w:ascii="Times New Roman" w:hAnsi="Times New Roman" w:cs="Times New Roman"/>
          <w:sz w:val="28"/>
          <w:szCs w:val="28"/>
        </w:rPr>
        <w:t>.</w:t>
      </w:r>
      <w:r w:rsidR="00DF7E8D">
        <w:rPr>
          <w:rFonts w:ascii="Times New Roman" w:hAnsi="Times New Roman" w:cs="Times New Roman"/>
          <w:sz w:val="28"/>
          <w:szCs w:val="28"/>
        </w:rPr>
        <w:t xml:space="preserve"> </w:t>
      </w:r>
    </w:p>
    <w:p w14:paraId="5684D0CD" w14:textId="5803B835" w:rsidR="00CD7B63" w:rsidRDefault="00DF7E8D" w:rsidP="00EA01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Con l’art.</w:t>
      </w:r>
      <w:r w:rsidR="00303AD1">
        <w:rPr>
          <w:rFonts w:ascii="Times New Roman" w:hAnsi="Times New Roman" w:cs="Times New Roman"/>
          <w:sz w:val="28"/>
          <w:szCs w:val="28"/>
        </w:rPr>
        <w:t xml:space="preserve"> </w:t>
      </w:r>
      <w:r>
        <w:rPr>
          <w:rFonts w:ascii="Times New Roman" w:hAnsi="Times New Roman" w:cs="Times New Roman"/>
          <w:sz w:val="28"/>
          <w:szCs w:val="28"/>
        </w:rPr>
        <w:t xml:space="preserve">1 del </w:t>
      </w:r>
      <w:r w:rsidR="00303AD1">
        <w:rPr>
          <w:rFonts w:ascii="Times New Roman" w:hAnsi="Times New Roman" w:cs="Times New Roman"/>
          <w:sz w:val="28"/>
          <w:szCs w:val="28"/>
        </w:rPr>
        <w:t>decreto-legge</w:t>
      </w:r>
      <w:r>
        <w:rPr>
          <w:rFonts w:ascii="Times New Roman" w:hAnsi="Times New Roman" w:cs="Times New Roman"/>
          <w:sz w:val="28"/>
          <w:szCs w:val="28"/>
        </w:rPr>
        <w:t xml:space="preserve"> soprarichiamato si interviene ad introdurre le modifiche necessarie all’art.</w:t>
      </w:r>
      <w:r w:rsidR="00303AD1">
        <w:rPr>
          <w:rFonts w:ascii="Times New Roman" w:hAnsi="Times New Roman" w:cs="Times New Roman"/>
          <w:sz w:val="28"/>
          <w:szCs w:val="28"/>
        </w:rPr>
        <w:t xml:space="preserve"> </w:t>
      </w:r>
      <w:r>
        <w:rPr>
          <w:rFonts w:ascii="Times New Roman" w:hAnsi="Times New Roman" w:cs="Times New Roman"/>
          <w:sz w:val="28"/>
          <w:szCs w:val="28"/>
        </w:rPr>
        <w:t>132 del decreto legislativo n.</w:t>
      </w:r>
      <w:r w:rsidR="00303AD1">
        <w:rPr>
          <w:rFonts w:ascii="Times New Roman" w:hAnsi="Times New Roman" w:cs="Times New Roman"/>
          <w:sz w:val="28"/>
          <w:szCs w:val="28"/>
        </w:rPr>
        <w:t xml:space="preserve"> </w:t>
      </w:r>
      <w:r>
        <w:rPr>
          <w:rFonts w:ascii="Times New Roman" w:hAnsi="Times New Roman" w:cs="Times New Roman"/>
          <w:sz w:val="28"/>
          <w:szCs w:val="28"/>
        </w:rPr>
        <w:t xml:space="preserve">196/2003. Le modifiche sono volte a perimetrare la competenza ad acquisire i tabulati attribuita al giudice, che deve provvedere con decreto motivato sulla rilevanza di tale acquisizione </w:t>
      </w:r>
      <w:r w:rsidR="00111208" w:rsidRPr="00EA014E">
        <w:rPr>
          <w:rFonts w:ascii="Times New Roman" w:hAnsi="Times New Roman" w:cs="Times New Roman"/>
          <w:sz w:val="28"/>
          <w:szCs w:val="28"/>
        </w:rPr>
        <w:t>«</w:t>
      </w:r>
      <w:r w:rsidRPr="00EA014E">
        <w:rPr>
          <w:rFonts w:ascii="Times New Roman" w:hAnsi="Times New Roman" w:cs="Times New Roman"/>
          <w:sz w:val="28"/>
          <w:szCs w:val="28"/>
        </w:rPr>
        <w:t>ai fini della prosecuzione delle indagini</w:t>
      </w:r>
      <w:r w:rsidR="00111208" w:rsidRPr="00EA014E">
        <w:rPr>
          <w:rFonts w:ascii="Times New Roman" w:hAnsi="Times New Roman" w:cs="Times New Roman"/>
          <w:sz w:val="28"/>
          <w:szCs w:val="28"/>
        </w:rPr>
        <w:t>»</w:t>
      </w:r>
      <w:r w:rsidR="00EA014E">
        <w:rPr>
          <w:rFonts w:ascii="Times New Roman" w:hAnsi="Times New Roman" w:cs="Times New Roman"/>
          <w:sz w:val="28"/>
          <w:szCs w:val="28"/>
        </w:rPr>
        <w:t>,</w:t>
      </w:r>
      <w:r w:rsidRPr="00EA014E">
        <w:rPr>
          <w:rFonts w:ascii="Times New Roman" w:hAnsi="Times New Roman" w:cs="Times New Roman"/>
          <w:sz w:val="28"/>
          <w:szCs w:val="28"/>
        </w:rPr>
        <w:t xml:space="preserve"> e non più al pubblico ministero. Peraltro, la sollecitazione al giudice è attribuita, nell’ambito delle investigazioni difensive</w:t>
      </w:r>
      <w:r>
        <w:rPr>
          <w:rFonts w:ascii="Times New Roman" w:hAnsi="Times New Roman" w:cs="Times New Roman"/>
          <w:sz w:val="28"/>
          <w:szCs w:val="28"/>
        </w:rPr>
        <w:t xml:space="preserve">, anche al difensore dell’imputato, della persona offesa e delle altre parti private. Si profila, però, un problema interpretativo nel testo del </w:t>
      </w:r>
      <w:r w:rsidR="00303AD1">
        <w:rPr>
          <w:rFonts w:ascii="Times New Roman" w:hAnsi="Times New Roman" w:cs="Times New Roman"/>
          <w:sz w:val="28"/>
          <w:szCs w:val="28"/>
        </w:rPr>
        <w:t>decreto-legge</w:t>
      </w:r>
      <w:r>
        <w:rPr>
          <w:rFonts w:ascii="Times New Roman" w:hAnsi="Times New Roman" w:cs="Times New Roman"/>
          <w:sz w:val="28"/>
          <w:szCs w:val="28"/>
        </w:rPr>
        <w:t xml:space="preserve">, laddove si attribuisce la competenza al “giudice” correlandosi la ragione della richiesta alla rilevanza </w:t>
      </w:r>
      <w:r w:rsidR="00111208">
        <w:rPr>
          <w:rFonts w:ascii="Times New Roman" w:hAnsi="Times New Roman" w:cs="Times New Roman"/>
          <w:sz w:val="28"/>
          <w:szCs w:val="28"/>
        </w:rPr>
        <w:t>«</w:t>
      </w:r>
      <w:r>
        <w:rPr>
          <w:rFonts w:ascii="Times New Roman" w:hAnsi="Times New Roman" w:cs="Times New Roman"/>
          <w:sz w:val="28"/>
          <w:szCs w:val="28"/>
        </w:rPr>
        <w:t>ai fini della prosecuzione delle indagini</w:t>
      </w:r>
      <w:r w:rsidR="00111208">
        <w:rPr>
          <w:rFonts w:ascii="Times New Roman" w:hAnsi="Times New Roman" w:cs="Times New Roman"/>
          <w:sz w:val="28"/>
          <w:szCs w:val="28"/>
        </w:rPr>
        <w:t>»</w:t>
      </w:r>
      <w:r>
        <w:rPr>
          <w:rFonts w:ascii="Times New Roman" w:hAnsi="Times New Roman" w:cs="Times New Roman"/>
          <w:sz w:val="28"/>
          <w:szCs w:val="28"/>
        </w:rPr>
        <w:t>. In realtà, il tema dell’acquisizione dei tabulati si può porre anche dopo l’esercizio dell’azione penale, davanti al giudice del dibattimento, ma anche davanti a quello dell’udienza preliminare chiamato a definire il processo in sede di abbreviato condizionato.</w:t>
      </w:r>
      <w:r w:rsidR="001E2DC7">
        <w:rPr>
          <w:rFonts w:ascii="Times New Roman" w:hAnsi="Times New Roman" w:cs="Times New Roman"/>
          <w:sz w:val="28"/>
          <w:szCs w:val="28"/>
        </w:rPr>
        <w:t xml:space="preserve"> pubblico ministero o dalla persona offesa/parte civile; vuoi per smentirla, in caso di richiesta proveniente dalla difesa dell’imputato. </w:t>
      </w:r>
    </w:p>
    <w:p w14:paraId="135D7BEE" w14:textId="21BEBD05" w:rsidR="00EA014E" w:rsidRDefault="001E2DC7" w:rsidP="00EA01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Il nuovo comma 3-bis dell’art.</w:t>
      </w:r>
      <w:r w:rsidR="00303AD1">
        <w:rPr>
          <w:rFonts w:ascii="Times New Roman" w:hAnsi="Times New Roman" w:cs="Times New Roman"/>
          <w:sz w:val="28"/>
          <w:szCs w:val="28"/>
        </w:rPr>
        <w:t xml:space="preserve"> </w:t>
      </w:r>
      <w:r>
        <w:rPr>
          <w:rFonts w:ascii="Times New Roman" w:hAnsi="Times New Roman" w:cs="Times New Roman"/>
          <w:sz w:val="28"/>
          <w:szCs w:val="28"/>
        </w:rPr>
        <w:t>132 disciplina le situazioni urgenti, rispetto alle quali è conservato un potere di intervento diretto del pubblico ministero, sottoposto poi alla convalida del giudice. Infatti, allorquando ricorrono ragioni di urgenza e vi è fondato motivo di ritenere che dal ritardo possa derivare grave pregiudizio alle indagini, il pubblico ministero ha la facoltà di disporre direttamente l’acquisizione dei dati con decreto motivato</w:t>
      </w:r>
      <w:r w:rsidR="00E06450">
        <w:rPr>
          <w:rFonts w:ascii="Times New Roman" w:hAnsi="Times New Roman" w:cs="Times New Roman"/>
          <w:sz w:val="28"/>
          <w:szCs w:val="28"/>
        </w:rPr>
        <w:t xml:space="preserve">, non solo sulle ragioni investigative giustificanti l’acquisizione, ma anche sulle ragioni di urgenza e sul pregiudizio che deriverebbe dal ritardo nell’acquisizione. </w:t>
      </w:r>
    </w:p>
    <w:p w14:paraId="7E3572CB" w14:textId="77777777" w:rsidR="00EA014E" w:rsidRDefault="00E06450" w:rsidP="00EA01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base all</w:t>
      </w:r>
      <w:r w:rsidR="00EA014E">
        <w:rPr>
          <w:rFonts w:ascii="Times New Roman" w:hAnsi="Times New Roman" w:cs="Times New Roman"/>
          <w:sz w:val="28"/>
          <w:szCs w:val="28"/>
        </w:rPr>
        <w:t xml:space="preserve">e </w:t>
      </w:r>
      <w:r>
        <w:rPr>
          <w:rFonts w:ascii="Times New Roman" w:hAnsi="Times New Roman" w:cs="Times New Roman"/>
          <w:sz w:val="28"/>
          <w:szCs w:val="28"/>
        </w:rPr>
        <w:t>indicazion</w:t>
      </w:r>
      <w:r w:rsidR="00EA014E">
        <w:rPr>
          <w:rFonts w:ascii="Times New Roman" w:hAnsi="Times New Roman" w:cs="Times New Roman"/>
          <w:sz w:val="28"/>
          <w:szCs w:val="28"/>
        </w:rPr>
        <w:t>i</w:t>
      </w:r>
      <w:r>
        <w:rPr>
          <w:rFonts w:ascii="Times New Roman" w:hAnsi="Times New Roman" w:cs="Times New Roman"/>
          <w:sz w:val="28"/>
          <w:szCs w:val="28"/>
        </w:rPr>
        <w:t xml:space="preserve"> della Corte Europea</w:t>
      </w:r>
      <w:r w:rsidR="00EA014E">
        <w:rPr>
          <w:rFonts w:ascii="Times New Roman" w:hAnsi="Times New Roman" w:cs="Times New Roman"/>
          <w:sz w:val="28"/>
          <w:szCs w:val="28"/>
        </w:rPr>
        <w:t>,</w:t>
      </w:r>
      <w:r>
        <w:rPr>
          <w:rFonts w:ascii="Times New Roman" w:hAnsi="Times New Roman" w:cs="Times New Roman"/>
          <w:sz w:val="28"/>
          <w:szCs w:val="28"/>
        </w:rPr>
        <w:t xml:space="preserve"> si limita l’</w:t>
      </w:r>
      <w:proofErr w:type="spellStart"/>
      <w:r>
        <w:rPr>
          <w:rFonts w:ascii="Times New Roman" w:hAnsi="Times New Roman" w:cs="Times New Roman"/>
          <w:sz w:val="28"/>
          <w:szCs w:val="28"/>
        </w:rPr>
        <w:t>acquisibilità</w:t>
      </w:r>
      <w:proofErr w:type="spellEnd"/>
      <w:r>
        <w:rPr>
          <w:rFonts w:ascii="Times New Roman" w:hAnsi="Times New Roman" w:cs="Times New Roman"/>
          <w:sz w:val="28"/>
          <w:szCs w:val="28"/>
        </w:rPr>
        <w:t xml:space="preserve"> dei tabulati a specifiche ipotesi incriminatrici “gravi”: deve trattarsi di reati per quali la legge stabilisce la pena dell’ergastolo o della reclusione non inferiore nel massimo a </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 anni. Si escludono così dal catalogo dei reati alcune fattispecie a forte allarme sociale punite con una pena inferiore. </w:t>
      </w:r>
    </w:p>
    <w:p w14:paraId="75818750" w14:textId="6381C05E" w:rsidR="00ED17C7" w:rsidRDefault="00E06450" w:rsidP="00EA01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Tra i presupposti per acquisire i tabulati</w:t>
      </w:r>
      <w:r w:rsidR="00EA014E">
        <w:rPr>
          <w:rFonts w:ascii="Times New Roman" w:hAnsi="Times New Roman" w:cs="Times New Roman"/>
          <w:sz w:val="28"/>
          <w:szCs w:val="28"/>
        </w:rPr>
        <w:t>,</w:t>
      </w:r>
      <w:r>
        <w:rPr>
          <w:rFonts w:ascii="Times New Roman" w:hAnsi="Times New Roman" w:cs="Times New Roman"/>
          <w:sz w:val="28"/>
          <w:szCs w:val="28"/>
        </w:rPr>
        <w:t xml:space="preserve"> il modificato comma 3 dell’art.</w:t>
      </w:r>
      <w:r w:rsidR="00303AD1">
        <w:rPr>
          <w:rFonts w:ascii="Times New Roman" w:hAnsi="Times New Roman" w:cs="Times New Roman"/>
          <w:sz w:val="28"/>
          <w:szCs w:val="28"/>
        </w:rPr>
        <w:t xml:space="preserve"> </w:t>
      </w:r>
      <w:r>
        <w:rPr>
          <w:rFonts w:ascii="Times New Roman" w:hAnsi="Times New Roman" w:cs="Times New Roman"/>
          <w:sz w:val="28"/>
          <w:szCs w:val="28"/>
        </w:rPr>
        <w:t xml:space="preserve">132 prevede, </w:t>
      </w:r>
      <w:r w:rsidRPr="00EA014E">
        <w:rPr>
          <w:rFonts w:ascii="Times New Roman" w:hAnsi="Times New Roman" w:cs="Times New Roman"/>
          <w:sz w:val="28"/>
          <w:szCs w:val="28"/>
        </w:rPr>
        <w:t>però, anche la “sussistenza di sufficienti indizi di reato”.</w:t>
      </w:r>
      <w:r w:rsidR="00842F65" w:rsidRPr="00EA014E">
        <w:rPr>
          <w:rFonts w:ascii="Times New Roman" w:hAnsi="Times New Roman" w:cs="Times New Roman"/>
          <w:sz w:val="28"/>
          <w:szCs w:val="28"/>
        </w:rPr>
        <w:t xml:space="preserve"> Da tale espressione si evince chiaramente che “gli indizi di reato” richiesti per poter acquisire i tabulati afferiscono alla sussistenza di un reato e non alla colpevolezza di un determinato soggetto, </w:t>
      </w:r>
      <w:r w:rsidR="00303AD1" w:rsidRPr="00EA014E">
        <w:rPr>
          <w:rFonts w:ascii="Times New Roman" w:hAnsi="Times New Roman" w:cs="Times New Roman"/>
          <w:sz w:val="28"/>
          <w:szCs w:val="28"/>
        </w:rPr>
        <w:t>sicché</w:t>
      </w:r>
      <w:r w:rsidR="00842F65" w:rsidRPr="00EA014E">
        <w:rPr>
          <w:rFonts w:ascii="Times New Roman" w:hAnsi="Times New Roman" w:cs="Times New Roman"/>
          <w:sz w:val="28"/>
          <w:szCs w:val="28"/>
        </w:rPr>
        <w:t xml:space="preserve"> per procedere legittimamente ad acquisire i tabulati non è necessario che tali indizi</w:t>
      </w:r>
      <w:r w:rsidR="00842F65">
        <w:rPr>
          <w:rFonts w:ascii="Times New Roman" w:hAnsi="Times New Roman" w:cs="Times New Roman"/>
          <w:sz w:val="28"/>
          <w:szCs w:val="28"/>
        </w:rPr>
        <w:t xml:space="preserve"> siano a carico di un soggetto individuato o di colui le cui conversazioni debbano essere controllate al fine dell’indagine. </w:t>
      </w:r>
    </w:p>
    <w:p w14:paraId="6894594F" w14:textId="77777777" w:rsidR="0064371F" w:rsidRDefault="00842F65" w:rsidP="00EA01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motivazione del decreto (del giudice o del pubblico ministero quando opera d’urgenza</w:t>
      </w:r>
      <w:r w:rsidR="00EA014E">
        <w:rPr>
          <w:rFonts w:ascii="Times New Roman" w:hAnsi="Times New Roman" w:cs="Times New Roman"/>
          <w:sz w:val="28"/>
          <w:szCs w:val="28"/>
        </w:rPr>
        <w:t>,</w:t>
      </w:r>
      <w:r>
        <w:rPr>
          <w:rFonts w:ascii="Times New Roman" w:hAnsi="Times New Roman" w:cs="Times New Roman"/>
          <w:sz w:val="28"/>
          <w:szCs w:val="28"/>
        </w:rPr>
        <w:t xml:space="preserve"> salvo convalida</w:t>
      </w:r>
      <w:r w:rsidR="00147CFD">
        <w:rPr>
          <w:rFonts w:ascii="Times New Roman" w:hAnsi="Times New Roman" w:cs="Times New Roman"/>
          <w:sz w:val="28"/>
          <w:szCs w:val="28"/>
        </w:rPr>
        <w:t xml:space="preserve"> del </w:t>
      </w:r>
      <w:r w:rsidR="00303AD1">
        <w:rPr>
          <w:rFonts w:ascii="Times New Roman" w:hAnsi="Times New Roman" w:cs="Times New Roman"/>
          <w:sz w:val="28"/>
          <w:szCs w:val="28"/>
        </w:rPr>
        <w:t>giudice entro</w:t>
      </w:r>
      <w:r>
        <w:rPr>
          <w:rFonts w:ascii="Times New Roman" w:hAnsi="Times New Roman" w:cs="Times New Roman"/>
          <w:sz w:val="28"/>
          <w:szCs w:val="28"/>
        </w:rPr>
        <w:t xml:space="preserve"> le 48 ore successive</w:t>
      </w:r>
      <w:r w:rsidR="00303AD1">
        <w:rPr>
          <w:rFonts w:ascii="Times New Roman" w:hAnsi="Times New Roman" w:cs="Times New Roman"/>
          <w:sz w:val="28"/>
          <w:szCs w:val="28"/>
        </w:rPr>
        <w:t>)</w:t>
      </w:r>
      <w:r>
        <w:rPr>
          <w:rFonts w:ascii="Times New Roman" w:hAnsi="Times New Roman" w:cs="Times New Roman"/>
          <w:sz w:val="28"/>
          <w:szCs w:val="28"/>
        </w:rPr>
        <w:t xml:space="preserve"> deve, quindi, esprimere solo una valutazione sull’esistenza di un fatto storico integrante una determinata ipotesi di reato, il cui accertamento impone l’adozione dello strumento acquisitivo. Sarà, quindi, sufficiente che tale valutazione trovi fondamento in un “livello minimo di indizi giudiziari” e non saranno richiesti</w:t>
      </w:r>
      <w:r w:rsidR="00CC5C45">
        <w:rPr>
          <w:rFonts w:ascii="Times New Roman" w:hAnsi="Times New Roman" w:cs="Times New Roman"/>
          <w:sz w:val="28"/>
          <w:szCs w:val="28"/>
        </w:rPr>
        <w:t>,</w:t>
      </w:r>
      <w:r w:rsidR="00147CFD">
        <w:rPr>
          <w:rFonts w:ascii="Times New Roman" w:hAnsi="Times New Roman" w:cs="Times New Roman"/>
          <w:sz w:val="28"/>
          <w:szCs w:val="28"/>
        </w:rPr>
        <w:t xml:space="preserve"> </w:t>
      </w:r>
      <w:r w:rsidR="00CC5C45">
        <w:rPr>
          <w:rFonts w:ascii="Times New Roman" w:hAnsi="Times New Roman" w:cs="Times New Roman"/>
          <w:sz w:val="28"/>
          <w:szCs w:val="28"/>
        </w:rPr>
        <w:t>invece, i gravi indizi ordinariamente previsti per le intercettazioni all’art</w:t>
      </w:r>
      <w:r w:rsidR="0064371F">
        <w:rPr>
          <w:rFonts w:ascii="Times New Roman" w:hAnsi="Times New Roman" w:cs="Times New Roman"/>
          <w:sz w:val="28"/>
          <w:szCs w:val="28"/>
        </w:rPr>
        <w:t>.</w:t>
      </w:r>
      <w:r w:rsidR="00CC5C45">
        <w:rPr>
          <w:rFonts w:ascii="Times New Roman" w:hAnsi="Times New Roman" w:cs="Times New Roman"/>
          <w:sz w:val="28"/>
          <w:szCs w:val="28"/>
        </w:rPr>
        <w:t xml:space="preserve"> 267, comma 3, c</w:t>
      </w:r>
      <w:r w:rsidR="00303AD1">
        <w:rPr>
          <w:rFonts w:ascii="Times New Roman" w:hAnsi="Times New Roman" w:cs="Times New Roman"/>
          <w:sz w:val="28"/>
          <w:szCs w:val="28"/>
        </w:rPr>
        <w:t>.</w:t>
      </w:r>
      <w:r w:rsidR="00CC5C45">
        <w:rPr>
          <w:rFonts w:ascii="Times New Roman" w:hAnsi="Times New Roman" w:cs="Times New Roman"/>
          <w:sz w:val="28"/>
          <w:szCs w:val="28"/>
        </w:rPr>
        <w:t>p</w:t>
      </w:r>
      <w:r w:rsidR="00303AD1">
        <w:rPr>
          <w:rFonts w:ascii="Times New Roman" w:hAnsi="Times New Roman" w:cs="Times New Roman"/>
          <w:sz w:val="28"/>
          <w:szCs w:val="28"/>
        </w:rPr>
        <w:t>.</w:t>
      </w:r>
      <w:r w:rsidR="00CC5C45">
        <w:rPr>
          <w:rFonts w:ascii="Times New Roman" w:hAnsi="Times New Roman" w:cs="Times New Roman"/>
          <w:sz w:val="28"/>
          <w:szCs w:val="28"/>
        </w:rPr>
        <w:t>p</w:t>
      </w:r>
      <w:r w:rsidR="00303AD1">
        <w:rPr>
          <w:rFonts w:ascii="Times New Roman" w:hAnsi="Times New Roman" w:cs="Times New Roman"/>
          <w:sz w:val="28"/>
          <w:szCs w:val="28"/>
        </w:rPr>
        <w:t>.</w:t>
      </w:r>
      <w:r w:rsidR="0064371F">
        <w:rPr>
          <w:rFonts w:ascii="Times New Roman" w:hAnsi="Times New Roman" w:cs="Times New Roman"/>
          <w:sz w:val="28"/>
          <w:szCs w:val="28"/>
        </w:rPr>
        <w:t>,</w:t>
      </w:r>
      <w:r w:rsidR="00CC5C45">
        <w:rPr>
          <w:rFonts w:ascii="Times New Roman" w:hAnsi="Times New Roman" w:cs="Times New Roman"/>
          <w:sz w:val="28"/>
          <w:szCs w:val="28"/>
        </w:rPr>
        <w:t xml:space="preserve"> che evocano la necessità di un giudizio altamente probabilistico della sussistenza di un reato. </w:t>
      </w:r>
    </w:p>
    <w:p w14:paraId="44E32CC7" w14:textId="54FB5400" w:rsidR="00ED17C7" w:rsidRDefault="00303AD1" w:rsidP="00EA01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È</w:t>
      </w:r>
      <w:r w:rsidR="00CC5C45">
        <w:rPr>
          <w:rFonts w:ascii="Times New Roman" w:hAnsi="Times New Roman" w:cs="Times New Roman"/>
          <w:sz w:val="28"/>
          <w:szCs w:val="28"/>
        </w:rPr>
        <w:t xml:space="preserve"> stato giustamente osservato che la soluzione del legislatore è stata</w:t>
      </w:r>
      <w:r w:rsidR="0064371F">
        <w:rPr>
          <w:rFonts w:ascii="Times New Roman" w:hAnsi="Times New Roman" w:cs="Times New Roman"/>
          <w:sz w:val="28"/>
          <w:szCs w:val="28"/>
        </w:rPr>
        <w:t>,</w:t>
      </w:r>
      <w:r w:rsidR="00CC5C45">
        <w:rPr>
          <w:rFonts w:ascii="Times New Roman" w:hAnsi="Times New Roman" w:cs="Times New Roman"/>
          <w:sz w:val="28"/>
          <w:szCs w:val="28"/>
        </w:rPr>
        <w:t xml:space="preserve"> </w:t>
      </w:r>
      <w:r w:rsidR="00CC5C45" w:rsidRPr="00303AD1">
        <w:rPr>
          <w:rFonts w:ascii="Times New Roman" w:hAnsi="Times New Roman" w:cs="Times New Roman"/>
          <w:i/>
          <w:iCs/>
          <w:sz w:val="28"/>
          <w:szCs w:val="28"/>
        </w:rPr>
        <w:t>in primis</w:t>
      </w:r>
      <w:r w:rsidR="0064371F">
        <w:rPr>
          <w:rFonts w:ascii="Times New Roman" w:hAnsi="Times New Roman" w:cs="Times New Roman"/>
          <w:i/>
          <w:iCs/>
          <w:sz w:val="28"/>
          <w:szCs w:val="28"/>
        </w:rPr>
        <w:t>,</w:t>
      </w:r>
      <w:r w:rsidR="00CC5C45">
        <w:rPr>
          <w:rFonts w:ascii="Times New Roman" w:hAnsi="Times New Roman" w:cs="Times New Roman"/>
          <w:sz w:val="28"/>
          <w:szCs w:val="28"/>
        </w:rPr>
        <w:t xml:space="preserve"> quella di agganciare il giudizio di “gravità” alla pena edittale, ma la soluzione mostra i suoi limiti, in quanto non tutti i reati rientranti nel </w:t>
      </w:r>
      <w:proofErr w:type="spellStart"/>
      <w:r w:rsidR="00CC5C45" w:rsidRPr="00CC5C45">
        <w:rPr>
          <w:rFonts w:ascii="Times New Roman" w:hAnsi="Times New Roman" w:cs="Times New Roman"/>
          <w:i/>
          <w:iCs/>
          <w:sz w:val="28"/>
          <w:szCs w:val="28"/>
        </w:rPr>
        <w:t>range</w:t>
      </w:r>
      <w:proofErr w:type="spellEnd"/>
      <w:r w:rsidR="00CC5C45">
        <w:rPr>
          <w:rFonts w:ascii="Times New Roman" w:hAnsi="Times New Roman" w:cs="Times New Roman"/>
          <w:i/>
          <w:iCs/>
          <w:sz w:val="28"/>
          <w:szCs w:val="28"/>
        </w:rPr>
        <w:t xml:space="preserve"> </w:t>
      </w:r>
      <w:r w:rsidR="00CC5C45" w:rsidRPr="00CC5C45">
        <w:rPr>
          <w:rFonts w:ascii="Times New Roman" w:hAnsi="Times New Roman" w:cs="Times New Roman"/>
          <w:sz w:val="28"/>
          <w:szCs w:val="28"/>
        </w:rPr>
        <w:t xml:space="preserve">della norma rientrano nel novero delle fattispecie incriminatrici dirette </w:t>
      </w:r>
      <w:r w:rsidR="00CC5C45">
        <w:rPr>
          <w:rFonts w:ascii="Times New Roman" w:hAnsi="Times New Roman" w:cs="Times New Roman"/>
          <w:sz w:val="28"/>
          <w:szCs w:val="28"/>
        </w:rPr>
        <w:t xml:space="preserve">a contrastare </w:t>
      </w:r>
      <w:r w:rsidR="001F25F6" w:rsidRPr="0064371F">
        <w:rPr>
          <w:rFonts w:ascii="Times New Roman" w:hAnsi="Times New Roman" w:cs="Times New Roman"/>
          <w:sz w:val="28"/>
          <w:szCs w:val="28"/>
        </w:rPr>
        <w:t>«</w:t>
      </w:r>
      <w:r w:rsidR="00CC5C45" w:rsidRPr="0064371F">
        <w:rPr>
          <w:rFonts w:ascii="Times New Roman" w:hAnsi="Times New Roman" w:cs="Times New Roman"/>
          <w:sz w:val="28"/>
          <w:szCs w:val="28"/>
        </w:rPr>
        <w:t>le forme gravi di criminalità</w:t>
      </w:r>
      <w:r w:rsidR="001F25F6" w:rsidRPr="0064371F">
        <w:rPr>
          <w:rFonts w:ascii="Times New Roman" w:hAnsi="Times New Roman" w:cs="Times New Roman"/>
          <w:sz w:val="28"/>
          <w:szCs w:val="28"/>
        </w:rPr>
        <w:t>»</w:t>
      </w:r>
      <w:r w:rsidR="00CC5C45" w:rsidRPr="0064371F">
        <w:rPr>
          <w:rFonts w:ascii="Times New Roman" w:hAnsi="Times New Roman" w:cs="Times New Roman"/>
          <w:sz w:val="28"/>
          <w:szCs w:val="28"/>
        </w:rPr>
        <w:t xml:space="preserve"> o a prevenire </w:t>
      </w:r>
      <w:r w:rsidR="001F25F6" w:rsidRPr="0064371F">
        <w:rPr>
          <w:rFonts w:ascii="Times New Roman" w:hAnsi="Times New Roman" w:cs="Times New Roman"/>
          <w:sz w:val="28"/>
          <w:szCs w:val="28"/>
        </w:rPr>
        <w:t>«</w:t>
      </w:r>
      <w:r w:rsidR="00CC5C45" w:rsidRPr="0064371F">
        <w:rPr>
          <w:rFonts w:ascii="Times New Roman" w:hAnsi="Times New Roman" w:cs="Times New Roman"/>
          <w:sz w:val="28"/>
          <w:szCs w:val="28"/>
        </w:rPr>
        <w:t>gravi minacce alla sicurezza pubblica</w:t>
      </w:r>
      <w:r w:rsidR="001F25F6" w:rsidRPr="0064371F">
        <w:rPr>
          <w:rFonts w:ascii="Times New Roman" w:hAnsi="Times New Roman" w:cs="Times New Roman"/>
          <w:sz w:val="28"/>
          <w:szCs w:val="28"/>
        </w:rPr>
        <w:t>»</w:t>
      </w:r>
      <w:r w:rsidR="00CC5C45" w:rsidRPr="0064371F">
        <w:rPr>
          <w:rFonts w:ascii="Times New Roman" w:hAnsi="Times New Roman" w:cs="Times New Roman"/>
          <w:sz w:val="28"/>
          <w:szCs w:val="28"/>
        </w:rPr>
        <w:t>, come preteso dalla Corte di Giustizia.</w:t>
      </w:r>
      <w:r w:rsidR="00147CFD" w:rsidRPr="0064371F">
        <w:rPr>
          <w:rFonts w:ascii="Times New Roman" w:hAnsi="Times New Roman" w:cs="Times New Roman"/>
          <w:sz w:val="28"/>
          <w:szCs w:val="28"/>
        </w:rPr>
        <w:t xml:space="preserve"> </w:t>
      </w:r>
    </w:p>
    <w:p w14:paraId="48D26C86" w14:textId="77777777" w:rsidR="0064371F" w:rsidRPr="0064371F" w:rsidRDefault="0064371F" w:rsidP="00EA014E">
      <w:pPr>
        <w:tabs>
          <w:tab w:val="left" w:pos="8364"/>
        </w:tabs>
        <w:spacing w:after="0"/>
        <w:jc w:val="both"/>
        <w:rPr>
          <w:rFonts w:ascii="Times New Roman" w:hAnsi="Times New Roman" w:cs="Times New Roman"/>
          <w:sz w:val="28"/>
          <w:szCs w:val="28"/>
        </w:rPr>
      </w:pPr>
    </w:p>
    <w:p w14:paraId="6DE118BB" w14:textId="77777777" w:rsidR="0064371F" w:rsidRDefault="00147CFD" w:rsidP="0064371F">
      <w:pPr>
        <w:tabs>
          <w:tab w:val="left" w:pos="8364"/>
        </w:tabs>
        <w:spacing w:after="0"/>
        <w:jc w:val="both"/>
        <w:rPr>
          <w:rFonts w:ascii="Times New Roman" w:hAnsi="Times New Roman" w:cs="Times New Roman"/>
          <w:sz w:val="28"/>
          <w:szCs w:val="28"/>
        </w:rPr>
      </w:pPr>
      <w:r w:rsidRPr="0064371F">
        <w:rPr>
          <w:rFonts w:ascii="Times New Roman" w:hAnsi="Times New Roman" w:cs="Times New Roman"/>
          <w:sz w:val="28"/>
          <w:szCs w:val="28"/>
        </w:rPr>
        <w:t xml:space="preserve">Volendo definire in via interpretativa il regime transitorio non disciplinato dal </w:t>
      </w:r>
      <w:r w:rsidR="00303AD1" w:rsidRPr="0064371F">
        <w:rPr>
          <w:rFonts w:ascii="Times New Roman" w:hAnsi="Times New Roman" w:cs="Times New Roman"/>
          <w:sz w:val="28"/>
          <w:szCs w:val="28"/>
        </w:rPr>
        <w:t>decreto-legge</w:t>
      </w:r>
      <w:r w:rsidRPr="0064371F">
        <w:rPr>
          <w:rFonts w:ascii="Times New Roman" w:hAnsi="Times New Roman" w:cs="Times New Roman"/>
          <w:sz w:val="28"/>
          <w:szCs w:val="28"/>
        </w:rPr>
        <w:t xml:space="preserve"> 30 settembre 2021</w:t>
      </w:r>
      <w:r w:rsidR="001F25F6" w:rsidRPr="0064371F">
        <w:rPr>
          <w:rFonts w:ascii="Times New Roman" w:hAnsi="Times New Roman" w:cs="Times New Roman"/>
          <w:sz w:val="28"/>
          <w:szCs w:val="28"/>
        </w:rPr>
        <w:t>,</w:t>
      </w:r>
      <w:r w:rsidRPr="0064371F">
        <w:rPr>
          <w:rFonts w:ascii="Times New Roman" w:hAnsi="Times New Roman" w:cs="Times New Roman"/>
          <w:sz w:val="28"/>
          <w:szCs w:val="28"/>
        </w:rPr>
        <w:t xml:space="preserve"> n.</w:t>
      </w:r>
      <w:r w:rsidR="00303AD1" w:rsidRPr="0064371F">
        <w:rPr>
          <w:rFonts w:ascii="Times New Roman" w:hAnsi="Times New Roman" w:cs="Times New Roman"/>
          <w:sz w:val="28"/>
          <w:szCs w:val="28"/>
        </w:rPr>
        <w:t xml:space="preserve"> </w:t>
      </w:r>
      <w:r w:rsidRPr="0064371F">
        <w:rPr>
          <w:rFonts w:ascii="Times New Roman" w:hAnsi="Times New Roman" w:cs="Times New Roman"/>
          <w:sz w:val="28"/>
          <w:szCs w:val="28"/>
        </w:rPr>
        <w:t>132 soprarichiamato, è da ritenere</w:t>
      </w:r>
      <w:r>
        <w:rPr>
          <w:rFonts w:ascii="Times New Roman" w:hAnsi="Times New Roman" w:cs="Times New Roman"/>
          <w:sz w:val="28"/>
          <w:szCs w:val="28"/>
        </w:rPr>
        <w:t xml:space="preserve"> corretto che i tabulati acquisiti prima del </w:t>
      </w:r>
      <w:proofErr w:type="spellStart"/>
      <w:r w:rsidRPr="00303AD1">
        <w:rPr>
          <w:rFonts w:ascii="Times New Roman" w:hAnsi="Times New Roman" w:cs="Times New Roman"/>
          <w:i/>
          <w:iCs/>
          <w:sz w:val="28"/>
          <w:szCs w:val="28"/>
        </w:rPr>
        <w:t>novum</w:t>
      </w:r>
      <w:proofErr w:type="spellEnd"/>
      <w:r>
        <w:rPr>
          <w:rFonts w:ascii="Times New Roman" w:hAnsi="Times New Roman" w:cs="Times New Roman"/>
          <w:sz w:val="28"/>
          <w:szCs w:val="28"/>
        </w:rPr>
        <w:t xml:space="preserve"> normativo non siano affetti dal vizio dell’inutilizzabilità ex art.</w:t>
      </w:r>
      <w:r w:rsidR="00303AD1">
        <w:rPr>
          <w:rFonts w:ascii="Times New Roman" w:hAnsi="Times New Roman" w:cs="Times New Roman"/>
          <w:sz w:val="28"/>
          <w:szCs w:val="28"/>
        </w:rPr>
        <w:t xml:space="preserve"> </w:t>
      </w:r>
      <w:r>
        <w:rPr>
          <w:rFonts w:ascii="Times New Roman" w:hAnsi="Times New Roman" w:cs="Times New Roman"/>
          <w:sz w:val="28"/>
          <w:szCs w:val="28"/>
        </w:rPr>
        <w:t>190 c</w:t>
      </w:r>
      <w:r w:rsidR="00303AD1">
        <w:rPr>
          <w:rFonts w:ascii="Times New Roman" w:hAnsi="Times New Roman" w:cs="Times New Roman"/>
          <w:sz w:val="28"/>
          <w:szCs w:val="28"/>
        </w:rPr>
        <w:t>.</w:t>
      </w:r>
      <w:r>
        <w:rPr>
          <w:rFonts w:ascii="Times New Roman" w:hAnsi="Times New Roman" w:cs="Times New Roman"/>
          <w:sz w:val="28"/>
          <w:szCs w:val="28"/>
        </w:rPr>
        <w:t>p</w:t>
      </w:r>
      <w:r w:rsidR="00303AD1">
        <w:rPr>
          <w:rFonts w:ascii="Times New Roman" w:hAnsi="Times New Roman" w:cs="Times New Roman"/>
          <w:sz w:val="28"/>
          <w:szCs w:val="28"/>
        </w:rPr>
        <w:t>.</w:t>
      </w:r>
      <w:r>
        <w:rPr>
          <w:rFonts w:ascii="Times New Roman" w:hAnsi="Times New Roman" w:cs="Times New Roman"/>
          <w:sz w:val="28"/>
          <w:szCs w:val="28"/>
        </w:rPr>
        <w:t>p</w:t>
      </w:r>
      <w:r w:rsidR="00303AD1">
        <w:rPr>
          <w:rFonts w:ascii="Times New Roman" w:hAnsi="Times New Roman" w:cs="Times New Roman"/>
          <w:sz w:val="28"/>
          <w:szCs w:val="28"/>
        </w:rPr>
        <w:t>.</w:t>
      </w:r>
      <w:r>
        <w:rPr>
          <w:rFonts w:ascii="Times New Roman" w:hAnsi="Times New Roman" w:cs="Times New Roman"/>
          <w:sz w:val="28"/>
          <w:szCs w:val="28"/>
        </w:rPr>
        <w:t xml:space="preserve">, perché non sono stati illegittimamente acquisiti. Al contrario, sono stati acquisiti nel rispetto delle indicazioni normative all’epoca vigenti. Infatti, essendo la </w:t>
      </w:r>
      <w:r>
        <w:rPr>
          <w:rFonts w:ascii="Times New Roman" w:hAnsi="Times New Roman" w:cs="Times New Roman"/>
          <w:sz w:val="28"/>
          <w:szCs w:val="28"/>
        </w:rPr>
        <w:lastRenderedPageBreak/>
        <w:t xml:space="preserve">successione delle leggi processuali governata dal principio </w:t>
      </w:r>
      <w:proofErr w:type="spellStart"/>
      <w:r w:rsidRPr="00147CFD">
        <w:rPr>
          <w:rFonts w:ascii="Times New Roman" w:hAnsi="Times New Roman" w:cs="Times New Roman"/>
          <w:i/>
          <w:iCs/>
          <w:sz w:val="28"/>
          <w:szCs w:val="28"/>
        </w:rPr>
        <w:t>tempus</w:t>
      </w:r>
      <w:proofErr w:type="spellEnd"/>
      <w:r w:rsidRPr="00147CFD">
        <w:rPr>
          <w:rFonts w:ascii="Times New Roman" w:hAnsi="Times New Roman" w:cs="Times New Roman"/>
          <w:i/>
          <w:iCs/>
          <w:sz w:val="28"/>
          <w:szCs w:val="28"/>
        </w:rPr>
        <w:t xml:space="preserve"> </w:t>
      </w:r>
      <w:proofErr w:type="spellStart"/>
      <w:r w:rsidRPr="00147CFD">
        <w:rPr>
          <w:rFonts w:ascii="Times New Roman" w:hAnsi="Times New Roman" w:cs="Times New Roman"/>
          <w:i/>
          <w:iCs/>
          <w:sz w:val="28"/>
          <w:szCs w:val="28"/>
        </w:rPr>
        <w:t>regit</w:t>
      </w:r>
      <w:proofErr w:type="spellEnd"/>
      <w:r w:rsidRPr="00147CFD">
        <w:rPr>
          <w:rFonts w:ascii="Times New Roman" w:hAnsi="Times New Roman" w:cs="Times New Roman"/>
          <w:i/>
          <w:iCs/>
          <w:sz w:val="28"/>
          <w:szCs w:val="28"/>
        </w:rPr>
        <w:t xml:space="preserve"> </w:t>
      </w:r>
      <w:proofErr w:type="spellStart"/>
      <w:r w:rsidRPr="00147CFD">
        <w:rPr>
          <w:rFonts w:ascii="Times New Roman" w:hAnsi="Times New Roman" w:cs="Times New Roman"/>
          <w:i/>
          <w:iCs/>
          <w:sz w:val="28"/>
          <w:szCs w:val="28"/>
        </w:rPr>
        <w:t>actum</w:t>
      </w:r>
      <w:proofErr w:type="spellEnd"/>
      <w:r>
        <w:rPr>
          <w:rFonts w:ascii="Times New Roman" w:hAnsi="Times New Roman" w:cs="Times New Roman"/>
          <w:i/>
          <w:iCs/>
          <w:sz w:val="28"/>
          <w:szCs w:val="28"/>
        </w:rPr>
        <w:t xml:space="preserve">, </w:t>
      </w:r>
      <w:r w:rsidRPr="00147CFD">
        <w:rPr>
          <w:rFonts w:ascii="Times New Roman" w:hAnsi="Times New Roman" w:cs="Times New Roman"/>
          <w:sz w:val="28"/>
          <w:szCs w:val="28"/>
        </w:rPr>
        <w:t>ciò</w:t>
      </w:r>
      <w:r>
        <w:rPr>
          <w:rFonts w:ascii="Times New Roman" w:hAnsi="Times New Roman" w:cs="Times New Roman"/>
          <w:sz w:val="28"/>
          <w:szCs w:val="28"/>
        </w:rPr>
        <w:t xml:space="preserve"> dovrebbe comportare la persistente validità ed efficacia degli atti compiuti nell’osservanza delle leggi all’epoca vigenti</w:t>
      </w:r>
      <w:r w:rsidR="00303AD1">
        <w:rPr>
          <w:rStyle w:val="Rimandonotaapidipagina"/>
          <w:rFonts w:ascii="Times New Roman" w:hAnsi="Times New Roman" w:cs="Times New Roman"/>
          <w:sz w:val="28"/>
          <w:szCs w:val="28"/>
        </w:rPr>
        <w:footnoteReference w:id="59"/>
      </w:r>
      <w:r w:rsidR="00303AD1">
        <w:rPr>
          <w:rFonts w:ascii="Times New Roman" w:hAnsi="Times New Roman" w:cs="Times New Roman"/>
          <w:sz w:val="28"/>
          <w:szCs w:val="28"/>
        </w:rPr>
        <w:t xml:space="preserve">. </w:t>
      </w:r>
    </w:p>
    <w:p w14:paraId="43633FAF" w14:textId="3C927CCB" w:rsidR="00ED17C7" w:rsidRPr="0064371F" w:rsidRDefault="00420F30" w:rsidP="006437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In questa ottica, neppure dovrebbe porsi un problema generalizzato di acquisizione al processo dei tabulati ritualmente acquisiti nel rispetto della normativa all’epoca vigente. Sembrerebbe allora superfluo, rispetto ai tabulati acquisiti </w:t>
      </w:r>
      <w:r w:rsidRPr="00531C69">
        <w:rPr>
          <w:rFonts w:ascii="Times New Roman" w:hAnsi="Times New Roman" w:cs="Times New Roman"/>
          <w:i/>
          <w:iCs/>
          <w:sz w:val="28"/>
          <w:szCs w:val="28"/>
        </w:rPr>
        <w:t>ante</w:t>
      </w:r>
      <w:r>
        <w:rPr>
          <w:rFonts w:ascii="Times New Roman" w:hAnsi="Times New Roman" w:cs="Times New Roman"/>
          <w:sz w:val="28"/>
          <w:szCs w:val="28"/>
        </w:rPr>
        <w:t xml:space="preserve"> decreto n.</w:t>
      </w:r>
      <w:r w:rsidR="00531C69">
        <w:rPr>
          <w:rFonts w:ascii="Times New Roman" w:hAnsi="Times New Roman" w:cs="Times New Roman"/>
          <w:sz w:val="28"/>
          <w:szCs w:val="28"/>
        </w:rPr>
        <w:t xml:space="preserve"> </w:t>
      </w:r>
      <w:r>
        <w:rPr>
          <w:rFonts w:ascii="Times New Roman" w:hAnsi="Times New Roman" w:cs="Times New Roman"/>
          <w:sz w:val="28"/>
          <w:szCs w:val="28"/>
        </w:rPr>
        <w:t>132, un’attività generalizzata di richiesta al giudice per un’acquisizione “ora per allora”. Tale autorizzazione si profilerebbe necessaria ove, però, sorgessero contestazioni: in tal caso sarebbe opportuno chiedere al giudice la formale acquisizione dei tabulati, quanto meno ex art. 507 c</w:t>
      </w:r>
      <w:r w:rsidR="00531C69">
        <w:rPr>
          <w:rFonts w:ascii="Times New Roman" w:hAnsi="Times New Roman" w:cs="Times New Roman"/>
          <w:sz w:val="28"/>
          <w:szCs w:val="28"/>
        </w:rPr>
        <w:t>.</w:t>
      </w:r>
      <w:r>
        <w:rPr>
          <w:rFonts w:ascii="Times New Roman" w:hAnsi="Times New Roman" w:cs="Times New Roman"/>
          <w:sz w:val="28"/>
          <w:szCs w:val="28"/>
        </w:rPr>
        <w:t>p</w:t>
      </w:r>
      <w:r w:rsidR="00531C69">
        <w:rPr>
          <w:rFonts w:ascii="Times New Roman" w:hAnsi="Times New Roman" w:cs="Times New Roman"/>
          <w:sz w:val="28"/>
          <w:szCs w:val="28"/>
        </w:rPr>
        <w:t>.</w:t>
      </w:r>
      <w:r>
        <w:rPr>
          <w:rFonts w:ascii="Times New Roman" w:hAnsi="Times New Roman" w:cs="Times New Roman"/>
          <w:sz w:val="28"/>
          <w:szCs w:val="28"/>
        </w:rPr>
        <w:t>p</w:t>
      </w:r>
      <w:r w:rsidR="00531C69">
        <w:rPr>
          <w:rFonts w:ascii="Times New Roman" w:hAnsi="Times New Roman" w:cs="Times New Roman"/>
          <w:sz w:val="28"/>
          <w:szCs w:val="28"/>
        </w:rPr>
        <w:t>.</w:t>
      </w:r>
      <w:r w:rsidR="0064371F">
        <w:rPr>
          <w:rFonts w:ascii="Times New Roman" w:hAnsi="Times New Roman" w:cs="Times New Roman"/>
          <w:sz w:val="28"/>
          <w:szCs w:val="28"/>
        </w:rPr>
        <w:t>,</w:t>
      </w:r>
      <w:r>
        <w:rPr>
          <w:rFonts w:ascii="Times New Roman" w:hAnsi="Times New Roman" w:cs="Times New Roman"/>
          <w:sz w:val="28"/>
          <w:szCs w:val="28"/>
        </w:rPr>
        <w:t xml:space="preserve"> e lo stesso potrebbe farsi in appello, in sede di rinnovazione dell’istruttoria dibattimentale ex art.</w:t>
      </w:r>
      <w:r w:rsidR="00531C69">
        <w:rPr>
          <w:rFonts w:ascii="Times New Roman" w:hAnsi="Times New Roman" w:cs="Times New Roman"/>
          <w:sz w:val="28"/>
          <w:szCs w:val="28"/>
        </w:rPr>
        <w:t xml:space="preserve"> </w:t>
      </w:r>
      <w:r>
        <w:rPr>
          <w:rFonts w:ascii="Times New Roman" w:hAnsi="Times New Roman" w:cs="Times New Roman"/>
          <w:sz w:val="28"/>
          <w:szCs w:val="28"/>
        </w:rPr>
        <w:t>603 c</w:t>
      </w:r>
      <w:r w:rsidR="00531C69">
        <w:rPr>
          <w:rFonts w:ascii="Times New Roman" w:hAnsi="Times New Roman" w:cs="Times New Roman"/>
          <w:sz w:val="28"/>
          <w:szCs w:val="28"/>
        </w:rPr>
        <w:t>.</w:t>
      </w:r>
      <w:r>
        <w:rPr>
          <w:rFonts w:ascii="Times New Roman" w:hAnsi="Times New Roman" w:cs="Times New Roman"/>
          <w:sz w:val="28"/>
          <w:szCs w:val="28"/>
        </w:rPr>
        <w:t>p</w:t>
      </w:r>
      <w:r w:rsidR="00531C69">
        <w:rPr>
          <w:rFonts w:ascii="Times New Roman" w:hAnsi="Times New Roman" w:cs="Times New Roman"/>
          <w:sz w:val="28"/>
          <w:szCs w:val="28"/>
        </w:rPr>
        <w:t>.</w:t>
      </w:r>
      <w:r>
        <w:rPr>
          <w:rFonts w:ascii="Times New Roman" w:hAnsi="Times New Roman" w:cs="Times New Roman"/>
          <w:sz w:val="28"/>
          <w:szCs w:val="28"/>
        </w:rPr>
        <w:t xml:space="preserve">p. </w:t>
      </w:r>
    </w:p>
    <w:p w14:paraId="6BB6EE4C" w14:textId="4B9A396E" w:rsidR="001E2DC7" w:rsidRDefault="00420F30" w:rsidP="0064371F">
      <w:pPr>
        <w:tabs>
          <w:tab w:val="left" w:pos="8364"/>
        </w:tabs>
        <w:spacing w:after="0"/>
        <w:jc w:val="both"/>
        <w:rPr>
          <w:rFonts w:ascii="Times New Roman" w:hAnsi="Times New Roman" w:cs="Times New Roman"/>
          <w:sz w:val="28"/>
          <w:szCs w:val="28"/>
        </w:rPr>
      </w:pPr>
      <w:r w:rsidRPr="0064371F">
        <w:rPr>
          <w:rFonts w:ascii="Times New Roman" w:hAnsi="Times New Roman" w:cs="Times New Roman"/>
          <w:sz w:val="28"/>
          <w:szCs w:val="28"/>
        </w:rPr>
        <w:t xml:space="preserve">Occorre, però, distinguere i concetti di </w:t>
      </w:r>
      <w:proofErr w:type="spellStart"/>
      <w:r w:rsidRPr="0064371F">
        <w:rPr>
          <w:rFonts w:ascii="Times New Roman" w:hAnsi="Times New Roman" w:cs="Times New Roman"/>
          <w:sz w:val="28"/>
          <w:szCs w:val="28"/>
        </w:rPr>
        <w:t>acquisibilità</w:t>
      </w:r>
      <w:proofErr w:type="spellEnd"/>
      <w:r w:rsidRPr="0064371F">
        <w:rPr>
          <w:rFonts w:ascii="Times New Roman" w:hAnsi="Times New Roman" w:cs="Times New Roman"/>
          <w:sz w:val="28"/>
          <w:szCs w:val="28"/>
        </w:rPr>
        <w:t xml:space="preserve"> dei tabulati dalla loro utilizzabilità in concreto. Il tema dell’acquisizione soggiace alle regole all’epoca vigenti, mentre quello della valutazione non può che essere regolata dalla nuova normativa.</w:t>
      </w:r>
      <w:r>
        <w:rPr>
          <w:rFonts w:ascii="Times New Roman" w:hAnsi="Times New Roman" w:cs="Times New Roman"/>
          <w:b/>
          <w:bCs/>
          <w:sz w:val="28"/>
          <w:szCs w:val="28"/>
        </w:rPr>
        <w:t xml:space="preserve"> </w:t>
      </w:r>
      <w:r w:rsidRPr="00420F30">
        <w:rPr>
          <w:rFonts w:ascii="Times New Roman" w:hAnsi="Times New Roman" w:cs="Times New Roman"/>
          <w:sz w:val="28"/>
          <w:szCs w:val="28"/>
        </w:rPr>
        <w:t xml:space="preserve">In altri </w:t>
      </w:r>
      <w:r>
        <w:rPr>
          <w:rFonts w:ascii="Times New Roman" w:hAnsi="Times New Roman" w:cs="Times New Roman"/>
          <w:sz w:val="28"/>
          <w:szCs w:val="28"/>
        </w:rPr>
        <w:t>termini</w:t>
      </w:r>
      <w:r w:rsidR="0064371F">
        <w:rPr>
          <w:rFonts w:ascii="Times New Roman" w:hAnsi="Times New Roman" w:cs="Times New Roman"/>
          <w:sz w:val="28"/>
          <w:szCs w:val="28"/>
        </w:rPr>
        <w:t>,</w:t>
      </w:r>
      <w:r>
        <w:rPr>
          <w:rFonts w:ascii="Times New Roman" w:hAnsi="Times New Roman" w:cs="Times New Roman"/>
          <w:sz w:val="28"/>
          <w:szCs w:val="28"/>
        </w:rPr>
        <w:t xml:space="preserve"> </w:t>
      </w:r>
      <w:r w:rsidRPr="00420F30">
        <w:rPr>
          <w:rFonts w:ascii="Times New Roman" w:hAnsi="Times New Roman" w:cs="Times New Roman"/>
          <w:i/>
          <w:iCs/>
          <w:sz w:val="28"/>
          <w:szCs w:val="28"/>
        </w:rPr>
        <w:t xml:space="preserve">nulla quaestio </w:t>
      </w:r>
      <w:r>
        <w:rPr>
          <w:rFonts w:ascii="Times New Roman" w:hAnsi="Times New Roman" w:cs="Times New Roman"/>
          <w:sz w:val="28"/>
          <w:szCs w:val="28"/>
        </w:rPr>
        <w:t>per l’acquisizione dei tabulati, ma questi potranno essere valorizzati sul piano probatorio solo nel rispetto delle condizioni di legittimità da oggi previste nel nuovo comma 3 dell’articolo 132</w:t>
      </w:r>
      <w:r w:rsidR="00531C69">
        <w:rPr>
          <w:rFonts w:ascii="Times New Roman" w:hAnsi="Times New Roman" w:cs="Times New Roman"/>
          <w:sz w:val="28"/>
          <w:szCs w:val="28"/>
        </w:rPr>
        <w:t xml:space="preserve"> </w:t>
      </w:r>
      <w:r w:rsidR="001275DF">
        <w:rPr>
          <w:rFonts w:ascii="Times New Roman" w:hAnsi="Times New Roman" w:cs="Times New Roman"/>
          <w:sz w:val="28"/>
          <w:szCs w:val="28"/>
        </w:rPr>
        <w:t>(catalogo dei reati, sufficienza degli indizi, rilevanza investigativa o probatoria).</w:t>
      </w:r>
    </w:p>
    <w:p w14:paraId="769A0840" w14:textId="77777777" w:rsidR="0064371F" w:rsidRDefault="0064371F" w:rsidP="0064371F">
      <w:pPr>
        <w:tabs>
          <w:tab w:val="left" w:pos="8364"/>
        </w:tabs>
        <w:spacing w:after="0"/>
        <w:jc w:val="both"/>
        <w:rPr>
          <w:rFonts w:ascii="Times New Roman" w:hAnsi="Times New Roman" w:cs="Times New Roman"/>
          <w:sz w:val="28"/>
          <w:szCs w:val="28"/>
        </w:rPr>
      </w:pPr>
    </w:p>
    <w:p w14:paraId="3EBE3ADC" w14:textId="77777777" w:rsidR="009C2C30" w:rsidRDefault="00ED17C7" w:rsidP="009C2C30">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È interessante anche il tema del</w:t>
      </w:r>
      <w:r w:rsidRPr="00ED17C7">
        <w:rPr>
          <w:rFonts w:ascii="Times New Roman" w:hAnsi="Times New Roman" w:cs="Times New Roman"/>
          <w:sz w:val="28"/>
          <w:szCs w:val="28"/>
        </w:rPr>
        <w:t>l’introduzione di un apposito provvedimento di «</w:t>
      </w:r>
      <w:r w:rsidRPr="00ED17C7">
        <w:rPr>
          <w:rFonts w:ascii="Times New Roman" w:hAnsi="Times New Roman" w:cs="Times New Roman"/>
          <w:i/>
          <w:iCs/>
          <w:sz w:val="28"/>
          <w:szCs w:val="28"/>
        </w:rPr>
        <w:t>deindicizzazione</w:t>
      </w:r>
      <w:r w:rsidRPr="00ED17C7">
        <w:rPr>
          <w:rFonts w:ascii="Times New Roman" w:hAnsi="Times New Roman" w:cs="Times New Roman"/>
          <w:sz w:val="28"/>
          <w:szCs w:val="28"/>
        </w:rPr>
        <w:t>», a tutela del diritto all’oblio degli indagati o imputati la cui posizione sia stata definita da un decreto di archiviazione, sentenza di non luogo a procedere o di assoluzion</w:t>
      </w:r>
      <w:r w:rsidR="00066484">
        <w:rPr>
          <w:rFonts w:ascii="Times New Roman" w:hAnsi="Times New Roman" w:cs="Times New Roman"/>
          <w:sz w:val="28"/>
          <w:szCs w:val="28"/>
        </w:rPr>
        <w:t xml:space="preserve">e. </w:t>
      </w:r>
    </w:p>
    <w:p w14:paraId="01B284E2" w14:textId="77777777" w:rsidR="00585404" w:rsidRDefault="00585404" w:rsidP="00585404">
      <w:pPr>
        <w:pStyle w:val="Testonotaapidipagina"/>
        <w:jc w:val="both"/>
        <w:rPr>
          <w:rFonts w:ascii="Times New Roman" w:hAnsi="Times New Roman" w:cs="Times New Roman"/>
          <w:sz w:val="28"/>
          <w:szCs w:val="28"/>
        </w:rPr>
      </w:pPr>
      <w:r w:rsidRPr="00D62731">
        <w:rPr>
          <w:rFonts w:ascii="Times New Roman" w:hAnsi="Times New Roman" w:cs="Times New Roman"/>
          <w:sz w:val="28"/>
          <w:szCs w:val="28"/>
        </w:rPr>
        <w:t>L’art. 1, co</w:t>
      </w:r>
      <w:r>
        <w:rPr>
          <w:rFonts w:ascii="Times New Roman" w:hAnsi="Times New Roman" w:cs="Times New Roman"/>
          <w:sz w:val="28"/>
          <w:szCs w:val="28"/>
        </w:rPr>
        <w:t>mma</w:t>
      </w:r>
      <w:r w:rsidRPr="00D62731">
        <w:rPr>
          <w:rFonts w:ascii="Times New Roman" w:hAnsi="Times New Roman" w:cs="Times New Roman"/>
          <w:sz w:val="28"/>
          <w:szCs w:val="28"/>
        </w:rPr>
        <w:t xml:space="preserve"> 25 della l</w:t>
      </w:r>
      <w:r>
        <w:rPr>
          <w:rFonts w:ascii="Times New Roman" w:hAnsi="Times New Roman" w:cs="Times New Roman"/>
          <w:sz w:val="28"/>
          <w:szCs w:val="28"/>
        </w:rPr>
        <w:t>egge n.</w:t>
      </w:r>
      <w:r w:rsidRPr="00D62731">
        <w:rPr>
          <w:rFonts w:ascii="Times New Roman" w:hAnsi="Times New Roman" w:cs="Times New Roman"/>
          <w:sz w:val="28"/>
          <w:szCs w:val="28"/>
        </w:rPr>
        <w:t xml:space="preserve"> 134</w:t>
      </w:r>
      <w:r>
        <w:rPr>
          <w:rFonts w:ascii="Times New Roman" w:hAnsi="Times New Roman" w:cs="Times New Roman"/>
          <w:sz w:val="28"/>
          <w:szCs w:val="28"/>
        </w:rPr>
        <w:t xml:space="preserve"> del </w:t>
      </w:r>
      <w:r w:rsidRPr="00D62731">
        <w:rPr>
          <w:rFonts w:ascii="Times New Roman" w:hAnsi="Times New Roman" w:cs="Times New Roman"/>
          <w:sz w:val="28"/>
          <w:szCs w:val="28"/>
        </w:rPr>
        <w:t xml:space="preserve">2021 delega il Governo a modificare le norme di attuazione, di coordinamento e transitorie al codice di procedura penale in materia di comunicazione della sentenza, </w:t>
      </w:r>
      <w:r>
        <w:rPr>
          <w:rFonts w:ascii="Times New Roman" w:hAnsi="Times New Roman" w:cs="Times New Roman"/>
          <w:sz w:val="28"/>
          <w:szCs w:val="28"/>
        </w:rPr>
        <w:t>stabilendo la necessità</w:t>
      </w:r>
      <w:r w:rsidRPr="00D62731">
        <w:rPr>
          <w:rFonts w:ascii="Times New Roman" w:hAnsi="Times New Roman" w:cs="Times New Roman"/>
          <w:sz w:val="28"/>
          <w:szCs w:val="28"/>
        </w:rPr>
        <w:t xml:space="preserve"> di prevedere che il decreto di archiviazione, la sentenza di non luogo a procedere e di assoluzione costituiscano titolo per </w:t>
      </w:r>
      <w:r>
        <w:rPr>
          <w:rFonts w:ascii="Times New Roman" w:hAnsi="Times New Roman" w:cs="Times New Roman"/>
          <w:sz w:val="28"/>
          <w:szCs w:val="28"/>
        </w:rPr>
        <w:t xml:space="preserve">ottenere </w:t>
      </w:r>
      <w:r w:rsidRPr="00D62731">
        <w:rPr>
          <w:rFonts w:ascii="Times New Roman" w:hAnsi="Times New Roman" w:cs="Times New Roman"/>
          <w:sz w:val="28"/>
          <w:szCs w:val="28"/>
        </w:rPr>
        <w:t>un provvedimento di deindicizzazione</w:t>
      </w:r>
      <w:r>
        <w:rPr>
          <w:rFonts w:ascii="Times New Roman" w:hAnsi="Times New Roman" w:cs="Times New Roman"/>
          <w:sz w:val="28"/>
          <w:szCs w:val="28"/>
        </w:rPr>
        <w:t>. Si vuole</w:t>
      </w:r>
      <w:r w:rsidRPr="00D62731">
        <w:rPr>
          <w:rFonts w:ascii="Times New Roman" w:hAnsi="Times New Roman" w:cs="Times New Roman"/>
          <w:sz w:val="28"/>
          <w:szCs w:val="28"/>
        </w:rPr>
        <w:t xml:space="preserve">, </w:t>
      </w:r>
      <w:r>
        <w:rPr>
          <w:rFonts w:ascii="Times New Roman" w:hAnsi="Times New Roman" w:cs="Times New Roman"/>
          <w:sz w:val="28"/>
          <w:szCs w:val="28"/>
        </w:rPr>
        <w:t xml:space="preserve">infatti, rendere effettivo </w:t>
      </w:r>
      <w:r w:rsidRPr="00D62731">
        <w:rPr>
          <w:rFonts w:ascii="Times New Roman" w:hAnsi="Times New Roman" w:cs="Times New Roman"/>
          <w:sz w:val="28"/>
          <w:szCs w:val="28"/>
        </w:rPr>
        <w:t>il diritto all’oblio degli indagati o imputati, nel rispetto della normativa europea in tema di protezione dei dati personali.</w:t>
      </w:r>
    </w:p>
    <w:p w14:paraId="38A08847" w14:textId="7E13F606" w:rsidR="00585404" w:rsidRPr="00D62731" w:rsidRDefault="00585404" w:rsidP="00585404">
      <w:pPr>
        <w:pStyle w:val="Testonotaapidipagina"/>
        <w:jc w:val="both"/>
        <w:rPr>
          <w:rFonts w:ascii="Times New Roman" w:hAnsi="Times New Roman" w:cs="Times New Roman"/>
          <w:sz w:val="28"/>
          <w:szCs w:val="28"/>
        </w:rPr>
      </w:pPr>
      <w:r>
        <w:rPr>
          <w:rFonts w:ascii="Times New Roman" w:hAnsi="Times New Roman" w:cs="Times New Roman"/>
          <w:sz w:val="28"/>
          <w:szCs w:val="28"/>
        </w:rPr>
        <w:t>Il</w:t>
      </w:r>
      <w:r w:rsidRPr="00D62731">
        <w:rPr>
          <w:rFonts w:ascii="Times New Roman" w:hAnsi="Times New Roman" w:cs="Times New Roman"/>
          <w:sz w:val="28"/>
          <w:szCs w:val="28"/>
        </w:rPr>
        <w:t xml:space="preserve"> diritto all’oblio</w:t>
      </w:r>
      <w:r>
        <w:rPr>
          <w:rStyle w:val="Rimandonotaapidipagina"/>
          <w:rFonts w:ascii="Times New Roman" w:hAnsi="Times New Roman" w:cs="Times New Roman"/>
          <w:sz w:val="28"/>
          <w:szCs w:val="28"/>
        </w:rPr>
        <w:footnoteReference w:id="60"/>
      </w:r>
      <w:r>
        <w:rPr>
          <w:rFonts w:ascii="Times New Roman" w:hAnsi="Times New Roman" w:cs="Times New Roman"/>
          <w:sz w:val="28"/>
          <w:szCs w:val="28"/>
        </w:rPr>
        <w:t xml:space="preserve">, chiamato anche </w:t>
      </w:r>
      <w:r w:rsidRPr="00D62731">
        <w:rPr>
          <w:rFonts w:ascii="Times New Roman" w:hAnsi="Times New Roman" w:cs="Times New Roman"/>
          <w:sz w:val="28"/>
          <w:szCs w:val="28"/>
        </w:rPr>
        <w:t>diritto alla cancellazione</w:t>
      </w:r>
      <w:r>
        <w:rPr>
          <w:rFonts w:ascii="Times New Roman" w:hAnsi="Times New Roman" w:cs="Times New Roman"/>
          <w:sz w:val="28"/>
          <w:szCs w:val="28"/>
        </w:rPr>
        <w:t xml:space="preserve">, </w:t>
      </w:r>
      <w:r w:rsidRPr="00D62731">
        <w:rPr>
          <w:rFonts w:ascii="Times New Roman" w:hAnsi="Times New Roman" w:cs="Times New Roman"/>
          <w:sz w:val="28"/>
          <w:szCs w:val="28"/>
        </w:rPr>
        <w:t xml:space="preserve">è disciplinato dall’art. 17 del GDPR, </w:t>
      </w:r>
      <w:r w:rsidR="00730810">
        <w:rPr>
          <w:rFonts w:ascii="Times New Roman" w:hAnsi="Times New Roman" w:cs="Times New Roman"/>
          <w:sz w:val="28"/>
          <w:szCs w:val="28"/>
        </w:rPr>
        <w:t>il quale</w:t>
      </w:r>
      <w:r w:rsidRPr="00D62731">
        <w:rPr>
          <w:rFonts w:ascii="Times New Roman" w:hAnsi="Times New Roman" w:cs="Times New Roman"/>
          <w:sz w:val="28"/>
          <w:szCs w:val="28"/>
        </w:rPr>
        <w:t xml:space="preserve"> elenca i casi </w:t>
      </w:r>
      <w:r w:rsidR="00730810">
        <w:rPr>
          <w:rFonts w:ascii="Times New Roman" w:hAnsi="Times New Roman" w:cs="Times New Roman"/>
          <w:sz w:val="28"/>
          <w:szCs w:val="28"/>
        </w:rPr>
        <w:t>in cui</w:t>
      </w:r>
      <w:r w:rsidRPr="00D62731">
        <w:rPr>
          <w:rFonts w:ascii="Times New Roman" w:hAnsi="Times New Roman" w:cs="Times New Roman"/>
          <w:sz w:val="28"/>
          <w:szCs w:val="28"/>
        </w:rPr>
        <w:t xml:space="preserve"> l’interessato ha </w:t>
      </w:r>
      <w:r w:rsidR="00730810">
        <w:rPr>
          <w:rFonts w:ascii="Times New Roman" w:hAnsi="Times New Roman" w:cs="Times New Roman"/>
          <w:sz w:val="28"/>
          <w:szCs w:val="28"/>
        </w:rPr>
        <w:t xml:space="preserve">il </w:t>
      </w:r>
      <w:r w:rsidRPr="00D62731">
        <w:rPr>
          <w:rFonts w:ascii="Times New Roman" w:hAnsi="Times New Roman" w:cs="Times New Roman"/>
          <w:sz w:val="28"/>
          <w:szCs w:val="28"/>
        </w:rPr>
        <w:t xml:space="preserve">diritto di ottenere dal titolare del trattamento </w:t>
      </w:r>
      <w:r w:rsidR="00484E04">
        <w:rPr>
          <w:rFonts w:ascii="Times New Roman" w:hAnsi="Times New Roman" w:cs="Times New Roman"/>
          <w:sz w:val="28"/>
          <w:szCs w:val="28"/>
        </w:rPr>
        <w:t>(</w:t>
      </w:r>
      <w:r w:rsidR="00484E04" w:rsidRPr="00484E04">
        <w:rPr>
          <w:rFonts w:ascii="Times New Roman" w:hAnsi="Times New Roman" w:cs="Times New Roman"/>
          <w:sz w:val="28"/>
          <w:szCs w:val="28"/>
        </w:rPr>
        <w:t xml:space="preserve">il motore di ricerca o </w:t>
      </w:r>
      <w:r w:rsidR="00484E04" w:rsidRPr="00BF038C">
        <w:rPr>
          <w:rFonts w:ascii="Times New Roman" w:hAnsi="Times New Roman" w:cs="Times New Roman"/>
          <w:i/>
          <w:iCs/>
          <w:sz w:val="28"/>
          <w:szCs w:val="28"/>
        </w:rPr>
        <w:t>service provider</w:t>
      </w:r>
      <w:r w:rsidR="00484E04">
        <w:rPr>
          <w:rFonts w:ascii="Times New Roman" w:hAnsi="Times New Roman" w:cs="Times New Roman"/>
          <w:sz w:val="28"/>
          <w:szCs w:val="28"/>
        </w:rPr>
        <w:t xml:space="preserve">) </w:t>
      </w:r>
      <w:r w:rsidRPr="00D62731">
        <w:rPr>
          <w:rFonts w:ascii="Times New Roman" w:hAnsi="Times New Roman" w:cs="Times New Roman"/>
          <w:sz w:val="28"/>
          <w:szCs w:val="28"/>
        </w:rPr>
        <w:t xml:space="preserve">la cancellazione dei dati </w:t>
      </w:r>
      <w:r w:rsidRPr="00D62731">
        <w:rPr>
          <w:rFonts w:ascii="Times New Roman" w:hAnsi="Times New Roman" w:cs="Times New Roman"/>
          <w:sz w:val="28"/>
          <w:szCs w:val="28"/>
        </w:rPr>
        <w:lastRenderedPageBreak/>
        <w:t>personali che lo riguardano, a tutela della propria riservatezza e della propria identità personale</w:t>
      </w:r>
      <w:r w:rsidR="00484E04">
        <w:rPr>
          <w:rFonts w:ascii="Times New Roman" w:hAnsi="Times New Roman" w:cs="Times New Roman"/>
          <w:sz w:val="28"/>
          <w:szCs w:val="28"/>
        </w:rPr>
        <w:t xml:space="preserve">, </w:t>
      </w:r>
      <w:r w:rsidR="00484E04" w:rsidRPr="00484E04">
        <w:rPr>
          <w:rFonts w:ascii="Times New Roman" w:hAnsi="Times New Roman" w:cs="Times New Roman"/>
          <w:sz w:val="28"/>
          <w:szCs w:val="28"/>
        </w:rPr>
        <w:t>ove essi non siano più necessari «</w:t>
      </w:r>
      <w:r w:rsidR="00484E04" w:rsidRPr="00BF038C">
        <w:rPr>
          <w:rFonts w:ascii="Times New Roman" w:hAnsi="Times New Roman" w:cs="Times New Roman"/>
          <w:i/>
          <w:iCs/>
          <w:sz w:val="28"/>
          <w:szCs w:val="28"/>
        </w:rPr>
        <w:t>rispetto alle finalità per i quali sono stati raccolti</w:t>
      </w:r>
      <w:r w:rsidR="00484E04" w:rsidRPr="00484E04">
        <w:rPr>
          <w:rFonts w:ascii="Times New Roman" w:hAnsi="Times New Roman" w:cs="Times New Roman"/>
          <w:sz w:val="28"/>
          <w:szCs w:val="28"/>
        </w:rPr>
        <w:t>»</w:t>
      </w:r>
      <w:r w:rsidR="00484E04">
        <w:rPr>
          <w:rStyle w:val="Rimandonotaapidipagina"/>
          <w:rFonts w:ascii="Times New Roman" w:hAnsi="Times New Roman" w:cs="Times New Roman"/>
          <w:sz w:val="28"/>
          <w:szCs w:val="28"/>
        </w:rPr>
        <w:footnoteReference w:id="61"/>
      </w:r>
      <w:r w:rsidR="00484E04">
        <w:rPr>
          <w:rFonts w:ascii="Times New Roman" w:hAnsi="Times New Roman" w:cs="Times New Roman"/>
          <w:sz w:val="28"/>
          <w:szCs w:val="28"/>
        </w:rPr>
        <w:t>.</w:t>
      </w:r>
    </w:p>
    <w:p w14:paraId="0198CBCA" w14:textId="34CA9D3C" w:rsidR="00585404" w:rsidRDefault="00585404" w:rsidP="00585404">
      <w:pPr>
        <w:pStyle w:val="Testonotaapidipagina"/>
        <w:jc w:val="both"/>
        <w:rPr>
          <w:rFonts w:ascii="Times New Roman" w:hAnsi="Times New Roman" w:cs="Times New Roman"/>
          <w:sz w:val="28"/>
          <w:szCs w:val="28"/>
        </w:rPr>
      </w:pPr>
      <w:r w:rsidRPr="00D62731">
        <w:rPr>
          <w:rFonts w:ascii="Times New Roman" w:hAnsi="Times New Roman" w:cs="Times New Roman"/>
          <w:sz w:val="28"/>
          <w:szCs w:val="28"/>
        </w:rPr>
        <w:t xml:space="preserve">La </w:t>
      </w:r>
      <w:r w:rsidR="00730810">
        <w:rPr>
          <w:rFonts w:ascii="Times New Roman" w:hAnsi="Times New Roman" w:cs="Times New Roman"/>
          <w:sz w:val="28"/>
          <w:szCs w:val="28"/>
        </w:rPr>
        <w:t>norma</w:t>
      </w:r>
      <w:r w:rsidRPr="00D62731">
        <w:rPr>
          <w:rFonts w:ascii="Times New Roman" w:hAnsi="Times New Roman" w:cs="Times New Roman"/>
          <w:sz w:val="28"/>
          <w:szCs w:val="28"/>
        </w:rPr>
        <w:t xml:space="preserve"> </w:t>
      </w:r>
      <w:r w:rsidR="00730810">
        <w:rPr>
          <w:rFonts w:ascii="Times New Roman" w:hAnsi="Times New Roman" w:cs="Times New Roman"/>
          <w:sz w:val="28"/>
          <w:szCs w:val="28"/>
        </w:rPr>
        <w:t>è il frutto di un percorso giurisprudenziale</w:t>
      </w:r>
      <w:r w:rsidRPr="00D62731">
        <w:rPr>
          <w:rFonts w:ascii="Times New Roman" w:hAnsi="Times New Roman" w:cs="Times New Roman"/>
          <w:sz w:val="28"/>
          <w:szCs w:val="28"/>
        </w:rPr>
        <w:t xml:space="preserve"> </w:t>
      </w:r>
      <w:r w:rsidR="00730810">
        <w:rPr>
          <w:rFonts w:ascii="Times New Roman" w:hAnsi="Times New Roman" w:cs="Times New Roman"/>
          <w:sz w:val="28"/>
          <w:szCs w:val="28"/>
        </w:rPr>
        <w:t>iniziato con la celebre</w:t>
      </w:r>
      <w:r w:rsidRPr="00D62731">
        <w:rPr>
          <w:rFonts w:ascii="Times New Roman" w:hAnsi="Times New Roman" w:cs="Times New Roman"/>
          <w:sz w:val="28"/>
          <w:szCs w:val="28"/>
        </w:rPr>
        <w:t xml:space="preserve"> </w:t>
      </w:r>
      <w:r w:rsidR="00730810" w:rsidRPr="00730810">
        <w:rPr>
          <w:rFonts w:ascii="Times New Roman" w:hAnsi="Times New Roman" w:cs="Times New Roman"/>
          <w:sz w:val="28"/>
          <w:szCs w:val="28"/>
        </w:rPr>
        <w:t>sentenza 13 Maggio 2014, C-113/12 della Corte di Giustizia, c</w:t>
      </w:r>
      <w:r w:rsidR="00730810">
        <w:rPr>
          <w:rFonts w:ascii="Times New Roman" w:hAnsi="Times New Roman" w:cs="Times New Roman"/>
          <w:sz w:val="28"/>
          <w:szCs w:val="28"/>
        </w:rPr>
        <w:t>.</w:t>
      </w:r>
      <w:r w:rsidR="00730810" w:rsidRPr="00730810">
        <w:rPr>
          <w:rFonts w:ascii="Times New Roman" w:hAnsi="Times New Roman" w:cs="Times New Roman"/>
          <w:sz w:val="28"/>
          <w:szCs w:val="28"/>
        </w:rPr>
        <w:t xml:space="preserve">d. Sentenza </w:t>
      </w:r>
      <w:r w:rsidR="00A56D99">
        <w:rPr>
          <w:rFonts w:ascii="Times New Roman" w:hAnsi="Times New Roman" w:cs="Times New Roman"/>
          <w:sz w:val="28"/>
          <w:szCs w:val="28"/>
        </w:rPr>
        <w:t>“</w:t>
      </w:r>
      <w:r w:rsidR="00730810" w:rsidRPr="00A56D99">
        <w:rPr>
          <w:rFonts w:ascii="Times New Roman" w:hAnsi="Times New Roman" w:cs="Times New Roman"/>
          <w:i/>
          <w:iCs/>
          <w:sz w:val="28"/>
          <w:szCs w:val="28"/>
        </w:rPr>
        <w:t xml:space="preserve">Google </w:t>
      </w:r>
      <w:proofErr w:type="spellStart"/>
      <w:r w:rsidR="00730810" w:rsidRPr="00A56D99">
        <w:rPr>
          <w:rFonts w:ascii="Times New Roman" w:hAnsi="Times New Roman" w:cs="Times New Roman"/>
          <w:i/>
          <w:iCs/>
          <w:sz w:val="28"/>
          <w:szCs w:val="28"/>
        </w:rPr>
        <w:t>Spain</w:t>
      </w:r>
      <w:proofErr w:type="spellEnd"/>
      <w:r w:rsidR="00730810" w:rsidRPr="00730810">
        <w:rPr>
          <w:rFonts w:ascii="Times New Roman" w:hAnsi="Times New Roman" w:cs="Times New Roman"/>
          <w:sz w:val="28"/>
          <w:szCs w:val="28"/>
        </w:rPr>
        <w:t>”</w:t>
      </w:r>
      <w:r w:rsidR="00730810">
        <w:rPr>
          <w:rFonts w:ascii="Times New Roman" w:hAnsi="Times New Roman" w:cs="Times New Roman"/>
          <w:sz w:val="28"/>
          <w:szCs w:val="28"/>
        </w:rPr>
        <w:t>, in cui la</w:t>
      </w:r>
      <w:r w:rsidR="00730810" w:rsidRPr="00730810">
        <w:rPr>
          <w:rFonts w:ascii="Times New Roman" w:hAnsi="Times New Roman" w:cs="Times New Roman"/>
          <w:sz w:val="28"/>
          <w:szCs w:val="28"/>
        </w:rPr>
        <w:t xml:space="preserve"> Corte ha </w:t>
      </w:r>
      <w:r w:rsidR="00730810">
        <w:rPr>
          <w:rFonts w:ascii="Times New Roman" w:hAnsi="Times New Roman" w:cs="Times New Roman"/>
          <w:sz w:val="28"/>
          <w:szCs w:val="28"/>
        </w:rPr>
        <w:t>delineato</w:t>
      </w:r>
      <w:r w:rsidR="00730810" w:rsidRPr="00730810">
        <w:rPr>
          <w:rFonts w:ascii="Times New Roman" w:hAnsi="Times New Roman" w:cs="Times New Roman"/>
          <w:sz w:val="28"/>
          <w:szCs w:val="28"/>
        </w:rPr>
        <w:t xml:space="preserve"> il rapporto tra libertà di espressione e diritti della personalità sul web</w:t>
      </w:r>
      <w:r w:rsidR="00730810">
        <w:rPr>
          <w:rFonts w:ascii="Times New Roman" w:hAnsi="Times New Roman" w:cs="Times New Roman"/>
          <w:sz w:val="28"/>
          <w:szCs w:val="28"/>
        </w:rPr>
        <w:t>,</w:t>
      </w:r>
      <w:r w:rsidR="00730810" w:rsidRPr="00730810">
        <w:rPr>
          <w:rFonts w:ascii="Times New Roman" w:hAnsi="Times New Roman" w:cs="Times New Roman"/>
          <w:sz w:val="28"/>
          <w:szCs w:val="28"/>
        </w:rPr>
        <w:t xml:space="preserve"> manifestando un’attitudine garantista nei confronti della privacy nell’ambito digitale</w:t>
      </w:r>
      <w:r w:rsidR="00730810">
        <w:rPr>
          <w:rFonts w:ascii="Times New Roman" w:hAnsi="Times New Roman" w:cs="Times New Roman"/>
          <w:sz w:val="28"/>
          <w:szCs w:val="28"/>
        </w:rPr>
        <w:t xml:space="preserve">, introducendo </w:t>
      </w:r>
      <w:r w:rsidR="00730810" w:rsidRPr="00730810">
        <w:rPr>
          <w:rFonts w:ascii="Times New Roman" w:hAnsi="Times New Roman" w:cs="Times New Roman"/>
          <w:sz w:val="28"/>
          <w:szCs w:val="28"/>
        </w:rPr>
        <w:t>il “diritto all’oblio in internet”</w:t>
      </w:r>
      <w:r w:rsidR="00730810">
        <w:rPr>
          <w:rFonts w:ascii="Times New Roman" w:hAnsi="Times New Roman" w:cs="Times New Roman"/>
          <w:sz w:val="28"/>
          <w:szCs w:val="28"/>
        </w:rPr>
        <w:t xml:space="preserve"> e </w:t>
      </w:r>
      <w:r w:rsidRPr="00D62731">
        <w:rPr>
          <w:rFonts w:ascii="Times New Roman" w:hAnsi="Times New Roman" w:cs="Times New Roman"/>
          <w:sz w:val="28"/>
          <w:szCs w:val="28"/>
        </w:rPr>
        <w:t>ricono</w:t>
      </w:r>
      <w:r w:rsidR="00730810">
        <w:rPr>
          <w:rFonts w:ascii="Times New Roman" w:hAnsi="Times New Roman" w:cs="Times New Roman"/>
          <w:sz w:val="28"/>
          <w:szCs w:val="28"/>
        </w:rPr>
        <w:t>scendo, dunque,</w:t>
      </w:r>
      <w:r w:rsidRPr="00D62731">
        <w:rPr>
          <w:rFonts w:ascii="Times New Roman" w:hAnsi="Times New Roman" w:cs="Times New Roman"/>
          <w:sz w:val="28"/>
          <w:szCs w:val="28"/>
        </w:rPr>
        <w:t xml:space="preserve"> il diritto di ciascuno di “controllare” i risultati che appaiono sul web a seguito della digitazione del proprio nom</w:t>
      </w:r>
      <w:r w:rsidR="00730810">
        <w:rPr>
          <w:rFonts w:ascii="Times New Roman" w:hAnsi="Times New Roman" w:cs="Times New Roman"/>
          <w:sz w:val="28"/>
          <w:szCs w:val="28"/>
        </w:rPr>
        <w:t xml:space="preserve">e. In tal modo, ciascuno può </w:t>
      </w:r>
      <w:r w:rsidRPr="00D62731">
        <w:rPr>
          <w:rFonts w:ascii="Times New Roman" w:hAnsi="Times New Roman" w:cs="Times New Roman"/>
          <w:sz w:val="28"/>
          <w:szCs w:val="28"/>
        </w:rPr>
        <w:t xml:space="preserve">richiedere al gestore di un motore di ricerca la rimozione </w:t>
      </w:r>
      <w:r w:rsidR="00730810">
        <w:rPr>
          <w:rFonts w:ascii="Times New Roman" w:hAnsi="Times New Roman" w:cs="Times New Roman"/>
          <w:sz w:val="28"/>
          <w:szCs w:val="28"/>
        </w:rPr>
        <w:t>di tutti i</w:t>
      </w:r>
      <w:r w:rsidRPr="00D62731">
        <w:rPr>
          <w:rFonts w:ascii="Times New Roman" w:hAnsi="Times New Roman" w:cs="Times New Roman"/>
          <w:sz w:val="28"/>
          <w:szCs w:val="28"/>
        </w:rPr>
        <w:t xml:space="preserve"> link </w:t>
      </w:r>
      <w:r w:rsidR="00730810">
        <w:rPr>
          <w:rFonts w:ascii="Times New Roman" w:hAnsi="Times New Roman" w:cs="Times New Roman"/>
          <w:sz w:val="28"/>
          <w:szCs w:val="28"/>
        </w:rPr>
        <w:t>che portano a</w:t>
      </w:r>
      <w:r w:rsidRPr="00D62731">
        <w:rPr>
          <w:rFonts w:ascii="Times New Roman" w:hAnsi="Times New Roman" w:cs="Times New Roman"/>
          <w:sz w:val="28"/>
          <w:szCs w:val="28"/>
        </w:rPr>
        <w:t xml:space="preserve"> contenuti</w:t>
      </w:r>
      <w:r w:rsidR="00484E04">
        <w:rPr>
          <w:rFonts w:ascii="Times New Roman" w:hAnsi="Times New Roman" w:cs="Times New Roman"/>
          <w:sz w:val="28"/>
          <w:szCs w:val="28"/>
        </w:rPr>
        <w:t>, seppur</w:t>
      </w:r>
      <w:r w:rsidRPr="00D62731">
        <w:rPr>
          <w:rFonts w:ascii="Times New Roman" w:hAnsi="Times New Roman" w:cs="Times New Roman"/>
          <w:sz w:val="28"/>
          <w:szCs w:val="28"/>
        </w:rPr>
        <w:t xml:space="preserve"> </w:t>
      </w:r>
      <w:r w:rsidR="00484E04">
        <w:rPr>
          <w:rFonts w:ascii="Times New Roman" w:hAnsi="Times New Roman" w:cs="Times New Roman"/>
          <w:sz w:val="28"/>
          <w:szCs w:val="28"/>
        </w:rPr>
        <w:t>legittimi e</w:t>
      </w:r>
      <w:r w:rsidRPr="00D62731">
        <w:rPr>
          <w:rFonts w:ascii="Times New Roman" w:hAnsi="Times New Roman" w:cs="Times New Roman"/>
          <w:sz w:val="28"/>
          <w:szCs w:val="28"/>
        </w:rPr>
        <w:t xml:space="preserve"> veritieri, </w:t>
      </w:r>
      <w:r w:rsidR="00484E04">
        <w:rPr>
          <w:rFonts w:ascii="Times New Roman" w:hAnsi="Times New Roman" w:cs="Times New Roman"/>
          <w:sz w:val="28"/>
          <w:szCs w:val="28"/>
        </w:rPr>
        <w:t>ritenuti</w:t>
      </w:r>
      <w:r w:rsidRPr="00D62731">
        <w:rPr>
          <w:rFonts w:ascii="Times New Roman" w:hAnsi="Times New Roman" w:cs="Times New Roman"/>
          <w:sz w:val="28"/>
          <w:szCs w:val="28"/>
        </w:rPr>
        <w:t xml:space="preserve"> </w:t>
      </w:r>
      <w:r w:rsidR="00484E04">
        <w:rPr>
          <w:rFonts w:ascii="Times New Roman" w:hAnsi="Times New Roman" w:cs="Times New Roman"/>
          <w:sz w:val="28"/>
          <w:szCs w:val="28"/>
        </w:rPr>
        <w:t xml:space="preserve">non più </w:t>
      </w:r>
      <w:r w:rsidRPr="00D62731">
        <w:rPr>
          <w:rFonts w:ascii="Times New Roman" w:hAnsi="Times New Roman" w:cs="Times New Roman"/>
          <w:sz w:val="28"/>
          <w:szCs w:val="28"/>
        </w:rPr>
        <w:t>pertinenti con la propria immagine “sociale”</w:t>
      </w:r>
      <w:r w:rsidR="00484E04">
        <w:rPr>
          <w:rFonts w:ascii="Times New Roman" w:hAnsi="Times New Roman" w:cs="Times New Roman"/>
          <w:sz w:val="28"/>
          <w:szCs w:val="28"/>
        </w:rPr>
        <w:t>,</w:t>
      </w:r>
      <w:r w:rsidRPr="00D62731">
        <w:rPr>
          <w:rFonts w:ascii="Times New Roman" w:hAnsi="Times New Roman" w:cs="Times New Roman"/>
          <w:sz w:val="28"/>
          <w:szCs w:val="28"/>
        </w:rPr>
        <w:t xml:space="preserve"> non più attuali</w:t>
      </w:r>
      <w:r w:rsidR="00484E04">
        <w:rPr>
          <w:rFonts w:ascii="Times New Roman" w:hAnsi="Times New Roman" w:cs="Times New Roman"/>
          <w:sz w:val="28"/>
          <w:szCs w:val="28"/>
        </w:rPr>
        <w:t>,</w:t>
      </w:r>
      <w:r w:rsidRPr="00D62731">
        <w:rPr>
          <w:rFonts w:ascii="Times New Roman" w:hAnsi="Times New Roman" w:cs="Times New Roman"/>
          <w:sz w:val="28"/>
          <w:szCs w:val="28"/>
        </w:rPr>
        <w:t xml:space="preserve"> </w:t>
      </w:r>
      <w:r w:rsidR="00484E04">
        <w:rPr>
          <w:rFonts w:ascii="Times New Roman" w:hAnsi="Times New Roman" w:cs="Times New Roman"/>
          <w:sz w:val="28"/>
          <w:szCs w:val="28"/>
        </w:rPr>
        <w:t>essendo trascorso</w:t>
      </w:r>
      <w:r w:rsidRPr="00D62731">
        <w:rPr>
          <w:rFonts w:ascii="Times New Roman" w:hAnsi="Times New Roman" w:cs="Times New Roman"/>
          <w:sz w:val="28"/>
          <w:szCs w:val="28"/>
        </w:rPr>
        <w:t xml:space="preserve"> </w:t>
      </w:r>
      <w:r w:rsidR="00484E04">
        <w:rPr>
          <w:rFonts w:ascii="Times New Roman" w:hAnsi="Times New Roman" w:cs="Times New Roman"/>
          <w:sz w:val="28"/>
          <w:szCs w:val="28"/>
        </w:rPr>
        <w:t>un</w:t>
      </w:r>
      <w:r w:rsidRPr="00D62731">
        <w:rPr>
          <w:rFonts w:ascii="Times New Roman" w:hAnsi="Times New Roman" w:cs="Times New Roman"/>
          <w:sz w:val="28"/>
          <w:szCs w:val="28"/>
        </w:rPr>
        <w:t xml:space="preserve"> determinato lasso di tempo.</w:t>
      </w:r>
    </w:p>
    <w:p w14:paraId="603CF542" w14:textId="7B04EA54" w:rsidR="00BF038C" w:rsidRDefault="00484E04" w:rsidP="00585404">
      <w:pPr>
        <w:pStyle w:val="Testonotaapidipagina"/>
        <w:jc w:val="both"/>
        <w:rPr>
          <w:rFonts w:ascii="Times New Roman" w:hAnsi="Times New Roman" w:cs="Times New Roman"/>
          <w:sz w:val="28"/>
          <w:szCs w:val="28"/>
        </w:rPr>
      </w:pPr>
      <w:r>
        <w:rPr>
          <w:rFonts w:ascii="Times New Roman" w:hAnsi="Times New Roman" w:cs="Times New Roman"/>
          <w:sz w:val="28"/>
          <w:szCs w:val="28"/>
        </w:rPr>
        <w:t>Il diritto all’oblio è un tema molto interessante</w:t>
      </w:r>
      <w:r w:rsidR="00BF038C">
        <w:rPr>
          <w:rFonts w:ascii="Times New Roman" w:hAnsi="Times New Roman" w:cs="Times New Roman"/>
          <w:sz w:val="28"/>
          <w:szCs w:val="28"/>
        </w:rPr>
        <w:t xml:space="preserve"> </w:t>
      </w:r>
      <w:r>
        <w:rPr>
          <w:rFonts w:ascii="Times New Roman" w:hAnsi="Times New Roman" w:cs="Times New Roman"/>
          <w:sz w:val="28"/>
          <w:szCs w:val="28"/>
        </w:rPr>
        <w:t>ed esprime il più ampio diritto</w:t>
      </w:r>
      <w:r w:rsidR="00585404" w:rsidRPr="00D62731">
        <w:rPr>
          <w:rFonts w:ascii="Times New Roman" w:hAnsi="Times New Roman" w:cs="Times New Roman"/>
          <w:sz w:val="28"/>
          <w:szCs w:val="28"/>
        </w:rPr>
        <w:t xml:space="preserve"> </w:t>
      </w:r>
      <w:r>
        <w:rPr>
          <w:rFonts w:ascii="Times New Roman" w:hAnsi="Times New Roman" w:cs="Times New Roman"/>
          <w:sz w:val="28"/>
          <w:szCs w:val="28"/>
        </w:rPr>
        <w:t xml:space="preserve">del singolo </w:t>
      </w:r>
      <w:r w:rsidR="00585404" w:rsidRPr="00D62731">
        <w:rPr>
          <w:rFonts w:ascii="Times New Roman" w:hAnsi="Times New Roman" w:cs="Times New Roman"/>
          <w:sz w:val="28"/>
          <w:szCs w:val="28"/>
        </w:rPr>
        <w:t>alla protezione dei dati personal</w:t>
      </w:r>
      <w:r>
        <w:rPr>
          <w:rFonts w:ascii="Times New Roman" w:hAnsi="Times New Roman" w:cs="Times New Roman"/>
          <w:sz w:val="28"/>
          <w:szCs w:val="28"/>
        </w:rPr>
        <w:t>i</w:t>
      </w:r>
      <w:r w:rsidR="00585404" w:rsidRPr="00D62731">
        <w:rPr>
          <w:rFonts w:ascii="Times New Roman" w:hAnsi="Times New Roman" w:cs="Times New Roman"/>
          <w:sz w:val="28"/>
          <w:szCs w:val="28"/>
        </w:rPr>
        <w:t xml:space="preserve"> che </w:t>
      </w:r>
      <w:r>
        <w:rPr>
          <w:rFonts w:ascii="Times New Roman" w:hAnsi="Times New Roman" w:cs="Times New Roman"/>
          <w:sz w:val="28"/>
          <w:szCs w:val="28"/>
        </w:rPr>
        <w:t>lo</w:t>
      </w:r>
      <w:r w:rsidR="00585404" w:rsidRPr="00D62731">
        <w:rPr>
          <w:rFonts w:ascii="Times New Roman" w:hAnsi="Times New Roman" w:cs="Times New Roman"/>
          <w:sz w:val="28"/>
          <w:szCs w:val="28"/>
        </w:rPr>
        <w:t xml:space="preserve"> riguardano</w:t>
      </w:r>
      <w:r>
        <w:rPr>
          <w:rFonts w:ascii="Times New Roman" w:hAnsi="Times New Roman" w:cs="Times New Roman"/>
          <w:sz w:val="28"/>
          <w:szCs w:val="28"/>
        </w:rPr>
        <w:t xml:space="preserve">; tuttavia, non si configura come diritto </w:t>
      </w:r>
      <w:r w:rsidR="00585404" w:rsidRPr="00D62731">
        <w:rPr>
          <w:rFonts w:ascii="Times New Roman" w:hAnsi="Times New Roman" w:cs="Times New Roman"/>
          <w:sz w:val="28"/>
          <w:szCs w:val="28"/>
        </w:rPr>
        <w:t xml:space="preserve">assoluto, </w:t>
      </w:r>
      <w:r>
        <w:rPr>
          <w:rFonts w:ascii="Times New Roman" w:hAnsi="Times New Roman" w:cs="Times New Roman"/>
          <w:sz w:val="28"/>
          <w:szCs w:val="28"/>
        </w:rPr>
        <w:t xml:space="preserve">essendo necessario un bilanciamento </w:t>
      </w:r>
      <w:r w:rsidR="00585404" w:rsidRPr="00D62731">
        <w:rPr>
          <w:rFonts w:ascii="Times New Roman" w:hAnsi="Times New Roman" w:cs="Times New Roman"/>
          <w:sz w:val="28"/>
          <w:szCs w:val="28"/>
        </w:rPr>
        <w:t>con l’interesse economico del gestore del motore di ricerca e con l’interesse pubblico ad accedere alle informazioni</w:t>
      </w:r>
      <w:r>
        <w:rPr>
          <w:rFonts w:ascii="Times New Roman" w:hAnsi="Times New Roman" w:cs="Times New Roman"/>
          <w:sz w:val="28"/>
          <w:szCs w:val="28"/>
        </w:rPr>
        <w:t xml:space="preserve"> contenute anche </w:t>
      </w:r>
      <w:r w:rsidRPr="008C5F33">
        <w:rPr>
          <w:rFonts w:ascii="Times New Roman" w:hAnsi="Times New Roman" w:cs="Times New Roman"/>
          <w:i/>
          <w:iCs/>
          <w:sz w:val="28"/>
          <w:szCs w:val="28"/>
        </w:rPr>
        <w:t>online</w:t>
      </w:r>
      <w:r>
        <w:rPr>
          <w:rFonts w:ascii="Times New Roman" w:hAnsi="Times New Roman" w:cs="Times New Roman"/>
          <w:sz w:val="28"/>
          <w:szCs w:val="28"/>
        </w:rPr>
        <w:t>.</w:t>
      </w:r>
    </w:p>
    <w:p w14:paraId="7AAF39B4" w14:textId="2EB04A2A" w:rsidR="00585404" w:rsidRPr="00D62731" w:rsidRDefault="00703118" w:rsidP="00585404">
      <w:pPr>
        <w:pStyle w:val="Testonotaapidipagina"/>
        <w:jc w:val="both"/>
        <w:rPr>
          <w:rFonts w:ascii="Times New Roman" w:hAnsi="Times New Roman" w:cs="Times New Roman"/>
          <w:sz w:val="28"/>
          <w:szCs w:val="28"/>
        </w:rPr>
      </w:pPr>
      <w:r>
        <w:rPr>
          <w:rFonts w:ascii="Times New Roman" w:hAnsi="Times New Roman" w:cs="Times New Roman"/>
          <w:sz w:val="28"/>
          <w:szCs w:val="28"/>
        </w:rPr>
        <w:t>Eppure,</w:t>
      </w:r>
      <w:r w:rsidR="00BF038C">
        <w:rPr>
          <w:rFonts w:ascii="Times New Roman" w:hAnsi="Times New Roman" w:cs="Times New Roman"/>
          <w:sz w:val="28"/>
          <w:szCs w:val="28"/>
        </w:rPr>
        <w:t xml:space="preserve"> l</w:t>
      </w:r>
      <w:r w:rsidR="00585404" w:rsidRPr="00D62731">
        <w:rPr>
          <w:rFonts w:ascii="Times New Roman" w:hAnsi="Times New Roman" w:cs="Times New Roman"/>
          <w:sz w:val="28"/>
          <w:szCs w:val="28"/>
        </w:rPr>
        <w:t>a riforma</w:t>
      </w:r>
      <w:r w:rsidR="00BF038C">
        <w:rPr>
          <w:rFonts w:ascii="Times New Roman" w:hAnsi="Times New Roman" w:cs="Times New Roman"/>
          <w:sz w:val="28"/>
          <w:szCs w:val="28"/>
        </w:rPr>
        <w:t>, che</w:t>
      </w:r>
      <w:r w:rsidR="00585404" w:rsidRPr="00D62731">
        <w:rPr>
          <w:rFonts w:ascii="Times New Roman" w:hAnsi="Times New Roman" w:cs="Times New Roman"/>
          <w:sz w:val="28"/>
          <w:szCs w:val="28"/>
        </w:rPr>
        <w:t xml:space="preserve"> </w:t>
      </w:r>
      <w:r w:rsidR="00BF038C">
        <w:rPr>
          <w:rFonts w:ascii="Times New Roman" w:hAnsi="Times New Roman" w:cs="Times New Roman"/>
          <w:sz w:val="28"/>
          <w:szCs w:val="28"/>
        </w:rPr>
        <w:t>si incentra sulle</w:t>
      </w:r>
      <w:r w:rsidR="00585404" w:rsidRPr="00D62731">
        <w:rPr>
          <w:rFonts w:ascii="Times New Roman" w:hAnsi="Times New Roman" w:cs="Times New Roman"/>
          <w:sz w:val="28"/>
          <w:szCs w:val="28"/>
        </w:rPr>
        <w:t xml:space="preserve"> informazioni di carattere giudiziario</w:t>
      </w:r>
      <w:r>
        <w:rPr>
          <w:rFonts w:ascii="Times New Roman" w:hAnsi="Times New Roman" w:cs="Times New Roman"/>
          <w:sz w:val="28"/>
          <w:szCs w:val="28"/>
        </w:rPr>
        <w:t>,</w:t>
      </w:r>
      <w:r w:rsidR="00BF038C" w:rsidRPr="00D62731">
        <w:rPr>
          <w:rFonts w:ascii="Times New Roman" w:hAnsi="Times New Roman" w:cs="Times New Roman"/>
          <w:sz w:val="28"/>
          <w:szCs w:val="28"/>
        </w:rPr>
        <w:t xml:space="preserve"> </w:t>
      </w:r>
      <w:r w:rsidR="00BF038C">
        <w:rPr>
          <w:rFonts w:ascii="Times New Roman" w:hAnsi="Times New Roman" w:cs="Times New Roman"/>
          <w:sz w:val="28"/>
          <w:szCs w:val="28"/>
        </w:rPr>
        <w:t>sembrerebbe</w:t>
      </w:r>
      <w:r w:rsidR="00585404" w:rsidRPr="00D62731">
        <w:rPr>
          <w:rFonts w:ascii="Times New Roman" w:hAnsi="Times New Roman" w:cs="Times New Roman"/>
          <w:sz w:val="28"/>
          <w:szCs w:val="28"/>
        </w:rPr>
        <w:t xml:space="preserve"> </w:t>
      </w:r>
      <w:r w:rsidR="00BF038C">
        <w:rPr>
          <w:rFonts w:ascii="Times New Roman" w:hAnsi="Times New Roman" w:cs="Times New Roman"/>
          <w:sz w:val="28"/>
          <w:szCs w:val="28"/>
        </w:rPr>
        <w:t>fornire</w:t>
      </w:r>
      <w:r w:rsidR="00585404" w:rsidRPr="00D62731">
        <w:rPr>
          <w:rFonts w:ascii="Times New Roman" w:hAnsi="Times New Roman" w:cs="Times New Roman"/>
          <w:sz w:val="28"/>
          <w:szCs w:val="28"/>
        </w:rPr>
        <w:t xml:space="preserve"> </w:t>
      </w:r>
      <w:r w:rsidR="00BF038C">
        <w:rPr>
          <w:rFonts w:ascii="Times New Roman" w:hAnsi="Times New Roman" w:cs="Times New Roman"/>
          <w:sz w:val="28"/>
          <w:szCs w:val="28"/>
        </w:rPr>
        <w:t xml:space="preserve">una </w:t>
      </w:r>
      <w:r w:rsidR="00585404" w:rsidRPr="00D62731">
        <w:rPr>
          <w:rFonts w:ascii="Times New Roman" w:hAnsi="Times New Roman" w:cs="Times New Roman"/>
          <w:sz w:val="28"/>
          <w:szCs w:val="28"/>
        </w:rPr>
        <w:t xml:space="preserve">tutela non suscettibile di bilanciamento con </w:t>
      </w:r>
      <w:r w:rsidR="008C5F33">
        <w:rPr>
          <w:rFonts w:ascii="Times New Roman" w:hAnsi="Times New Roman" w:cs="Times New Roman"/>
          <w:sz w:val="28"/>
          <w:szCs w:val="28"/>
        </w:rPr>
        <w:t xml:space="preserve">gli </w:t>
      </w:r>
      <w:r w:rsidR="00585404" w:rsidRPr="00D62731">
        <w:rPr>
          <w:rFonts w:ascii="Times New Roman" w:hAnsi="Times New Roman" w:cs="Times New Roman"/>
          <w:sz w:val="28"/>
          <w:szCs w:val="28"/>
        </w:rPr>
        <w:t>interessi contrapposti</w:t>
      </w:r>
      <w:r w:rsidR="00BF038C" w:rsidRPr="00D62731">
        <w:rPr>
          <w:rFonts w:ascii="Times New Roman" w:hAnsi="Times New Roman" w:cs="Times New Roman"/>
          <w:sz w:val="28"/>
          <w:szCs w:val="28"/>
        </w:rPr>
        <w:t xml:space="preserve">: qualora, infatti, un procedimento penale si </w:t>
      </w:r>
      <w:r>
        <w:rPr>
          <w:rFonts w:ascii="Times New Roman" w:hAnsi="Times New Roman" w:cs="Times New Roman"/>
          <w:sz w:val="28"/>
          <w:szCs w:val="28"/>
        </w:rPr>
        <w:t>concluda</w:t>
      </w:r>
      <w:r w:rsidR="00BF038C" w:rsidRPr="00D62731">
        <w:rPr>
          <w:rFonts w:ascii="Times New Roman" w:hAnsi="Times New Roman" w:cs="Times New Roman"/>
          <w:sz w:val="28"/>
          <w:szCs w:val="28"/>
        </w:rPr>
        <w:t xml:space="preserve"> in senso favorevole </w:t>
      </w:r>
      <w:r>
        <w:rPr>
          <w:rFonts w:ascii="Times New Roman" w:hAnsi="Times New Roman" w:cs="Times New Roman"/>
          <w:sz w:val="28"/>
          <w:szCs w:val="28"/>
        </w:rPr>
        <w:t>al</w:t>
      </w:r>
      <w:r w:rsidR="00BF038C" w:rsidRPr="00D62731">
        <w:rPr>
          <w:rFonts w:ascii="Times New Roman" w:hAnsi="Times New Roman" w:cs="Times New Roman"/>
          <w:sz w:val="28"/>
          <w:szCs w:val="28"/>
        </w:rPr>
        <w:t>l’indagato/imputato</w:t>
      </w:r>
      <w:r w:rsidR="00BF038C">
        <w:rPr>
          <w:rFonts w:ascii="Times New Roman" w:hAnsi="Times New Roman" w:cs="Times New Roman"/>
          <w:sz w:val="28"/>
          <w:szCs w:val="28"/>
        </w:rPr>
        <w:t>, si pone come preminente il</w:t>
      </w:r>
      <w:r w:rsidR="00BF038C" w:rsidRPr="00D62731">
        <w:rPr>
          <w:rFonts w:ascii="Times New Roman" w:hAnsi="Times New Roman" w:cs="Times New Roman"/>
          <w:sz w:val="28"/>
          <w:szCs w:val="28"/>
        </w:rPr>
        <w:t xml:space="preserve"> diritto dell’interessato alla deindicizzazione </w:t>
      </w:r>
      <w:r w:rsidR="00BF038C">
        <w:rPr>
          <w:rFonts w:ascii="Times New Roman" w:hAnsi="Times New Roman" w:cs="Times New Roman"/>
          <w:sz w:val="28"/>
          <w:szCs w:val="28"/>
        </w:rPr>
        <w:t>dei dati e delle</w:t>
      </w:r>
      <w:r w:rsidR="00BF038C" w:rsidRPr="00D62731">
        <w:rPr>
          <w:rFonts w:ascii="Times New Roman" w:hAnsi="Times New Roman" w:cs="Times New Roman"/>
          <w:sz w:val="28"/>
          <w:szCs w:val="28"/>
        </w:rPr>
        <w:t xml:space="preserve"> notizie ad esso relative</w:t>
      </w:r>
      <w:r w:rsidR="00BF038C">
        <w:rPr>
          <w:rFonts w:ascii="Times New Roman" w:hAnsi="Times New Roman" w:cs="Times New Roman"/>
          <w:sz w:val="28"/>
          <w:szCs w:val="28"/>
        </w:rPr>
        <w:t>.</w:t>
      </w:r>
    </w:p>
    <w:p w14:paraId="6C0200A5" w14:textId="77777777" w:rsidR="00703118" w:rsidRDefault="00703118" w:rsidP="00585404">
      <w:pPr>
        <w:pStyle w:val="Testonotaapidipagina"/>
        <w:jc w:val="both"/>
        <w:rPr>
          <w:rFonts w:ascii="Times New Roman" w:hAnsi="Times New Roman" w:cs="Times New Roman"/>
          <w:sz w:val="28"/>
          <w:szCs w:val="28"/>
        </w:rPr>
      </w:pPr>
      <w:r>
        <w:rPr>
          <w:rFonts w:ascii="Times New Roman" w:hAnsi="Times New Roman" w:cs="Times New Roman"/>
          <w:sz w:val="28"/>
          <w:szCs w:val="28"/>
        </w:rPr>
        <w:t>In tutti gli altri casi, invece, si ricorrerà ai</w:t>
      </w:r>
      <w:r w:rsidR="00585404" w:rsidRPr="00D62731">
        <w:rPr>
          <w:rFonts w:ascii="Times New Roman" w:hAnsi="Times New Roman" w:cs="Times New Roman"/>
          <w:sz w:val="28"/>
          <w:szCs w:val="28"/>
        </w:rPr>
        <w:t xml:space="preserve"> presupposti, positivi e negativi, individuati dall’art. 17 GDPR e precisati dalla giurisprudenza</w:t>
      </w:r>
      <w:r>
        <w:rPr>
          <w:rFonts w:ascii="Times New Roman" w:hAnsi="Times New Roman" w:cs="Times New Roman"/>
          <w:sz w:val="28"/>
          <w:szCs w:val="28"/>
        </w:rPr>
        <w:t xml:space="preserve"> (si pensi, </w:t>
      </w:r>
      <w:r w:rsidR="00585404" w:rsidRPr="00D62731">
        <w:rPr>
          <w:rFonts w:ascii="Times New Roman" w:hAnsi="Times New Roman" w:cs="Times New Roman"/>
          <w:sz w:val="28"/>
          <w:szCs w:val="28"/>
        </w:rPr>
        <w:t>ad esempio</w:t>
      </w:r>
      <w:r>
        <w:rPr>
          <w:rFonts w:ascii="Times New Roman" w:hAnsi="Times New Roman" w:cs="Times New Roman"/>
          <w:sz w:val="28"/>
          <w:szCs w:val="28"/>
        </w:rPr>
        <w:t>, al</w:t>
      </w:r>
      <w:r w:rsidR="00585404" w:rsidRPr="00D62731">
        <w:rPr>
          <w:rFonts w:ascii="Times New Roman" w:hAnsi="Times New Roman" w:cs="Times New Roman"/>
          <w:sz w:val="28"/>
          <w:szCs w:val="28"/>
        </w:rPr>
        <w:t>l’insussistenza di un interesse pubblico specifico e attuale alla diffusione della notizia</w:t>
      </w:r>
      <w:r>
        <w:rPr>
          <w:rFonts w:ascii="Times New Roman" w:hAnsi="Times New Roman" w:cs="Times New Roman"/>
          <w:sz w:val="28"/>
          <w:szCs w:val="28"/>
        </w:rPr>
        <w:t xml:space="preserve">). </w:t>
      </w:r>
    </w:p>
    <w:p w14:paraId="0159B64A" w14:textId="77777777" w:rsidR="001B73DA" w:rsidRDefault="00703118" w:rsidP="00585404">
      <w:pPr>
        <w:pStyle w:val="Testonotaapidipagina"/>
        <w:jc w:val="both"/>
        <w:rPr>
          <w:rFonts w:ascii="Times New Roman" w:hAnsi="Times New Roman" w:cs="Times New Roman"/>
          <w:sz w:val="28"/>
          <w:szCs w:val="28"/>
        </w:rPr>
      </w:pPr>
      <w:r>
        <w:rPr>
          <w:rFonts w:ascii="Times New Roman" w:hAnsi="Times New Roman" w:cs="Times New Roman"/>
          <w:sz w:val="28"/>
          <w:szCs w:val="28"/>
        </w:rPr>
        <w:t>Come è stato osservato dalla dottrina, il</w:t>
      </w:r>
      <w:r w:rsidR="00585404" w:rsidRPr="00D62731">
        <w:rPr>
          <w:rFonts w:ascii="Times New Roman" w:hAnsi="Times New Roman" w:cs="Times New Roman"/>
          <w:sz w:val="28"/>
          <w:szCs w:val="28"/>
        </w:rPr>
        <w:t xml:space="preserve"> riferimento alla «deindicizzazione» sembrerebbe </w:t>
      </w:r>
      <w:r>
        <w:rPr>
          <w:rFonts w:ascii="Times New Roman" w:hAnsi="Times New Roman" w:cs="Times New Roman"/>
          <w:sz w:val="28"/>
          <w:szCs w:val="28"/>
        </w:rPr>
        <w:t>«</w:t>
      </w:r>
      <w:r w:rsidR="00585404" w:rsidRPr="00703118">
        <w:rPr>
          <w:rFonts w:ascii="Times New Roman" w:hAnsi="Times New Roman" w:cs="Times New Roman"/>
          <w:i/>
          <w:iCs/>
          <w:sz w:val="28"/>
          <w:szCs w:val="28"/>
        </w:rPr>
        <w:t>limitare la portata di questo “speciale” diritto all’oblio al solo contesto dei motori di ricerca e affini, lasciando impregiudicata la facoltà di editori e responsabili di testate giornalistiche o telematiche di pubblicare, conservare su archivi telematici e rendere accessibili sul proprio sito web notizie relative a procedimenti penali (passati), pur se definiti con archiviazione, non luogo a procedere o assoluzione</w:t>
      </w:r>
      <w:r>
        <w:rPr>
          <w:rFonts w:ascii="Times New Roman" w:hAnsi="Times New Roman" w:cs="Times New Roman"/>
          <w:sz w:val="28"/>
          <w:szCs w:val="28"/>
        </w:rPr>
        <w:t>»</w:t>
      </w:r>
      <w:r>
        <w:rPr>
          <w:rStyle w:val="Rimandonotaapidipagina"/>
          <w:rFonts w:ascii="Times New Roman" w:hAnsi="Times New Roman" w:cs="Times New Roman"/>
          <w:sz w:val="28"/>
          <w:szCs w:val="28"/>
        </w:rPr>
        <w:footnoteReference w:id="62"/>
      </w:r>
      <w:r w:rsidR="00585404" w:rsidRPr="00D62731">
        <w:rPr>
          <w:rFonts w:ascii="Times New Roman" w:hAnsi="Times New Roman" w:cs="Times New Roman"/>
          <w:sz w:val="28"/>
          <w:szCs w:val="28"/>
        </w:rPr>
        <w:t xml:space="preserve">. </w:t>
      </w:r>
    </w:p>
    <w:p w14:paraId="5FCC0AD2" w14:textId="381D683C" w:rsidR="00585404" w:rsidRDefault="001B73DA" w:rsidP="00585404">
      <w:pPr>
        <w:pStyle w:val="Testonotaapidipagina"/>
        <w:jc w:val="both"/>
        <w:rPr>
          <w:rFonts w:ascii="Times New Roman" w:hAnsi="Times New Roman" w:cs="Times New Roman"/>
          <w:sz w:val="28"/>
          <w:szCs w:val="28"/>
        </w:rPr>
      </w:pPr>
      <w:r>
        <w:rPr>
          <w:rFonts w:ascii="Times New Roman" w:hAnsi="Times New Roman" w:cs="Times New Roman"/>
          <w:sz w:val="28"/>
          <w:szCs w:val="28"/>
        </w:rPr>
        <w:t>In questo caso si applicherà la disciplina generale, come</w:t>
      </w:r>
      <w:r w:rsidR="00585404" w:rsidRPr="00D62731">
        <w:rPr>
          <w:rFonts w:ascii="Times New Roman" w:hAnsi="Times New Roman" w:cs="Times New Roman"/>
          <w:sz w:val="28"/>
          <w:szCs w:val="28"/>
        </w:rPr>
        <w:t xml:space="preserve"> interpretata dalle Sezioni Unite della </w:t>
      </w:r>
      <w:r>
        <w:rPr>
          <w:rFonts w:ascii="Times New Roman" w:hAnsi="Times New Roman" w:cs="Times New Roman"/>
          <w:sz w:val="28"/>
          <w:szCs w:val="28"/>
        </w:rPr>
        <w:t xml:space="preserve">Corte di </w:t>
      </w:r>
      <w:r w:rsidR="00585404" w:rsidRPr="00D62731">
        <w:rPr>
          <w:rFonts w:ascii="Times New Roman" w:hAnsi="Times New Roman" w:cs="Times New Roman"/>
          <w:sz w:val="28"/>
          <w:szCs w:val="28"/>
        </w:rPr>
        <w:t xml:space="preserve">Cassazione </w:t>
      </w:r>
      <w:r>
        <w:rPr>
          <w:rFonts w:ascii="Times New Roman" w:hAnsi="Times New Roman" w:cs="Times New Roman"/>
          <w:sz w:val="28"/>
          <w:szCs w:val="28"/>
        </w:rPr>
        <w:t xml:space="preserve">nella </w:t>
      </w:r>
      <w:r w:rsidR="00585404" w:rsidRPr="00D62731">
        <w:rPr>
          <w:rFonts w:ascii="Times New Roman" w:hAnsi="Times New Roman" w:cs="Times New Roman"/>
          <w:sz w:val="28"/>
          <w:szCs w:val="28"/>
        </w:rPr>
        <w:t>sent</w:t>
      </w:r>
      <w:r>
        <w:rPr>
          <w:rFonts w:ascii="Times New Roman" w:hAnsi="Times New Roman" w:cs="Times New Roman"/>
          <w:sz w:val="28"/>
          <w:szCs w:val="28"/>
        </w:rPr>
        <w:t xml:space="preserve">enza </w:t>
      </w:r>
      <w:r w:rsidR="00585404" w:rsidRPr="00D62731">
        <w:rPr>
          <w:rFonts w:ascii="Times New Roman" w:hAnsi="Times New Roman" w:cs="Times New Roman"/>
          <w:sz w:val="28"/>
          <w:szCs w:val="28"/>
        </w:rPr>
        <w:t>n. 1981</w:t>
      </w:r>
      <w:r>
        <w:rPr>
          <w:rFonts w:ascii="Times New Roman" w:hAnsi="Times New Roman" w:cs="Times New Roman"/>
          <w:sz w:val="28"/>
          <w:szCs w:val="28"/>
        </w:rPr>
        <w:t xml:space="preserve"> del </w:t>
      </w:r>
      <w:r w:rsidR="00585404" w:rsidRPr="00D62731">
        <w:rPr>
          <w:rFonts w:ascii="Times New Roman" w:hAnsi="Times New Roman" w:cs="Times New Roman"/>
          <w:sz w:val="28"/>
          <w:szCs w:val="28"/>
        </w:rPr>
        <w:t>2019</w:t>
      </w:r>
      <w:r>
        <w:rPr>
          <w:rFonts w:ascii="Times New Roman" w:hAnsi="Times New Roman" w:cs="Times New Roman"/>
          <w:sz w:val="28"/>
          <w:szCs w:val="28"/>
        </w:rPr>
        <w:t>,</w:t>
      </w:r>
      <w:r w:rsidR="00585404" w:rsidRPr="00D62731">
        <w:rPr>
          <w:rFonts w:ascii="Times New Roman" w:hAnsi="Times New Roman" w:cs="Times New Roman"/>
          <w:sz w:val="28"/>
          <w:szCs w:val="28"/>
        </w:rPr>
        <w:t xml:space="preserve"> che</w:t>
      </w:r>
      <w:r>
        <w:rPr>
          <w:rFonts w:ascii="Times New Roman" w:hAnsi="Times New Roman" w:cs="Times New Roman"/>
          <w:sz w:val="28"/>
          <w:szCs w:val="28"/>
        </w:rPr>
        <w:t xml:space="preserve"> ha</w:t>
      </w:r>
      <w:r w:rsidR="00585404" w:rsidRPr="00D62731">
        <w:rPr>
          <w:rFonts w:ascii="Times New Roman" w:hAnsi="Times New Roman" w:cs="Times New Roman"/>
          <w:sz w:val="28"/>
          <w:szCs w:val="28"/>
        </w:rPr>
        <w:t xml:space="preserve"> </w:t>
      </w:r>
      <w:r>
        <w:rPr>
          <w:rFonts w:ascii="Times New Roman" w:hAnsi="Times New Roman" w:cs="Times New Roman"/>
          <w:sz w:val="28"/>
          <w:szCs w:val="28"/>
        </w:rPr>
        <w:t>ribadito</w:t>
      </w:r>
      <w:r w:rsidR="00585404" w:rsidRPr="00D62731">
        <w:rPr>
          <w:rFonts w:ascii="Times New Roman" w:hAnsi="Times New Roman" w:cs="Times New Roman"/>
          <w:sz w:val="28"/>
          <w:szCs w:val="28"/>
        </w:rPr>
        <w:t xml:space="preserve"> </w:t>
      </w:r>
      <w:r>
        <w:rPr>
          <w:rFonts w:ascii="Times New Roman" w:hAnsi="Times New Roman" w:cs="Times New Roman"/>
          <w:sz w:val="28"/>
          <w:szCs w:val="28"/>
        </w:rPr>
        <w:t>la necessità</w:t>
      </w:r>
      <w:r w:rsidR="00585404" w:rsidRPr="00D62731">
        <w:rPr>
          <w:rFonts w:ascii="Times New Roman" w:hAnsi="Times New Roman" w:cs="Times New Roman"/>
          <w:sz w:val="28"/>
          <w:szCs w:val="28"/>
        </w:rPr>
        <w:t xml:space="preserve"> di </w:t>
      </w:r>
      <w:r>
        <w:rPr>
          <w:rFonts w:ascii="Times New Roman" w:hAnsi="Times New Roman" w:cs="Times New Roman"/>
          <w:sz w:val="28"/>
          <w:szCs w:val="28"/>
        </w:rPr>
        <w:t>bilanciare</w:t>
      </w:r>
      <w:r w:rsidR="00585404" w:rsidRPr="00D62731">
        <w:rPr>
          <w:rFonts w:ascii="Times New Roman" w:hAnsi="Times New Roman" w:cs="Times New Roman"/>
          <w:sz w:val="28"/>
          <w:szCs w:val="28"/>
        </w:rPr>
        <w:t xml:space="preserve"> la libertà delle scelte editoriali con la sussistenza di un attuale interesse della collettività alla notizia</w:t>
      </w:r>
      <w:r>
        <w:rPr>
          <w:rFonts w:ascii="Times New Roman" w:hAnsi="Times New Roman" w:cs="Times New Roman"/>
          <w:sz w:val="28"/>
          <w:szCs w:val="28"/>
        </w:rPr>
        <w:t xml:space="preserve"> e </w:t>
      </w:r>
      <w:r w:rsidR="00585404" w:rsidRPr="00D62731">
        <w:rPr>
          <w:rFonts w:ascii="Times New Roman" w:hAnsi="Times New Roman" w:cs="Times New Roman"/>
          <w:sz w:val="28"/>
          <w:szCs w:val="28"/>
        </w:rPr>
        <w:t>con l’impiego di modalità espressive non eccedenti lo scopo informativo.</w:t>
      </w:r>
    </w:p>
    <w:p w14:paraId="1D92A792" w14:textId="48CC5296" w:rsidR="00585404" w:rsidRPr="00D62731" w:rsidRDefault="00AF7665" w:rsidP="00D91CDF">
      <w:pPr>
        <w:pStyle w:val="Testonotaapidipagina"/>
        <w:jc w:val="both"/>
        <w:rPr>
          <w:rFonts w:ascii="Times New Roman" w:hAnsi="Times New Roman" w:cs="Times New Roman"/>
          <w:sz w:val="28"/>
          <w:szCs w:val="28"/>
        </w:rPr>
      </w:pPr>
      <w:r>
        <w:rPr>
          <w:rFonts w:ascii="Times New Roman" w:hAnsi="Times New Roman" w:cs="Times New Roman"/>
          <w:sz w:val="28"/>
          <w:szCs w:val="28"/>
        </w:rPr>
        <w:lastRenderedPageBreak/>
        <w:t>Comunque, la legge delega</w:t>
      </w:r>
      <w:r w:rsidR="00585404" w:rsidRPr="00D62731">
        <w:rPr>
          <w:rFonts w:ascii="Times New Roman" w:hAnsi="Times New Roman" w:cs="Times New Roman"/>
          <w:sz w:val="28"/>
          <w:szCs w:val="28"/>
        </w:rPr>
        <w:t xml:space="preserve"> non </w:t>
      </w:r>
      <w:r>
        <w:rPr>
          <w:rFonts w:ascii="Times New Roman" w:hAnsi="Times New Roman" w:cs="Times New Roman"/>
          <w:sz w:val="28"/>
          <w:szCs w:val="28"/>
        </w:rPr>
        <w:t>specifica</w:t>
      </w:r>
      <w:r w:rsidR="00585404" w:rsidRPr="00D62731">
        <w:rPr>
          <w:rFonts w:ascii="Times New Roman" w:hAnsi="Times New Roman" w:cs="Times New Roman"/>
          <w:sz w:val="28"/>
          <w:szCs w:val="28"/>
        </w:rPr>
        <w:t xml:space="preserve"> l</w:t>
      </w:r>
      <w:r>
        <w:rPr>
          <w:rFonts w:ascii="Times New Roman" w:hAnsi="Times New Roman" w:cs="Times New Roman"/>
          <w:sz w:val="28"/>
          <w:szCs w:val="28"/>
        </w:rPr>
        <w:t>a</w:t>
      </w:r>
      <w:r w:rsidR="00585404" w:rsidRPr="00D62731">
        <w:rPr>
          <w:rFonts w:ascii="Times New Roman" w:hAnsi="Times New Roman" w:cs="Times New Roman"/>
          <w:sz w:val="28"/>
          <w:szCs w:val="28"/>
        </w:rPr>
        <w:t xml:space="preserve"> form</w:t>
      </w:r>
      <w:r>
        <w:rPr>
          <w:rFonts w:ascii="Times New Roman" w:hAnsi="Times New Roman" w:cs="Times New Roman"/>
          <w:sz w:val="28"/>
          <w:szCs w:val="28"/>
        </w:rPr>
        <w:t>a o la procedura del «provvedimento di deindicizzazione»</w:t>
      </w:r>
      <w:r w:rsidR="00D91CDF">
        <w:rPr>
          <w:rFonts w:ascii="Times New Roman" w:hAnsi="Times New Roman" w:cs="Times New Roman"/>
          <w:sz w:val="28"/>
          <w:szCs w:val="28"/>
        </w:rPr>
        <w:t xml:space="preserve">; inoltre, bisognerà definire la </w:t>
      </w:r>
      <w:r w:rsidR="00585404" w:rsidRPr="00D62731">
        <w:rPr>
          <w:rFonts w:ascii="Times New Roman" w:hAnsi="Times New Roman" w:cs="Times New Roman"/>
          <w:sz w:val="28"/>
          <w:szCs w:val="28"/>
        </w:rPr>
        <w:t xml:space="preserve">portata territoriale dei provvedimenti di deindicizzazione, </w:t>
      </w:r>
      <w:r w:rsidR="00D91CDF">
        <w:rPr>
          <w:rFonts w:ascii="Times New Roman" w:hAnsi="Times New Roman" w:cs="Times New Roman"/>
          <w:sz w:val="28"/>
          <w:szCs w:val="28"/>
        </w:rPr>
        <w:t>data la necessità</w:t>
      </w:r>
      <w:r w:rsidR="00585404" w:rsidRPr="00D62731">
        <w:rPr>
          <w:rFonts w:ascii="Times New Roman" w:hAnsi="Times New Roman" w:cs="Times New Roman"/>
          <w:sz w:val="28"/>
          <w:szCs w:val="28"/>
        </w:rPr>
        <w:t xml:space="preserve"> di garantire una tutela effettiva nello spazio a-territoriale e globale della rete</w:t>
      </w:r>
      <w:r w:rsidR="00D91CDF">
        <w:rPr>
          <w:rFonts w:ascii="Times New Roman" w:hAnsi="Times New Roman" w:cs="Times New Roman"/>
          <w:sz w:val="28"/>
          <w:szCs w:val="28"/>
        </w:rPr>
        <w:t>. Su questo</w:t>
      </w:r>
      <w:r w:rsidR="00585404" w:rsidRPr="00D62731">
        <w:rPr>
          <w:rFonts w:ascii="Times New Roman" w:hAnsi="Times New Roman" w:cs="Times New Roman"/>
          <w:sz w:val="28"/>
          <w:szCs w:val="28"/>
        </w:rPr>
        <w:t xml:space="preserve"> aspetto si è </w:t>
      </w:r>
      <w:r w:rsidR="00D91CDF">
        <w:rPr>
          <w:rFonts w:ascii="Times New Roman" w:hAnsi="Times New Roman" w:cs="Times New Roman"/>
          <w:sz w:val="28"/>
          <w:szCs w:val="28"/>
        </w:rPr>
        <w:t>recentemente</w:t>
      </w:r>
      <w:r w:rsidR="00585404" w:rsidRPr="00D62731">
        <w:rPr>
          <w:rFonts w:ascii="Times New Roman" w:hAnsi="Times New Roman" w:cs="Times New Roman"/>
          <w:sz w:val="28"/>
          <w:szCs w:val="28"/>
        </w:rPr>
        <w:t xml:space="preserve"> pronunciata la Corte di Giustizia (nella causa C-507/17, Google/CNIL), </w:t>
      </w:r>
      <w:r w:rsidR="00D91CDF">
        <w:rPr>
          <w:rFonts w:ascii="Times New Roman" w:hAnsi="Times New Roman" w:cs="Times New Roman"/>
          <w:sz w:val="28"/>
          <w:szCs w:val="28"/>
        </w:rPr>
        <w:t>la quale ha specificato</w:t>
      </w:r>
      <w:r w:rsidR="00585404" w:rsidRPr="00D62731">
        <w:rPr>
          <w:rFonts w:ascii="Times New Roman" w:hAnsi="Times New Roman" w:cs="Times New Roman"/>
          <w:sz w:val="28"/>
          <w:szCs w:val="28"/>
        </w:rPr>
        <w:t xml:space="preserve"> che i gestori dei motori di ricerca </w:t>
      </w:r>
      <w:r w:rsidR="00D91CDF">
        <w:rPr>
          <w:rFonts w:ascii="Times New Roman" w:hAnsi="Times New Roman" w:cs="Times New Roman"/>
          <w:sz w:val="28"/>
          <w:szCs w:val="28"/>
        </w:rPr>
        <w:t>sono</w:t>
      </w:r>
      <w:r w:rsidR="00585404" w:rsidRPr="00D62731">
        <w:rPr>
          <w:rFonts w:ascii="Times New Roman" w:hAnsi="Times New Roman" w:cs="Times New Roman"/>
          <w:sz w:val="28"/>
          <w:szCs w:val="28"/>
        </w:rPr>
        <w:t xml:space="preserve"> tenuti a operare la deindicizzazione dei contenuti </w:t>
      </w:r>
      <w:r w:rsidR="00D91CDF">
        <w:rPr>
          <w:rFonts w:ascii="Times New Roman" w:hAnsi="Times New Roman" w:cs="Times New Roman"/>
          <w:sz w:val="28"/>
          <w:szCs w:val="28"/>
        </w:rPr>
        <w:t>indicati</w:t>
      </w:r>
      <w:r w:rsidR="00585404" w:rsidRPr="00D62731">
        <w:rPr>
          <w:rFonts w:ascii="Times New Roman" w:hAnsi="Times New Roman" w:cs="Times New Roman"/>
          <w:sz w:val="28"/>
          <w:szCs w:val="28"/>
        </w:rPr>
        <w:t xml:space="preserve"> dall’interessato nel solo ambito territoriale di tutti gli Stati membri dell’Unione.</w:t>
      </w:r>
    </w:p>
    <w:p w14:paraId="0CD5B6F5" w14:textId="3C3BD4BE" w:rsidR="007908B1" w:rsidRDefault="00D91CDF" w:rsidP="007908B1">
      <w:pPr>
        <w:spacing w:after="0"/>
        <w:jc w:val="both"/>
        <w:rPr>
          <w:rFonts w:ascii="Times New Roman" w:hAnsi="Times New Roman" w:cs="Times New Roman"/>
          <w:sz w:val="28"/>
          <w:szCs w:val="28"/>
        </w:rPr>
      </w:pPr>
      <w:r>
        <w:rPr>
          <w:rFonts w:ascii="Times New Roman" w:hAnsi="Times New Roman" w:cs="Times New Roman"/>
          <w:sz w:val="28"/>
          <w:szCs w:val="28"/>
        </w:rPr>
        <w:t xml:space="preserve">In conclusione, il </w:t>
      </w:r>
      <w:r w:rsidRPr="00D62731">
        <w:rPr>
          <w:rFonts w:ascii="Times New Roman" w:hAnsi="Times New Roman" w:cs="Times New Roman"/>
          <w:sz w:val="28"/>
          <w:szCs w:val="28"/>
        </w:rPr>
        <w:t xml:space="preserve">diritto alla deindicizzazione </w:t>
      </w:r>
      <w:r>
        <w:rPr>
          <w:rFonts w:ascii="Times New Roman" w:hAnsi="Times New Roman" w:cs="Times New Roman"/>
          <w:sz w:val="28"/>
          <w:szCs w:val="28"/>
        </w:rPr>
        <w:t>rappresenta il</w:t>
      </w:r>
      <w:r w:rsidR="00585404" w:rsidRPr="00D62731">
        <w:rPr>
          <w:rFonts w:ascii="Times New Roman" w:hAnsi="Times New Roman" w:cs="Times New Roman"/>
          <w:sz w:val="28"/>
          <w:szCs w:val="28"/>
        </w:rPr>
        <w:t xml:space="preserve"> crocevia tra </w:t>
      </w:r>
      <w:r w:rsidR="008C5F33">
        <w:rPr>
          <w:rFonts w:ascii="Times New Roman" w:hAnsi="Times New Roman" w:cs="Times New Roman"/>
          <w:sz w:val="28"/>
          <w:szCs w:val="28"/>
        </w:rPr>
        <w:t xml:space="preserve">la disciplina della </w:t>
      </w:r>
      <w:r w:rsidRPr="00D62731">
        <w:rPr>
          <w:rFonts w:ascii="Times New Roman" w:hAnsi="Times New Roman" w:cs="Times New Roman"/>
          <w:sz w:val="28"/>
          <w:szCs w:val="28"/>
        </w:rPr>
        <w:t xml:space="preserve">tutela dei dati personali </w:t>
      </w:r>
      <w:r>
        <w:rPr>
          <w:rFonts w:ascii="Times New Roman" w:hAnsi="Times New Roman" w:cs="Times New Roman"/>
          <w:sz w:val="28"/>
          <w:szCs w:val="28"/>
        </w:rPr>
        <w:t xml:space="preserve">e </w:t>
      </w:r>
      <w:r w:rsidR="008C5F33">
        <w:rPr>
          <w:rFonts w:ascii="Times New Roman" w:hAnsi="Times New Roman" w:cs="Times New Roman"/>
          <w:sz w:val="28"/>
          <w:szCs w:val="28"/>
        </w:rPr>
        <w:t xml:space="preserve">il </w:t>
      </w:r>
      <w:r w:rsidR="00585404" w:rsidRPr="00D62731">
        <w:rPr>
          <w:rFonts w:ascii="Times New Roman" w:hAnsi="Times New Roman" w:cs="Times New Roman"/>
          <w:sz w:val="28"/>
          <w:szCs w:val="28"/>
        </w:rPr>
        <w:t xml:space="preserve">diritto processuale penale </w:t>
      </w:r>
      <w:r>
        <w:rPr>
          <w:rFonts w:ascii="Times New Roman" w:hAnsi="Times New Roman" w:cs="Times New Roman"/>
          <w:sz w:val="28"/>
          <w:szCs w:val="28"/>
        </w:rPr>
        <w:t xml:space="preserve">ed esprime la necessità più ampia </w:t>
      </w:r>
      <w:r w:rsidR="00585404" w:rsidRPr="00D62731">
        <w:rPr>
          <w:rFonts w:ascii="Times New Roman" w:hAnsi="Times New Roman" w:cs="Times New Roman"/>
          <w:sz w:val="28"/>
          <w:szCs w:val="28"/>
        </w:rPr>
        <w:t xml:space="preserve">di adattare la disciplina del processo penale alle </w:t>
      </w:r>
      <w:r>
        <w:rPr>
          <w:rFonts w:ascii="Times New Roman" w:hAnsi="Times New Roman" w:cs="Times New Roman"/>
          <w:sz w:val="28"/>
          <w:szCs w:val="28"/>
        </w:rPr>
        <w:t>nuove</w:t>
      </w:r>
      <w:r w:rsidR="00585404" w:rsidRPr="00D62731">
        <w:rPr>
          <w:rFonts w:ascii="Times New Roman" w:hAnsi="Times New Roman" w:cs="Times New Roman"/>
          <w:sz w:val="28"/>
          <w:szCs w:val="28"/>
        </w:rPr>
        <w:t xml:space="preserve"> esigenze della società digitale</w:t>
      </w:r>
      <w:r>
        <w:rPr>
          <w:rFonts w:ascii="Times New Roman" w:hAnsi="Times New Roman" w:cs="Times New Roman"/>
          <w:sz w:val="28"/>
          <w:szCs w:val="28"/>
        </w:rPr>
        <w:t xml:space="preserve">, collegandosi </w:t>
      </w:r>
      <w:r w:rsidR="00585404" w:rsidRPr="00D62731">
        <w:rPr>
          <w:rFonts w:ascii="Times New Roman" w:hAnsi="Times New Roman" w:cs="Times New Roman"/>
          <w:sz w:val="28"/>
          <w:szCs w:val="28"/>
        </w:rPr>
        <w:t>con il recente decreto legislativo</w:t>
      </w:r>
      <w:r w:rsidR="007908B1">
        <w:rPr>
          <w:rFonts w:ascii="Times New Roman" w:hAnsi="Times New Roman" w:cs="Times New Roman"/>
          <w:sz w:val="28"/>
          <w:szCs w:val="28"/>
        </w:rPr>
        <w:t xml:space="preserve"> </w:t>
      </w:r>
      <w:r w:rsidR="00585404" w:rsidRPr="00D62731">
        <w:rPr>
          <w:rFonts w:ascii="Times New Roman" w:hAnsi="Times New Roman" w:cs="Times New Roman"/>
          <w:sz w:val="28"/>
          <w:szCs w:val="28"/>
        </w:rPr>
        <w:t>di attuazione della direttiva UE 2016/343 in materia di presunzione di innocenza</w:t>
      </w:r>
      <w:r w:rsidR="007908B1" w:rsidRPr="007908B1">
        <w:rPr>
          <w:rFonts w:ascii="Times New Roman" w:hAnsi="Times New Roman" w:cs="Times New Roman"/>
          <w:sz w:val="28"/>
          <w:szCs w:val="28"/>
        </w:rPr>
        <w:t xml:space="preserve"> </w:t>
      </w:r>
      <w:r w:rsidR="007908B1" w:rsidRPr="00D62731">
        <w:rPr>
          <w:rFonts w:ascii="Times New Roman" w:hAnsi="Times New Roman" w:cs="Times New Roman"/>
          <w:sz w:val="28"/>
          <w:szCs w:val="28"/>
        </w:rPr>
        <w:t xml:space="preserve">approvato </w:t>
      </w:r>
      <w:r w:rsidR="00351783">
        <w:rPr>
          <w:rFonts w:ascii="Times New Roman" w:hAnsi="Times New Roman" w:cs="Times New Roman"/>
          <w:sz w:val="28"/>
          <w:szCs w:val="28"/>
        </w:rPr>
        <w:t xml:space="preserve">l’8 </w:t>
      </w:r>
      <w:r w:rsidR="007908B1" w:rsidRPr="00D62731">
        <w:rPr>
          <w:rFonts w:ascii="Times New Roman" w:hAnsi="Times New Roman" w:cs="Times New Roman"/>
          <w:sz w:val="28"/>
          <w:szCs w:val="28"/>
        </w:rPr>
        <w:t>novembre 2021</w:t>
      </w:r>
      <w:r w:rsidR="00087513">
        <w:rPr>
          <w:rStyle w:val="Rimandonotaapidipagina"/>
          <w:rFonts w:ascii="Times New Roman" w:hAnsi="Times New Roman" w:cs="Times New Roman"/>
          <w:sz w:val="28"/>
          <w:szCs w:val="28"/>
        </w:rPr>
        <w:footnoteReference w:id="63"/>
      </w:r>
      <w:r w:rsidR="007908B1">
        <w:rPr>
          <w:rFonts w:ascii="Times New Roman" w:hAnsi="Times New Roman" w:cs="Times New Roman"/>
          <w:sz w:val="28"/>
          <w:szCs w:val="28"/>
        </w:rPr>
        <w:t xml:space="preserve">. </w:t>
      </w:r>
    </w:p>
    <w:p w14:paraId="336B2AD6" w14:textId="414CC2D7" w:rsidR="00585404" w:rsidRPr="00D91CDF" w:rsidRDefault="007908B1" w:rsidP="007908B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Si tratta di una misura che rientra tra quelle previste </w:t>
      </w:r>
      <w:r w:rsidR="00033EFD">
        <w:rPr>
          <w:rFonts w:ascii="Times New Roman" w:hAnsi="Times New Roman" w:cs="Times New Roman"/>
          <w:sz w:val="28"/>
          <w:szCs w:val="28"/>
        </w:rPr>
        <w:t>dal</w:t>
      </w:r>
      <w:r w:rsidR="00585404" w:rsidRPr="00D62731">
        <w:rPr>
          <w:rFonts w:ascii="Times New Roman" w:hAnsi="Times New Roman" w:cs="Times New Roman"/>
          <w:sz w:val="28"/>
          <w:szCs w:val="28"/>
        </w:rPr>
        <w:t xml:space="preserve"> PNRR in ambito penale</w:t>
      </w:r>
      <w:r>
        <w:rPr>
          <w:rFonts w:ascii="Times New Roman" w:hAnsi="Times New Roman" w:cs="Times New Roman"/>
          <w:sz w:val="28"/>
          <w:szCs w:val="28"/>
        </w:rPr>
        <w:t xml:space="preserve"> per limitare</w:t>
      </w:r>
      <w:r w:rsidR="00585404" w:rsidRPr="00D62731">
        <w:rPr>
          <w:rFonts w:ascii="Times New Roman" w:hAnsi="Times New Roman" w:cs="Times New Roman"/>
          <w:sz w:val="28"/>
          <w:szCs w:val="28"/>
        </w:rPr>
        <w:t xml:space="preserve"> la diffusione d</w:t>
      </w:r>
      <w:r>
        <w:rPr>
          <w:rFonts w:ascii="Times New Roman" w:hAnsi="Times New Roman" w:cs="Times New Roman"/>
          <w:sz w:val="28"/>
          <w:szCs w:val="28"/>
        </w:rPr>
        <w:t>elle</w:t>
      </w:r>
      <w:r w:rsidR="00585404" w:rsidRPr="00D62731">
        <w:rPr>
          <w:rFonts w:ascii="Times New Roman" w:hAnsi="Times New Roman" w:cs="Times New Roman"/>
          <w:sz w:val="28"/>
          <w:szCs w:val="28"/>
        </w:rPr>
        <w:t xml:space="preserve"> notizie </w:t>
      </w:r>
      <w:r>
        <w:rPr>
          <w:rFonts w:ascii="Times New Roman" w:hAnsi="Times New Roman" w:cs="Times New Roman"/>
          <w:sz w:val="28"/>
          <w:szCs w:val="28"/>
        </w:rPr>
        <w:t>sui</w:t>
      </w:r>
      <w:r w:rsidR="00585404" w:rsidRPr="00D62731">
        <w:rPr>
          <w:rFonts w:ascii="Times New Roman" w:hAnsi="Times New Roman" w:cs="Times New Roman"/>
          <w:sz w:val="28"/>
          <w:szCs w:val="28"/>
        </w:rPr>
        <w:t xml:space="preserve"> procedimenti penali, </w:t>
      </w:r>
      <w:r w:rsidR="00A56D99">
        <w:rPr>
          <w:rFonts w:ascii="Times New Roman" w:hAnsi="Times New Roman" w:cs="Times New Roman"/>
          <w:sz w:val="28"/>
          <w:szCs w:val="28"/>
        </w:rPr>
        <w:t>avendo riguardo del</w:t>
      </w:r>
      <w:r w:rsidR="00585404" w:rsidRPr="00D62731">
        <w:rPr>
          <w:rFonts w:ascii="Times New Roman" w:hAnsi="Times New Roman" w:cs="Times New Roman"/>
          <w:sz w:val="28"/>
          <w:szCs w:val="28"/>
        </w:rPr>
        <w:t xml:space="preserve">le dichiarazioni delle autorità pubbliche e </w:t>
      </w:r>
      <w:r w:rsidR="00A56D99">
        <w:rPr>
          <w:rFonts w:ascii="Times New Roman" w:hAnsi="Times New Roman" w:cs="Times New Roman"/>
          <w:sz w:val="28"/>
          <w:szCs w:val="28"/>
        </w:rPr>
        <w:t>de</w:t>
      </w:r>
      <w:r w:rsidR="00585404" w:rsidRPr="00D62731">
        <w:rPr>
          <w:rFonts w:ascii="Times New Roman" w:hAnsi="Times New Roman" w:cs="Times New Roman"/>
          <w:sz w:val="28"/>
          <w:szCs w:val="28"/>
        </w:rPr>
        <w:t>i rapporti con la stampa</w:t>
      </w:r>
      <w:r w:rsidR="00151A9E">
        <w:rPr>
          <w:rStyle w:val="Rimandonotaapidipagina"/>
          <w:rFonts w:ascii="Times New Roman" w:hAnsi="Times New Roman" w:cs="Times New Roman"/>
          <w:sz w:val="28"/>
          <w:szCs w:val="28"/>
        </w:rPr>
        <w:footnoteReference w:id="64"/>
      </w:r>
      <w:r w:rsidR="00585404" w:rsidRPr="00D62731">
        <w:rPr>
          <w:rFonts w:ascii="Times New Roman" w:hAnsi="Times New Roman" w:cs="Times New Roman"/>
          <w:sz w:val="28"/>
          <w:szCs w:val="28"/>
        </w:rPr>
        <w:t>.</w:t>
      </w:r>
    </w:p>
    <w:p w14:paraId="1A92A990" w14:textId="6A78FE3C" w:rsidR="00382D32" w:rsidRPr="009C2C30" w:rsidRDefault="00382D32" w:rsidP="009C2C30">
      <w:pPr>
        <w:tabs>
          <w:tab w:val="left" w:pos="8364"/>
        </w:tabs>
        <w:spacing w:after="0"/>
        <w:jc w:val="both"/>
        <w:rPr>
          <w:rFonts w:ascii="Times New Roman" w:hAnsi="Times New Roman" w:cs="Times New Roman"/>
          <w:sz w:val="28"/>
          <w:szCs w:val="28"/>
        </w:rPr>
      </w:pPr>
      <w:r>
        <w:rPr>
          <w:rFonts w:ascii="Times New Roman" w:hAnsi="Times New Roman" w:cs="Times New Roman"/>
          <w:b/>
          <w:bCs/>
          <w:sz w:val="28"/>
          <w:szCs w:val="28"/>
        </w:rPr>
        <w:br w:type="page"/>
      </w:r>
    </w:p>
    <w:p w14:paraId="0D95C5CD" w14:textId="407392B2" w:rsidR="00A75A26" w:rsidRPr="00531C69" w:rsidRDefault="00A75A26" w:rsidP="00774481">
      <w:pPr>
        <w:tabs>
          <w:tab w:val="left" w:pos="8364"/>
        </w:tabs>
        <w:jc w:val="both"/>
        <w:rPr>
          <w:rFonts w:ascii="Times New Roman" w:hAnsi="Times New Roman" w:cs="Times New Roman"/>
          <w:b/>
          <w:bCs/>
          <w:sz w:val="32"/>
          <w:szCs w:val="32"/>
        </w:rPr>
      </w:pPr>
      <w:r w:rsidRPr="00531C69">
        <w:rPr>
          <w:rFonts w:ascii="Times New Roman" w:hAnsi="Times New Roman" w:cs="Times New Roman"/>
          <w:b/>
          <w:bCs/>
          <w:sz w:val="32"/>
          <w:szCs w:val="32"/>
        </w:rPr>
        <w:lastRenderedPageBreak/>
        <w:t>Capitolo</w:t>
      </w:r>
      <w:r w:rsidR="000A002B" w:rsidRPr="000A002B">
        <w:rPr>
          <w:rFonts w:ascii="Times New Roman" w:hAnsi="Times New Roman" w:cs="Times New Roman"/>
          <w:b/>
          <w:bCs/>
          <w:sz w:val="32"/>
          <w:szCs w:val="32"/>
        </w:rPr>
        <w:t xml:space="preserve"> </w:t>
      </w:r>
      <w:r w:rsidR="000A002B" w:rsidRPr="00531C69">
        <w:rPr>
          <w:rFonts w:ascii="Times New Roman" w:hAnsi="Times New Roman" w:cs="Times New Roman"/>
          <w:b/>
          <w:bCs/>
          <w:sz w:val="32"/>
          <w:szCs w:val="32"/>
        </w:rPr>
        <w:t>IV</w:t>
      </w:r>
    </w:p>
    <w:p w14:paraId="2F679B99" w14:textId="307DCF4F" w:rsidR="001C2097" w:rsidRDefault="001C2097" w:rsidP="00774481">
      <w:pPr>
        <w:tabs>
          <w:tab w:val="left" w:pos="8364"/>
        </w:tabs>
        <w:jc w:val="both"/>
        <w:rPr>
          <w:rFonts w:ascii="Times New Roman" w:hAnsi="Times New Roman" w:cs="Times New Roman"/>
          <w:b/>
          <w:bCs/>
          <w:sz w:val="32"/>
          <w:szCs w:val="32"/>
        </w:rPr>
      </w:pPr>
      <w:r w:rsidRPr="00531C69">
        <w:rPr>
          <w:rFonts w:ascii="Times New Roman" w:hAnsi="Times New Roman" w:cs="Times New Roman"/>
          <w:b/>
          <w:bCs/>
          <w:sz w:val="32"/>
          <w:szCs w:val="32"/>
        </w:rPr>
        <w:t>Algoritmo e contratto</w:t>
      </w:r>
    </w:p>
    <w:p w14:paraId="6586D3CD" w14:textId="182841D4" w:rsidR="00204FEE" w:rsidRDefault="00204FEE" w:rsidP="00774481">
      <w:pPr>
        <w:tabs>
          <w:tab w:val="left" w:pos="8364"/>
        </w:tabs>
        <w:jc w:val="both"/>
        <w:rPr>
          <w:rFonts w:ascii="Times New Roman" w:hAnsi="Times New Roman" w:cs="Times New Roman"/>
          <w:sz w:val="28"/>
          <w:szCs w:val="28"/>
        </w:rPr>
      </w:pPr>
      <w:r w:rsidRPr="00204FEE">
        <w:rPr>
          <w:rFonts w:ascii="Times New Roman" w:hAnsi="Times New Roman" w:cs="Times New Roman"/>
          <w:sz w:val="28"/>
          <w:szCs w:val="28"/>
        </w:rPr>
        <w:t xml:space="preserve">L’algoritmo </w:t>
      </w:r>
      <w:r w:rsidR="008A332C">
        <w:rPr>
          <w:rFonts w:ascii="Times New Roman" w:hAnsi="Times New Roman" w:cs="Times New Roman"/>
          <w:sz w:val="28"/>
          <w:szCs w:val="28"/>
        </w:rPr>
        <w:t xml:space="preserve">ha determinato oggi un </w:t>
      </w:r>
      <w:r w:rsidR="00FF0D93">
        <w:rPr>
          <w:rFonts w:ascii="Times New Roman" w:hAnsi="Times New Roman" w:cs="Times New Roman"/>
          <w:sz w:val="28"/>
          <w:szCs w:val="28"/>
        </w:rPr>
        <w:t>“</w:t>
      </w:r>
      <w:r w:rsidR="008A332C">
        <w:rPr>
          <w:rFonts w:ascii="Times New Roman" w:hAnsi="Times New Roman" w:cs="Times New Roman"/>
          <w:sz w:val="28"/>
          <w:szCs w:val="28"/>
        </w:rPr>
        <w:t>mutamento genetico</w:t>
      </w:r>
      <w:r w:rsidR="00FF0D93">
        <w:rPr>
          <w:rFonts w:ascii="Times New Roman" w:hAnsi="Times New Roman" w:cs="Times New Roman"/>
          <w:sz w:val="28"/>
          <w:szCs w:val="28"/>
        </w:rPr>
        <w:t>”</w:t>
      </w:r>
      <w:r w:rsidR="008A332C">
        <w:rPr>
          <w:rFonts w:ascii="Times New Roman" w:hAnsi="Times New Roman" w:cs="Times New Roman"/>
          <w:sz w:val="28"/>
          <w:szCs w:val="28"/>
        </w:rPr>
        <w:t xml:space="preserve"> del contratto</w:t>
      </w:r>
      <w:r w:rsidR="00935AE7">
        <w:rPr>
          <w:rFonts w:ascii="Times New Roman" w:hAnsi="Times New Roman" w:cs="Times New Roman"/>
          <w:sz w:val="28"/>
          <w:szCs w:val="28"/>
        </w:rPr>
        <w:t>,</w:t>
      </w:r>
      <w:r w:rsidR="008A332C">
        <w:rPr>
          <w:rFonts w:ascii="Times New Roman" w:hAnsi="Times New Roman" w:cs="Times New Roman"/>
          <w:sz w:val="28"/>
          <w:szCs w:val="28"/>
        </w:rPr>
        <w:t xml:space="preserve"> destinato </w:t>
      </w:r>
      <w:r w:rsidR="00643866">
        <w:rPr>
          <w:rFonts w:ascii="Times New Roman" w:hAnsi="Times New Roman" w:cs="Times New Roman"/>
          <w:sz w:val="28"/>
          <w:szCs w:val="28"/>
        </w:rPr>
        <w:t xml:space="preserve">ad evolversi da strumento di </w:t>
      </w:r>
      <w:r w:rsidR="00FF0D93">
        <w:rPr>
          <w:rFonts w:ascii="Times New Roman" w:hAnsi="Times New Roman" w:cs="Times New Roman"/>
          <w:sz w:val="28"/>
          <w:szCs w:val="28"/>
        </w:rPr>
        <w:t>“concretizzazione</w:t>
      </w:r>
      <w:r w:rsidR="00935AE7">
        <w:rPr>
          <w:rFonts w:ascii="Times New Roman" w:hAnsi="Times New Roman" w:cs="Times New Roman"/>
          <w:sz w:val="28"/>
          <w:szCs w:val="28"/>
        </w:rPr>
        <w:t>”</w:t>
      </w:r>
      <w:r w:rsidR="00FF0D93">
        <w:rPr>
          <w:rFonts w:ascii="Times New Roman" w:hAnsi="Times New Roman" w:cs="Times New Roman"/>
          <w:sz w:val="28"/>
          <w:szCs w:val="28"/>
        </w:rPr>
        <w:t xml:space="preserve"> dell’autonomia privata ex art.</w:t>
      </w:r>
      <w:r w:rsidR="00935AE7">
        <w:rPr>
          <w:rFonts w:ascii="Times New Roman" w:hAnsi="Times New Roman" w:cs="Times New Roman"/>
          <w:sz w:val="28"/>
          <w:szCs w:val="28"/>
        </w:rPr>
        <w:t xml:space="preserve"> </w:t>
      </w:r>
      <w:r w:rsidR="00FF0D93">
        <w:rPr>
          <w:rFonts w:ascii="Times New Roman" w:hAnsi="Times New Roman" w:cs="Times New Roman"/>
          <w:sz w:val="28"/>
          <w:szCs w:val="28"/>
        </w:rPr>
        <w:t>1322 c</w:t>
      </w:r>
      <w:r w:rsidR="00935AE7">
        <w:rPr>
          <w:rFonts w:ascii="Times New Roman" w:hAnsi="Times New Roman" w:cs="Times New Roman"/>
          <w:sz w:val="28"/>
          <w:szCs w:val="28"/>
        </w:rPr>
        <w:t>.</w:t>
      </w:r>
      <w:r w:rsidR="00FF0D93">
        <w:rPr>
          <w:rFonts w:ascii="Times New Roman" w:hAnsi="Times New Roman" w:cs="Times New Roman"/>
          <w:sz w:val="28"/>
          <w:szCs w:val="28"/>
        </w:rPr>
        <w:t>c</w:t>
      </w:r>
      <w:r w:rsidR="00935AE7">
        <w:rPr>
          <w:rFonts w:ascii="Times New Roman" w:hAnsi="Times New Roman" w:cs="Times New Roman"/>
          <w:sz w:val="28"/>
          <w:szCs w:val="28"/>
        </w:rPr>
        <w:t>.</w:t>
      </w:r>
      <w:r w:rsidR="00D82587">
        <w:rPr>
          <w:rFonts w:ascii="Times New Roman" w:hAnsi="Times New Roman" w:cs="Times New Roman"/>
          <w:sz w:val="28"/>
          <w:szCs w:val="28"/>
        </w:rPr>
        <w:t xml:space="preserve"> a strumento totalmente “</w:t>
      </w:r>
      <w:proofErr w:type="spellStart"/>
      <w:r w:rsidR="00D82587">
        <w:rPr>
          <w:rFonts w:ascii="Times New Roman" w:hAnsi="Times New Roman" w:cs="Times New Roman"/>
          <w:sz w:val="28"/>
          <w:szCs w:val="28"/>
        </w:rPr>
        <w:t>eterodeterminato</w:t>
      </w:r>
      <w:proofErr w:type="spellEnd"/>
      <w:r w:rsidR="00D82587">
        <w:rPr>
          <w:rFonts w:ascii="Times New Roman" w:hAnsi="Times New Roman" w:cs="Times New Roman"/>
          <w:sz w:val="28"/>
          <w:szCs w:val="28"/>
        </w:rPr>
        <w:t>”.</w:t>
      </w:r>
      <w:r w:rsidR="00251365">
        <w:rPr>
          <w:rFonts w:ascii="Times New Roman" w:hAnsi="Times New Roman" w:cs="Times New Roman"/>
          <w:sz w:val="28"/>
          <w:szCs w:val="28"/>
        </w:rPr>
        <w:t xml:space="preserve"> La tecnologia si inserisce nelle dinamiche contrattuali</w:t>
      </w:r>
      <w:r w:rsidR="00997B3B">
        <w:rPr>
          <w:rFonts w:ascii="Times New Roman" w:hAnsi="Times New Roman" w:cs="Times New Roman"/>
          <w:sz w:val="28"/>
          <w:szCs w:val="28"/>
        </w:rPr>
        <w:t xml:space="preserve"> e decide in luogo delle </w:t>
      </w:r>
      <w:r w:rsidR="00935AE7">
        <w:rPr>
          <w:rFonts w:ascii="Times New Roman" w:hAnsi="Times New Roman" w:cs="Times New Roman"/>
          <w:sz w:val="28"/>
          <w:szCs w:val="28"/>
        </w:rPr>
        <w:t>parti,</w:t>
      </w:r>
      <w:r w:rsidR="00FD2176">
        <w:rPr>
          <w:rFonts w:ascii="Times New Roman" w:hAnsi="Times New Roman" w:cs="Times New Roman"/>
          <w:sz w:val="28"/>
          <w:szCs w:val="28"/>
        </w:rPr>
        <w:t xml:space="preserve"> superando le impostazioni concettuali sia del </w:t>
      </w:r>
      <w:proofErr w:type="spellStart"/>
      <w:r w:rsidR="00FD2176">
        <w:rPr>
          <w:rFonts w:ascii="Times New Roman" w:hAnsi="Times New Roman" w:cs="Times New Roman"/>
          <w:sz w:val="28"/>
          <w:szCs w:val="28"/>
        </w:rPr>
        <w:t>giusrealismo</w:t>
      </w:r>
      <w:proofErr w:type="spellEnd"/>
      <w:r w:rsidR="00FD2176">
        <w:rPr>
          <w:rFonts w:ascii="Times New Roman" w:hAnsi="Times New Roman" w:cs="Times New Roman"/>
          <w:sz w:val="28"/>
          <w:szCs w:val="28"/>
        </w:rPr>
        <w:t xml:space="preserve"> che del </w:t>
      </w:r>
      <w:proofErr w:type="spellStart"/>
      <w:r w:rsidR="00FD2176">
        <w:rPr>
          <w:rFonts w:ascii="Times New Roman" w:hAnsi="Times New Roman" w:cs="Times New Roman"/>
          <w:sz w:val="28"/>
          <w:szCs w:val="28"/>
        </w:rPr>
        <w:t>giusformalismo</w:t>
      </w:r>
      <w:proofErr w:type="spellEnd"/>
      <w:r w:rsidR="00DE7686">
        <w:rPr>
          <w:rFonts w:ascii="Times New Roman" w:hAnsi="Times New Roman" w:cs="Times New Roman"/>
          <w:sz w:val="28"/>
          <w:szCs w:val="28"/>
        </w:rPr>
        <w:t>, volti a definire il concetto della giustizia contrattuale come principio di equilibrio</w:t>
      </w:r>
      <w:r w:rsidR="00DB0386">
        <w:rPr>
          <w:rFonts w:ascii="Times New Roman" w:hAnsi="Times New Roman" w:cs="Times New Roman"/>
          <w:sz w:val="28"/>
          <w:szCs w:val="28"/>
        </w:rPr>
        <w:t xml:space="preserve">. La nozione funzionale della “causa”, intesa </w:t>
      </w:r>
      <w:r w:rsidR="00935AE7">
        <w:rPr>
          <w:rFonts w:ascii="Times New Roman" w:hAnsi="Times New Roman" w:cs="Times New Roman"/>
          <w:sz w:val="28"/>
          <w:szCs w:val="28"/>
        </w:rPr>
        <w:t>come “</w:t>
      </w:r>
      <w:r w:rsidR="00DB0386">
        <w:rPr>
          <w:rFonts w:ascii="Times New Roman" w:hAnsi="Times New Roman" w:cs="Times New Roman"/>
          <w:sz w:val="28"/>
          <w:szCs w:val="28"/>
        </w:rPr>
        <w:t>causa in concreto”</w:t>
      </w:r>
      <w:r w:rsidR="00670505">
        <w:rPr>
          <w:rFonts w:ascii="Times New Roman" w:hAnsi="Times New Roman" w:cs="Times New Roman"/>
          <w:sz w:val="28"/>
          <w:szCs w:val="28"/>
        </w:rPr>
        <w:t>, funzione economico-individuale</w:t>
      </w:r>
      <w:r w:rsidR="00935AE7">
        <w:rPr>
          <w:rFonts w:ascii="Times New Roman" w:hAnsi="Times New Roman" w:cs="Times New Roman"/>
          <w:sz w:val="28"/>
          <w:szCs w:val="28"/>
        </w:rPr>
        <w:t>,</w:t>
      </w:r>
      <w:r w:rsidR="00670505">
        <w:rPr>
          <w:rFonts w:ascii="Times New Roman" w:hAnsi="Times New Roman" w:cs="Times New Roman"/>
          <w:sz w:val="28"/>
          <w:szCs w:val="28"/>
        </w:rPr>
        <w:t xml:space="preserve"> si </w:t>
      </w:r>
      <w:r w:rsidR="00935AE7">
        <w:rPr>
          <w:rFonts w:ascii="Times New Roman" w:hAnsi="Times New Roman" w:cs="Times New Roman"/>
          <w:sz w:val="28"/>
          <w:szCs w:val="28"/>
        </w:rPr>
        <w:t>evolve, così</w:t>
      </w:r>
      <w:r w:rsidR="00670505">
        <w:rPr>
          <w:rFonts w:ascii="Times New Roman" w:hAnsi="Times New Roman" w:cs="Times New Roman"/>
          <w:sz w:val="28"/>
          <w:szCs w:val="28"/>
        </w:rPr>
        <w:t>,</w:t>
      </w:r>
      <w:r w:rsidR="00AD7125">
        <w:rPr>
          <w:rFonts w:ascii="Times New Roman" w:hAnsi="Times New Roman" w:cs="Times New Roman"/>
          <w:sz w:val="28"/>
          <w:szCs w:val="28"/>
        </w:rPr>
        <w:t xml:space="preserve"> sempre </w:t>
      </w:r>
      <w:r w:rsidR="00935AE7">
        <w:rPr>
          <w:rFonts w:ascii="Times New Roman" w:hAnsi="Times New Roman" w:cs="Times New Roman"/>
          <w:sz w:val="28"/>
          <w:szCs w:val="28"/>
        </w:rPr>
        <w:t>più in</w:t>
      </w:r>
      <w:r w:rsidR="00AD7125">
        <w:rPr>
          <w:rFonts w:ascii="Times New Roman" w:hAnsi="Times New Roman" w:cs="Times New Roman"/>
          <w:sz w:val="28"/>
          <w:szCs w:val="28"/>
        </w:rPr>
        <w:t xml:space="preserve"> “</w:t>
      </w:r>
      <w:proofErr w:type="spellStart"/>
      <w:r w:rsidR="00AD7125" w:rsidRPr="00AD7125">
        <w:rPr>
          <w:rFonts w:ascii="Times New Roman" w:hAnsi="Times New Roman" w:cs="Times New Roman"/>
          <w:i/>
          <w:iCs/>
          <w:sz w:val="28"/>
          <w:szCs w:val="28"/>
        </w:rPr>
        <w:t>consideration</w:t>
      </w:r>
      <w:proofErr w:type="spellEnd"/>
      <w:r w:rsidR="00AD7125" w:rsidRPr="00935AE7">
        <w:rPr>
          <w:rFonts w:ascii="Times New Roman" w:hAnsi="Times New Roman" w:cs="Times New Roman"/>
          <w:sz w:val="28"/>
          <w:szCs w:val="28"/>
        </w:rPr>
        <w:t>”</w:t>
      </w:r>
      <w:r w:rsidR="00671525" w:rsidRPr="00935AE7">
        <w:rPr>
          <w:rFonts w:ascii="Times New Roman" w:hAnsi="Times New Roman" w:cs="Times New Roman"/>
          <w:sz w:val="28"/>
          <w:szCs w:val="28"/>
        </w:rPr>
        <w:t>,</w:t>
      </w:r>
      <w:r w:rsidR="00671525">
        <w:rPr>
          <w:rFonts w:ascii="Times New Roman" w:hAnsi="Times New Roman" w:cs="Times New Roman"/>
          <w:i/>
          <w:iCs/>
          <w:sz w:val="28"/>
          <w:szCs w:val="28"/>
        </w:rPr>
        <w:t xml:space="preserve"> </w:t>
      </w:r>
      <w:r w:rsidR="00671525" w:rsidRPr="00671525">
        <w:rPr>
          <w:rFonts w:ascii="Times New Roman" w:hAnsi="Times New Roman" w:cs="Times New Roman"/>
          <w:sz w:val="28"/>
          <w:szCs w:val="28"/>
        </w:rPr>
        <w:t>in valore</w:t>
      </w:r>
      <w:r w:rsidR="0077501F">
        <w:rPr>
          <w:rFonts w:ascii="Times New Roman" w:hAnsi="Times New Roman" w:cs="Times New Roman"/>
          <w:sz w:val="28"/>
          <w:szCs w:val="28"/>
        </w:rPr>
        <w:t xml:space="preserve"> e certezza</w:t>
      </w:r>
      <w:r w:rsidR="00671525" w:rsidRPr="00671525">
        <w:rPr>
          <w:rFonts w:ascii="Times New Roman" w:hAnsi="Times New Roman" w:cs="Times New Roman"/>
          <w:sz w:val="28"/>
          <w:szCs w:val="28"/>
        </w:rPr>
        <w:t xml:space="preserve"> delle prestazioni</w:t>
      </w:r>
      <w:r w:rsidR="0077501F">
        <w:rPr>
          <w:rFonts w:ascii="Times New Roman" w:hAnsi="Times New Roman" w:cs="Times New Roman"/>
          <w:sz w:val="28"/>
          <w:szCs w:val="28"/>
        </w:rPr>
        <w:t xml:space="preserve">. Questo fenomeno evolutivo si coglie </w:t>
      </w:r>
      <w:r w:rsidR="008F1FF2">
        <w:rPr>
          <w:rFonts w:ascii="Times New Roman" w:hAnsi="Times New Roman" w:cs="Times New Roman"/>
          <w:sz w:val="28"/>
          <w:szCs w:val="28"/>
        </w:rPr>
        <w:t xml:space="preserve">nella figura degli </w:t>
      </w:r>
      <w:proofErr w:type="spellStart"/>
      <w:r w:rsidR="008F1FF2" w:rsidRPr="008F1FF2">
        <w:rPr>
          <w:rFonts w:ascii="Times New Roman" w:hAnsi="Times New Roman" w:cs="Times New Roman"/>
          <w:i/>
          <w:iCs/>
          <w:sz w:val="28"/>
          <w:szCs w:val="28"/>
        </w:rPr>
        <w:t>smart-contract</w:t>
      </w:r>
      <w:proofErr w:type="spellEnd"/>
      <w:r w:rsidR="008F1FF2">
        <w:rPr>
          <w:rFonts w:ascii="Times New Roman" w:hAnsi="Times New Roman" w:cs="Times New Roman"/>
          <w:sz w:val="28"/>
          <w:szCs w:val="28"/>
        </w:rPr>
        <w:t>: pur non essendo dei contratti in senso giuridico possono integrare atti della vicenda contrattuale</w:t>
      </w:r>
      <w:r w:rsidR="00574596">
        <w:rPr>
          <w:rFonts w:ascii="Times New Roman" w:hAnsi="Times New Roman" w:cs="Times New Roman"/>
          <w:sz w:val="28"/>
          <w:szCs w:val="28"/>
        </w:rPr>
        <w:t>, laddove gli algoritmi che li costituiscono siano programmati per il compimento di att</w:t>
      </w:r>
      <w:r w:rsidR="001356DD">
        <w:rPr>
          <w:rFonts w:ascii="Times New Roman" w:hAnsi="Times New Roman" w:cs="Times New Roman"/>
          <w:sz w:val="28"/>
          <w:szCs w:val="28"/>
        </w:rPr>
        <w:t>i che costituiscono fasi (o esauriscono) la conclusione o esecuzione del contratto.</w:t>
      </w:r>
      <w:r w:rsidR="00107BD5">
        <w:rPr>
          <w:rFonts w:ascii="Times New Roman" w:hAnsi="Times New Roman" w:cs="Times New Roman"/>
          <w:sz w:val="28"/>
          <w:szCs w:val="28"/>
        </w:rPr>
        <w:t xml:space="preserve"> </w:t>
      </w:r>
      <w:r w:rsidR="003B1048">
        <w:rPr>
          <w:rFonts w:ascii="Times New Roman" w:hAnsi="Times New Roman" w:cs="Times New Roman"/>
          <w:sz w:val="28"/>
          <w:szCs w:val="28"/>
        </w:rPr>
        <w:t xml:space="preserve">Uno </w:t>
      </w:r>
      <w:proofErr w:type="spellStart"/>
      <w:r w:rsidR="003B1048" w:rsidRPr="00257E7C">
        <w:rPr>
          <w:rFonts w:ascii="Times New Roman" w:hAnsi="Times New Roman" w:cs="Times New Roman"/>
          <w:i/>
          <w:iCs/>
          <w:sz w:val="28"/>
          <w:szCs w:val="28"/>
        </w:rPr>
        <w:t>smart-contract</w:t>
      </w:r>
      <w:proofErr w:type="spellEnd"/>
      <w:r w:rsidR="003B1048">
        <w:rPr>
          <w:rFonts w:ascii="Times New Roman" w:hAnsi="Times New Roman" w:cs="Times New Roman"/>
          <w:sz w:val="28"/>
          <w:szCs w:val="28"/>
        </w:rPr>
        <w:t xml:space="preserve"> o più </w:t>
      </w:r>
      <w:proofErr w:type="spellStart"/>
      <w:r w:rsidR="003B1048" w:rsidRPr="00257E7C">
        <w:rPr>
          <w:rFonts w:ascii="Times New Roman" w:hAnsi="Times New Roman" w:cs="Times New Roman"/>
          <w:i/>
          <w:iCs/>
          <w:sz w:val="28"/>
          <w:szCs w:val="28"/>
        </w:rPr>
        <w:t>smart-contract</w:t>
      </w:r>
      <w:proofErr w:type="spellEnd"/>
      <w:r w:rsidR="003B1048">
        <w:rPr>
          <w:rFonts w:ascii="Times New Roman" w:hAnsi="Times New Roman" w:cs="Times New Roman"/>
          <w:sz w:val="28"/>
          <w:szCs w:val="28"/>
        </w:rPr>
        <w:t xml:space="preserve"> possono essere programmati in maniera tale </w:t>
      </w:r>
      <w:r w:rsidR="00B611EC">
        <w:rPr>
          <w:rFonts w:ascii="Times New Roman" w:hAnsi="Times New Roman" w:cs="Times New Roman"/>
          <w:sz w:val="28"/>
          <w:szCs w:val="28"/>
        </w:rPr>
        <w:t xml:space="preserve">da individuare quando coincidono le richieste di due o più parti </w:t>
      </w:r>
      <w:r w:rsidR="00534DD8">
        <w:rPr>
          <w:rFonts w:ascii="Times New Roman" w:hAnsi="Times New Roman" w:cs="Times New Roman"/>
          <w:sz w:val="28"/>
          <w:szCs w:val="28"/>
        </w:rPr>
        <w:t>ai fini della conclusione di un contr</w:t>
      </w:r>
      <w:r w:rsidR="00EF357F">
        <w:rPr>
          <w:rFonts w:ascii="Times New Roman" w:hAnsi="Times New Roman" w:cs="Times New Roman"/>
          <w:sz w:val="28"/>
          <w:szCs w:val="28"/>
        </w:rPr>
        <w:t>atto ov</w:t>
      </w:r>
      <w:r w:rsidR="00534DD8">
        <w:rPr>
          <w:rFonts w:ascii="Times New Roman" w:hAnsi="Times New Roman" w:cs="Times New Roman"/>
          <w:sz w:val="28"/>
          <w:szCs w:val="28"/>
        </w:rPr>
        <w:t>vero per trasferire un determinato bene digitale al verificarsi di una certa condizione</w:t>
      </w:r>
      <w:r w:rsidR="00257E7C">
        <w:rPr>
          <w:rFonts w:ascii="Times New Roman" w:hAnsi="Times New Roman" w:cs="Times New Roman"/>
          <w:sz w:val="28"/>
          <w:szCs w:val="28"/>
        </w:rPr>
        <w:t xml:space="preserve">, avendo intercettato un algoritmo </w:t>
      </w:r>
      <w:r w:rsidR="00DD4030">
        <w:rPr>
          <w:rFonts w:ascii="Times New Roman" w:hAnsi="Times New Roman" w:cs="Times New Roman"/>
          <w:sz w:val="28"/>
          <w:szCs w:val="28"/>
        </w:rPr>
        <w:t xml:space="preserve">che è programmato per il pagamento al verificarsi </w:t>
      </w:r>
      <w:r w:rsidR="005424AE">
        <w:rPr>
          <w:rFonts w:ascii="Times New Roman" w:hAnsi="Times New Roman" w:cs="Times New Roman"/>
          <w:sz w:val="28"/>
          <w:szCs w:val="28"/>
        </w:rPr>
        <w:t>della medesima condizione.</w:t>
      </w:r>
      <w:r w:rsidR="000B1F0A">
        <w:rPr>
          <w:rFonts w:ascii="Times New Roman" w:hAnsi="Times New Roman" w:cs="Times New Roman"/>
          <w:sz w:val="28"/>
          <w:szCs w:val="28"/>
        </w:rPr>
        <w:t xml:space="preserve"> Ad esempio, un protocollo può essere istruito al fine di vendere/acquistare un certo tipo di bene (</w:t>
      </w:r>
      <w:r w:rsidR="003D0F3F">
        <w:rPr>
          <w:rFonts w:ascii="Times New Roman" w:hAnsi="Times New Roman" w:cs="Times New Roman"/>
          <w:sz w:val="28"/>
          <w:szCs w:val="28"/>
        </w:rPr>
        <w:t xml:space="preserve">ad esempio, partecipazioni azionarie) una volta che il prezzo raggiunge una certa </w:t>
      </w:r>
      <w:r w:rsidR="00935AE7">
        <w:rPr>
          <w:rFonts w:ascii="Times New Roman" w:hAnsi="Times New Roman" w:cs="Times New Roman"/>
          <w:sz w:val="28"/>
          <w:szCs w:val="28"/>
        </w:rPr>
        <w:t>soglia</w:t>
      </w:r>
      <w:r w:rsidR="003D0F3F">
        <w:rPr>
          <w:rFonts w:ascii="Times New Roman" w:hAnsi="Times New Roman" w:cs="Times New Roman"/>
          <w:sz w:val="28"/>
          <w:szCs w:val="28"/>
        </w:rPr>
        <w:t xml:space="preserve"> o ulteriori condizioni vengano soddisfatte (secondo la sequenza informativa </w:t>
      </w:r>
      <w:r w:rsidR="003D0F3F" w:rsidRPr="003D0F3F">
        <w:rPr>
          <w:rFonts w:ascii="Times New Roman" w:hAnsi="Times New Roman" w:cs="Times New Roman"/>
          <w:sz w:val="28"/>
          <w:szCs w:val="28"/>
        </w:rPr>
        <w:t>dell</w:t>
      </w:r>
      <w:r w:rsidR="003D0F3F" w:rsidRPr="00935AE7">
        <w:rPr>
          <w:rFonts w:ascii="Times New Roman" w:hAnsi="Times New Roman" w:cs="Times New Roman"/>
          <w:sz w:val="28"/>
          <w:szCs w:val="28"/>
        </w:rPr>
        <w:t>’</w:t>
      </w:r>
      <w:proofErr w:type="spellStart"/>
      <w:r w:rsidR="003D0F3F" w:rsidRPr="003D0F3F">
        <w:rPr>
          <w:rFonts w:ascii="Times New Roman" w:hAnsi="Times New Roman" w:cs="Times New Roman"/>
          <w:i/>
          <w:iCs/>
          <w:sz w:val="28"/>
          <w:szCs w:val="28"/>
        </w:rPr>
        <w:t>if-then</w:t>
      </w:r>
      <w:proofErr w:type="spellEnd"/>
      <w:r w:rsidR="003D0F3F" w:rsidRPr="00A3137A">
        <w:rPr>
          <w:rFonts w:ascii="Times New Roman" w:hAnsi="Times New Roman" w:cs="Times New Roman"/>
          <w:sz w:val="28"/>
          <w:szCs w:val="28"/>
        </w:rPr>
        <w:t>).</w:t>
      </w:r>
      <w:r w:rsidR="00A3137A" w:rsidRPr="00A3137A">
        <w:rPr>
          <w:rFonts w:ascii="Times New Roman" w:hAnsi="Times New Roman" w:cs="Times New Roman"/>
          <w:sz w:val="28"/>
          <w:szCs w:val="28"/>
        </w:rPr>
        <w:t xml:space="preserve"> </w:t>
      </w:r>
      <w:r w:rsidR="00935AE7">
        <w:rPr>
          <w:rFonts w:ascii="Times New Roman" w:hAnsi="Times New Roman" w:cs="Times New Roman"/>
          <w:sz w:val="28"/>
          <w:szCs w:val="28"/>
        </w:rPr>
        <w:t>È</w:t>
      </w:r>
      <w:r w:rsidR="00A3137A">
        <w:rPr>
          <w:rFonts w:ascii="Times New Roman" w:hAnsi="Times New Roman" w:cs="Times New Roman"/>
          <w:sz w:val="28"/>
          <w:szCs w:val="28"/>
        </w:rPr>
        <w:t xml:space="preserve">, altresì, </w:t>
      </w:r>
      <w:r w:rsidR="00896FA2">
        <w:rPr>
          <w:rFonts w:ascii="Times New Roman" w:hAnsi="Times New Roman" w:cs="Times New Roman"/>
          <w:sz w:val="28"/>
          <w:szCs w:val="28"/>
        </w:rPr>
        <w:t xml:space="preserve">possibile che uno </w:t>
      </w:r>
      <w:proofErr w:type="spellStart"/>
      <w:r w:rsidR="00896FA2" w:rsidRPr="00A73A74">
        <w:rPr>
          <w:rFonts w:ascii="Times New Roman" w:hAnsi="Times New Roman" w:cs="Times New Roman"/>
          <w:i/>
          <w:iCs/>
          <w:sz w:val="28"/>
          <w:szCs w:val="28"/>
        </w:rPr>
        <w:t>smart-contract</w:t>
      </w:r>
      <w:proofErr w:type="spellEnd"/>
      <w:r w:rsidR="00896FA2" w:rsidRPr="00A73A74">
        <w:rPr>
          <w:rFonts w:ascii="Times New Roman" w:hAnsi="Times New Roman" w:cs="Times New Roman"/>
          <w:i/>
          <w:iCs/>
          <w:sz w:val="28"/>
          <w:szCs w:val="28"/>
        </w:rPr>
        <w:t xml:space="preserve"> </w:t>
      </w:r>
      <w:r w:rsidR="00896FA2">
        <w:rPr>
          <w:rFonts w:ascii="Times New Roman" w:hAnsi="Times New Roman" w:cs="Times New Roman"/>
          <w:sz w:val="28"/>
          <w:szCs w:val="28"/>
        </w:rPr>
        <w:t>svolga un ruolo nella sola fase di esecuzione del contratto</w:t>
      </w:r>
      <w:r w:rsidR="00A73A74">
        <w:rPr>
          <w:rFonts w:ascii="Times New Roman" w:hAnsi="Times New Roman" w:cs="Times New Roman"/>
          <w:sz w:val="28"/>
          <w:szCs w:val="28"/>
        </w:rPr>
        <w:t xml:space="preserve">, prevedendo </w:t>
      </w:r>
      <w:r w:rsidR="004069FB">
        <w:rPr>
          <w:rFonts w:ascii="Times New Roman" w:hAnsi="Times New Roman" w:cs="Times New Roman"/>
          <w:sz w:val="28"/>
          <w:szCs w:val="28"/>
        </w:rPr>
        <w:t xml:space="preserve">il pagamento </w:t>
      </w:r>
      <w:r w:rsidR="004069FB" w:rsidRPr="00935AE7">
        <w:rPr>
          <w:rFonts w:ascii="Times New Roman" w:hAnsi="Times New Roman" w:cs="Times New Roman"/>
          <w:i/>
          <w:iCs/>
          <w:sz w:val="28"/>
          <w:szCs w:val="28"/>
        </w:rPr>
        <w:t>online</w:t>
      </w:r>
      <w:r w:rsidR="004069FB">
        <w:rPr>
          <w:rFonts w:ascii="Times New Roman" w:hAnsi="Times New Roman" w:cs="Times New Roman"/>
          <w:sz w:val="28"/>
          <w:szCs w:val="28"/>
        </w:rPr>
        <w:t xml:space="preserve"> una volta che il bene sia consegnato al compratore.</w:t>
      </w:r>
      <w:r w:rsidR="004922D7">
        <w:rPr>
          <w:rFonts w:ascii="Times New Roman" w:hAnsi="Times New Roman" w:cs="Times New Roman"/>
          <w:sz w:val="28"/>
          <w:szCs w:val="28"/>
        </w:rPr>
        <w:t xml:space="preserve"> Una delle manifestazioni più diffuse di </w:t>
      </w:r>
      <w:proofErr w:type="spellStart"/>
      <w:r w:rsidR="004922D7" w:rsidRPr="00616A50">
        <w:rPr>
          <w:rFonts w:ascii="Times New Roman" w:hAnsi="Times New Roman" w:cs="Times New Roman"/>
          <w:i/>
          <w:iCs/>
          <w:sz w:val="28"/>
          <w:szCs w:val="28"/>
        </w:rPr>
        <w:t>smart-contract</w:t>
      </w:r>
      <w:proofErr w:type="spellEnd"/>
      <w:r w:rsidR="004922D7">
        <w:rPr>
          <w:rFonts w:ascii="Times New Roman" w:hAnsi="Times New Roman" w:cs="Times New Roman"/>
          <w:sz w:val="28"/>
          <w:szCs w:val="28"/>
        </w:rPr>
        <w:t xml:space="preserve"> </w:t>
      </w:r>
      <w:r w:rsidR="00935AE7">
        <w:rPr>
          <w:rFonts w:ascii="Times New Roman" w:hAnsi="Times New Roman" w:cs="Times New Roman"/>
          <w:sz w:val="28"/>
          <w:szCs w:val="28"/>
        </w:rPr>
        <w:t>è</w:t>
      </w:r>
      <w:r w:rsidR="004922D7">
        <w:rPr>
          <w:rFonts w:ascii="Times New Roman" w:hAnsi="Times New Roman" w:cs="Times New Roman"/>
          <w:sz w:val="28"/>
          <w:szCs w:val="28"/>
        </w:rPr>
        <w:t xml:space="preserve"> quell</w:t>
      </w:r>
      <w:r w:rsidR="00935AE7">
        <w:rPr>
          <w:rFonts w:ascii="Times New Roman" w:hAnsi="Times New Roman" w:cs="Times New Roman"/>
          <w:sz w:val="28"/>
          <w:szCs w:val="28"/>
        </w:rPr>
        <w:t>a dove gli stessi</w:t>
      </w:r>
      <w:r w:rsidR="004922D7">
        <w:rPr>
          <w:rFonts w:ascii="Times New Roman" w:hAnsi="Times New Roman" w:cs="Times New Roman"/>
          <w:sz w:val="28"/>
          <w:szCs w:val="28"/>
        </w:rPr>
        <w:t xml:space="preserve"> </w:t>
      </w:r>
      <w:r w:rsidR="00616A50">
        <w:rPr>
          <w:rFonts w:ascii="Times New Roman" w:hAnsi="Times New Roman" w:cs="Times New Roman"/>
          <w:sz w:val="28"/>
          <w:szCs w:val="28"/>
        </w:rPr>
        <w:t xml:space="preserve">applicano un registro decentralizzato ai rapporti di scambio costituita </w:t>
      </w:r>
      <w:r w:rsidR="00935AE7">
        <w:rPr>
          <w:rFonts w:ascii="Times New Roman" w:hAnsi="Times New Roman" w:cs="Times New Roman"/>
          <w:sz w:val="28"/>
          <w:szCs w:val="28"/>
        </w:rPr>
        <w:t xml:space="preserve">dalla </w:t>
      </w:r>
      <w:proofErr w:type="spellStart"/>
      <w:r w:rsidR="00935AE7" w:rsidRPr="00935AE7">
        <w:rPr>
          <w:rFonts w:ascii="Times New Roman" w:hAnsi="Times New Roman" w:cs="Times New Roman"/>
          <w:i/>
          <w:iCs/>
          <w:sz w:val="28"/>
          <w:szCs w:val="28"/>
        </w:rPr>
        <w:t>blockchain</w:t>
      </w:r>
      <w:proofErr w:type="spellEnd"/>
      <w:r w:rsidR="00616A50">
        <w:rPr>
          <w:rFonts w:ascii="Times New Roman" w:hAnsi="Times New Roman" w:cs="Times New Roman"/>
          <w:sz w:val="28"/>
          <w:szCs w:val="28"/>
        </w:rPr>
        <w:t xml:space="preserve"> che è la tecnologia alla base del </w:t>
      </w:r>
      <w:r w:rsidR="00616A50" w:rsidRPr="00A633C2">
        <w:rPr>
          <w:rFonts w:ascii="Times New Roman" w:hAnsi="Times New Roman" w:cs="Times New Roman"/>
          <w:i/>
          <w:iCs/>
          <w:sz w:val="28"/>
          <w:szCs w:val="28"/>
        </w:rPr>
        <w:t>software</w:t>
      </w:r>
      <w:r w:rsidR="00616A50">
        <w:rPr>
          <w:rFonts w:ascii="Times New Roman" w:hAnsi="Times New Roman" w:cs="Times New Roman"/>
          <w:sz w:val="28"/>
          <w:szCs w:val="28"/>
        </w:rPr>
        <w:t xml:space="preserve"> protocollo </w:t>
      </w:r>
      <w:proofErr w:type="spellStart"/>
      <w:r w:rsidR="00616A50" w:rsidRPr="00A633C2">
        <w:rPr>
          <w:rFonts w:ascii="Times New Roman" w:hAnsi="Times New Roman" w:cs="Times New Roman"/>
          <w:i/>
          <w:iCs/>
          <w:sz w:val="28"/>
          <w:szCs w:val="28"/>
        </w:rPr>
        <w:t>bitcoin</w:t>
      </w:r>
      <w:proofErr w:type="spellEnd"/>
      <w:r w:rsidR="00616A50">
        <w:rPr>
          <w:rFonts w:ascii="Times New Roman" w:hAnsi="Times New Roman" w:cs="Times New Roman"/>
          <w:sz w:val="28"/>
          <w:szCs w:val="28"/>
        </w:rPr>
        <w:t xml:space="preserve"> per il </w:t>
      </w:r>
      <w:r w:rsidR="009F128C">
        <w:rPr>
          <w:rFonts w:ascii="Times New Roman" w:hAnsi="Times New Roman" w:cs="Times New Roman"/>
          <w:sz w:val="28"/>
          <w:szCs w:val="28"/>
        </w:rPr>
        <w:t>trasferimento moneta/valore digitale.</w:t>
      </w:r>
    </w:p>
    <w:p w14:paraId="5F64D25F" w14:textId="2B7E019A" w:rsidR="009F128C" w:rsidRDefault="009F128C"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La </w:t>
      </w:r>
      <w:proofErr w:type="spellStart"/>
      <w:r w:rsidRPr="00AB337B">
        <w:rPr>
          <w:rFonts w:ascii="Times New Roman" w:hAnsi="Times New Roman" w:cs="Times New Roman"/>
          <w:i/>
          <w:iCs/>
          <w:sz w:val="28"/>
          <w:szCs w:val="28"/>
        </w:rPr>
        <w:t>blockch</w:t>
      </w:r>
      <w:r w:rsidR="002158FD" w:rsidRPr="00AB337B">
        <w:rPr>
          <w:rFonts w:ascii="Times New Roman" w:hAnsi="Times New Roman" w:cs="Times New Roman"/>
          <w:i/>
          <w:iCs/>
          <w:sz w:val="28"/>
          <w:szCs w:val="28"/>
        </w:rPr>
        <w:t>ain</w:t>
      </w:r>
      <w:proofErr w:type="spellEnd"/>
      <w:r w:rsidR="002158FD">
        <w:rPr>
          <w:rFonts w:ascii="Times New Roman" w:hAnsi="Times New Roman" w:cs="Times New Roman"/>
          <w:sz w:val="28"/>
          <w:szCs w:val="28"/>
        </w:rPr>
        <w:t xml:space="preserve"> </w:t>
      </w:r>
      <w:r w:rsidR="00A21734">
        <w:rPr>
          <w:rFonts w:ascii="Times New Roman" w:hAnsi="Times New Roman" w:cs="Times New Roman"/>
          <w:sz w:val="28"/>
          <w:szCs w:val="28"/>
        </w:rPr>
        <w:t>è una piattaforma senza intermediari</w:t>
      </w:r>
      <w:r w:rsidR="00A633C2">
        <w:rPr>
          <w:rFonts w:ascii="Times New Roman" w:hAnsi="Times New Roman" w:cs="Times New Roman"/>
          <w:sz w:val="28"/>
          <w:szCs w:val="28"/>
        </w:rPr>
        <w:t xml:space="preserve"> – </w:t>
      </w:r>
      <w:r w:rsidR="00BF2CDE">
        <w:rPr>
          <w:rFonts w:ascii="Times New Roman" w:hAnsi="Times New Roman" w:cs="Times New Roman"/>
          <w:sz w:val="28"/>
          <w:szCs w:val="28"/>
        </w:rPr>
        <w:t>e perciò, decentralizzata, priva di sorveglianza o intervento di terzi sulle operazioni</w:t>
      </w:r>
      <w:r w:rsidR="00A633C2">
        <w:rPr>
          <w:rFonts w:ascii="Times New Roman" w:hAnsi="Times New Roman" w:cs="Times New Roman"/>
          <w:sz w:val="28"/>
          <w:szCs w:val="28"/>
        </w:rPr>
        <w:t xml:space="preserve"> – </w:t>
      </w:r>
      <w:r w:rsidR="00625E7E">
        <w:rPr>
          <w:rFonts w:ascii="Times New Roman" w:hAnsi="Times New Roman" w:cs="Times New Roman"/>
          <w:sz w:val="28"/>
          <w:szCs w:val="28"/>
        </w:rPr>
        <w:t>per la conclusione, formalizzazione e gestione di rapporti di scambio digitali</w:t>
      </w:r>
      <w:r w:rsidR="000271DB">
        <w:rPr>
          <w:rFonts w:ascii="Times New Roman" w:hAnsi="Times New Roman" w:cs="Times New Roman"/>
          <w:sz w:val="28"/>
          <w:szCs w:val="28"/>
        </w:rPr>
        <w:t xml:space="preserve"> (ambiente informatico dematerializzato) di beni immateriali/dematerializzati.</w:t>
      </w:r>
      <w:r w:rsidR="003D0959">
        <w:rPr>
          <w:rFonts w:ascii="Times New Roman" w:hAnsi="Times New Roman" w:cs="Times New Roman"/>
          <w:sz w:val="28"/>
          <w:szCs w:val="28"/>
        </w:rPr>
        <w:t xml:space="preserve"> Il controllo è decentralizzato grazie ad un </w:t>
      </w:r>
      <w:r w:rsidR="003D0959" w:rsidRPr="00A633C2">
        <w:rPr>
          <w:rFonts w:ascii="Times New Roman" w:hAnsi="Times New Roman" w:cs="Times New Roman"/>
          <w:i/>
          <w:iCs/>
          <w:sz w:val="28"/>
          <w:szCs w:val="28"/>
        </w:rPr>
        <w:t>data base</w:t>
      </w:r>
      <w:r w:rsidR="003D0959">
        <w:rPr>
          <w:rFonts w:ascii="Times New Roman" w:hAnsi="Times New Roman" w:cs="Times New Roman"/>
          <w:sz w:val="28"/>
          <w:szCs w:val="28"/>
        </w:rPr>
        <w:t xml:space="preserve"> pubblico</w:t>
      </w:r>
      <w:r w:rsidR="007457E1">
        <w:rPr>
          <w:rFonts w:ascii="Times New Roman" w:hAnsi="Times New Roman" w:cs="Times New Roman"/>
          <w:sz w:val="28"/>
          <w:szCs w:val="28"/>
        </w:rPr>
        <w:t xml:space="preserve"> e condiviso da tutti i c</w:t>
      </w:r>
      <w:r w:rsidR="00A633C2">
        <w:rPr>
          <w:rFonts w:ascii="Times New Roman" w:hAnsi="Times New Roman" w:cs="Times New Roman"/>
          <w:sz w:val="28"/>
          <w:szCs w:val="28"/>
        </w:rPr>
        <w:t>.</w:t>
      </w:r>
      <w:r w:rsidR="007457E1">
        <w:rPr>
          <w:rFonts w:ascii="Times New Roman" w:hAnsi="Times New Roman" w:cs="Times New Roman"/>
          <w:sz w:val="28"/>
          <w:szCs w:val="28"/>
        </w:rPr>
        <w:t>d</w:t>
      </w:r>
      <w:r w:rsidR="00A633C2">
        <w:rPr>
          <w:rFonts w:ascii="Times New Roman" w:hAnsi="Times New Roman" w:cs="Times New Roman"/>
          <w:sz w:val="28"/>
          <w:szCs w:val="28"/>
        </w:rPr>
        <w:t>.</w:t>
      </w:r>
      <w:r w:rsidR="007457E1">
        <w:rPr>
          <w:rFonts w:ascii="Times New Roman" w:hAnsi="Times New Roman" w:cs="Times New Roman"/>
          <w:sz w:val="28"/>
          <w:szCs w:val="28"/>
        </w:rPr>
        <w:t xml:space="preserve"> </w:t>
      </w:r>
      <w:proofErr w:type="spellStart"/>
      <w:r w:rsidR="007457E1" w:rsidRPr="007457E1">
        <w:rPr>
          <w:rFonts w:ascii="Times New Roman" w:hAnsi="Times New Roman" w:cs="Times New Roman"/>
          <w:i/>
          <w:iCs/>
          <w:sz w:val="28"/>
          <w:szCs w:val="28"/>
        </w:rPr>
        <w:t>miner</w:t>
      </w:r>
      <w:proofErr w:type="spellEnd"/>
      <w:r w:rsidR="00817919">
        <w:rPr>
          <w:rFonts w:ascii="Times New Roman" w:hAnsi="Times New Roman" w:cs="Times New Roman"/>
          <w:i/>
          <w:iCs/>
          <w:sz w:val="28"/>
          <w:szCs w:val="28"/>
        </w:rPr>
        <w:t xml:space="preserve"> </w:t>
      </w:r>
      <w:r w:rsidR="00817919" w:rsidRPr="00817919">
        <w:rPr>
          <w:rFonts w:ascii="Times New Roman" w:hAnsi="Times New Roman" w:cs="Times New Roman"/>
          <w:sz w:val="28"/>
          <w:szCs w:val="28"/>
        </w:rPr>
        <w:t xml:space="preserve">del </w:t>
      </w:r>
      <w:r w:rsidR="00817919" w:rsidRPr="00A633C2">
        <w:rPr>
          <w:rFonts w:ascii="Times New Roman" w:hAnsi="Times New Roman" w:cs="Times New Roman"/>
          <w:i/>
          <w:iCs/>
          <w:sz w:val="28"/>
          <w:szCs w:val="28"/>
        </w:rPr>
        <w:t>network</w:t>
      </w:r>
      <w:r w:rsidR="00A633C2">
        <w:rPr>
          <w:rFonts w:ascii="Times New Roman" w:hAnsi="Times New Roman" w:cs="Times New Roman"/>
          <w:sz w:val="28"/>
          <w:szCs w:val="28"/>
        </w:rPr>
        <w:t>,</w:t>
      </w:r>
      <w:r w:rsidR="00817919">
        <w:rPr>
          <w:rFonts w:ascii="Times New Roman" w:hAnsi="Times New Roman" w:cs="Times New Roman"/>
          <w:sz w:val="28"/>
          <w:szCs w:val="28"/>
        </w:rPr>
        <w:t xml:space="preserve"> rappresentati da tutti gli utenti del </w:t>
      </w:r>
      <w:proofErr w:type="spellStart"/>
      <w:r w:rsidR="00817919" w:rsidRPr="00A633C2">
        <w:rPr>
          <w:rFonts w:ascii="Times New Roman" w:hAnsi="Times New Roman" w:cs="Times New Roman"/>
          <w:i/>
          <w:iCs/>
          <w:sz w:val="28"/>
          <w:szCs w:val="28"/>
        </w:rPr>
        <w:t>Bitcoin</w:t>
      </w:r>
      <w:proofErr w:type="spellEnd"/>
      <w:r w:rsidR="00A633C2">
        <w:rPr>
          <w:rFonts w:ascii="Times New Roman" w:hAnsi="Times New Roman" w:cs="Times New Roman"/>
          <w:sz w:val="28"/>
          <w:szCs w:val="28"/>
        </w:rPr>
        <w:t xml:space="preserve">. </w:t>
      </w:r>
      <w:r w:rsidR="00C7552C">
        <w:rPr>
          <w:rFonts w:ascii="Times New Roman" w:hAnsi="Times New Roman" w:cs="Times New Roman"/>
          <w:sz w:val="28"/>
          <w:szCs w:val="28"/>
        </w:rPr>
        <w:t>Il sistema dei registri decentralizzati opera come un sistema di contabilità</w:t>
      </w:r>
      <w:r w:rsidR="00C522A8">
        <w:rPr>
          <w:rFonts w:ascii="Times New Roman" w:hAnsi="Times New Roman" w:cs="Times New Roman"/>
          <w:sz w:val="28"/>
          <w:szCs w:val="28"/>
        </w:rPr>
        <w:t xml:space="preserve"> e i blocchi di operazioni vengono man mano validati ed eseguiti con una tempistica serrata di dieci minuti, in maniera tale da non poter essere modificati dopo questo intervallo.</w:t>
      </w:r>
      <w:r w:rsidR="00A633C2">
        <w:rPr>
          <w:rFonts w:ascii="Times New Roman" w:hAnsi="Times New Roman" w:cs="Times New Roman"/>
          <w:sz w:val="28"/>
          <w:szCs w:val="28"/>
        </w:rPr>
        <w:t xml:space="preserve"> </w:t>
      </w:r>
      <w:r w:rsidR="00867A02">
        <w:rPr>
          <w:rFonts w:ascii="Times New Roman" w:hAnsi="Times New Roman" w:cs="Times New Roman"/>
          <w:sz w:val="28"/>
          <w:szCs w:val="28"/>
        </w:rPr>
        <w:t>Oltre alla pseudonimia degli utenti</w:t>
      </w:r>
      <w:r w:rsidR="00B51387">
        <w:rPr>
          <w:rFonts w:ascii="Times New Roman" w:hAnsi="Times New Roman" w:cs="Times New Roman"/>
          <w:sz w:val="28"/>
          <w:szCs w:val="28"/>
        </w:rPr>
        <w:t xml:space="preserve">, l’utilità di questo registro decentralizzato sta nel fatto che, tramite la piattaforma, qualsiasi bene virtuale </w:t>
      </w:r>
      <w:r w:rsidR="00B51387">
        <w:rPr>
          <w:rFonts w:ascii="Times New Roman" w:hAnsi="Times New Roman" w:cs="Times New Roman"/>
          <w:sz w:val="28"/>
          <w:szCs w:val="28"/>
        </w:rPr>
        <w:lastRenderedPageBreak/>
        <w:t xml:space="preserve">o tangibile, ma rappresentato digitalmente, può essere trasferito </w:t>
      </w:r>
      <w:r w:rsidR="00781E68">
        <w:rPr>
          <w:rFonts w:ascii="Times New Roman" w:hAnsi="Times New Roman" w:cs="Times New Roman"/>
          <w:sz w:val="28"/>
          <w:szCs w:val="28"/>
        </w:rPr>
        <w:t>mediante la stessa ed è registrato in maniera indelebile.</w:t>
      </w:r>
      <w:r w:rsidR="00D96878">
        <w:rPr>
          <w:rFonts w:ascii="Times New Roman" w:hAnsi="Times New Roman" w:cs="Times New Roman"/>
          <w:sz w:val="28"/>
          <w:szCs w:val="28"/>
        </w:rPr>
        <w:t xml:space="preserve"> Questa tecnologia v</w:t>
      </w:r>
      <w:r w:rsidR="00F638FB">
        <w:rPr>
          <w:rFonts w:ascii="Times New Roman" w:hAnsi="Times New Roman" w:cs="Times New Roman"/>
          <w:sz w:val="28"/>
          <w:szCs w:val="28"/>
        </w:rPr>
        <w:t>eloce</w:t>
      </w:r>
      <w:r w:rsidR="00D96878">
        <w:rPr>
          <w:rFonts w:ascii="Times New Roman" w:hAnsi="Times New Roman" w:cs="Times New Roman"/>
          <w:sz w:val="28"/>
          <w:szCs w:val="28"/>
        </w:rPr>
        <w:t xml:space="preserve"> riduce i rischi di errori dell’intermediari</w:t>
      </w:r>
      <w:r w:rsidR="00F638FB">
        <w:rPr>
          <w:rFonts w:ascii="Times New Roman" w:hAnsi="Times New Roman" w:cs="Times New Roman"/>
          <w:sz w:val="28"/>
          <w:szCs w:val="28"/>
        </w:rPr>
        <w:t>o</w:t>
      </w:r>
      <w:r w:rsidR="0076543A">
        <w:rPr>
          <w:rFonts w:ascii="Times New Roman" w:hAnsi="Times New Roman" w:cs="Times New Roman"/>
          <w:sz w:val="28"/>
          <w:szCs w:val="28"/>
        </w:rPr>
        <w:t xml:space="preserve"> </w:t>
      </w:r>
      <w:r w:rsidR="00A633C2">
        <w:rPr>
          <w:rFonts w:ascii="Times New Roman" w:hAnsi="Times New Roman" w:cs="Times New Roman"/>
          <w:sz w:val="28"/>
          <w:szCs w:val="28"/>
        </w:rPr>
        <w:t>e, se</w:t>
      </w:r>
      <w:r w:rsidR="0076543A">
        <w:rPr>
          <w:rFonts w:ascii="Times New Roman" w:hAnsi="Times New Roman" w:cs="Times New Roman"/>
          <w:sz w:val="28"/>
          <w:szCs w:val="28"/>
        </w:rPr>
        <w:t xml:space="preserve"> si guarda al funzionamento della </w:t>
      </w:r>
      <w:proofErr w:type="spellStart"/>
      <w:r w:rsidR="0076543A" w:rsidRPr="00A633C2">
        <w:rPr>
          <w:rFonts w:ascii="Times New Roman" w:hAnsi="Times New Roman" w:cs="Times New Roman"/>
          <w:i/>
          <w:iCs/>
          <w:sz w:val="28"/>
          <w:szCs w:val="28"/>
        </w:rPr>
        <w:t>blockchain</w:t>
      </w:r>
      <w:proofErr w:type="spellEnd"/>
      <w:r w:rsidR="0076543A">
        <w:rPr>
          <w:rFonts w:ascii="Times New Roman" w:hAnsi="Times New Roman" w:cs="Times New Roman"/>
          <w:sz w:val="28"/>
          <w:szCs w:val="28"/>
        </w:rPr>
        <w:t xml:space="preserve"> dalla prospettiva delle vicende giuridiche della fase esecutiva, appare evidente </w:t>
      </w:r>
      <w:r w:rsidR="002716E8">
        <w:rPr>
          <w:rFonts w:ascii="Times New Roman" w:hAnsi="Times New Roman" w:cs="Times New Roman"/>
          <w:sz w:val="28"/>
          <w:szCs w:val="28"/>
        </w:rPr>
        <w:t>che l’automazione delle operazioni riduce il rischio di inadempimento contrattual</w:t>
      </w:r>
      <w:r w:rsidR="001B28C6">
        <w:rPr>
          <w:rFonts w:ascii="Times New Roman" w:hAnsi="Times New Roman" w:cs="Times New Roman"/>
          <w:sz w:val="28"/>
          <w:szCs w:val="28"/>
        </w:rPr>
        <w:t>e implicito nella conclusione del contratto. Si determina, così, la “certezza assoluta dell’adempimento contrattuale” con un automatismo certificato.</w:t>
      </w:r>
      <w:r w:rsidR="007919C4">
        <w:rPr>
          <w:rFonts w:ascii="Times New Roman" w:hAnsi="Times New Roman" w:cs="Times New Roman"/>
          <w:sz w:val="28"/>
          <w:szCs w:val="28"/>
        </w:rPr>
        <w:t xml:space="preserve"> L’esecuzione viene affidata ad una rete e non può essere influenzata </w:t>
      </w:r>
      <w:r w:rsidR="00572740">
        <w:rPr>
          <w:rFonts w:ascii="Times New Roman" w:hAnsi="Times New Roman" w:cs="Times New Roman"/>
          <w:sz w:val="28"/>
          <w:szCs w:val="28"/>
        </w:rPr>
        <w:t xml:space="preserve">una volta lanciato lo </w:t>
      </w:r>
      <w:proofErr w:type="spellStart"/>
      <w:r w:rsidR="00572740" w:rsidRPr="00572740">
        <w:rPr>
          <w:rFonts w:ascii="Times New Roman" w:hAnsi="Times New Roman" w:cs="Times New Roman"/>
          <w:i/>
          <w:iCs/>
          <w:sz w:val="28"/>
          <w:szCs w:val="28"/>
        </w:rPr>
        <w:t>smart-contract</w:t>
      </w:r>
      <w:proofErr w:type="spellEnd"/>
      <w:r w:rsidR="00572740">
        <w:rPr>
          <w:rFonts w:ascii="Times New Roman" w:hAnsi="Times New Roman" w:cs="Times New Roman"/>
          <w:sz w:val="28"/>
          <w:szCs w:val="28"/>
        </w:rPr>
        <w:t xml:space="preserve"> nella </w:t>
      </w:r>
      <w:proofErr w:type="spellStart"/>
      <w:r w:rsidR="00572740" w:rsidRPr="00A633C2">
        <w:rPr>
          <w:rFonts w:ascii="Times New Roman" w:hAnsi="Times New Roman" w:cs="Times New Roman"/>
          <w:i/>
          <w:iCs/>
          <w:sz w:val="28"/>
          <w:szCs w:val="28"/>
        </w:rPr>
        <w:t>blockchain</w:t>
      </w:r>
      <w:proofErr w:type="spellEnd"/>
      <w:r w:rsidR="00572740">
        <w:rPr>
          <w:rFonts w:ascii="Times New Roman" w:hAnsi="Times New Roman" w:cs="Times New Roman"/>
          <w:sz w:val="28"/>
          <w:szCs w:val="28"/>
        </w:rPr>
        <w:t>.</w:t>
      </w:r>
      <w:r w:rsidR="00BD189A">
        <w:rPr>
          <w:rFonts w:ascii="Times New Roman" w:hAnsi="Times New Roman" w:cs="Times New Roman"/>
          <w:sz w:val="28"/>
          <w:szCs w:val="28"/>
        </w:rPr>
        <w:t xml:space="preserve"> L’automazione può inerire esclusivamente la formazione di un contratto</w:t>
      </w:r>
      <w:r w:rsidR="009B1D53">
        <w:rPr>
          <w:rFonts w:ascii="Times New Roman" w:hAnsi="Times New Roman" w:cs="Times New Roman"/>
          <w:sz w:val="28"/>
          <w:szCs w:val="28"/>
        </w:rPr>
        <w:t xml:space="preserve">: ciò si realizza qualora un algoritmo sia impiegato </w:t>
      </w:r>
      <w:r w:rsidR="00B934E9">
        <w:rPr>
          <w:rFonts w:ascii="Times New Roman" w:hAnsi="Times New Roman" w:cs="Times New Roman"/>
          <w:sz w:val="28"/>
          <w:szCs w:val="28"/>
        </w:rPr>
        <w:t xml:space="preserve">nella definizione del contenuto </w:t>
      </w:r>
      <w:r w:rsidR="00A633C2">
        <w:rPr>
          <w:rFonts w:ascii="Times New Roman" w:hAnsi="Times New Roman" w:cs="Times New Roman"/>
          <w:sz w:val="28"/>
          <w:szCs w:val="28"/>
        </w:rPr>
        <w:t>contrattuale,</w:t>
      </w:r>
      <w:r w:rsidR="00B934E9">
        <w:rPr>
          <w:rFonts w:ascii="Times New Roman" w:hAnsi="Times New Roman" w:cs="Times New Roman"/>
          <w:sz w:val="28"/>
          <w:szCs w:val="28"/>
        </w:rPr>
        <w:t xml:space="preserve"> </w:t>
      </w:r>
      <w:r w:rsidR="0034376B">
        <w:rPr>
          <w:rFonts w:ascii="Times New Roman" w:hAnsi="Times New Roman" w:cs="Times New Roman"/>
          <w:sz w:val="28"/>
          <w:szCs w:val="28"/>
        </w:rPr>
        <w:t xml:space="preserve">delineando </w:t>
      </w:r>
      <w:r w:rsidR="00A633C2">
        <w:rPr>
          <w:rFonts w:ascii="Times New Roman" w:hAnsi="Times New Roman" w:cs="Times New Roman"/>
          <w:sz w:val="28"/>
          <w:szCs w:val="28"/>
        </w:rPr>
        <w:t>le obbligazioni</w:t>
      </w:r>
      <w:r w:rsidR="00B934E9">
        <w:rPr>
          <w:rFonts w:ascii="Times New Roman" w:hAnsi="Times New Roman" w:cs="Times New Roman"/>
          <w:sz w:val="28"/>
          <w:szCs w:val="28"/>
        </w:rPr>
        <w:t xml:space="preserve"> delle parti prima o dopo la conclusione del contratto c</w:t>
      </w:r>
      <w:r w:rsidR="00A633C2">
        <w:rPr>
          <w:rFonts w:ascii="Times New Roman" w:hAnsi="Times New Roman" w:cs="Times New Roman"/>
          <w:sz w:val="28"/>
          <w:szCs w:val="28"/>
        </w:rPr>
        <w:t>.</w:t>
      </w:r>
      <w:r w:rsidR="00B934E9">
        <w:rPr>
          <w:rFonts w:ascii="Times New Roman" w:hAnsi="Times New Roman" w:cs="Times New Roman"/>
          <w:sz w:val="28"/>
          <w:szCs w:val="28"/>
        </w:rPr>
        <w:t>d</w:t>
      </w:r>
      <w:r w:rsidR="00A633C2">
        <w:rPr>
          <w:rFonts w:ascii="Times New Roman" w:hAnsi="Times New Roman" w:cs="Times New Roman"/>
          <w:sz w:val="28"/>
          <w:szCs w:val="28"/>
        </w:rPr>
        <w:t>.</w:t>
      </w:r>
      <w:r w:rsidR="00B934E9">
        <w:rPr>
          <w:rFonts w:ascii="Times New Roman" w:hAnsi="Times New Roman" w:cs="Times New Roman"/>
          <w:sz w:val="28"/>
          <w:szCs w:val="28"/>
        </w:rPr>
        <w:t xml:space="preserve"> </w:t>
      </w:r>
      <w:r w:rsidR="00B934E9" w:rsidRPr="0034376B">
        <w:rPr>
          <w:rFonts w:ascii="Times New Roman" w:hAnsi="Times New Roman" w:cs="Times New Roman"/>
          <w:i/>
          <w:iCs/>
          <w:sz w:val="28"/>
          <w:szCs w:val="28"/>
        </w:rPr>
        <w:t>gap filler</w:t>
      </w:r>
      <w:r w:rsidR="0034376B">
        <w:rPr>
          <w:rFonts w:ascii="Times New Roman" w:hAnsi="Times New Roman" w:cs="Times New Roman"/>
          <w:i/>
          <w:iCs/>
          <w:sz w:val="28"/>
          <w:szCs w:val="28"/>
        </w:rPr>
        <w:t xml:space="preserve"> and </w:t>
      </w:r>
      <w:proofErr w:type="spellStart"/>
      <w:r w:rsidR="0034376B">
        <w:rPr>
          <w:rFonts w:ascii="Times New Roman" w:hAnsi="Times New Roman" w:cs="Times New Roman"/>
          <w:i/>
          <w:iCs/>
          <w:sz w:val="28"/>
          <w:szCs w:val="28"/>
        </w:rPr>
        <w:t>loss</w:t>
      </w:r>
      <w:proofErr w:type="spellEnd"/>
      <w:r w:rsidR="0034376B">
        <w:rPr>
          <w:rFonts w:ascii="Times New Roman" w:hAnsi="Times New Roman" w:cs="Times New Roman"/>
          <w:i/>
          <w:iCs/>
          <w:sz w:val="28"/>
          <w:szCs w:val="28"/>
        </w:rPr>
        <w:t xml:space="preserve"> </w:t>
      </w:r>
      <w:proofErr w:type="spellStart"/>
      <w:r w:rsidR="0034376B">
        <w:rPr>
          <w:rFonts w:ascii="Times New Roman" w:hAnsi="Times New Roman" w:cs="Times New Roman"/>
          <w:i/>
          <w:iCs/>
          <w:sz w:val="28"/>
          <w:szCs w:val="28"/>
        </w:rPr>
        <w:t>distribution</w:t>
      </w:r>
      <w:proofErr w:type="spellEnd"/>
      <w:r w:rsidR="00B934E9" w:rsidRPr="0034376B">
        <w:rPr>
          <w:rFonts w:ascii="Times New Roman" w:hAnsi="Times New Roman" w:cs="Times New Roman"/>
          <w:i/>
          <w:iCs/>
          <w:sz w:val="28"/>
          <w:szCs w:val="28"/>
        </w:rPr>
        <w:t>.</w:t>
      </w:r>
      <w:r w:rsidR="009C2B27">
        <w:rPr>
          <w:rFonts w:ascii="Times New Roman" w:hAnsi="Times New Roman" w:cs="Times New Roman"/>
          <w:i/>
          <w:iCs/>
          <w:sz w:val="28"/>
          <w:szCs w:val="28"/>
        </w:rPr>
        <w:t xml:space="preserve"> </w:t>
      </w:r>
      <w:r w:rsidR="009C2B27" w:rsidRPr="009C2B27">
        <w:rPr>
          <w:rFonts w:ascii="Times New Roman" w:hAnsi="Times New Roman" w:cs="Times New Roman"/>
          <w:sz w:val="28"/>
          <w:szCs w:val="28"/>
        </w:rPr>
        <w:t>Si parla</w:t>
      </w:r>
      <w:r w:rsidR="00A633C2">
        <w:rPr>
          <w:rFonts w:ascii="Times New Roman" w:hAnsi="Times New Roman" w:cs="Times New Roman"/>
          <w:sz w:val="28"/>
          <w:szCs w:val="28"/>
        </w:rPr>
        <w:t>,</w:t>
      </w:r>
      <w:r w:rsidR="009C2B27" w:rsidRPr="009C2B27">
        <w:rPr>
          <w:rFonts w:ascii="Times New Roman" w:hAnsi="Times New Roman" w:cs="Times New Roman"/>
          <w:sz w:val="28"/>
          <w:szCs w:val="28"/>
        </w:rPr>
        <w:t xml:space="preserve"> a tal proposito</w:t>
      </w:r>
      <w:r w:rsidR="00A633C2">
        <w:rPr>
          <w:rFonts w:ascii="Times New Roman" w:hAnsi="Times New Roman" w:cs="Times New Roman"/>
          <w:sz w:val="28"/>
          <w:szCs w:val="28"/>
        </w:rPr>
        <w:t>,</w:t>
      </w:r>
      <w:r w:rsidR="009C2B27">
        <w:rPr>
          <w:rFonts w:ascii="Times New Roman" w:hAnsi="Times New Roman" w:cs="Times New Roman"/>
          <w:sz w:val="28"/>
          <w:szCs w:val="28"/>
        </w:rPr>
        <w:t xml:space="preserve"> di </w:t>
      </w:r>
      <w:r w:rsidR="009C2B27" w:rsidRPr="009C2B27">
        <w:rPr>
          <w:rFonts w:ascii="Times New Roman" w:hAnsi="Times New Roman" w:cs="Times New Roman"/>
          <w:i/>
          <w:iCs/>
          <w:sz w:val="28"/>
          <w:szCs w:val="28"/>
        </w:rPr>
        <w:t>self-</w:t>
      </w:r>
      <w:proofErr w:type="spellStart"/>
      <w:r w:rsidR="009C2B27" w:rsidRPr="009C2B27">
        <w:rPr>
          <w:rFonts w:ascii="Times New Roman" w:hAnsi="Times New Roman" w:cs="Times New Roman"/>
          <w:i/>
          <w:iCs/>
          <w:sz w:val="28"/>
          <w:szCs w:val="28"/>
        </w:rPr>
        <w:t>driving</w:t>
      </w:r>
      <w:proofErr w:type="spellEnd"/>
      <w:r w:rsidR="009C2B27" w:rsidRPr="009C2B27">
        <w:rPr>
          <w:rFonts w:ascii="Times New Roman" w:hAnsi="Times New Roman" w:cs="Times New Roman"/>
          <w:i/>
          <w:iCs/>
          <w:sz w:val="28"/>
          <w:szCs w:val="28"/>
        </w:rPr>
        <w:t xml:space="preserve"> </w:t>
      </w:r>
      <w:proofErr w:type="spellStart"/>
      <w:r w:rsidR="009C2B27" w:rsidRPr="009C2B27">
        <w:rPr>
          <w:rFonts w:ascii="Times New Roman" w:hAnsi="Times New Roman" w:cs="Times New Roman"/>
          <w:i/>
          <w:iCs/>
          <w:sz w:val="28"/>
          <w:szCs w:val="28"/>
        </w:rPr>
        <w:t>contracts</w:t>
      </w:r>
      <w:proofErr w:type="spellEnd"/>
      <w:r w:rsidR="009C2B27">
        <w:rPr>
          <w:rFonts w:ascii="Times New Roman" w:hAnsi="Times New Roman" w:cs="Times New Roman"/>
          <w:i/>
          <w:iCs/>
          <w:sz w:val="28"/>
          <w:szCs w:val="28"/>
        </w:rPr>
        <w:t xml:space="preserve">, </w:t>
      </w:r>
      <w:r w:rsidR="009C2B27" w:rsidRPr="009C2B27">
        <w:rPr>
          <w:rFonts w:ascii="Times New Roman" w:hAnsi="Times New Roman" w:cs="Times New Roman"/>
          <w:sz w:val="28"/>
          <w:szCs w:val="28"/>
        </w:rPr>
        <w:t>qualora</w:t>
      </w:r>
      <w:r w:rsidR="009C2B27">
        <w:rPr>
          <w:rFonts w:ascii="Times New Roman" w:hAnsi="Times New Roman" w:cs="Times New Roman"/>
          <w:sz w:val="28"/>
          <w:szCs w:val="28"/>
        </w:rPr>
        <w:t xml:space="preserve"> le parti </w:t>
      </w:r>
      <w:r w:rsidR="00A633C2">
        <w:rPr>
          <w:rFonts w:ascii="Times New Roman" w:hAnsi="Times New Roman" w:cs="Times New Roman"/>
          <w:sz w:val="28"/>
          <w:szCs w:val="28"/>
        </w:rPr>
        <w:t>individuino</w:t>
      </w:r>
      <w:r w:rsidR="009C2B27">
        <w:rPr>
          <w:rFonts w:ascii="Times New Roman" w:hAnsi="Times New Roman" w:cs="Times New Roman"/>
          <w:sz w:val="28"/>
          <w:szCs w:val="28"/>
        </w:rPr>
        <w:t xml:space="preserve"> un obiettivo comune, lasciando all’algoritmo</w:t>
      </w:r>
      <w:r w:rsidR="00A633C2">
        <w:rPr>
          <w:rFonts w:ascii="Times New Roman" w:hAnsi="Times New Roman" w:cs="Times New Roman"/>
          <w:sz w:val="28"/>
          <w:szCs w:val="28"/>
        </w:rPr>
        <w:t>,</w:t>
      </w:r>
      <w:r w:rsidR="00147B51">
        <w:rPr>
          <w:rFonts w:ascii="Times New Roman" w:hAnsi="Times New Roman" w:cs="Times New Roman"/>
          <w:sz w:val="28"/>
          <w:szCs w:val="28"/>
        </w:rPr>
        <w:t xml:space="preserve"> che in questo caso è una forma di intelligenza artificiale (</w:t>
      </w:r>
      <w:proofErr w:type="spellStart"/>
      <w:r w:rsidR="00147B51" w:rsidRPr="00147B51">
        <w:rPr>
          <w:rFonts w:ascii="Times New Roman" w:hAnsi="Times New Roman" w:cs="Times New Roman"/>
          <w:i/>
          <w:iCs/>
          <w:sz w:val="28"/>
          <w:szCs w:val="28"/>
        </w:rPr>
        <w:t>analytics</w:t>
      </w:r>
      <w:proofErr w:type="spellEnd"/>
      <w:r w:rsidR="00147B51" w:rsidRPr="00A633C2">
        <w:rPr>
          <w:rFonts w:ascii="Times New Roman" w:hAnsi="Times New Roman" w:cs="Times New Roman"/>
          <w:sz w:val="28"/>
          <w:szCs w:val="28"/>
        </w:rPr>
        <w:t>)</w:t>
      </w:r>
      <w:r w:rsidR="00A633C2" w:rsidRPr="00A633C2">
        <w:rPr>
          <w:rFonts w:ascii="Times New Roman" w:hAnsi="Times New Roman" w:cs="Times New Roman"/>
          <w:sz w:val="28"/>
          <w:szCs w:val="28"/>
        </w:rPr>
        <w:t>,</w:t>
      </w:r>
      <w:r w:rsidR="00147B51">
        <w:rPr>
          <w:rFonts w:ascii="Times New Roman" w:hAnsi="Times New Roman" w:cs="Times New Roman"/>
          <w:i/>
          <w:iCs/>
          <w:sz w:val="28"/>
          <w:szCs w:val="28"/>
        </w:rPr>
        <w:t xml:space="preserve"> </w:t>
      </w:r>
      <w:r w:rsidR="00147B51" w:rsidRPr="00147B51">
        <w:rPr>
          <w:rFonts w:ascii="Times New Roman" w:hAnsi="Times New Roman" w:cs="Times New Roman"/>
          <w:sz w:val="28"/>
          <w:szCs w:val="28"/>
        </w:rPr>
        <w:t xml:space="preserve">il </w:t>
      </w:r>
      <w:r w:rsidR="00147B51">
        <w:rPr>
          <w:rFonts w:ascii="Times New Roman" w:hAnsi="Times New Roman" w:cs="Times New Roman"/>
          <w:sz w:val="28"/>
          <w:szCs w:val="28"/>
        </w:rPr>
        <w:t>compito di definire il contenuto del contratto.</w:t>
      </w:r>
      <w:r w:rsidR="009C4AC2">
        <w:rPr>
          <w:rFonts w:ascii="Times New Roman" w:hAnsi="Times New Roman" w:cs="Times New Roman"/>
          <w:sz w:val="28"/>
          <w:szCs w:val="28"/>
        </w:rPr>
        <w:t xml:space="preserve"> Un </w:t>
      </w:r>
      <w:r w:rsidR="00A633C2">
        <w:rPr>
          <w:rFonts w:ascii="Times New Roman" w:hAnsi="Times New Roman" w:cs="Times New Roman"/>
          <w:sz w:val="28"/>
          <w:szCs w:val="28"/>
        </w:rPr>
        <w:t>esempio del</w:t>
      </w:r>
      <w:r w:rsidR="009C4AC2">
        <w:rPr>
          <w:rFonts w:ascii="Times New Roman" w:hAnsi="Times New Roman" w:cs="Times New Roman"/>
          <w:sz w:val="28"/>
          <w:szCs w:val="28"/>
        </w:rPr>
        <w:t xml:space="preserve"> genere è chiaro in quelle assicurazioni in cui il premio varia a seconda dello stile di guida per come</w:t>
      </w:r>
      <w:r w:rsidR="00420227">
        <w:rPr>
          <w:rFonts w:ascii="Times New Roman" w:hAnsi="Times New Roman" w:cs="Times New Roman"/>
          <w:sz w:val="28"/>
          <w:szCs w:val="28"/>
        </w:rPr>
        <w:t xml:space="preserve"> monitorato dall’applicazione </w:t>
      </w:r>
      <w:proofErr w:type="spellStart"/>
      <w:r w:rsidR="00420227">
        <w:rPr>
          <w:rFonts w:ascii="Times New Roman" w:hAnsi="Times New Roman" w:cs="Times New Roman"/>
          <w:sz w:val="28"/>
          <w:szCs w:val="28"/>
        </w:rPr>
        <w:t>app</w:t>
      </w:r>
      <w:proofErr w:type="spellEnd"/>
      <w:r w:rsidR="00420227">
        <w:rPr>
          <w:rFonts w:ascii="Times New Roman" w:hAnsi="Times New Roman" w:cs="Times New Roman"/>
          <w:sz w:val="28"/>
          <w:szCs w:val="28"/>
        </w:rPr>
        <w:t xml:space="preserve"> per </w:t>
      </w:r>
      <w:proofErr w:type="spellStart"/>
      <w:r w:rsidR="00420227" w:rsidRPr="00A633C2">
        <w:rPr>
          <w:rFonts w:ascii="Times New Roman" w:hAnsi="Times New Roman" w:cs="Times New Roman"/>
          <w:i/>
          <w:iCs/>
          <w:sz w:val="28"/>
          <w:szCs w:val="28"/>
        </w:rPr>
        <w:t>smartphone</w:t>
      </w:r>
      <w:proofErr w:type="spellEnd"/>
      <w:r w:rsidR="00420227">
        <w:rPr>
          <w:rFonts w:ascii="Times New Roman" w:hAnsi="Times New Roman" w:cs="Times New Roman"/>
          <w:sz w:val="28"/>
          <w:szCs w:val="28"/>
        </w:rPr>
        <w:t xml:space="preserve"> che permette di conoscere l’esatta posizione del veicolo, la sua velocità e la quantità di chilometri percorsi.</w:t>
      </w:r>
      <w:r w:rsidR="00856CB3">
        <w:rPr>
          <w:rFonts w:ascii="Times New Roman" w:hAnsi="Times New Roman" w:cs="Times New Roman"/>
          <w:sz w:val="28"/>
          <w:szCs w:val="28"/>
        </w:rPr>
        <w:t xml:space="preserve"> Occorre, però, </w:t>
      </w:r>
      <w:r w:rsidR="00A633C2">
        <w:rPr>
          <w:rFonts w:ascii="Times New Roman" w:hAnsi="Times New Roman" w:cs="Times New Roman"/>
          <w:sz w:val="28"/>
          <w:szCs w:val="28"/>
        </w:rPr>
        <w:t xml:space="preserve">chiedersi: </w:t>
      </w:r>
      <w:r w:rsidR="00A633C2" w:rsidRPr="008835F6">
        <w:rPr>
          <w:rFonts w:ascii="Times New Roman" w:hAnsi="Times New Roman" w:cs="Times New Roman"/>
          <w:sz w:val="28"/>
          <w:szCs w:val="28"/>
        </w:rPr>
        <w:t>l’algoritmo</w:t>
      </w:r>
      <w:r w:rsidR="00856CB3" w:rsidRPr="008835F6">
        <w:rPr>
          <w:rFonts w:ascii="Times New Roman" w:hAnsi="Times New Roman" w:cs="Times New Roman"/>
          <w:sz w:val="28"/>
          <w:szCs w:val="28"/>
        </w:rPr>
        <w:t xml:space="preserve"> può sostituire totalmente l’autonomia privata insita nella definizione giuridica del contratto ex art.</w:t>
      </w:r>
      <w:r w:rsidR="00A633C2" w:rsidRPr="008835F6">
        <w:rPr>
          <w:rFonts w:ascii="Times New Roman" w:hAnsi="Times New Roman" w:cs="Times New Roman"/>
          <w:sz w:val="28"/>
          <w:szCs w:val="28"/>
        </w:rPr>
        <w:t xml:space="preserve"> </w:t>
      </w:r>
      <w:r w:rsidR="00856CB3" w:rsidRPr="008835F6">
        <w:rPr>
          <w:rFonts w:ascii="Times New Roman" w:hAnsi="Times New Roman" w:cs="Times New Roman"/>
          <w:sz w:val="28"/>
          <w:szCs w:val="28"/>
        </w:rPr>
        <w:t>1321 c</w:t>
      </w:r>
      <w:r w:rsidR="00A633C2" w:rsidRPr="008835F6">
        <w:rPr>
          <w:rFonts w:ascii="Times New Roman" w:hAnsi="Times New Roman" w:cs="Times New Roman"/>
          <w:sz w:val="28"/>
          <w:szCs w:val="28"/>
        </w:rPr>
        <w:t>.</w:t>
      </w:r>
      <w:r w:rsidR="00856CB3" w:rsidRPr="008835F6">
        <w:rPr>
          <w:rFonts w:ascii="Times New Roman" w:hAnsi="Times New Roman" w:cs="Times New Roman"/>
          <w:sz w:val="28"/>
          <w:szCs w:val="28"/>
        </w:rPr>
        <w:t>c</w:t>
      </w:r>
      <w:r w:rsidR="00A633C2" w:rsidRPr="008835F6">
        <w:rPr>
          <w:rFonts w:ascii="Times New Roman" w:hAnsi="Times New Roman" w:cs="Times New Roman"/>
          <w:sz w:val="28"/>
          <w:szCs w:val="28"/>
        </w:rPr>
        <w:t>.</w:t>
      </w:r>
      <w:r w:rsidR="00856CB3" w:rsidRPr="008835F6">
        <w:rPr>
          <w:rFonts w:ascii="Times New Roman" w:hAnsi="Times New Roman" w:cs="Times New Roman"/>
          <w:sz w:val="28"/>
          <w:szCs w:val="28"/>
        </w:rPr>
        <w:t xml:space="preserve">? </w:t>
      </w:r>
      <w:r w:rsidR="00871ECB" w:rsidRPr="008835F6">
        <w:rPr>
          <w:rFonts w:ascii="Times New Roman" w:hAnsi="Times New Roman" w:cs="Times New Roman"/>
          <w:sz w:val="28"/>
          <w:szCs w:val="28"/>
        </w:rPr>
        <w:t>Allo stato attuale</w:t>
      </w:r>
      <w:r w:rsidR="00A633C2" w:rsidRPr="008835F6">
        <w:rPr>
          <w:rFonts w:ascii="Times New Roman" w:hAnsi="Times New Roman" w:cs="Times New Roman"/>
          <w:sz w:val="28"/>
          <w:szCs w:val="28"/>
        </w:rPr>
        <w:t>,</w:t>
      </w:r>
      <w:r w:rsidR="00871ECB" w:rsidRPr="008835F6">
        <w:rPr>
          <w:rFonts w:ascii="Times New Roman" w:hAnsi="Times New Roman" w:cs="Times New Roman"/>
          <w:sz w:val="28"/>
          <w:szCs w:val="28"/>
        </w:rPr>
        <w:t xml:space="preserve"> la valutazione tram</w:t>
      </w:r>
      <w:r w:rsidR="00871ECB">
        <w:rPr>
          <w:rFonts w:ascii="Times New Roman" w:hAnsi="Times New Roman" w:cs="Times New Roman"/>
          <w:sz w:val="28"/>
          <w:szCs w:val="28"/>
        </w:rPr>
        <w:t xml:space="preserve">ite </w:t>
      </w:r>
      <w:proofErr w:type="spellStart"/>
      <w:r w:rsidR="00871ECB" w:rsidRPr="00CE09D2">
        <w:rPr>
          <w:rFonts w:ascii="Times New Roman" w:hAnsi="Times New Roman" w:cs="Times New Roman"/>
          <w:i/>
          <w:iCs/>
          <w:sz w:val="28"/>
          <w:szCs w:val="28"/>
        </w:rPr>
        <w:t>ana</w:t>
      </w:r>
      <w:r w:rsidR="00F71334" w:rsidRPr="00CE09D2">
        <w:rPr>
          <w:rFonts w:ascii="Times New Roman" w:hAnsi="Times New Roman" w:cs="Times New Roman"/>
          <w:i/>
          <w:iCs/>
          <w:sz w:val="28"/>
          <w:szCs w:val="28"/>
        </w:rPr>
        <w:t>litycs</w:t>
      </w:r>
      <w:proofErr w:type="spellEnd"/>
      <w:r w:rsidR="00960172">
        <w:rPr>
          <w:rFonts w:ascii="Times New Roman" w:hAnsi="Times New Roman" w:cs="Times New Roman"/>
          <w:sz w:val="28"/>
          <w:szCs w:val="28"/>
        </w:rPr>
        <w:t xml:space="preserve"> non modifica </w:t>
      </w:r>
      <w:r w:rsidR="004C55B1">
        <w:rPr>
          <w:rFonts w:ascii="Times New Roman" w:hAnsi="Times New Roman" w:cs="Times New Roman"/>
          <w:sz w:val="28"/>
          <w:szCs w:val="28"/>
        </w:rPr>
        <w:t>automaticamente il contenuto/oggetto del contratto</w:t>
      </w:r>
      <w:r w:rsidR="00EA3179">
        <w:rPr>
          <w:rFonts w:ascii="Times New Roman" w:hAnsi="Times New Roman" w:cs="Times New Roman"/>
          <w:sz w:val="28"/>
          <w:szCs w:val="28"/>
        </w:rPr>
        <w:t>. Un punteggio elevato corrisponde ad una certificazione di basso profilo</w:t>
      </w:r>
      <w:r w:rsidR="00CE09D2">
        <w:rPr>
          <w:rFonts w:ascii="Times New Roman" w:hAnsi="Times New Roman" w:cs="Times New Roman"/>
          <w:sz w:val="28"/>
          <w:szCs w:val="28"/>
        </w:rPr>
        <w:t xml:space="preserve"> di rischio </w:t>
      </w:r>
      <w:r w:rsidR="001678B6">
        <w:rPr>
          <w:rFonts w:ascii="Times New Roman" w:hAnsi="Times New Roman" w:cs="Times New Roman"/>
          <w:sz w:val="28"/>
          <w:szCs w:val="28"/>
        </w:rPr>
        <w:t>e se l’assicurazione decide di inserire la valutazione nel calcolo</w:t>
      </w:r>
      <w:r w:rsidR="002C11C8">
        <w:rPr>
          <w:rFonts w:ascii="Times New Roman" w:hAnsi="Times New Roman" w:cs="Times New Roman"/>
          <w:sz w:val="28"/>
          <w:szCs w:val="28"/>
        </w:rPr>
        <w:t xml:space="preserve"> delle tariffe, il cliente usufruisce di uno sconto al momento del rinnovo della polizza.</w:t>
      </w:r>
      <w:r w:rsidR="00A05EAF">
        <w:rPr>
          <w:rFonts w:ascii="Times New Roman" w:hAnsi="Times New Roman" w:cs="Times New Roman"/>
          <w:sz w:val="28"/>
          <w:szCs w:val="28"/>
        </w:rPr>
        <w:t xml:space="preserve"> Abbiamo poi i contratti c</w:t>
      </w:r>
      <w:r w:rsidR="00A633C2">
        <w:rPr>
          <w:rFonts w:ascii="Times New Roman" w:hAnsi="Times New Roman" w:cs="Times New Roman"/>
          <w:sz w:val="28"/>
          <w:szCs w:val="28"/>
        </w:rPr>
        <w:t>.</w:t>
      </w:r>
      <w:r w:rsidR="00A05EAF">
        <w:rPr>
          <w:rFonts w:ascii="Times New Roman" w:hAnsi="Times New Roman" w:cs="Times New Roman"/>
          <w:sz w:val="28"/>
          <w:szCs w:val="28"/>
        </w:rPr>
        <w:t>d</w:t>
      </w:r>
      <w:r w:rsidR="00A633C2">
        <w:rPr>
          <w:rFonts w:ascii="Times New Roman" w:hAnsi="Times New Roman" w:cs="Times New Roman"/>
          <w:sz w:val="28"/>
          <w:szCs w:val="28"/>
        </w:rPr>
        <w:t>.</w:t>
      </w:r>
      <w:r w:rsidR="00A05EAF">
        <w:rPr>
          <w:rFonts w:ascii="Times New Roman" w:hAnsi="Times New Roman" w:cs="Times New Roman"/>
          <w:sz w:val="28"/>
          <w:szCs w:val="28"/>
        </w:rPr>
        <w:t xml:space="preserve"> </w:t>
      </w:r>
      <w:r w:rsidR="00A05EAF" w:rsidRPr="00F936D2">
        <w:rPr>
          <w:rFonts w:ascii="Times New Roman" w:hAnsi="Times New Roman" w:cs="Times New Roman"/>
          <w:i/>
          <w:iCs/>
          <w:sz w:val="28"/>
          <w:szCs w:val="28"/>
        </w:rPr>
        <w:t xml:space="preserve">High </w:t>
      </w:r>
      <w:proofErr w:type="spellStart"/>
      <w:r w:rsidR="00A05EAF" w:rsidRPr="00F936D2">
        <w:rPr>
          <w:rFonts w:ascii="Times New Roman" w:hAnsi="Times New Roman" w:cs="Times New Roman"/>
          <w:i/>
          <w:iCs/>
          <w:sz w:val="28"/>
          <w:szCs w:val="28"/>
        </w:rPr>
        <w:t>Frequency</w:t>
      </w:r>
      <w:proofErr w:type="spellEnd"/>
      <w:r w:rsidR="00A05EAF" w:rsidRPr="00F936D2">
        <w:rPr>
          <w:rFonts w:ascii="Times New Roman" w:hAnsi="Times New Roman" w:cs="Times New Roman"/>
          <w:i/>
          <w:iCs/>
          <w:sz w:val="28"/>
          <w:szCs w:val="28"/>
        </w:rPr>
        <w:t xml:space="preserve"> </w:t>
      </w:r>
      <w:r w:rsidR="00F936D2" w:rsidRPr="00F936D2">
        <w:rPr>
          <w:rFonts w:ascii="Times New Roman" w:hAnsi="Times New Roman" w:cs="Times New Roman"/>
          <w:i/>
          <w:iCs/>
          <w:sz w:val="28"/>
          <w:szCs w:val="28"/>
        </w:rPr>
        <w:t>Trading</w:t>
      </w:r>
      <w:r w:rsidR="00F936D2">
        <w:rPr>
          <w:rFonts w:ascii="Times New Roman" w:hAnsi="Times New Roman" w:cs="Times New Roman"/>
          <w:i/>
          <w:iCs/>
          <w:sz w:val="28"/>
          <w:szCs w:val="28"/>
        </w:rPr>
        <w:t xml:space="preserve"> o </w:t>
      </w:r>
      <w:proofErr w:type="spellStart"/>
      <w:r w:rsidR="00F936D2">
        <w:rPr>
          <w:rFonts w:ascii="Times New Roman" w:hAnsi="Times New Roman" w:cs="Times New Roman"/>
          <w:i/>
          <w:iCs/>
          <w:sz w:val="28"/>
          <w:szCs w:val="28"/>
        </w:rPr>
        <w:t>dynamic</w:t>
      </w:r>
      <w:proofErr w:type="spellEnd"/>
      <w:r w:rsidR="00F936D2">
        <w:rPr>
          <w:rFonts w:ascii="Times New Roman" w:hAnsi="Times New Roman" w:cs="Times New Roman"/>
          <w:i/>
          <w:iCs/>
          <w:sz w:val="28"/>
          <w:szCs w:val="28"/>
        </w:rPr>
        <w:t xml:space="preserve"> </w:t>
      </w:r>
      <w:proofErr w:type="spellStart"/>
      <w:r w:rsidR="00F936D2">
        <w:rPr>
          <w:rFonts w:ascii="Times New Roman" w:hAnsi="Times New Roman" w:cs="Times New Roman"/>
          <w:i/>
          <w:iCs/>
          <w:sz w:val="28"/>
          <w:szCs w:val="28"/>
        </w:rPr>
        <w:t>pricing</w:t>
      </w:r>
      <w:proofErr w:type="spellEnd"/>
      <w:r w:rsidR="00A61898">
        <w:rPr>
          <w:rFonts w:ascii="Times New Roman" w:hAnsi="Times New Roman" w:cs="Times New Roman"/>
          <w:i/>
          <w:iCs/>
          <w:sz w:val="28"/>
          <w:szCs w:val="28"/>
        </w:rPr>
        <w:t xml:space="preserve">, o contratti </w:t>
      </w:r>
      <w:proofErr w:type="spellStart"/>
      <w:r w:rsidR="00A61898">
        <w:rPr>
          <w:rFonts w:ascii="Times New Roman" w:hAnsi="Times New Roman" w:cs="Times New Roman"/>
          <w:i/>
          <w:iCs/>
          <w:sz w:val="28"/>
          <w:szCs w:val="28"/>
        </w:rPr>
        <w:t>IoT</w:t>
      </w:r>
      <w:proofErr w:type="spellEnd"/>
      <w:r w:rsidR="00A61898">
        <w:rPr>
          <w:rFonts w:ascii="Times New Roman" w:hAnsi="Times New Roman" w:cs="Times New Roman"/>
          <w:i/>
          <w:iCs/>
          <w:sz w:val="28"/>
          <w:szCs w:val="28"/>
        </w:rPr>
        <w:t xml:space="preserve">, </w:t>
      </w:r>
      <w:r w:rsidR="00A61898" w:rsidRPr="00A61898">
        <w:rPr>
          <w:rFonts w:ascii="Times New Roman" w:hAnsi="Times New Roman" w:cs="Times New Roman"/>
          <w:sz w:val="28"/>
          <w:szCs w:val="28"/>
        </w:rPr>
        <w:t xml:space="preserve">come il servizio </w:t>
      </w:r>
      <w:proofErr w:type="spellStart"/>
      <w:r w:rsidR="00A61898" w:rsidRPr="007C2129">
        <w:rPr>
          <w:rFonts w:ascii="Times New Roman" w:hAnsi="Times New Roman" w:cs="Times New Roman"/>
          <w:i/>
          <w:iCs/>
          <w:sz w:val="28"/>
          <w:szCs w:val="28"/>
        </w:rPr>
        <w:t>Amazon’s</w:t>
      </w:r>
      <w:proofErr w:type="spellEnd"/>
      <w:r w:rsidR="00A61898" w:rsidRPr="007C2129">
        <w:rPr>
          <w:rFonts w:ascii="Times New Roman" w:hAnsi="Times New Roman" w:cs="Times New Roman"/>
          <w:i/>
          <w:iCs/>
          <w:sz w:val="28"/>
          <w:szCs w:val="28"/>
        </w:rPr>
        <w:t xml:space="preserve"> </w:t>
      </w:r>
      <w:proofErr w:type="spellStart"/>
      <w:r w:rsidR="00A61898" w:rsidRPr="007C2129">
        <w:rPr>
          <w:rFonts w:ascii="Times New Roman" w:hAnsi="Times New Roman" w:cs="Times New Roman"/>
          <w:i/>
          <w:iCs/>
          <w:sz w:val="28"/>
          <w:szCs w:val="28"/>
        </w:rPr>
        <w:t>Dash</w:t>
      </w:r>
      <w:proofErr w:type="spellEnd"/>
      <w:r w:rsidR="00A61898" w:rsidRPr="007C2129">
        <w:rPr>
          <w:rFonts w:ascii="Times New Roman" w:hAnsi="Times New Roman" w:cs="Times New Roman"/>
          <w:i/>
          <w:iCs/>
          <w:sz w:val="28"/>
          <w:szCs w:val="28"/>
        </w:rPr>
        <w:t xml:space="preserve"> </w:t>
      </w:r>
      <w:proofErr w:type="spellStart"/>
      <w:r w:rsidR="007C2129" w:rsidRPr="007C2129">
        <w:rPr>
          <w:rFonts w:ascii="Times New Roman" w:hAnsi="Times New Roman" w:cs="Times New Roman"/>
          <w:i/>
          <w:iCs/>
          <w:sz w:val="28"/>
          <w:szCs w:val="28"/>
        </w:rPr>
        <w:t>Replenishment</w:t>
      </w:r>
      <w:proofErr w:type="spellEnd"/>
      <w:r w:rsidR="00084035" w:rsidRPr="00A633C2">
        <w:rPr>
          <w:rFonts w:ascii="Times New Roman" w:hAnsi="Times New Roman" w:cs="Times New Roman"/>
          <w:sz w:val="28"/>
          <w:szCs w:val="28"/>
        </w:rPr>
        <w:t>:</w:t>
      </w:r>
      <w:r w:rsidR="00084035">
        <w:rPr>
          <w:rFonts w:ascii="Times New Roman" w:hAnsi="Times New Roman" w:cs="Times New Roman"/>
          <w:i/>
          <w:iCs/>
          <w:sz w:val="28"/>
          <w:szCs w:val="28"/>
        </w:rPr>
        <w:t xml:space="preserve"> </w:t>
      </w:r>
      <w:r w:rsidR="00FE0397" w:rsidRPr="00FE0397">
        <w:rPr>
          <w:rFonts w:ascii="Times New Roman" w:hAnsi="Times New Roman" w:cs="Times New Roman"/>
          <w:sz w:val="28"/>
          <w:szCs w:val="28"/>
        </w:rPr>
        <w:t xml:space="preserve">quest’ultimo </w:t>
      </w:r>
      <w:r w:rsidR="00FE0397">
        <w:rPr>
          <w:rFonts w:ascii="Times New Roman" w:hAnsi="Times New Roman" w:cs="Times New Roman"/>
          <w:sz w:val="28"/>
          <w:szCs w:val="28"/>
        </w:rPr>
        <w:t xml:space="preserve">consente a dispositivi tra loro </w:t>
      </w:r>
      <w:r w:rsidR="00A633C2">
        <w:rPr>
          <w:rFonts w:ascii="Times New Roman" w:hAnsi="Times New Roman" w:cs="Times New Roman"/>
          <w:sz w:val="28"/>
          <w:szCs w:val="28"/>
        </w:rPr>
        <w:t>connessi</w:t>
      </w:r>
      <w:r w:rsidR="00FE0397">
        <w:rPr>
          <w:rFonts w:ascii="Times New Roman" w:hAnsi="Times New Roman" w:cs="Times New Roman"/>
          <w:sz w:val="28"/>
          <w:szCs w:val="28"/>
        </w:rPr>
        <w:t xml:space="preserve"> tramite sensori di ordinare beni su Amazon</w:t>
      </w:r>
      <w:r w:rsidR="00B20807">
        <w:rPr>
          <w:rFonts w:ascii="Times New Roman" w:hAnsi="Times New Roman" w:cs="Times New Roman"/>
          <w:sz w:val="28"/>
          <w:szCs w:val="28"/>
        </w:rPr>
        <w:t xml:space="preserve">, quando lo stesso si sta esaurendo presso l’utente del servizio. </w:t>
      </w:r>
    </w:p>
    <w:p w14:paraId="14399CCA" w14:textId="21DC538A" w:rsidR="00452E6E" w:rsidRPr="00F167E8" w:rsidRDefault="00452E6E"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Fino a che </w:t>
      </w:r>
      <w:r w:rsidR="00A633C2">
        <w:rPr>
          <w:rFonts w:ascii="Times New Roman" w:hAnsi="Times New Roman" w:cs="Times New Roman"/>
          <w:sz w:val="28"/>
          <w:szCs w:val="28"/>
        </w:rPr>
        <w:t>punto, però</w:t>
      </w:r>
      <w:r>
        <w:rPr>
          <w:rFonts w:ascii="Times New Roman" w:hAnsi="Times New Roman" w:cs="Times New Roman"/>
          <w:sz w:val="28"/>
          <w:szCs w:val="28"/>
        </w:rPr>
        <w:t>, l’intelligenza artificiale può riprodurre il processo decisorio dell’uomo?</w:t>
      </w:r>
      <w:r w:rsidR="0001617D">
        <w:rPr>
          <w:rFonts w:ascii="Times New Roman" w:hAnsi="Times New Roman" w:cs="Times New Roman"/>
          <w:sz w:val="28"/>
          <w:szCs w:val="28"/>
        </w:rPr>
        <w:t xml:space="preserve"> La dottrina più autorevole è nel senso di ritenere che l’operare dell’algoritmo possa costituire dichiarazione,</w:t>
      </w:r>
      <w:r w:rsidR="00840275">
        <w:rPr>
          <w:rFonts w:ascii="Times New Roman" w:hAnsi="Times New Roman" w:cs="Times New Roman"/>
          <w:sz w:val="28"/>
          <w:szCs w:val="28"/>
        </w:rPr>
        <w:t xml:space="preserve"> </w:t>
      </w:r>
      <w:r w:rsidR="0001617D">
        <w:rPr>
          <w:rFonts w:ascii="Times New Roman" w:hAnsi="Times New Roman" w:cs="Times New Roman"/>
          <w:sz w:val="28"/>
          <w:szCs w:val="28"/>
        </w:rPr>
        <w:t xml:space="preserve">anche tacita, ovvero costituire inizio di esecuzione </w:t>
      </w:r>
      <w:r w:rsidR="00891862">
        <w:rPr>
          <w:rFonts w:ascii="Times New Roman" w:hAnsi="Times New Roman" w:cs="Times New Roman"/>
          <w:sz w:val="28"/>
          <w:szCs w:val="28"/>
        </w:rPr>
        <w:t xml:space="preserve">valevole alla conclusione del contratto o al compimento di altro atto esecutivo. </w:t>
      </w:r>
      <w:r w:rsidR="00840275">
        <w:rPr>
          <w:rFonts w:ascii="Times New Roman" w:hAnsi="Times New Roman" w:cs="Times New Roman"/>
          <w:sz w:val="28"/>
          <w:szCs w:val="28"/>
        </w:rPr>
        <w:t>Più critico appare affrontare il pro</w:t>
      </w:r>
      <w:r w:rsidR="009153E8">
        <w:rPr>
          <w:rFonts w:ascii="Times New Roman" w:hAnsi="Times New Roman" w:cs="Times New Roman"/>
          <w:sz w:val="28"/>
          <w:szCs w:val="28"/>
        </w:rPr>
        <w:t>b</w:t>
      </w:r>
      <w:r w:rsidR="00840275">
        <w:rPr>
          <w:rFonts w:ascii="Times New Roman" w:hAnsi="Times New Roman" w:cs="Times New Roman"/>
          <w:sz w:val="28"/>
          <w:szCs w:val="28"/>
        </w:rPr>
        <w:t>lema del malfunzionamento del programma o del governo della responsabilità.</w:t>
      </w:r>
      <w:r w:rsidR="009153E8">
        <w:rPr>
          <w:rFonts w:ascii="Times New Roman" w:hAnsi="Times New Roman" w:cs="Times New Roman"/>
          <w:sz w:val="28"/>
          <w:szCs w:val="28"/>
        </w:rPr>
        <w:t xml:space="preserve"> Il malfunzionamento dell’algoritmo va valutato nell’ambito della distribuzione del rischio</w:t>
      </w:r>
      <w:r w:rsidR="00FD5C55">
        <w:rPr>
          <w:rFonts w:ascii="Times New Roman" w:hAnsi="Times New Roman" w:cs="Times New Roman"/>
          <w:sz w:val="28"/>
          <w:szCs w:val="28"/>
        </w:rPr>
        <w:t xml:space="preserve"> contrattuale in un’accezione ampia</w:t>
      </w:r>
      <w:r w:rsidR="00A633C2">
        <w:rPr>
          <w:rFonts w:ascii="Times New Roman" w:hAnsi="Times New Roman" w:cs="Times New Roman"/>
          <w:sz w:val="28"/>
          <w:szCs w:val="28"/>
        </w:rPr>
        <w:t>,</w:t>
      </w:r>
      <w:r w:rsidR="00FD5C55">
        <w:rPr>
          <w:rFonts w:ascii="Times New Roman" w:hAnsi="Times New Roman" w:cs="Times New Roman"/>
          <w:sz w:val="28"/>
          <w:szCs w:val="28"/>
        </w:rPr>
        <w:t xml:space="preserve"> che non si riduce alla gestione delle sopravvenienze</w:t>
      </w:r>
      <w:r w:rsidR="006C1284">
        <w:rPr>
          <w:rFonts w:ascii="Times New Roman" w:hAnsi="Times New Roman" w:cs="Times New Roman"/>
          <w:sz w:val="28"/>
          <w:szCs w:val="28"/>
        </w:rPr>
        <w:t xml:space="preserve"> (</w:t>
      </w:r>
      <w:proofErr w:type="spellStart"/>
      <w:r w:rsidR="006C1284" w:rsidRPr="006C1284">
        <w:rPr>
          <w:rFonts w:ascii="Times New Roman" w:hAnsi="Times New Roman" w:cs="Times New Roman"/>
          <w:i/>
          <w:iCs/>
          <w:sz w:val="28"/>
          <w:szCs w:val="28"/>
        </w:rPr>
        <w:t>th</w:t>
      </w:r>
      <w:r w:rsidR="007B1B90">
        <w:rPr>
          <w:rFonts w:ascii="Times New Roman" w:hAnsi="Times New Roman" w:cs="Times New Roman"/>
          <w:i/>
          <w:iCs/>
          <w:sz w:val="28"/>
          <w:szCs w:val="28"/>
        </w:rPr>
        <w:t>è</w:t>
      </w:r>
      <w:r w:rsidR="006C1284" w:rsidRPr="006C1284">
        <w:rPr>
          <w:rFonts w:ascii="Times New Roman" w:hAnsi="Times New Roman" w:cs="Times New Roman"/>
          <w:i/>
          <w:iCs/>
          <w:sz w:val="28"/>
          <w:szCs w:val="28"/>
        </w:rPr>
        <w:t>orie</w:t>
      </w:r>
      <w:proofErr w:type="spellEnd"/>
      <w:r w:rsidR="006C1284" w:rsidRPr="006C1284">
        <w:rPr>
          <w:rFonts w:ascii="Times New Roman" w:hAnsi="Times New Roman" w:cs="Times New Roman"/>
          <w:i/>
          <w:iCs/>
          <w:sz w:val="28"/>
          <w:szCs w:val="28"/>
        </w:rPr>
        <w:t xml:space="preserve"> dell’</w:t>
      </w:r>
      <w:proofErr w:type="spellStart"/>
      <w:r w:rsidR="006C1284" w:rsidRPr="006C1284">
        <w:rPr>
          <w:rFonts w:ascii="Times New Roman" w:hAnsi="Times New Roman" w:cs="Times New Roman"/>
          <w:i/>
          <w:iCs/>
          <w:sz w:val="28"/>
          <w:szCs w:val="28"/>
        </w:rPr>
        <w:t>imprevisi</w:t>
      </w:r>
      <w:r w:rsidR="007B1B90">
        <w:rPr>
          <w:rFonts w:ascii="Times New Roman" w:hAnsi="Times New Roman" w:cs="Times New Roman"/>
          <w:i/>
          <w:iCs/>
          <w:sz w:val="28"/>
          <w:szCs w:val="28"/>
        </w:rPr>
        <w:t>ò</w:t>
      </w:r>
      <w:r w:rsidR="006C1284" w:rsidRPr="006C1284">
        <w:rPr>
          <w:rFonts w:ascii="Times New Roman" w:hAnsi="Times New Roman" w:cs="Times New Roman"/>
          <w:i/>
          <w:iCs/>
          <w:sz w:val="28"/>
          <w:szCs w:val="28"/>
        </w:rPr>
        <w:t>n</w:t>
      </w:r>
      <w:proofErr w:type="spellEnd"/>
      <w:r w:rsidR="006C1284">
        <w:rPr>
          <w:rFonts w:ascii="Times New Roman" w:hAnsi="Times New Roman" w:cs="Times New Roman"/>
          <w:sz w:val="28"/>
          <w:szCs w:val="28"/>
        </w:rPr>
        <w:t xml:space="preserve"> o </w:t>
      </w:r>
      <w:proofErr w:type="spellStart"/>
      <w:r w:rsidR="006C1284" w:rsidRPr="00433E02">
        <w:rPr>
          <w:rFonts w:ascii="Times New Roman" w:hAnsi="Times New Roman" w:cs="Times New Roman"/>
          <w:i/>
          <w:iCs/>
          <w:sz w:val="28"/>
          <w:szCs w:val="28"/>
        </w:rPr>
        <w:t>doctrine</w:t>
      </w:r>
      <w:proofErr w:type="spellEnd"/>
      <w:r w:rsidR="006C1284" w:rsidRPr="00433E02">
        <w:rPr>
          <w:rFonts w:ascii="Times New Roman" w:hAnsi="Times New Roman" w:cs="Times New Roman"/>
          <w:i/>
          <w:iCs/>
          <w:sz w:val="28"/>
          <w:szCs w:val="28"/>
        </w:rPr>
        <w:t xml:space="preserve"> of </w:t>
      </w:r>
      <w:proofErr w:type="spellStart"/>
      <w:r w:rsidR="006C1284" w:rsidRPr="00433E02">
        <w:rPr>
          <w:rFonts w:ascii="Times New Roman" w:hAnsi="Times New Roman" w:cs="Times New Roman"/>
          <w:i/>
          <w:iCs/>
          <w:sz w:val="28"/>
          <w:szCs w:val="28"/>
        </w:rPr>
        <w:t>frusta</w:t>
      </w:r>
      <w:r w:rsidR="00433E02" w:rsidRPr="00433E02">
        <w:rPr>
          <w:rFonts w:ascii="Times New Roman" w:hAnsi="Times New Roman" w:cs="Times New Roman"/>
          <w:i/>
          <w:iCs/>
          <w:sz w:val="28"/>
          <w:szCs w:val="28"/>
        </w:rPr>
        <w:t>tion</w:t>
      </w:r>
      <w:proofErr w:type="spellEnd"/>
      <w:r w:rsidR="00433E02">
        <w:rPr>
          <w:rFonts w:ascii="Times New Roman" w:hAnsi="Times New Roman" w:cs="Times New Roman"/>
          <w:sz w:val="28"/>
          <w:szCs w:val="28"/>
        </w:rPr>
        <w:t>)</w:t>
      </w:r>
      <w:r w:rsidR="00F0001A">
        <w:rPr>
          <w:rFonts w:ascii="Times New Roman" w:hAnsi="Times New Roman" w:cs="Times New Roman"/>
          <w:sz w:val="28"/>
          <w:szCs w:val="28"/>
        </w:rPr>
        <w:t>, ma al rischio di inadempimento</w:t>
      </w:r>
      <w:r w:rsidR="0027152F">
        <w:rPr>
          <w:rFonts w:ascii="Times New Roman" w:hAnsi="Times New Roman" w:cs="Times New Roman"/>
          <w:sz w:val="28"/>
          <w:szCs w:val="28"/>
        </w:rPr>
        <w:t xml:space="preserve"> che comporti la mancata soddisfazione economica dell’affare. </w:t>
      </w:r>
      <w:r w:rsidR="00360BC2">
        <w:rPr>
          <w:rFonts w:ascii="Times New Roman" w:hAnsi="Times New Roman" w:cs="Times New Roman"/>
          <w:sz w:val="28"/>
          <w:szCs w:val="28"/>
        </w:rPr>
        <w:t>Il malfunzionamento dell’algoritmo rientrerebbe nel caso fortuito o nel generale concetto di rischio nell’attività di impresa</w:t>
      </w:r>
      <w:r w:rsidR="00BD23F1">
        <w:rPr>
          <w:rFonts w:ascii="Times New Roman" w:hAnsi="Times New Roman" w:cs="Times New Roman"/>
          <w:sz w:val="28"/>
          <w:szCs w:val="28"/>
        </w:rPr>
        <w:t xml:space="preserve"> i cui costi devono essere allocati nella c</w:t>
      </w:r>
      <w:r w:rsidR="00A633C2">
        <w:rPr>
          <w:rFonts w:ascii="Times New Roman" w:hAnsi="Times New Roman" w:cs="Times New Roman"/>
          <w:sz w:val="28"/>
          <w:szCs w:val="28"/>
        </w:rPr>
        <w:t>.</w:t>
      </w:r>
      <w:r w:rsidR="00BD23F1">
        <w:rPr>
          <w:rFonts w:ascii="Times New Roman" w:hAnsi="Times New Roman" w:cs="Times New Roman"/>
          <w:sz w:val="28"/>
          <w:szCs w:val="28"/>
        </w:rPr>
        <w:t>d</w:t>
      </w:r>
      <w:r w:rsidR="00A633C2">
        <w:rPr>
          <w:rFonts w:ascii="Times New Roman" w:hAnsi="Times New Roman" w:cs="Times New Roman"/>
          <w:sz w:val="28"/>
          <w:szCs w:val="28"/>
        </w:rPr>
        <w:t>.</w:t>
      </w:r>
      <w:r w:rsidR="00BD23F1">
        <w:rPr>
          <w:rFonts w:ascii="Times New Roman" w:hAnsi="Times New Roman" w:cs="Times New Roman"/>
          <w:sz w:val="28"/>
          <w:szCs w:val="28"/>
        </w:rPr>
        <w:t xml:space="preserve"> curva </w:t>
      </w:r>
      <w:r w:rsidR="00A633C2">
        <w:rPr>
          <w:rFonts w:ascii="Times New Roman" w:hAnsi="Times New Roman" w:cs="Times New Roman"/>
          <w:sz w:val="28"/>
          <w:szCs w:val="28"/>
        </w:rPr>
        <w:t>dell’indifferenza,</w:t>
      </w:r>
      <w:r w:rsidR="00BD23F1">
        <w:rPr>
          <w:rFonts w:ascii="Times New Roman" w:hAnsi="Times New Roman" w:cs="Times New Roman"/>
          <w:sz w:val="28"/>
          <w:szCs w:val="28"/>
        </w:rPr>
        <w:t xml:space="preserve"> volendo aderire alla teoria di </w:t>
      </w:r>
      <w:r w:rsidR="00BD23F1">
        <w:rPr>
          <w:rFonts w:ascii="Times New Roman" w:hAnsi="Times New Roman" w:cs="Times New Roman"/>
          <w:sz w:val="28"/>
          <w:szCs w:val="28"/>
        </w:rPr>
        <w:lastRenderedPageBreak/>
        <w:t>an</w:t>
      </w:r>
      <w:r w:rsidR="00D77F69">
        <w:rPr>
          <w:rFonts w:ascii="Times New Roman" w:hAnsi="Times New Roman" w:cs="Times New Roman"/>
          <w:sz w:val="28"/>
          <w:szCs w:val="28"/>
        </w:rPr>
        <w:t>a</w:t>
      </w:r>
      <w:r w:rsidR="00BD23F1">
        <w:rPr>
          <w:rFonts w:ascii="Times New Roman" w:hAnsi="Times New Roman" w:cs="Times New Roman"/>
          <w:sz w:val="28"/>
          <w:szCs w:val="28"/>
        </w:rPr>
        <w:t xml:space="preserve">lisi economica del diritto di </w:t>
      </w:r>
      <w:proofErr w:type="spellStart"/>
      <w:r w:rsidR="00BD23F1" w:rsidRPr="00A633C2">
        <w:rPr>
          <w:rFonts w:ascii="Times New Roman" w:hAnsi="Times New Roman" w:cs="Times New Roman"/>
          <w:i/>
          <w:iCs/>
          <w:sz w:val="28"/>
          <w:szCs w:val="28"/>
        </w:rPr>
        <w:t>Shavell</w:t>
      </w:r>
      <w:proofErr w:type="spellEnd"/>
      <w:r w:rsidR="00BD23F1">
        <w:rPr>
          <w:rFonts w:ascii="Times New Roman" w:hAnsi="Times New Roman" w:cs="Times New Roman"/>
          <w:sz w:val="28"/>
          <w:szCs w:val="28"/>
        </w:rPr>
        <w:t>.</w:t>
      </w:r>
      <w:r w:rsidR="00D77F69">
        <w:rPr>
          <w:rFonts w:ascii="Times New Roman" w:hAnsi="Times New Roman" w:cs="Times New Roman"/>
          <w:sz w:val="28"/>
          <w:szCs w:val="28"/>
        </w:rPr>
        <w:t xml:space="preserve"> Ma se optiamo per una definizione di responsabilità basata sulla colpa, allora </w:t>
      </w:r>
      <w:r w:rsidR="00DB48C7">
        <w:rPr>
          <w:rFonts w:ascii="Times New Roman" w:hAnsi="Times New Roman" w:cs="Times New Roman"/>
          <w:sz w:val="28"/>
          <w:szCs w:val="28"/>
        </w:rPr>
        <w:t>occorre considerare il grado di autonomia decisionale dell’algoritmo, ossia se è “</w:t>
      </w:r>
      <w:r w:rsidR="00DB48C7" w:rsidRPr="00DB48C7">
        <w:rPr>
          <w:rFonts w:ascii="Times New Roman" w:hAnsi="Times New Roman" w:cs="Times New Roman"/>
          <w:i/>
          <w:iCs/>
          <w:sz w:val="28"/>
          <w:szCs w:val="28"/>
        </w:rPr>
        <w:t xml:space="preserve">mere </w:t>
      </w:r>
      <w:proofErr w:type="spellStart"/>
      <w:r w:rsidR="00DB48C7" w:rsidRPr="00DB48C7">
        <w:rPr>
          <w:rFonts w:ascii="Times New Roman" w:hAnsi="Times New Roman" w:cs="Times New Roman"/>
          <w:i/>
          <w:iCs/>
          <w:sz w:val="28"/>
          <w:szCs w:val="28"/>
        </w:rPr>
        <w:t>tool</w:t>
      </w:r>
      <w:proofErr w:type="spellEnd"/>
      <w:r w:rsidR="00DB48C7" w:rsidRPr="00A633C2">
        <w:rPr>
          <w:rFonts w:ascii="Times New Roman" w:hAnsi="Times New Roman" w:cs="Times New Roman"/>
          <w:sz w:val="28"/>
          <w:szCs w:val="28"/>
        </w:rPr>
        <w:t>”</w:t>
      </w:r>
      <w:r w:rsidR="0010336F" w:rsidRPr="00A633C2">
        <w:rPr>
          <w:rFonts w:ascii="Times New Roman" w:hAnsi="Times New Roman" w:cs="Times New Roman"/>
          <w:sz w:val="28"/>
          <w:szCs w:val="28"/>
        </w:rPr>
        <w:t>,</w:t>
      </w:r>
      <w:r w:rsidR="0010336F">
        <w:rPr>
          <w:rFonts w:ascii="Times New Roman" w:hAnsi="Times New Roman" w:cs="Times New Roman"/>
          <w:i/>
          <w:iCs/>
          <w:sz w:val="28"/>
          <w:szCs w:val="28"/>
        </w:rPr>
        <w:t xml:space="preserve"> </w:t>
      </w:r>
      <w:r w:rsidR="0010336F" w:rsidRPr="0010336F">
        <w:rPr>
          <w:rFonts w:ascii="Times New Roman" w:hAnsi="Times New Roman" w:cs="Times New Roman"/>
          <w:sz w:val="28"/>
          <w:szCs w:val="28"/>
        </w:rPr>
        <w:t>o dotato</w:t>
      </w:r>
      <w:r w:rsidR="0010336F">
        <w:rPr>
          <w:rFonts w:ascii="Times New Roman" w:hAnsi="Times New Roman" w:cs="Times New Roman"/>
          <w:sz w:val="28"/>
          <w:szCs w:val="28"/>
        </w:rPr>
        <w:t xml:space="preserve"> di </w:t>
      </w:r>
      <w:r w:rsidR="0066501A">
        <w:rPr>
          <w:rFonts w:ascii="Times New Roman" w:hAnsi="Times New Roman" w:cs="Times New Roman"/>
          <w:sz w:val="28"/>
          <w:szCs w:val="28"/>
        </w:rPr>
        <w:t>“</w:t>
      </w:r>
      <w:proofErr w:type="spellStart"/>
      <w:r w:rsidR="0010336F" w:rsidRPr="0010336F">
        <w:rPr>
          <w:rFonts w:ascii="Times New Roman" w:hAnsi="Times New Roman" w:cs="Times New Roman"/>
          <w:i/>
          <w:iCs/>
          <w:sz w:val="28"/>
          <w:szCs w:val="28"/>
        </w:rPr>
        <w:t>ability</w:t>
      </w:r>
      <w:proofErr w:type="spellEnd"/>
      <w:r w:rsidR="0010336F" w:rsidRPr="0010336F">
        <w:rPr>
          <w:rFonts w:ascii="Times New Roman" w:hAnsi="Times New Roman" w:cs="Times New Roman"/>
          <w:i/>
          <w:iCs/>
          <w:sz w:val="28"/>
          <w:szCs w:val="28"/>
        </w:rPr>
        <w:t xml:space="preserve"> to </w:t>
      </w:r>
      <w:proofErr w:type="spellStart"/>
      <w:r w:rsidR="0010336F" w:rsidRPr="0010336F">
        <w:rPr>
          <w:rFonts w:ascii="Times New Roman" w:hAnsi="Times New Roman" w:cs="Times New Roman"/>
          <w:i/>
          <w:iCs/>
          <w:sz w:val="28"/>
          <w:szCs w:val="28"/>
        </w:rPr>
        <w:t>learn</w:t>
      </w:r>
      <w:proofErr w:type="spellEnd"/>
      <w:r w:rsidR="0066501A">
        <w:rPr>
          <w:rFonts w:ascii="Times New Roman" w:hAnsi="Times New Roman" w:cs="Times New Roman"/>
          <w:i/>
          <w:iCs/>
          <w:sz w:val="28"/>
          <w:szCs w:val="28"/>
        </w:rPr>
        <w:t xml:space="preserve"> and decide</w:t>
      </w:r>
      <w:r w:rsidR="0066501A" w:rsidRPr="00A633C2">
        <w:rPr>
          <w:rFonts w:ascii="Times New Roman" w:hAnsi="Times New Roman" w:cs="Times New Roman"/>
          <w:sz w:val="28"/>
          <w:szCs w:val="28"/>
        </w:rPr>
        <w:t>”.</w:t>
      </w:r>
      <w:r w:rsidR="001D624D">
        <w:rPr>
          <w:rFonts w:ascii="Times New Roman" w:hAnsi="Times New Roman" w:cs="Times New Roman"/>
          <w:i/>
          <w:iCs/>
          <w:sz w:val="28"/>
          <w:szCs w:val="28"/>
        </w:rPr>
        <w:t xml:space="preserve"> </w:t>
      </w:r>
      <w:r w:rsidR="001D624D" w:rsidRPr="00F167E8">
        <w:rPr>
          <w:rFonts w:ascii="Times New Roman" w:hAnsi="Times New Roman" w:cs="Times New Roman"/>
          <w:sz w:val="28"/>
          <w:szCs w:val="28"/>
        </w:rPr>
        <w:t>Quest’ultima</w:t>
      </w:r>
      <w:r w:rsidR="00F167E8">
        <w:rPr>
          <w:rFonts w:ascii="Times New Roman" w:hAnsi="Times New Roman" w:cs="Times New Roman"/>
          <w:sz w:val="28"/>
          <w:szCs w:val="28"/>
        </w:rPr>
        <w:t xml:space="preserve"> prospettiva è stata fatta propria dalla </w:t>
      </w:r>
      <w:r w:rsidR="005A0E9F">
        <w:rPr>
          <w:rFonts w:ascii="Times New Roman" w:hAnsi="Times New Roman" w:cs="Times New Roman"/>
          <w:sz w:val="28"/>
          <w:szCs w:val="28"/>
        </w:rPr>
        <w:t>recente Risoluzione del Parlamento europeo del 16</w:t>
      </w:r>
      <w:r w:rsidR="00A633C2">
        <w:rPr>
          <w:rFonts w:ascii="Times New Roman" w:hAnsi="Times New Roman" w:cs="Times New Roman"/>
          <w:sz w:val="28"/>
          <w:szCs w:val="28"/>
        </w:rPr>
        <w:t xml:space="preserve"> febbraio </w:t>
      </w:r>
      <w:r w:rsidR="005A0E9F">
        <w:rPr>
          <w:rFonts w:ascii="Times New Roman" w:hAnsi="Times New Roman" w:cs="Times New Roman"/>
          <w:sz w:val="28"/>
          <w:szCs w:val="28"/>
        </w:rPr>
        <w:t xml:space="preserve">2017 </w:t>
      </w:r>
      <w:r w:rsidR="00702388">
        <w:rPr>
          <w:rFonts w:ascii="Times New Roman" w:hAnsi="Times New Roman" w:cs="Times New Roman"/>
          <w:sz w:val="28"/>
          <w:szCs w:val="28"/>
        </w:rPr>
        <w:t>recante Raccomandazione della Commissione concernent</w:t>
      </w:r>
      <w:r w:rsidR="008835F6">
        <w:rPr>
          <w:rFonts w:ascii="Times New Roman" w:hAnsi="Times New Roman" w:cs="Times New Roman"/>
          <w:sz w:val="28"/>
          <w:szCs w:val="28"/>
        </w:rPr>
        <w:t>e</w:t>
      </w:r>
      <w:r w:rsidR="00702388">
        <w:rPr>
          <w:rFonts w:ascii="Times New Roman" w:hAnsi="Times New Roman" w:cs="Times New Roman"/>
          <w:sz w:val="28"/>
          <w:szCs w:val="28"/>
        </w:rPr>
        <w:t xml:space="preserve"> norme di diritto civile sulla robotica</w:t>
      </w:r>
      <w:r w:rsidR="008835F6">
        <w:rPr>
          <w:rFonts w:ascii="Times New Roman" w:hAnsi="Times New Roman" w:cs="Times New Roman"/>
          <w:sz w:val="28"/>
          <w:szCs w:val="28"/>
        </w:rPr>
        <w:t>,</w:t>
      </w:r>
      <w:r w:rsidR="00702388">
        <w:rPr>
          <w:rFonts w:ascii="Times New Roman" w:hAnsi="Times New Roman" w:cs="Times New Roman"/>
          <w:sz w:val="28"/>
          <w:szCs w:val="28"/>
        </w:rPr>
        <w:t xml:space="preserve"> che non solo pone un problema di riconoscimento della personalità elettronica</w:t>
      </w:r>
      <w:r w:rsidR="00251FE1">
        <w:rPr>
          <w:rFonts w:ascii="Times New Roman" w:hAnsi="Times New Roman" w:cs="Times New Roman"/>
          <w:sz w:val="28"/>
          <w:szCs w:val="28"/>
        </w:rPr>
        <w:t xml:space="preserve"> per i robot autonomi e decisionali, ma anche di responsabilità contrattuale delle macchine. Di recente</w:t>
      </w:r>
      <w:r w:rsidR="008835F6">
        <w:rPr>
          <w:rFonts w:ascii="Times New Roman" w:hAnsi="Times New Roman" w:cs="Times New Roman"/>
          <w:sz w:val="28"/>
          <w:szCs w:val="28"/>
        </w:rPr>
        <w:t>,</w:t>
      </w:r>
      <w:r w:rsidR="00251FE1">
        <w:rPr>
          <w:rFonts w:ascii="Times New Roman" w:hAnsi="Times New Roman" w:cs="Times New Roman"/>
          <w:sz w:val="28"/>
          <w:szCs w:val="28"/>
        </w:rPr>
        <w:t xml:space="preserve"> la giurisprudenza ha evidenziato che </w:t>
      </w:r>
      <w:r w:rsidR="007B1B8C">
        <w:rPr>
          <w:rFonts w:ascii="Times New Roman" w:hAnsi="Times New Roman" w:cs="Times New Roman"/>
          <w:sz w:val="28"/>
          <w:szCs w:val="28"/>
        </w:rPr>
        <w:t>gli algoritmi possono essere utilizzati nei contratti se le parti hanno contezza de</w:t>
      </w:r>
      <w:r w:rsidR="0057252C">
        <w:rPr>
          <w:rFonts w:ascii="Times New Roman" w:hAnsi="Times New Roman" w:cs="Times New Roman"/>
          <w:sz w:val="28"/>
          <w:szCs w:val="28"/>
        </w:rPr>
        <w:t>i c</w:t>
      </w:r>
      <w:r w:rsidR="008835F6">
        <w:rPr>
          <w:rFonts w:ascii="Times New Roman" w:hAnsi="Times New Roman" w:cs="Times New Roman"/>
          <w:sz w:val="28"/>
          <w:szCs w:val="28"/>
        </w:rPr>
        <w:t>.</w:t>
      </w:r>
      <w:r w:rsidR="0057252C">
        <w:rPr>
          <w:rFonts w:ascii="Times New Roman" w:hAnsi="Times New Roman" w:cs="Times New Roman"/>
          <w:sz w:val="28"/>
          <w:szCs w:val="28"/>
        </w:rPr>
        <w:t>d</w:t>
      </w:r>
      <w:r w:rsidR="008835F6">
        <w:rPr>
          <w:rFonts w:ascii="Times New Roman" w:hAnsi="Times New Roman" w:cs="Times New Roman"/>
          <w:sz w:val="28"/>
          <w:szCs w:val="28"/>
        </w:rPr>
        <w:t>.</w:t>
      </w:r>
      <w:r w:rsidR="0057252C">
        <w:rPr>
          <w:rFonts w:ascii="Times New Roman" w:hAnsi="Times New Roman" w:cs="Times New Roman"/>
          <w:sz w:val="28"/>
          <w:szCs w:val="28"/>
        </w:rPr>
        <w:t xml:space="preserve"> “schemi esecutivi”.</w:t>
      </w:r>
      <w:r w:rsidR="001D624D" w:rsidRPr="00F167E8">
        <w:rPr>
          <w:rFonts w:ascii="Times New Roman" w:hAnsi="Times New Roman" w:cs="Times New Roman"/>
          <w:sz w:val="28"/>
          <w:szCs w:val="28"/>
        </w:rPr>
        <w:t xml:space="preserve"> </w:t>
      </w:r>
    </w:p>
    <w:p w14:paraId="37434CCA" w14:textId="68F5CB24" w:rsidR="001C2097" w:rsidRDefault="001C2097" w:rsidP="006A71BB">
      <w:pPr>
        <w:tabs>
          <w:tab w:val="left" w:pos="8364"/>
        </w:tabs>
        <w:spacing w:after="0"/>
        <w:jc w:val="both"/>
        <w:rPr>
          <w:rFonts w:ascii="Times New Roman" w:hAnsi="Times New Roman" w:cs="Times New Roman"/>
          <w:i/>
          <w:iCs/>
          <w:sz w:val="28"/>
          <w:szCs w:val="28"/>
        </w:rPr>
      </w:pPr>
      <w:r w:rsidRPr="001C2097">
        <w:rPr>
          <w:rFonts w:ascii="Times New Roman" w:hAnsi="Times New Roman" w:cs="Times New Roman"/>
          <w:sz w:val="28"/>
          <w:szCs w:val="28"/>
        </w:rPr>
        <w:t>La Suprema Corte di Cassazione,</w:t>
      </w:r>
      <w:r w:rsidR="00531C69">
        <w:rPr>
          <w:rFonts w:ascii="Times New Roman" w:hAnsi="Times New Roman" w:cs="Times New Roman"/>
          <w:sz w:val="28"/>
          <w:szCs w:val="28"/>
        </w:rPr>
        <w:t xml:space="preserve"> </w:t>
      </w:r>
      <w:r w:rsidRPr="001C2097">
        <w:rPr>
          <w:rFonts w:ascii="Times New Roman" w:hAnsi="Times New Roman" w:cs="Times New Roman"/>
          <w:sz w:val="28"/>
          <w:szCs w:val="28"/>
        </w:rPr>
        <w:t>sez</w:t>
      </w:r>
      <w:r w:rsidR="001F25F6">
        <w:rPr>
          <w:rFonts w:ascii="Times New Roman" w:hAnsi="Times New Roman" w:cs="Times New Roman"/>
          <w:sz w:val="28"/>
          <w:szCs w:val="28"/>
        </w:rPr>
        <w:t>.</w:t>
      </w:r>
      <w:r w:rsidRPr="001C2097">
        <w:rPr>
          <w:rFonts w:ascii="Times New Roman" w:hAnsi="Times New Roman" w:cs="Times New Roman"/>
          <w:sz w:val="28"/>
          <w:szCs w:val="28"/>
        </w:rPr>
        <w:t xml:space="preserve"> I civile</w:t>
      </w:r>
      <w:r w:rsidR="001F25F6">
        <w:rPr>
          <w:rFonts w:ascii="Times New Roman" w:hAnsi="Times New Roman" w:cs="Times New Roman"/>
          <w:sz w:val="28"/>
          <w:szCs w:val="28"/>
        </w:rPr>
        <w:t>,</w:t>
      </w:r>
      <w:r w:rsidRPr="001C2097">
        <w:rPr>
          <w:rFonts w:ascii="Times New Roman" w:hAnsi="Times New Roman" w:cs="Times New Roman"/>
          <w:sz w:val="28"/>
          <w:szCs w:val="28"/>
        </w:rPr>
        <w:t xml:space="preserve"> con </w:t>
      </w:r>
      <w:r w:rsidR="001F25F6">
        <w:rPr>
          <w:rFonts w:ascii="Times New Roman" w:hAnsi="Times New Roman" w:cs="Times New Roman"/>
          <w:sz w:val="28"/>
          <w:szCs w:val="28"/>
        </w:rPr>
        <w:t>o</w:t>
      </w:r>
      <w:r w:rsidRPr="001C2097">
        <w:rPr>
          <w:rFonts w:ascii="Times New Roman" w:hAnsi="Times New Roman" w:cs="Times New Roman"/>
          <w:sz w:val="28"/>
          <w:szCs w:val="28"/>
        </w:rPr>
        <w:t>rdinanza 25 maggio 2021</w:t>
      </w:r>
      <w:r w:rsidR="001F25F6">
        <w:rPr>
          <w:rFonts w:ascii="Times New Roman" w:hAnsi="Times New Roman" w:cs="Times New Roman"/>
          <w:sz w:val="28"/>
          <w:szCs w:val="28"/>
        </w:rPr>
        <w:t>,</w:t>
      </w:r>
      <w:r w:rsidRPr="001C2097">
        <w:rPr>
          <w:rFonts w:ascii="Times New Roman" w:hAnsi="Times New Roman" w:cs="Times New Roman"/>
          <w:sz w:val="28"/>
          <w:szCs w:val="28"/>
        </w:rPr>
        <w:t xml:space="preserve"> n.</w:t>
      </w:r>
      <w:r w:rsidR="00531C69">
        <w:rPr>
          <w:rFonts w:ascii="Times New Roman" w:hAnsi="Times New Roman" w:cs="Times New Roman"/>
          <w:sz w:val="28"/>
          <w:szCs w:val="28"/>
        </w:rPr>
        <w:t xml:space="preserve"> </w:t>
      </w:r>
      <w:r w:rsidRPr="001C2097">
        <w:rPr>
          <w:rFonts w:ascii="Times New Roman" w:hAnsi="Times New Roman" w:cs="Times New Roman"/>
          <w:sz w:val="28"/>
          <w:szCs w:val="28"/>
        </w:rPr>
        <w:t>14381</w:t>
      </w:r>
      <w:r w:rsidR="006A71BB">
        <w:rPr>
          <w:rFonts w:ascii="Times New Roman" w:hAnsi="Times New Roman" w:cs="Times New Roman"/>
          <w:sz w:val="28"/>
          <w:szCs w:val="28"/>
        </w:rPr>
        <w:t>,</w:t>
      </w:r>
      <w:r w:rsidRPr="001C2097">
        <w:rPr>
          <w:rFonts w:ascii="Times New Roman" w:hAnsi="Times New Roman" w:cs="Times New Roman"/>
          <w:sz w:val="28"/>
          <w:szCs w:val="28"/>
        </w:rPr>
        <w:t xml:space="preserve"> </w:t>
      </w:r>
      <w:r>
        <w:rPr>
          <w:rFonts w:ascii="Times New Roman" w:hAnsi="Times New Roman" w:cs="Times New Roman"/>
          <w:sz w:val="28"/>
          <w:szCs w:val="28"/>
        </w:rPr>
        <w:t xml:space="preserve">ha stabilito che </w:t>
      </w:r>
      <w:r w:rsidR="008835F6">
        <w:rPr>
          <w:rFonts w:ascii="Times New Roman" w:hAnsi="Times New Roman" w:cs="Times New Roman"/>
          <w:sz w:val="28"/>
          <w:szCs w:val="28"/>
        </w:rPr>
        <w:t>«</w:t>
      </w:r>
      <w:r w:rsidRPr="001C2097">
        <w:rPr>
          <w:rFonts w:ascii="Times New Roman" w:hAnsi="Times New Roman" w:cs="Times New Roman"/>
          <w:i/>
          <w:iCs/>
          <w:sz w:val="28"/>
          <w:szCs w:val="28"/>
        </w:rPr>
        <w:t xml:space="preserve">il consenso </w:t>
      </w:r>
      <w:r>
        <w:rPr>
          <w:rFonts w:ascii="Times New Roman" w:hAnsi="Times New Roman" w:cs="Times New Roman"/>
          <w:i/>
          <w:iCs/>
          <w:sz w:val="28"/>
          <w:szCs w:val="28"/>
        </w:rPr>
        <w:t xml:space="preserve">al trattamento di dati finalizzato all’elaborazione di profili </w:t>
      </w:r>
      <w:proofErr w:type="spellStart"/>
      <w:r>
        <w:rPr>
          <w:rFonts w:ascii="Times New Roman" w:hAnsi="Times New Roman" w:cs="Times New Roman"/>
          <w:i/>
          <w:iCs/>
          <w:sz w:val="28"/>
          <w:szCs w:val="28"/>
        </w:rPr>
        <w:t>reputazionali</w:t>
      </w:r>
      <w:proofErr w:type="spellEnd"/>
      <w:r>
        <w:rPr>
          <w:rFonts w:ascii="Times New Roman" w:hAnsi="Times New Roman" w:cs="Times New Roman"/>
          <w:i/>
          <w:iCs/>
          <w:sz w:val="28"/>
          <w:szCs w:val="28"/>
        </w:rPr>
        <w:t xml:space="preserve"> di singole persone fisiche e all’attribuzione di punteggi di affidabilità attraverso un algoritmo può dirsi “informato</w:t>
      </w:r>
      <w:r w:rsidR="00EF6E19">
        <w:rPr>
          <w:rFonts w:ascii="Times New Roman" w:hAnsi="Times New Roman" w:cs="Times New Roman"/>
          <w:i/>
          <w:iCs/>
          <w:sz w:val="28"/>
          <w:szCs w:val="28"/>
        </w:rPr>
        <w:t>”</w:t>
      </w:r>
      <w:r>
        <w:rPr>
          <w:rFonts w:ascii="Times New Roman" w:hAnsi="Times New Roman" w:cs="Times New Roman"/>
          <w:i/>
          <w:iCs/>
          <w:sz w:val="28"/>
          <w:szCs w:val="28"/>
        </w:rPr>
        <w:t>, “specifico” e “consapevole” solo se il titolare rende conoscibile in modo trasparente agli interessati lo schema esecutivo dell’algoritmo e i parametri su cui si basa la valutazione dallo stesso svolta</w:t>
      </w:r>
      <w:r w:rsidR="008835F6">
        <w:rPr>
          <w:rFonts w:ascii="Times New Roman" w:hAnsi="Times New Roman" w:cs="Times New Roman"/>
          <w:i/>
          <w:iCs/>
          <w:sz w:val="28"/>
          <w:szCs w:val="28"/>
        </w:rPr>
        <w:t>».</w:t>
      </w:r>
    </w:p>
    <w:p w14:paraId="3FD9FCE0" w14:textId="1F2D3740" w:rsidR="00EF6E19" w:rsidRDefault="00EF6E19" w:rsidP="006A71BB">
      <w:pPr>
        <w:tabs>
          <w:tab w:val="left" w:pos="8364"/>
        </w:tabs>
        <w:spacing w:after="0"/>
        <w:jc w:val="both"/>
        <w:rPr>
          <w:rFonts w:ascii="Times New Roman" w:hAnsi="Times New Roman" w:cs="Times New Roman"/>
          <w:sz w:val="28"/>
          <w:szCs w:val="28"/>
        </w:rPr>
      </w:pPr>
      <w:r w:rsidRPr="00EF6E19">
        <w:rPr>
          <w:rFonts w:ascii="Times New Roman" w:hAnsi="Times New Roman" w:cs="Times New Roman"/>
          <w:sz w:val="28"/>
          <w:szCs w:val="28"/>
        </w:rPr>
        <w:t>Ma cosa significa conoscere lo schema esecutivo di un algoritmo?</w:t>
      </w:r>
    </w:p>
    <w:p w14:paraId="5B48FE99" w14:textId="387F0FD4" w:rsidR="00EF6E19" w:rsidRDefault="00EF6E19" w:rsidP="006A71B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via preliminare</w:t>
      </w:r>
      <w:r w:rsidR="001F25F6">
        <w:rPr>
          <w:rFonts w:ascii="Times New Roman" w:hAnsi="Times New Roman" w:cs="Times New Roman"/>
          <w:sz w:val="28"/>
          <w:szCs w:val="28"/>
        </w:rPr>
        <w:t>,</w:t>
      </w:r>
      <w:r>
        <w:rPr>
          <w:rFonts w:ascii="Times New Roman" w:hAnsi="Times New Roman" w:cs="Times New Roman"/>
          <w:sz w:val="28"/>
          <w:szCs w:val="28"/>
        </w:rPr>
        <w:t xml:space="preserve"> occorre precisare che la decisione della Cassazione si pone in linea con quanto previsto dalle </w:t>
      </w:r>
      <w:proofErr w:type="spellStart"/>
      <w:r w:rsidRPr="00EF6E19">
        <w:rPr>
          <w:rFonts w:ascii="Times New Roman" w:hAnsi="Times New Roman" w:cs="Times New Roman"/>
          <w:i/>
          <w:iCs/>
          <w:sz w:val="28"/>
          <w:szCs w:val="28"/>
        </w:rPr>
        <w:t>Guidelines</w:t>
      </w:r>
      <w:proofErr w:type="spellEnd"/>
      <w:r w:rsidRPr="00EF6E19">
        <w:rPr>
          <w:rFonts w:ascii="Times New Roman" w:hAnsi="Times New Roman" w:cs="Times New Roman"/>
          <w:i/>
          <w:iCs/>
          <w:sz w:val="28"/>
          <w:szCs w:val="28"/>
        </w:rPr>
        <w:t xml:space="preserve"> on the </w:t>
      </w:r>
      <w:proofErr w:type="spellStart"/>
      <w:r w:rsidRPr="00EF6E19">
        <w:rPr>
          <w:rFonts w:ascii="Times New Roman" w:hAnsi="Times New Roman" w:cs="Times New Roman"/>
          <w:i/>
          <w:iCs/>
          <w:sz w:val="28"/>
          <w:szCs w:val="28"/>
        </w:rPr>
        <w:t>protection</w:t>
      </w:r>
      <w:proofErr w:type="spellEnd"/>
      <w:r w:rsidRPr="00EF6E19">
        <w:rPr>
          <w:rFonts w:ascii="Times New Roman" w:hAnsi="Times New Roman" w:cs="Times New Roman"/>
          <w:i/>
          <w:iCs/>
          <w:sz w:val="28"/>
          <w:szCs w:val="28"/>
        </w:rPr>
        <w:t xml:space="preserve"> of </w:t>
      </w:r>
      <w:proofErr w:type="spellStart"/>
      <w:r w:rsidRPr="00EF6E19">
        <w:rPr>
          <w:rFonts w:ascii="Times New Roman" w:hAnsi="Times New Roman" w:cs="Times New Roman"/>
          <w:i/>
          <w:iCs/>
          <w:sz w:val="28"/>
          <w:szCs w:val="28"/>
        </w:rPr>
        <w:t>individuals</w:t>
      </w:r>
      <w:proofErr w:type="spellEnd"/>
      <w:r w:rsidRPr="00EF6E19">
        <w:rPr>
          <w:rFonts w:ascii="Times New Roman" w:hAnsi="Times New Roman" w:cs="Times New Roman"/>
          <w:i/>
          <w:iCs/>
          <w:sz w:val="28"/>
          <w:szCs w:val="28"/>
        </w:rPr>
        <w:t xml:space="preserve"> with </w:t>
      </w:r>
      <w:proofErr w:type="spellStart"/>
      <w:r w:rsidRPr="00EF6E19">
        <w:rPr>
          <w:rFonts w:ascii="Times New Roman" w:hAnsi="Times New Roman" w:cs="Times New Roman"/>
          <w:i/>
          <w:iCs/>
          <w:sz w:val="28"/>
          <w:szCs w:val="28"/>
        </w:rPr>
        <w:t>regard</w:t>
      </w:r>
      <w:proofErr w:type="spellEnd"/>
      <w:r w:rsidRPr="00EF6E19">
        <w:rPr>
          <w:rFonts w:ascii="Times New Roman" w:hAnsi="Times New Roman" w:cs="Times New Roman"/>
          <w:i/>
          <w:iCs/>
          <w:sz w:val="28"/>
          <w:szCs w:val="28"/>
        </w:rPr>
        <w:t xml:space="preserve"> to </w:t>
      </w:r>
      <w:r>
        <w:rPr>
          <w:rFonts w:ascii="Times New Roman" w:hAnsi="Times New Roman" w:cs="Times New Roman"/>
          <w:i/>
          <w:iCs/>
          <w:sz w:val="28"/>
          <w:szCs w:val="28"/>
        </w:rPr>
        <w:t xml:space="preserve">the processing of personal data in a world of Big Data del gennaio 2017, </w:t>
      </w:r>
      <w:r w:rsidRPr="00EF6E19">
        <w:rPr>
          <w:rFonts w:ascii="Times New Roman" w:hAnsi="Times New Roman" w:cs="Times New Roman"/>
          <w:sz w:val="28"/>
          <w:szCs w:val="28"/>
        </w:rPr>
        <w:t xml:space="preserve">dalla </w:t>
      </w:r>
      <w:r>
        <w:rPr>
          <w:rFonts w:ascii="Times New Roman" w:hAnsi="Times New Roman" w:cs="Times New Roman"/>
          <w:sz w:val="28"/>
          <w:szCs w:val="28"/>
        </w:rPr>
        <w:t xml:space="preserve">Convention 108 e dalle Linee Guida del WP29 relative alla trasparenza di aprile 2018 e ai processi decisionali automatizzati relativi alle persone fisiche e alla </w:t>
      </w:r>
      <w:proofErr w:type="spellStart"/>
      <w:r>
        <w:rPr>
          <w:rFonts w:ascii="Times New Roman" w:hAnsi="Times New Roman" w:cs="Times New Roman"/>
          <w:sz w:val="28"/>
          <w:szCs w:val="28"/>
        </w:rPr>
        <w:t>profilazione</w:t>
      </w:r>
      <w:proofErr w:type="spellEnd"/>
      <w:r>
        <w:rPr>
          <w:rFonts w:ascii="Times New Roman" w:hAnsi="Times New Roman" w:cs="Times New Roman"/>
          <w:sz w:val="28"/>
          <w:szCs w:val="28"/>
        </w:rPr>
        <w:t xml:space="preserve"> di febbraio 2018, ove viene sottolineata l’importanza che gli interessati siano adeguatamente informati sulle modalità di impiego dei propri dati personali nell’ambito dei processi elaborativi legati all’utilizzo dei </w:t>
      </w:r>
      <w:r w:rsidRPr="001F25F6">
        <w:rPr>
          <w:rFonts w:ascii="Times New Roman" w:hAnsi="Times New Roman" w:cs="Times New Roman"/>
          <w:i/>
          <w:iCs/>
          <w:sz w:val="28"/>
          <w:szCs w:val="28"/>
        </w:rPr>
        <w:t>Big Data.</w:t>
      </w:r>
    </w:p>
    <w:p w14:paraId="295D5A53" w14:textId="4BD63AF7" w:rsidR="00EF6E19" w:rsidRDefault="00EF6E19" w:rsidP="006A71B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Le </w:t>
      </w:r>
      <w:proofErr w:type="spellStart"/>
      <w:r w:rsidR="00531C69" w:rsidRPr="00EF6E19">
        <w:rPr>
          <w:rFonts w:ascii="Times New Roman" w:hAnsi="Times New Roman" w:cs="Times New Roman"/>
          <w:i/>
          <w:iCs/>
          <w:sz w:val="28"/>
          <w:szCs w:val="28"/>
        </w:rPr>
        <w:t>Guidelines</w:t>
      </w:r>
      <w:proofErr w:type="spellEnd"/>
      <w:r w:rsidR="00531C69" w:rsidRPr="00EF6E19">
        <w:rPr>
          <w:rFonts w:ascii="Times New Roman" w:hAnsi="Times New Roman" w:cs="Times New Roman"/>
          <w:i/>
          <w:iCs/>
          <w:sz w:val="28"/>
          <w:szCs w:val="28"/>
        </w:rPr>
        <w:t xml:space="preserve">, </w:t>
      </w:r>
      <w:r w:rsidR="00531C69" w:rsidRPr="00531C69">
        <w:rPr>
          <w:rFonts w:ascii="Times New Roman" w:hAnsi="Times New Roman" w:cs="Times New Roman"/>
          <w:sz w:val="28"/>
          <w:szCs w:val="28"/>
        </w:rPr>
        <w:t>in</w:t>
      </w:r>
      <w:r w:rsidRPr="00531C69">
        <w:rPr>
          <w:rFonts w:ascii="Times New Roman" w:hAnsi="Times New Roman" w:cs="Times New Roman"/>
          <w:sz w:val="28"/>
          <w:szCs w:val="28"/>
        </w:rPr>
        <w:t xml:space="preserve"> </w:t>
      </w:r>
      <w:r w:rsidRPr="00EF6E19">
        <w:rPr>
          <w:rFonts w:ascii="Times New Roman" w:hAnsi="Times New Roman" w:cs="Times New Roman"/>
          <w:sz w:val="28"/>
          <w:szCs w:val="28"/>
        </w:rPr>
        <w:t xml:space="preserve">particolare, </w:t>
      </w:r>
      <w:r>
        <w:rPr>
          <w:rFonts w:ascii="Times New Roman" w:hAnsi="Times New Roman" w:cs="Times New Roman"/>
          <w:sz w:val="28"/>
          <w:szCs w:val="28"/>
        </w:rPr>
        <w:t xml:space="preserve">prevedono che all’interessato siano illustrati i rischi legati all’utilizzo dei propri dati mediante tecnologie </w:t>
      </w:r>
      <w:r w:rsidRPr="001F25F6">
        <w:rPr>
          <w:rFonts w:ascii="Times New Roman" w:hAnsi="Times New Roman" w:cs="Times New Roman"/>
          <w:i/>
          <w:iCs/>
          <w:sz w:val="28"/>
          <w:szCs w:val="28"/>
        </w:rPr>
        <w:t>Big Data</w:t>
      </w:r>
      <w:r>
        <w:rPr>
          <w:rFonts w:ascii="Times New Roman" w:hAnsi="Times New Roman" w:cs="Times New Roman"/>
          <w:sz w:val="28"/>
          <w:szCs w:val="28"/>
        </w:rPr>
        <w:t>, così da evitare che vengano sottoposti a un trattamento che risulti in qualche modo non prevedibile o inappropriato. Ciò,</w:t>
      </w:r>
      <w:r w:rsidR="004B00E5">
        <w:rPr>
          <w:rFonts w:ascii="Times New Roman" w:hAnsi="Times New Roman" w:cs="Times New Roman"/>
          <w:sz w:val="28"/>
          <w:szCs w:val="28"/>
        </w:rPr>
        <w:t xml:space="preserve"> </w:t>
      </w:r>
      <w:r>
        <w:rPr>
          <w:rFonts w:ascii="Times New Roman" w:hAnsi="Times New Roman" w:cs="Times New Roman"/>
          <w:sz w:val="28"/>
          <w:szCs w:val="28"/>
        </w:rPr>
        <w:t>anche, mediante la condivisione con gli interessati degli aspetti più rilevanti delle valutazioni di impatto dei trattamenti sottesi nei termini di cui all’art.</w:t>
      </w:r>
      <w:r w:rsidR="00531C69">
        <w:rPr>
          <w:rFonts w:ascii="Times New Roman" w:hAnsi="Times New Roman" w:cs="Times New Roman"/>
          <w:sz w:val="28"/>
          <w:szCs w:val="28"/>
        </w:rPr>
        <w:t xml:space="preserve"> </w:t>
      </w:r>
      <w:r>
        <w:rPr>
          <w:rFonts w:ascii="Times New Roman" w:hAnsi="Times New Roman" w:cs="Times New Roman"/>
          <w:sz w:val="28"/>
          <w:szCs w:val="28"/>
        </w:rPr>
        <w:t xml:space="preserve">35 del GDPR </w:t>
      </w:r>
      <w:r w:rsidR="00B25EA7">
        <w:rPr>
          <w:rFonts w:ascii="Times New Roman" w:hAnsi="Times New Roman" w:cs="Times New Roman"/>
          <w:sz w:val="28"/>
          <w:szCs w:val="28"/>
        </w:rPr>
        <w:t>che possono meglio chiarire modalità e termini dei trattamenti.</w:t>
      </w:r>
    </w:p>
    <w:p w14:paraId="67DBA12A" w14:textId="75158C35" w:rsidR="00B25EA7" w:rsidRDefault="00B25EA7" w:rsidP="006A71B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Sulla base di tale previsione, secondo una certa impostazione dottrinaria, non esisterebbe solo il diritto di non esclusività di cui all’art.</w:t>
      </w:r>
      <w:r w:rsidR="00531C69">
        <w:rPr>
          <w:rFonts w:ascii="Times New Roman" w:hAnsi="Times New Roman" w:cs="Times New Roman"/>
          <w:sz w:val="28"/>
          <w:szCs w:val="28"/>
        </w:rPr>
        <w:t xml:space="preserve"> </w:t>
      </w:r>
      <w:r>
        <w:rPr>
          <w:rFonts w:ascii="Times New Roman" w:hAnsi="Times New Roman" w:cs="Times New Roman"/>
          <w:sz w:val="28"/>
          <w:szCs w:val="28"/>
        </w:rPr>
        <w:t xml:space="preserve">22 del GDPR, ma un vero e proprio </w:t>
      </w:r>
      <w:r w:rsidRPr="00B25EA7">
        <w:rPr>
          <w:rFonts w:ascii="Times New Roman" w:hAnsi="Times New Roman" w:cs="Times New Roman"/>
          <w:i/>
          <w:iCs/>
          <w:sz w:val="28"/>
          <w:szCs w:val="28"/>
        </w:rPr>
        <w:t xml:space="preserve">right to </w:t>
      </w:r>
      <w:proofErr w:type="spellStart"/>
      <w:r w:rsidRPr="00B25EA7">
        <w:rPr>
          <w:rFonts w:ascii="Times New Roman" w:hAnsi="Times New Roman" w:cs="Times New Roman"/>
          <w:i/>
          <w:iCs/>
          <w:sz w:val="28"/>
          <w:szCs w:val="28"/>
        </w:rPr>
        <w:t>explanation</w:t>
      </w:r>
      <w:proofErr w:type="spellEnd"/>
      <w:r>
        <w:rPr>
          <w:rFonts w:ascii="Times New Roman" w:hAnsi="Times New Roman" w:cs="Times New Roman"/>
          <w:sz w:val="28"/>
          <w:szCs w:val="28"/>
        </w:rPr>
        <w:t>, ossia uno specifico diritto degli interessati di conoscibilità delle modalità di funzionamento dell’algoritmo. Tale diritto sarebbe enucleabile in via interpretativa dall’art.</w:t>
      </w:r>
      <w:r w:rsidR="00531C69">
        <w:rPr>
          <w:rFonts w:ascii="Times New Roman" w:hAnsi="Times New Roman" w:cs="Times New Roman"/>
          <w:sz w:val="28"/>
          <w:szCs w:val="28"/>
        </w:rPr>
        <w:t xml:space="preserve"> </w:t>
      </w:r>
      <w:r>
        <w:rPr>
          <w:rFonts w:ascii="Times New Roman" w:hAnsi="Times New Roman" w:cs="Times New Roman"/>
          <w:sz w:val="28"/>
          <w:szCs w:val="28"/>
        </w:rPr>
        <w:t>15 del GDPR che statuisce il diritto di accesso degli interessati</w:t>
      </w:r>
      <w:r w:rsidR="00AC28FF">
        <w:rPr>
          <w:rFonts w:ascii="Times New Roman" w:hAnsi="Times New Roman" w:cs="Times New Roman"/>
          <w:sz w:val="28"/>
          <w:szCs w:val="28"/>
        </w:rPr>
        <w:t>: muovendo da tale ricostruzione</w:t>
      </w:r>
      <w:r w:rsidR="006A71BB">
        <w:rPr>
          <w:rFonts w:ascii="Times New Roman" w:hAnsi="Times New Roman" w:cs="Times New Roman"/>
          <w:sz w:val="28"/>
          <w:szCs w:val="28"/>
        </w:rPr>
        <w:t>,</w:t>
      </w:r>
      <w:r w:rsidR="00AC28FF">
        <w:rPr>
          <w:rFonts w:ascii="Times New Roman" w:hAnsi="Times New Roman" w:cs="Times New Roman"/>
          <w:sz w:val="28"/>
          <w:szCs w:val="28"/>
        </w:rPr>
        <w:t xml:space="preserve"> i fautori di questa tesi giungono a definire un nuovo concetto di trasparenza in termini di </w:t>
      </w:r>
      <w:proofErr w:type="spellStart"/>
      <w:r w:rsidR="00AC28FF" w:rsidRPr="00AC28FF">
        <w:rPr>
          <w:rFonts w:ascii="Times New Roman" w:hAnsi="Times New Roman" w:cs="Times New Roman"/>
          <w:i/>
          <w:iCs/>
          <w:sz w:val="28"/>
          <w:szCs w:val="28"/>
        </w:rPr>
        <w:t>legibility</w:t>
      </w:r>
      <w:proofErr w:type="spellEnd"/>
      <w:r w:rsidR="00AC28FF">
        <w:rPr>
          <w:rFonts w:ascii="Times New Roman" w:hAnsi="Times New Roman" w:cs="Times New Roman"/>
          <w:i/>
          <w:iCs/>
          <w:sz w:val="28"/>
          <w:szCs w:val="28"/>
        </w:rPr>
        <w:t xml:space="preserve">, </w:t>
      </w:r>
      <w:r w:rsidR="00AC28FF" w:rsidRPr="00AC28FF">
        <w:rPr>
          <w:rFonts w:ascii="Times New Roman" w:hAnsi="Times New Roman" w:cs="Times New Roman"/>
          <w:sz w:val="28"/>
          <w:szCs w:val="28"/>
        </w:rPr>
        <w:t>da intendersi</w:t>
      </w:r>
      <w:r w:rsidR="00AC28FF">
        <w:rPr>
          <w:rFonts w:ascii="Times New Roman" w:hAnsi="Times New Roman" w:cs="Times New Roman"/>
          <w:sz w:val="28"/>
          <w:szCs w:val="28"/>
        </w:rPr>
        <w:t xml:space="preserve"> quale capacità degli </w:t>
      </w:r>
      <w:r w:rsidR="00AC28FF">
        <w:rPr>
          <w:rFonts w:ascii="Times New Roman" w:hAnsi="Times New Roman" w:cs="Times New Roman"/>
          <w:sz w:val="28"/>
          <w:szCs w:val="28"/>
        </w:rPr>
        <w:lastRenderedPageBreak/>
        <w:t>interessati di capire autonomamente i dati e i parametri presi in considerazione dal titolare nelle sue elaborazioni.</w:t>
      </w:r>
    </w:p>
    <w:p w14:paraId="6B3B45E4" w14:textId="56B0B8B3" w:rsidR="00AC28FF" w:rsidRDefault="00AC28FF"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Occorre, però, a questo punto </w:t>
      </w:r>
      <w:r w:rsidR="00531C69">
        <w:rPr>
          <w:rFonts w:ascii="Times New Roman" w:hAnsi="Times New Roman" w:cs="Times New Roman"/>
          <w:sz w:val="28"/>
          <w:szCs w:val="28"/>
        </w:rPr>
        <w:t>chiedersi</w:t>
      </w:r>
      <w:r>
        <w:rPr>
          <w:rFonts w:ascii="Times New Roman" w:hAnsi="Times New Roman" w:cs="Times New Roman"/>
          <w:sz w:val="28"/>
          <w:szCs w:val="28"/>
        </w:rPr>
        <w:t xml:space="preserve"> quale sia il livello di trasparenza da attuare e in che cosa concretamente dovrà tradursi l’esplicitazione dello “schema esecutivo” dell’algoritmo utilizzato per il trattamento dei dati. </w:t>
      </w:r>
    </w:p>
    <w:p w14:paraId="775B84D6" w14:textId="7D8EFE98" w:rsidR="00AC28FF" w:rsidRDefault="00AC28FF" w:rsidP="006A71B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Tale schema esecutivo potrà presentare una notevole complessità tecnica che il cittadino comune potrebbe anche non cogliere perfettamente. Un articolato contenuto tecnico potrebbe, infatti, risultare eccessivo e non far realmente comprendere la logica algoritmica utilizzata, ma, anzi, scoraggiare il destinatario “medio” di servizi</w:t>
      </w:r>
      <w:r w:rsidR="008835F6">
        <w:rPr>
          <w:rFonts w:ascii="Times New Roman" w:hAnsi="Times New Roman" w:cs="Times New Roman"/>
          <w:sz w:val="28"/>
          <w:szCs w:val="28"/>
        </w:rPr>
        <w:t>,</w:t>
      </w:r>
      <w:r>
        <w:rPr>
          <w:rFonts w:ascii="Times New Roman" w:hAnsi="Times New Roman" w:cs="Times New Roman"/>
          <w:sz w:val="28"/>
          <w:szCs w:val="28"/>
        </w:rPr>
        <w:t xml:space="preserve"> anche molto complessi, da una reale ed effettiva comprensione del funzionamento degli stessi.</w:t>
      </w:r>
      <w:r w:rsidR="001D3229">
        <w:rPr>
          <w:rFonts w:ascii="Times New Roman" w:hAnsi="Times New Roman" w:cs="Times New Roman"/>
          <w:sz w:val="28"/>
          <w:szCs w:val="28"/>
        </w:rPr>
        <w:t xml:space="preserve"> L’eccessiva scrupolosità tecnica nella descrizione delle logiche algoritmiche potrebbe non colmare quel deficit formativo dell’interessato, specie tenuto conto dell’efficacia media delle informative attualmente già distribuite, e indurre lo stesso a fornire comunque un consenso altrettanto non informato.</w:t>
      </w:r>
    </w:p>
    <w:p w14:paraId="3B8B879D" w14:textId="77777777" w:rsidR="006A71BB" w:rsidRDefault="006A71BB" w:rsidP="006A71BB">
      <w:pPr>
        <w:tabs>
          <w:tab w:val="left" w:pos="8364"/>
        </w:tabs>
        <w:spacing w:after="0"/>
        <w:jc w:val="both"/>
        <w:rPr>
          <w:rFonts w:ascii="Times New Roman" w:hAnsi="Times New Roman" w:cs="Times New Roman"/>
          <w:sz w:val="28"/>
          <w:szCs w:val="28"/>
        </w:rPr>
      </w:pPr>
    </w:p>
    <w:p w14:paraId="047261E2" w14:textId="591CAAB6" w:rsidR="001D3229" w:rsidRDefault="001D3229" w:rsidP="006A71B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Alla luce di quanto sopra osservato</w:t>
      </w:r>
      <w:r w:rsidR="006A71BB">
        <w:rPr>
          <w:rFonts w:ascii="Times New Roman" w:hAnsi="Times New Roman" w:cs="Times New Roman"/>
          <w:sz w:val="28"/>
          <w:szCs w:val="28"/>
        </w:rPr>
        <w:t>,</w:t>
      </w:r>
      <w:r>
        <w:rPr>
          <w:rFonts w:ascii="Times New Roman" w:hAnsi="Times New Roman" w:cs="Times New Roman"/>
          <w:sz w:val="28"/>
          <w:szCs w:val="28"/>
        </w:rPr>
        <w:t xml:space="preserve"> rispetto agli elementi di cui si compone un algoritmo, infatti, deve ritenersi che la verifica possa essere svolta esclusivamente sui dati oggetto di trattamento e le relative finalità. Ecco perché la lettera f) dell’articolo 13 del GDPR fa riferimento</w:t>
      </w:r>
      <w:r w:rsidR="006A71BB">
        <w:rPr>
          <w:rFonts w:ascii="Times New Roman" w:hAnsi="Times New Roman" w:cs="Times New Roman"/>
          <w:sz w:val="28"/>
          <w:szCs w:val="28"/>
        </w:rPr>
        <w:t>,</w:t>
      </w:r>
      <w:r>
        <w:rPr>
          <w:rFonts w:ascii="Times New Roman" w:hAnsi="Times New Roman" w:cs="Times New Roman"/>
          <w:sz w:val="28"/>
          <w:szCs w:val="28"/>
        </w:rPr>
        <w:t xml:space="preserve"> quando declina l’onere informativo</w:t>
      </w:r>
      <w:r w:rsidR="006A71BB">
        <w:rPr>
          <w:rFonts w:ascii="Times New Roman" w:hAnsi="Times New Roman" w:cs="Times New Roman"/>
          <w:sz w:val="28"/>
          <w:szCs w:val="28"/>
        </w:rPr>
        <w:t>,</w:t>
      </w:r>
      <w:r>
        <w:rPr>
          <w:rFonts w:ascii="Times New Roman" w:hAnsi="Times New Roman" w:cs="Times New Roman"/>
          <w:sz w:val="28"/>
          <w:szCs w:val="28"/>
        </w:rPr>
        <w:t xml:space="preserve"> alla “</w:t>
      </w:r>
      <w:r w:rsidRPr="001D3229">
        <w:rPr>
          <w:rFonts w:ascii="Times New Roman" w:hAnsi="Times New Roman" w:cs="Times New Roman"/>
          <w:i/>
          <w:iCs/>
          <w:sz w:val="28"/>
          <w:szCs w:val="28"/>
        </w:rPr>
        <w:t>logica utilizzata</w:t>
      </w:r>
      <w:r>
        <w:rPr>
          <w:rFonts w:ascii="Times New Roman" w:hAnsi="Times New Roman" w:cs="Times New Roman"/>
          <w:sz w:val="28"/>
          <w:szCs w:val="28"/>
        </w:rPr>
        <w:t>” nel processo decisionale.</w:t>
      </w:r>
    </w:p>
    <w:p w14:paraId="65763942" w14:textId="77777777" w:rsidR="006A71BB" w:rsidRDefault="001D3229" w:rsidP="006A71B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La puntuale descrizione dei passaggi computazionali effettuati da un algoritmo e delle variabili prese in esame potrebbero non presentare quel livello di trasparenza che la Cassazione ha individuato come presupposto per la informata, valida e consapevole prestazione del consenso. Ciò, in quanto la consapevolezza del trattamento cui saranno sottoposti i dati si ritiene presupponga il possesso di molteplici conoscenze e “competenze trasversali” </w:t>
      </w:r>
      <w:r w:rsidR="004B00E5">
        <w:rPr>
          <w:rFonts w:ascii="Times New Roman" w:hAnsi="Times New Roman" w:cs="Times New Roman"/>
          <w:sz w:val="28"/>
          <w:szCs w:val="28"/>
        </w:rPr>
        <w:t xml:space="preserve">che consentono di comprendere quanto rappresentato dal titolare in sede informativa. </w:t>
      </w:r>
    </w:p>
    <w:p w14:paraId="3426A02E" w14:textId="77777777" w:rsidR="008A2C1F" w:rsidRDefault="004B00E5" w:rsidP="006A71B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ambito farmaceutico, ad esempio, tale valutazione viene rimessa ad un soggetto terzo, come l’</w:t>
      </w:r>
      <w:proofErr w:type="spellStart"/>
      <w:r>
        <w:rPr>
          <w:rFonts w:ascii="Times New Roman" w:hAnsi="Times New Roman" w:cs="Times New Roman"/>
          <w:sz w:val="28"/>
          <w:szCs w:val="28"/>
        </w:rPr>
        <w:t>Aifa</w:t>
      </w:r>
      <w:proofErr w:type="spellEnd"/>
      <w:r>
        <w:rPr>
          <w:rFonts w:ascii="Times New Roman" w:hAnsi="Times New Roman" w:cs="Times New Roman"/>
          <w:sz w:val="28"/>
          <w:szCs w:val="28"/>
        </w:rPr>
        <w:t>, in ambito nazionale e l’Ema, in ambito europeo, che certifica, e quindi autorizza (anche con CMA,</w:t>
      </w:r>
      <w:r w:rsidR="00531C69">
        <w:rPr>
          <w:rFonts w:ascii="Times New Roman" w:hAnsi="Times New Roman" w:cs="Times New Roman"/>
          <w:sz w:val="28"/>
          <w:szCs w:val="28"/>
        </w:rPr>
        <w:t xml:space="preserve"> </w:t>
      </w:r>
      <w:r>
        <w:rPr>
          <w:rFonts w:ascii="Times New Roman" w:hAnsi="Times New Roman" w:cs="Times New Roman"/>
          <w:sz w:val="28"/>
          <w:szCs w:val="28"/>
        </w:rPr>
        <w:t xml:space="preserve">ossia </w:t>
      </w:r>
      <w:proofErr w:type="spellStart"/>
      <w:r w:rsidRPr="004B00E5">
        <w:rPr>
          <w:rFonts w:ascii="Times New Roman" w:hAnsi="Times New Roman" w:cs="Times New Roman"/>
          <w:i/>
          <w:iCs/>
          <w:sz w:val="28"/>
          <w:szCs w:val="28"/>
        </w:rPr>
        <w:t>conditional</w:t>
      </w:r>
      <w:proofErr w:type="spellEnd"/>
      <w:r w:rsidRPr="004B00E5">
        <w:rPr>
          <w:rFonts w:ascii="Times New Roman" w:hAnsi="Times New Roman" w:cs="Times New Roman"/>
          <w:i/>
          <w:iCs/>
          <w:sz w:val="28"/>
          <w:szCs w:val="28"/>
        </w:rPr>
        <w:t xml:space="preserve"> market </w:t>
      </w:r>
      <w:proofErr w:type="spellStart"/>
      <w:r w:rsidRPr="004B00E5">
        <w:rPr>
          <w:rFonts w:ascii="Times New Roman" w:hAnsi="Times New Roman" w:cs="Times New Roman"/>
          <w:i/>
          <w:iCs/>
          <w:sz w:val="28"/>
          <w:szCs w:val="28"/>
        </w:rPr>
        <w:t>authorisation</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la commercializzazione di farmaci dei quali il cittadino comune non è in grado di valutare l’efficacia e la sicurezza per la propria salute, residuando in capo al paziente il solo diritto a conoscere la mera elencazione statistica delle possibili controindicazioni che potrebbero derivare dall’assunzione del farmaco. </w:t>
      </w:r>
    </w:p>
    <w:p w14:paraId="5C128FA5" w14:textId="4A8D91FE" w:rsidR="001D3229" w:rsidRDefault="004B00E5" w:rsidP="006A71BB">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Inoltre, si osserva che il </w:t>
      </w:r>
      <w:r w:rsidR="00235491">
        <w:rPr>
          <w:rFonts w:ascii="Times New Roman" w:hAnsi="Times New Roman" w:cs="Times New Roman"/>
          <w:sz w:val="28"/>
          <w:szCs w:val="28"/>
        </w:rPr>
        <w:t xml:space="preserve">paragrafo 6, dell’articolo 5, del Regolamento 2019/1150, cosiddetto </w:t>
      </w:r>
      <w:r w:rsidR="00235491" w:rsidRPr="00235491">
        <w:rPr>
          <w:rFonts w:ascii="Times New Roman" w:hAnsi="Times New Roman" w:cs="Times New Roman"/>
          <w:i/>
          <w:iCs/>
          <w:sz w:val="28"/>
          <w:szCs w:val="28"/>
        </w:rPr>
        <w:t xml:space="preserve">Platform to Business, </w:t>
      </w:r>
      <w:r w:rsidR="00235491" w:rsidRPr="00235491">
        <w:rPr>
          <w:rFonts w:ascii="Times New Roman" w:hAnsi="Times New Roman" w:cs="Times New Roman"/>
          <w:sz w:val="28"/>
          <w:szCs w:val="28"/>
        </w:rPr>
        <w:t xml:space="preserve">espressamente esclude che le piattaforme e i motori di ricerca abbiano l’obbligo di </w:t>
      </w:r>
      <w:r w:rsidR="00B1012D">
        <w:rPr>
          <w:rFonts w:ascii="Times New Roman" w:hAnsi="Times New Roman" w:cs="Times New Roman"/>
          <w:sz w:val="28"/>
          <w:szCs w:val="28"/>
        </w:rPr>
        <w:t>«</w:t>
      </w:r>
      <w:r w:rsidR="00235491" w:rsidRPr="00235491">
        <w:rPr>
          <w:rFonts w:ascii="Times New Roman" w:hAnsi="Times New Roman" w:cs="Times New Roman"/>
          <w:i/>
          <w:iCs/>
          <w:sz w:val="28"/>
          <w:szCs w:val="28"/>
        </w:rPr>
        <w:t>rivelare algoritmi o informazioni</w:t>
      </w:r>
      <w:r w:rsidR="00B1012D">
        <w:rPr>
          <w:rFonts w:ascii="Times New Roman" w:hAnsi="Times New Roman" w:cs="Times New Roman"/>
          <w:i/>
          <w:iCs/>
          <w:sz w:val="28"/>
          <w:szCs w:val="28"/>
        </w:rPr>
        <w:t>»</w:t>
      </w:r>
      <w:r w:rsidR="00235491" w:rsidRPr="00235491">
        <w:rPr>
          <w:rFonts w:ascii="Times New Roman" w:hAnsi="Times New Roman" w:cs="Times New Roman"/>
          <w:i/>
          <w:iCs/>
          <w:sz w:val="28"/>
          <w:szCs w:val="28"/>
        </w:rPr>
        <w:t>.</w:t>
      </w:r>
    </w:p>
    <w:p w14:paraId="7839BFF5" w14:textId="77777777" w:rsidR="008A2C1F" w:rsidRDefault="00235491" w:rsidP="008A2C1F">
      <w:pPr>
        <w:tabs>
          <w:tab w:val="left" w:pos="8364"/>
        </w:tabs>
        <w:spacing w:after="0"/>
        <w:jc w:val="both"/>
        <w:rPr>
          <w:rFonts w:ascii="Times New Roman" w:hAnsi="Times New Roman" w:cs="Times New Roman"/>
          <w:sz w:val="28"/>
          <w:szCs w:val="28"/>
        </w:rPr>
      </w:pPr>
      <w:r w:rsidRPr="00235491">
        <w:rPr>
          <w:rFonts w:ascii="Times New Roman" w:hAnsi="Times New Roman" w:cs="Times New Roman"/>
          <w:sz w:val="28"/>
          <w:szCs w:val="28"/>
        </w:rPr>
        <w:lastRenderedPageBreak/>
        <w:t xml:space="preserve">Viene allora da chiedersi </w:t>
      </w:r>
      <w:r>
        <w:rPr>
          <w:rFonts w:ascii="Times New Roman" w:hAnsi="Times New Roman" w:cs="Times New Roman"/>
          <w:sz w:val="28"/>
          <w:szCs w:val="28"/>
        </w:rPr>
        <w:t xml:space="preserve">come bilanciare l’obbligo di trasparenza con le necessarie tutele degli investimenti realizzati dai privati e con il principio di </w:t>
      </w:r>
      <w:proofErr w:type="spellStart"/>
      <w:r w:rsidRPr="00235491">
        <w:rPr>
          <w:rFonts w:ascii="Times New Roman" w:hAnsi="Times New Roman" w:cs="Times New Roman"/>
          <w:i/>
          <w:iCs/>
          <w:sz w:val="28"/>
          <w:szCs w:val="28"/>
        </w:rPr>
        <w:t>accountability</w:t>
      </w:r>
      <w:proofErr w:type="spellEnd"/>
      <w:r>
        <w:rPr>
          <w:rFonts w:ascii="Times New Roman" w:hAnsi="Times New Roman" w:cs="Times New Roman"/>
          <w:i/>
          <w:iCs/>
          <w:sz w:val="28"/>
          <w:szCs w:val="28"/>
        </w:rPr>
        <w:t xml:space="preserve"> </w:t>
      </w:r>
      <w:r w:rsidRPr="00235491">
        <w:rPr>
          <w:rFonts w:ascii="Times New Roman" w:hAnsi="Times New Roman" w:cs="Times New Roman"/>
          <w:sz w:val="28"/>
          <w:szCs w:val="28"/>
        </w:rPr>
        <w:t xml:space="preserve">che governa il </w:t>
      </w:r>
      <w:r w:rsidR="008A2C1F">
        <w:rPr>
          <w:rFonts w:ascii="Times New Roman" w:hAnsi="Times New Roman" w:cs="Times New Roman"/>
          <w:sz w:val="28"/>
          <w:szCs w:val="28"/>
        </w:rPr>
        <w:t>GDPR</w:t>
      </w:r>
      <w:r>
        <w:rPr>
          <w:rFonts w:ascii="Times New Roman" w:hAnsi="Times New Roman" w:cs="Times New Roman"/>
          <w:sz w:val="28"/>
          <w:szCs w:val="28"/>
        </w:rPr>
        <w:t xml:space="preserve">. </w:t>
      </w:r>
    </w:p>
    <w:p w14:paraId="0CB78CA7" w14:textId="7F0B86A7" w:rsidR="00235491" w:rsidRDefault="00235491" w:rsidP="008A2C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Nel settore farmaceutico</w:t>
      </w:r>
      <w:r w:rsidR="008A2C1F">
        <w:rPr>
          <w:rFonts w:ascii="Times New Roman" w:hAnsi="Times New Roman" w:cs="Times New Roman"/>
          <w:sz w:val="28"/>
          <w:szCs w:val="28"/>
        </w:rPr>
        <w:t>,</w:t>
      </w:r>
      <w:r>
        <w:rPr>
          <w:rFonts w:ascii="Times New Roman" w:hAnsi="Times New Roman" w:cs="Times New Roman"/>
          <w:sz w:val="28"/>
          <w:szCs w:val="28"/>
        </w:rPr>
        <w:t xml:space="preserve"> si osserva come la trasparenza della formula chimica, non algoritmica, sia subordinata al riconoscimento di un diritto di privativa rappresentato dal brevetto che consente al privato di non veder pregiudicati gli investimenti di sviluppo sostenuti.</w:t>
      </w:r>
    </w:p>
    <w:p w14:paraId="6734E327" w14:textId="77777777" w:rsidR="008A2C1F" w:rsidRDefault="00235491" w:rsidP="008A2C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Nel settore limitrofo dell’alimentazione</w:t>
      </w:r>
      <w:r w:rsidR="008A2C1F">
        <w:rPr>
          <w:rFonts w:ascii="Times New Roman" w:hAnsi="Times New Roman" w:cs="Times New Roman"/>
          <w:sz w:val="28"/>
          <w:szCs w:val="28"/>
        </w:rPr>
        <w:t>,</w:t>
      </w:r>
      <w:r>
        <w:rPr>
          <w:rFonts w:ascii="Times New Roman" w:hAnsi="Times New Roman" w:cs="Times New Roman"/>
          <w:sz w:val="28"/>
          <w:szCs w:val="28"/>
        </w:rPr>
        <w:t xml:space="preserve"> la trasparenza della formula è sostituita dalla elencazione degli ingredienti,</w:t>
      </w:r>
      <w:r w:rsidR="00531C69">
        <w:rPr>
          <w:rFonts w:ascii="Times New Roman" w:hAnsi="Times New Roman" w:cs="Times New Roman"/>
          <w:sz w:val="28"/>
          <w:szCs w:val="28"/>
        </w:rPr>
        <w:t xml:space="preserve"> cosicché</w:t>
      </w:r>
      <w:r>
        <w:rPr>
          <w:rFonts w:ascii="Times New Roman" w:hAnsi="Times New Roman" w:cs="Times New Roman"/>
          <w:sz w:val="28"/>
          <w:szCs w:val="28"/>
        </w:rPr>
        <w:t xml:space="preserve"> vengono comunemente commercializzate bibite gassate di cui si conoscono gli ingredienti, ma non la esatta composizione e il cui oggetto costituisce, dopo decine di anni, il vantaggio commerciale su cui è stato costruito un impero economico.</w:t>
      </w:r>
      <w:r w:rsidR="00597407">
        <w:rPr>
          <w:rFonts w:ascii="Times New Roman" w:hAnsi="Times New Roman" w:cs="Times New Roman"/>
          <w:sz w:val="28"/>
          <w:szCs w:val="28"/>
        </w:rPr>
        <w:t xml:space="preserve"> </w:t>
      </w:r>
    </w:p>
    <w:p w14:paraId="2A85768B" w14:textId="6FEA7889" w:rsidR="00235491" w:rsidRDefault="00597407" w:rsidP="008A2C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questo senso</w:t>
      </w:r>
      <w:r w:rsidR="008A2C1F">
        <w:rPr>
          <w:rFonts w:ascii="Times New Roman" w:hAnsi="Times New Roman" w:cs="Times New Roman"/>
          <w:sz w:val="28"/>
          <w:szCs w:val="28"/>
        </w:rPr>
        <w:t>,</w:t>
      </w:r>
      <w:r>
        <w:rPr>
          <w:rFonts w:ascii="Times New Roman" w:hAnsi="Times New Roman" w:cs="Times New Roman"/>
          <w:sz w:val="28"/>
          <w:szCs w:val="28"/>
        </w:rPr>
        <w:t xml:space="preserve"> deve dedursi che il diritto di accesso di cui all’art</w:t>
      </w:r>
      <w:r w:rsidR="008A2C1F">
        <w:rPr>
          <w:rFonts w:ascii="Times New Roman" w:hAnsi="Times New Roman" w:cs="Times New Roman"/>
          <w:sz w:val="28"/>
          <w:szCs w:val="28"/>
        </w:rPr>
        <w:t>.</w:t>
      </w:r>
      <w:r>
        <w:rPr>
          <w:rFonts w:ascii="Times New Roman" w:hAnsi="Times New Roman" w:cs="Times New Roman"/>
          <w:sz w:val="28"/>
          <w:szCs w:val="28"/>
        </w:rPr>
        <w:t xml:space="preserve"> 15 del </w:t>
      </w:r>
      <w:r w:rsidR="008A2C1F">
        <w:rPr>
          <w:rFonts w:ascii="Times New Roman" w:hAnsi="Times New Roman" w:cs="Times New Roman"/>
          <w:sz w:val="28"/>
          <w:szCs w:val="28"/>
        </w:rPr>
        <w:t>GDPR</w:t>
      </w:r>
      <w:r>
        <w:rPr>
          <w:rFonts w:ascii="Times New Roman" w:hAnsi="Times New Roman" w:cs="Times New Roman"/>
          <w:sz w:val="28"/>
          <w:szCs w:val="28"/>
        </w:rPr>
        <w:t xml:space="preserve"> trovi un limite nei diritti del titolare di non svelare tutti i passaggi computazionali dell’algoritmo impiegato per l’elaborazione effettuata, in quanto “segreto industriale”, atteso che il “segreto” costituisce la miglior protezione possibile, anche rispetto alle forme di privative tradizionali del diritto di autore e del brevetto, sia rispetto agli algoritmi che con riferimento ai loro prodotti. L’art.</w:t>
      </w:r>
      <w:r w:rsidR="00531C69">
        <w:rPr>
          <w:rFonts w:ascii="Times New Roman" w:hAnsi="Times New Roman" w:cs="Times New Roman"/>
          <w:sz w:val="28"/>
          <w:szCs w:val="28"/>
        </w:rPr>
        <w:t xml:space="preserve"> </w:t>
      </w:r>
      <w:r>
        <w:rPr>
          <w:rFonts w:ascii="Times New Roman" w:hAnsi="Times New Roman" w:cs="Times New Roman"/>
          <w:sz w:val="28"/>
          <w:szCs w:val="28"/>
        </w:rPr>
        <w:t>121-ter del D</w:t>
      </w:r>
      <w:r w:rsidR="008A2C1F">
        <w:rPr>
          <w:rFonts w:ascii="Times New Roman" w:hAnsi="Times New Roman" w:cs="Times New Roman"/>
          <w:sz w:val="28"/>
          <w:szCs w:val="28"/>
        </w:rPr>
        <w:t>.</w:t>
      </w:r>
      <w:r>
        <w:rPr>
          <w:rFonts w:ascii="Times New Roman" w:hAnsi="Times New Roman" w:cs="Times New Roman"/>
          <w:sz w:val="28"/>
          <w:szCs w:val="28"/>
        </w:rPr>
        <w:t>lgs</w:t>
      </w:r>
      <w:r w:rsidR="008A2C1F">
        <w:rPr>
          <w:rFonts w:ascii="Times New Roman" w:hAnsi="Times New Roman" w:cs="Times New Roman"/>
          <w:sz w:val="28"/>
          <w:szCs w:val="28"/>
        </w:rPr>
        <w:t>.</w:t>
      </w:r>
      <w:r>
        <w:rPr>
          <w:rFonts w:ascii="Times New Roman" w:hAnsi="Times New Roman" w:cs="Times New Roman"/>
          <w:sz w:val="28"/>
          <w:szCs w:val="28"/>
        </w:rPr>
        <w:t xml:space="preserve"> 30/2005, ove è stata recepita la direttiva 943/2016, legittima la conoscibilità dei segreti industriali da parte di terzi esclusivamente nei procedimenti giurisdizionali, non anche nel corso di istruttorie amministrative come quella svolta dal Garante, sebbene la direttiva europea genericamente parlasse di conoscibilità dei segreti da parte delle autorità pubbliche. Peraltro, l’indicazione risulta confermata dall’art</w:t>
      </w:r>
      <w:r w:rsidR="008A2C1F">
        <w:rPr>
          <w:rFonts w:ascii="Times New Roman" w:hAnsi="Times New Roman" w:cs="Times New Roman"/>
          <w:sz w:val="28"/>
          <w:szCs w:val="28"/>
        </w:rPr>
        <w:t>.</w:t>
      </w:r>
      <w:r>
        <w:rPr>
          <w:rFonts w:ascii="Times New Roman" w:hAnsi="Times New Roman" w:cs="Times New Roman"/>
          <w:sz w:val="28"/>
          <w:szCs w:val="28"/>
        </w:rPr>
        <w:t xml:space="preserve"> 5 del Regolamento P2B</w:t>
      </w:r>
      <w:r w:rsidR="008A2C1F">
        <w:rPr>
          <w:rFonts w:ascii="Times New Roman" w:hAnsi="Times New Roman" w:cs="Times New Roman"/>
          <w:sz w:val="28"/>
          <w:szCs w:val="28"/>
        </w:rPr>
        <w:t>,</w:t>
      </w:r>
      <w:r>
        <w:rPr>
          <w:rFonts w:ascii="Times New Roman" w:hAnsi="Times New Roman" w:cs="Times New Roman"/>
          <w:sz w:val="28"/>
          <w:szCs w:val="28"/>
        </w:rPr>
        <w:t xml:space="preserve"> che circoscrive il potere di analisi e verifica delle autorità statali alla disamina dei “criteri generali” usati ai fini del posizionamento. Anche in tale caso, comunque, è l’Agcom</w:t>
      </w:r>
      <w:r w:rsidR="00EC0057">
        <w:rPr>
          <w:rFonts w:ascii="Times New Roman" w:hAnsi="Times New Roman" w:cs="Times New Roman"/>
          <w:sz w:val="28"/>
          <w:szCs w:val="28"/>
        </w:rPr>
        <w:t xml:space="preserve"> ad essere competente ad effettuare le relative verifiche, senza pregiudizio della segretezza degli algoritmi sviluppati.</w:t>
      </w:r>
    </w:p>
    <w:p w14:paraId="66587E00" w14:textId="5B2D8AE8" w:rsidR="00EC0057" w:rsidRDefault="00EC0057" w:rsidP="008A2C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che termini</w:t>
      </w:r>
      <w:r w:rsidR="008A2C1F">
        <w:rPr>
          <w:rFonts w:ascii="Times New Roman" w:hAnsi="Times New Roman" w:cs="Times New Roman"/>
          <w:sz w:val="28"/>
          <w:szCs w:val="28"/>
        </w:rPr>
        <w:t>,</w:t>
      </w:r>
      <w:r>
        <w:rPr>
          <w:rFonts w:ascii="Times New Roman" w:hAnsi="Times New Roman" w:cs="Times New Roman"/>
          <w:sz w:val="28"/>
          <w:szCs w:val="28"/>
        </w:rPr>
        <w:t xml:space="preserve"> allora</w:t>
      </w:r>
      <w:r w:rsidR="008A2C1F">
        <w:rPr>
          <w:rFonts w:ascii="Times New Roman" w:hAnsi="Times New Roman" w:cs="Times New Roman"/>
          <w:sz w:val="28"/>
          <w:szCs w:val="28"/>
        </w:rPr>
        <w:t>,</w:t>
      </w:r>
      <w:r>
        <w:rPr>
          <w:rFonts w:ascii="Times New Roman" w:hAnsi="Times New Roman" w:cs="Times New Roman"/>
          <w:sz w:val="28"/>
          <w:szCs w:val="28"/>
        </w:rPr>
        <w:t xml:space="preserve"> deve svolgersi la c</w:t>
      </w:r>
      <w:r w:rsidR="00B1012D">
        <w:rPr>
          <w:rFonts w:ascii="Times New Roman" w:hAnsi="Times New Roman" w:cs="Times New Roman"/>
          <w:sz w:val="28"/>
          <w:szCs w:val="28"/>
        </w:rPr>
        <w:t>.</w:t>
      </w:r>
      <w:r>
        <w:rPr>
          <w:rFonts w:ascii="Times New Roman" w:hAnsi="Times New Roman" w:cs="Times New Roman"/>
          <w:sz w:val="28"/>
          <w:szCs w:val="28"/>
        </w:rPr>
        <w:t>d</w:t>
      </w:r>
      <w:r w:rsidR="00B1012D">
        <w:rPr>
          <w:rFonts w:ascii="Times New Roman" w:hAnsi="Times New Roman" w:cs="Times New Roman"/>
          <w:sz w:val="28"/>
          <w:szCs w:val="28"/>
        </w:rPr>
        <w:t>.</w:t>
      </w:r>
      <w:r>
        <w:rPr>
          <w:rFonts w:ascii="Times New Roman" w:hAnsi="Times New Roman" w:cs="Times New Roman"/>
          <w:sz w:val="28"/>
          <w:szCs w:val="28"/>
        </w:rPr>
        <w:t xml:space="preserve"> </w:t>
      </w:r>
      <w:r w:rsidR="008A2C1F" w:rsidRPr="008A2C1F">
        <w:rPr>
          <w:rFonts w:ascii="Times New Roman" w:hAnsi="Times New Roman" w:cs="Times New Roman"/>
          <w:i/>
          <w:iCs/>
          <w:sz w:val="28"/>
          <w:szCs w:val="28"/>
        </w:rPr>
        <w:t>v</w:t>
      </w:r>
      <w:r w:rsidRPr="008A2C1F">
        <w:rPr>
          <w:rFonts w:ascii="Times New Roman" w:hAnsi="Times New Roman" w:cs="Times New Roman"/>
          <w:i/>
          <w:iCs/>
          <w:sz w:val="28"/>
          <w:szCs w:val="28"/>
        </w:rPr>
        <w:t>alutazione di impatto</w:t>
      </w:r>
      <w:r>
        <w:rPr>
          <w:rFonts w:ascii="Times New Roman" w:hAnsi="Times New Roman" w:cs="Times New Roman"/>
          <w:sz w:val="28"/>
          <w:szCs w:val="28"/>
        </w:rPr>
        <w:t xml:space="preserve"> “</w:t>
      </w:r>
      <w:proofErr w:type="spellStart"/>
      <w:r>
        <w:rPr>
          <w:rFonts w:ascii="Times New Roman" w:hAnsi="Times New Roman" w:cs="Times New Roman"/>
          <w:sz w:val="28"/>
          <w:szCs w:val="28"/>
        </w:rPr>
        <w:t>Dpia</w:t>
      </w:r>
      <w:proofErr w:type="spellEnd"/>
      <w:r>
        <w:rPr>
          <w:rFonts w:ascii="Times New Roman" w:hAnsi="Times New Roman" w:cs="Times New Roman"/>
          <w:sz w:val="28"/>
          <w:szCs w:val="28"/>
        </w:rPr>
        <w:t>”</w:t>
      </w:r>
      <w:r w:rsidR="00531C69">
        <w:rPr>
          <w:rFonts w:ascii="Times New Roman" w:hAnsi="Times New Roman" w:cs="Times New Roman"/>
          <w:sz w:val="28"/>
          <w:szCs w:val="28"/>
        </w:rPr>
        <w:t xml:space="preserve"> </w:t>
      </w:r>
      <w:r>
        <w:rPr>
          <w:rFonts w:ascii="Times New Roman" w:hAnsi="Times New Roman" w:cs="Times New Roman"/>
          <w:sz w:val="28"/>
          <w:szCs w:val="28"/>
        </w:rPr>
        <w:t>sul trattamento dei dati</w:t>
      </w:r>
      <w:r w:rsidR="008A2C1F">
        <w:rPr>
          <w:rFonts w:ascii="Times New Roman" w:hAnsi="Times New Roman" w:cs="Times New Roman"/>
          <w:sz w:val="28"/>
          <w:szCs w:val="28"/>
        </w:rPr>
        <w:t>? L</w:t>
      </w:r>
      <w:r>
        <w:rPr>
          <w:rFonts w:ascii="Times New Roman" w:hAnsi="Times New Roman" w:cs="Times New Roman"/>
          <w:sz w:val="28"/>
          <w:szCs w:val="28"/>
        </w:rPr>
        <w:t xml:space="preserve">a valutazione eseguita dal titolare può dirsi sufficiente a garantire l’interessato, se ancora oggi non esistono modalità di misurazione dei rischi certe ed univoche (programma del </w:t>
      </w:r>
      <w:proofErr w:type="spellStart"/>
      <w:r>
        <w:rPr>
          <w:rFonts w:ascii="Times New Roman" w:hAnsi="Times New Roman" w:cs="Times New Roman"/>
          <w:sz w:val="28"/>
          <w:szCs w:val="28"/>
        </w:rPr>
        <w:t>Cnil</w:t>
      </w:r>
      <w:proofErr w:type="spellEnd"/>
      <w:r>
        <w:rPr>
          <w:rFonts w:ascii="Times New Roman" w:hAnsi="Times New Roman" w:cs="Times New Roman"/>
          <w:sz w:val="28"/>
          <w:szCs w:val="28"/>
        </w:rPr>
        <w:t xml:space="preserve">, </w:t>
      </w:r>
      <w:proofErr w:type="spellStart"/>
      <w:r w:rsidRPr="008A2C1F">
        <w:rPr>
          <w:rFonts w:ascii="Times New Roman" w:hAnsi="Times New Roman" w:cs="Times New Roman"/>
          <w:i/>
          <w:iCs/>
          <w:sz w:val="28"/>
          <w:szCs w:val="28"/>
        </w:rPr>
        <w:t>tool</w:t>
      </w:r>
      <w:proofErr w:type="spellEnd"/>
      <w:r>
        <w:rPr>
          <w:rFonts w:ascii="Times New Roman" w:hAnsi="Times New Roman" w:cs="Times New Roman"/>
          <w:sz w:val="28"/>
          <w:szCs w:val="28"/>
        </w:rPr>
        <w:t xml:space="preserve"> di </w:t>
      </w:r>
      <w:proofErr w:type="spellStart"/>
      <w:r>
        <w:rPr>
          <w:rFonts w:ascii="Times New Roman" w:hAnsi="Times New Roman" w:cs="Times New Roman"/>
          <w:sz w:val="28"/>
          <w:szCs w:val="28"/>
        </w:rPr>
        <w:t>Enisa</w:t>
      </w:r>
      <w:proofErr w:type="spellEnd"/>
      <w:r>
        <w:rPr>
          <w:rFonts w:ascii="Times New Roman" w:hAnsi="Times New Roman" w:cs="Times New Roman"/>
          <w:sz w:val="28"/>
          <w:szCs w:val="28"/>
        </w:rPr>
        <w:t>,</w:t>
      </w:r>
      <w:r w:rsidR="00B1012D">
        <w:rPr>
          <w:rFonts w:ascii="Times New Roman" w:hAnsi="Times New Roman" w:cs="Times New Roman"/>
          <w:sz w:val="28"/>
          <w:szCs w:val="28"/>
        </w:rPr>
        <w:t xml:space="preserve"> </w:t>
      </w:r>
      <w:r>
        <w:rPr>
          <w:rFonts w:ascii="Times New Roman" w:hAnsi="Times New Roman" w:cs="Times New Roman"/>
          <w:sz w:val="28"/>
          <w:szCs w:val="28"/>
        </w:rPr>
        <w:t>ecc</w:t>
      </w:r>
      <w:r w:rsidR="008A2C1F">
        <w:rPr>
          <w:rFonts w:ascii="Times New Roman" w:hAnsi="Times New Roman" w:cs="Times New Roman"/>
          <w:sz w:val="28"/>
          <w:szCs w:val="28"/>
        </w:rPr>
        <w:t>.</w:t>
      </w:r>
      <w:r>
        <w:rPr>
          <w:rFonts w:ascii="Times New Roman" w:hAnsi="Times New Roman" w:cs="Times New Roman"/>
          <w:sz w:val="28"/>
          <w:szCs w:val="28"/>
        </w:rPr>
        <w:t>)</w:t>
      </w:r>
      <w:r w:rsidR="008A2C1F">
        <w:rPr>
          <w:rFonts w:ascii="Times New Roman" w:hAnsi="Times New Roman" w:cs="Times New Roman"/>
          <w:sz w:val="28"/>
          <w:szCs w:val="28"/>
        </w:rPr>
        <w:t>?</w:t>
      </w:r>
    </w:p>
    <w:p w14:paraId="496E6393" w14:textId="457F6425" w:rsidR="00EC0057" w:rsidRDefault="00EC0057" w:rsidP="008A2C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Viene,</w:t>
      </w:r>
      <w:r w:rsidR="00531C69">
        <w:rPr>
          <w:rFonts w:ascii="Times New Roman" w:hAnsi="Times New Roman" w:cs="Times New Roman"/>
          <w:sz w:val="28"/>
          <w:szCs w:val="28"/>
        </w:rPr>
        <w:t xml:space="preserve"> </w:t>
      </w:r>
      <w:r>
        <w:rPr>
          <w:rFonts w:ascii="Times New Roman" w:hAnsi="Times New Roman" w:cs="Times New Roman"/>
          <w:sz w:val="28"/>
          <w:szCs w:val="28"/>
        </w:rPr>
        <w:t>in altri termini, da chiedersi se non possa prevedersi la facoltà</w:t>
      </w:r>
      <w:r w:rsidR="008A2C1F">
        <w:rPr>
          <w:rFonts w:ascii="Times New Roman" w:hAnsi="Times New Roman" w:cs="Times New Roman"/>
          <w:sz w:val="28"/>
          <w:szCs w:val="28"/>
        </w:rPr>
        <w:t>,</w:t>
      </w:r>
      <w:r>
        <w:rPr>
          <w:rFonts w:ascii="Times New Roman" w:hAnsi="Times New Roman" w:cs="Times New Roman"/>
          <w:sz w:val="28"/>
          <w:szCs w:val="28"/>
        </w:rPr>
        <w:t xml:space="preserve"> per i titolari del trattamento che vogliono effettuare nuove forme di trattamento incentrate sulla intelligenza artificiale e su elaborazioni algoritmiche</w:t>
      </w:r>
      <w:r w:rsidR="008A2C1F">
        <w:rPr>
          <w:rFonts w:ascii="Times New Roman" w:hAnsi="Times New Roman" w:cs="Times New Roman"/>
          <w:sz w:val="28"/>
          <w:szCs w:val="28"/>
        </w:rPr>
        <w:t>,</w:t>
      </w:r>
      <w:r>
        <w:rPr>
          <w:rFonts w:ascii="Times New Roman" w:hAnsi="Times New Roman" w:cs="Times New Roman"/>
          <w:sz w:val="28"/>
          <w:szCs w:val="28"/>
        </w:rPr>
        <w:t xml:space="preserve"> di rivolgersi, in ottica di </w:t>
      </w:r>
      <w:r w:rsidRPr="00EC0057">
        <w:rPr>
          <w:rFonts w:ascii="Times New Roman" w:hAnsi="Times New Roman" w:cs="Times New Roman"/>
          <w:i/>
          <w:iCs/>
          <w:sz w:val="28"/>
          <w:szCs w:val="28"/>
        </w:rPr>
        <w:t>preventiva validazione</w:t>
      </w:r>
      <w:r>
        <w:rPr>
          <w:rFonts w:ascii="Times New Roman" w:hAnsi="Times New Roman" w:cs="Times New Roman"/>
          <w:sz w:val="28"/>
          <w:szCs w:val="28"/>
        </w:rPr>
        <w:t xml:space="preserve">, all’autorità di controllo con meccanismi celeri di valutazione, compatibili con i tempi di sviluppo dell’attività imprenditoriale, anche prevedendo dei contributi finanziari volti a  coprire i relativi costi amministrativi. </w:t>
      </w:r>
    </w:p>
    <w:p w14:paraId="1C9A8FBD" w14:textId="67C5B7FF" w:rsidR="00FF1DD1" w:rsidRDefault="00B1012D" w:rsidP="008A2C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È</w:t>
      </w:r>
      <w:r w:rsidR="00EC0057">
        <w:rPr>
          <w:rFonts w:ascii="Times New Roman" w:hAnsi="Times New Roman" w:cs="Times New Roman"/>
          <w:sz w:val="28"/>
          <w:szCs w:val="28"/>
        </w:rPr>
        <w:t xml:space="preserve">, d’altronde, riconosciuta e condivisa la circostanza per cui i trattamenti dei dati legati alle nuove tecnologie presentino delle specificità che richiedono un nuovo approccio </w:t>
      </w:r>
      <w:r w:rsidR="00531C69">
        <w:rPr>
          <w:rFonts w:ascii="Times New Roman" w:hAnsi="Times New Roman" w:cs="Times New Roman"/>
          <w:sz w:val="28"/>
          <w:szCs w:val="28"/>
        </w:rPr>
        <w:t>dinamico basato</w:t>
      </w:r>
      <w:r w:rsidR="00EC0057">
        <w:rPr>
          <w:rFonts w:ascii="Times New Roman" w:hAnsi="Times New Roman" w:cs="Times New Roman"/>
          <w:sz w:val="28"/>
          <w:szCs w:val="28"/>
        </w:rPr>
        <w:t xml:space="preserve"> su una </w:t>
      </w:r>
      <w:r w:rsidR="00EC0057" w:rsidRPr="00EC0057">
        <w:rPr>
          <w:rFonts w:ascii="Times New Roman" w:hAnsi="Times New Roman" w:cs="Times New Roman"/>
          <w:i/>
          <w:iCs/>
          <w:sz w:val="28"/>
          <w:szCs w:val="28"/>
        </w:rPr>
        <w:t xml:space="preserve">due </w:t>
      </w:r>
      <w:proofErr w:type="spellStart"/>
      <w:r w:rsidR="00EC0057" w:rsidRPr="00EC0057">
        <w:rPr>
          <w:rFonts w:ascii="Times New Roman" w:hAnsi="Times New Roman" w:cs="Times New Roman"/>
          <w:i/>
          <w:iCs/>
          <w:sz w:val="28"/>
          <w:szCs w:val="28"/>
        </w:rPr>
        <w:t>diligence</w:t>
      </w:r>
      <w:proofErr w:type="spellEnd"/>
      <w:r w:rsidR="00EC0057">
        <w:rPr>
          <w:rFonts w:ascii="Times New Roman" w:hAnsi="Times New Roman" w:cs="Times New Roman"/>
          <w:sz w:val="28"/>
          <w:szCs w:val="28"/>
        </w:rPr>
        <w:t xml:space="preserve"> in ragione dell’impossibilità di definire </w:t>
      </w:r>
      <w:r w:rsidR="00EC0057" w:rsidRPr="00531C69">
        <w:rPr>
          <w:rFonts w:ascii="Times New Roman" w:hAnsi="Times New Roman" w:cs="Times New Roman"/>
          <w:i/>
          <w:iCs/>
          <w:sz w:val="28"/>
          <w:szCs w:val="28"/>
        </w:rPr>
        <w:t>ex ante</w:t>
      </w:r>
      <w:r w:rsidR="00EC0057">
        <w:rPr>
          <w:rFonts w:ascii="Times New Roman" w:hAnsi="Times New Roman" w:cs="Times New Roman"/>
          <w:sz w:val="28"/>
          <w:szCs w:val="28"/>
        </w:rPr>
        <w:t xml:space="preserve"> </w:t>
      </w:r>
      <w:r w:rsidR="00EC0057">
        <w:rPr>
          <w:rFonts w:ascii="Times New Roman" w:hAnsi="Times New Roman" w:cs="Times New Roman"/>
          <w:sz w:val="28"/>
          <w:szCs w:val="28"/>
        </w:rPr>
        <w:lastRenderedPageBreak/>
        <w:t xml:space="preserve">tutte le finalità del trattamento, anche in ragione della impossibilità di predeterminare tutti gli </w:t>
      </w:r>
      <w:r w:rsidR="00EC0057" w:rsidRPr="00B62C20">
        <w:rPr>
          <w:rFonts w:ascii="Times New Roman" w:hAnsi="Times New Roman" w:cs="Times New Roman"/>
          <w:i/>
          <w:iCs/>
          <w:sz w:val="28"/>
          <w:szCs w:val="28"/>
        </w:rPr>
        <w:t>output</w:t>
      </w:r>
      <w:r w:rsidR="00EC0057">
        <w:rPr>
          <w:rFonts w:ascii="Times New Roman" w:hAnsi="Times New Roman" w:cs="Times New Roman"/>
          <w:sz w:val="28"/>
          <w:szCs w:val="28"/>
        </w:rPr>
        <w:t xml:space="preserve"> informativi e i relativi utilizzi da parte del titolare.</w:t>
      </w:r>
      <w:r w:rsidR="00F26550">
        <w:rPr>
          <w:rFonts w:ascii="Times New Roman" w:hAnsi="Times New Roman" w:cs="Times New Roman"/>
          <w:sz w:val="28"/>
          <w:szCs w:val="28"/>
        </w:rPr>
        <w:t xml:space="preserve"> Ciò, soprattutto</w:t>
      </w:r>
      <w:r w:rsidR="008A2C1F">
        <w:rPr>
          <w:rFonts w:ascii="Times New Roman" w:hAnsi="Times New Roman" w:cs="Times New Roman"/>
          <w:sz w:val="28"/>
          <w:szCs w:val="28"/>
        </w:rPr>
        <w:t>,</w:t>
      </w:r>
      <w:r w:rsidR="00F26550">
        <w:rPr>
          <w:rFonts w:ascii="Times New Roman" w:hAnsi="Times New Roman" w:cs="Times New Roman"/>
          <w:sz w:val="28"/>
          <w:szCs w:val="28"/>
        </w:rPr>
        <w:t xml:space="preserve"> nelle ipotesi, come quella su cui si è pronunciata la </w:t>
      </w:r>
      <w:r w:rsidR="00531C69">
        <w:rPr>
          <w:rFonts w:ascii="Times New Roman" w:hAnsi="Times New Roman" w:cs="Times New Roman"/>
          <w:sz w:val="28"/>
          <w:szCs w:val="28"/>
        </w:rPr>
        <w:t xml:space="preserve">Cassazione, </w:t>
      </w:r>
      <w:r w:rsidR="00F26550">
        <w:rPr>
          <w:rFonts w:ascii="Times New Roman" w:hAnsi="Times New Roman" w:cs="Times New Roman"/>
          <w:sz w:val="28"/>
          <w:szCs w:val="28"/>
        </w:rPr>
        <w:t>ove il trattamento viene a coincidere esattamente con il servizio prestato dal titolare.</w:t>
      </w:r>
    </w:p>
    <w:p w14:paraId="2730996A" w14:textId="77777777" w:rsidR="008A2C1F" w:rsidRDefault="008A2C1F" w:rsidP="008A2C1F">
      <w:pPr>
        <w:tabs>
          <w:tab w:val="left" w:pos="8364"/>
        </w:tabs>
        <w:spacing w:after="0"/>
        <w:jc w:val="both"/>
        <w:rPr>
          <w:rFonts w:ascii="Times New Roman" w:hAnsi="Times New Roman" w:cs="Times New Roman"/>
          <w:sz w:val="28"/>
          <w:szCs w:val="28"/>
        </w:rPr>
      </w:pPr>
    </w:p>
    <w:p w14:paraId="572CDAE2" w14:textId="0E7A40F1" w:rsidR="00EC0057" w:rsidRDefault="00FF1DD1" w:rsidP="005164D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L’art.</w:t>
      </w:r>
      <w:r w:rsidR="00531C69">
        <w:rPr>
          <w:rFonts w:ascii="Times New Roman" w:hAnsi="Times New Roman" w:cs="Times New Roman"/>
          <w:sz w:val="28"/>
          <w:szCs w:val="28"/>
        </w:rPr>
        <w:t xml:space="preserve"> </w:t>
      </w:r>
      <w:r>
        <w:rPr>
          <w:rFonts w:ascii="Times New Roman" w:hAnsi="Times New Roman" w:cs="Times New Roman"/>
          <w:sz w:val="28"/>
          <w:szCs w:val="28"/>
        </w:rPr>
        <w:t xml:space="preserve">32 del GDPR sancisce il principio </w:t>
      </w:r>
      <w:r w:rsidRPr="00FF1DD1">
        <w:rPr>
          <w:rFonts w:ascii="Times New Roman" w:hAnsi="Times New Roman" w:cs="Times New Roman"/>
          <w:sz w:val="28"/>
          <w:szCs w:val="28"/>
        </w:rPr>
        <w:t>dell</w:t>
      </w:r>
      <w:r w:rsidRPr="00B62C20">
        <w:rPr>
          <w:rFonts w:ascii="Times New Roman" w:hAnsi="Times New Roman" w:cs="Times New Roman"/>
          <w:sz w:val="28"/>
          <w:szCs w:val="28"/>
        </w:rPr>
        <w:t>’</w:t>
      </w:r>
      <w:proofErr w:type="spellStart"/>
      <w:r w:rsidRPr="00FF1DD1">
        <w:rPr>
          <w:rFonts w:ascii="Times New Roman" w:hAnsi="Times New Roman" w:cs="Times New Roman"/>
          <w:i/>
          <w:iCs/>
          <w:sz w:val="28"/>
          <w:szCs w:val="28"/>
        </w:rPr>
        <w:t>accountability</w:t>
      </w:r>
      <w:proofErr w:type="spellEnd"/>
      <w:r w:rsidRPr="00FF1DD1">
        <w:rPr>
          <w:rFonts w:ascii="Times New Roman" w:hAnsi="Times New Roman" w:cs="Times New Roman"/>
          <w:sz w:val="28"/>
          <w:szCs w:val="28"/>
        </w:rPr>
        <w:t>: tale</w:t>
      </w:r>
      <w:r>
        <w:rPr>
          <w:rFonts w:ascii="Times New Roman" w:hAnsi="Times New Roman" w:cs="Times New Roman"/>
          <w:i/>
          <w:iCs/>
          <w:sz w:val="28"/>
          <w:szCs w:val="28"/>
        </w:rPr>
        <w:t xml:space="preserve"> </w:t>
      </w:r>
      <w:r>
        <w:rPr>
          <w:rFonts w:ascii="Times New Roman" w:hAnsi="Times New Roman" w:cs="Times New Roman"/>
          <w:sz w:val="28"/>
          <w:szCs w:val="28"/>
        </w:rPr>
        <w:t>principio comporta che sia il titolare del trattamento a determinare le misure di sicurezza designate al trattamento dei dati personali</w:t>
      </w:r>
      <w:r w:rsidR="008A2C1F">
        <w:rPr>
          <w:rFonts w:ascii="Times New Roman" w:hAnsi="Times New Roman" w:cs="Times New Roman"/>
          <w:sz w:val="28"/>
          <w:szCs w:val="28"/>
        </w:rPr>
        <w:t>,</w:t>
      </w:r>
      <w:r>
        <w:rPr>
          <w:rFonts w:ascii="Times New Roman" w:hAnsi="Times New Roman" w:cs="Times New Roman"/>
          <w:sz w:val="28"/>
          <w:szCs w:val="28"/>
        </w:rPr>
        <w:t xml:space="preserve"> che effettua </w:t>
      </w:r>
      <w:r w:rsidRPr="00FF1DD1">
        <w:rPr>
          <w:rFonts w:ascii="Times New Roman" w:hAnsi="Times New Roman" w:cs="Times New Roman"/>
          <w:i/>
          <w:iCs/>
          <w:sz w:val="28"/>
          <w:szCs w:val="28"/>
        </w:rPr>
        <w:t xml:space="preserve">“tenendo conto dello stato </w:t>
      </w:r>
      <w:r>
        <w:rPr>
          <w:rFonts w:ascii="Times New Roman" w:hAnsi="Times New Roman" w:cs="Times New Roman"/>
          <w:i/>
          <w:iCs/>
          <w:sz w:val="28"/>
          <w:szCs w:val="28"/>
        </w:rPr>
        <w:t>dell’arte e dei costi di attuazione, nonché della natura,</w:t>
      </w:r>
      <w:r w:rsidR="00565D41">
        <w:rPr>
          <w:rFonts w:ascii="Times New Roman" w:hAnsi="Times New Roman" w:cs="Times New Roman"/>
          <w:i/>
          <w:iCs/>
          <w:sz w:val="28"/>
          <w:szCs w:val="28"/>
        </w:rPr>
        <w:t xml:space="preserve"> </w:t>
      </w:r>
      <w:r>
        <w:rPr>
          <w:rFonts w:ascii="Times New Roman" w:hAnsi="Times New Roman" w:cs="Times New Roman"/>
          <w:i/>
          <w:iCs/>
          <w:sz w:val="28"/>
          <w:szCs w:val="28"/>
        </w:rPr>
        <w:t>dell’oggetto, del contesto e della finalità del trattamento, come anche del rischio di varia probabilità e gravità per i diritti e le libertà delle persone fisiche</w:t>
      </w:r>
      <w:r w:rsidR="00565D41" w:rsidRPr="008A2C1F">
        <w:rPr>
          <w:rFonts w:ascii="Times New Roman" w:hAnsi="Times New Roman" w:cs="Times New Roman"/>
          <w:sz w:val="28"/>
          <w:szCs w:val="28"/>
        </w:rPr>
        <w:t>”.</w:t>
      </w:r>
      <w:r w:rsidR="00565D41">
        <w:rPr>
          <w:rFonts w:ascii="Times New Roman" w:hAnsi="Times New Roman" w:cs="Times New Roman"/>
          <w:i/>
          <w:iCs/>
          <w:sz w:val="28"/>
          <w:szCs w:val="28"/>
        </w:rPr>
        <w:t xml:space="preserve"> </w:t>
      </w:r>
      <w:r w:rsidR="00565D41" w:rsidRPr="00565D41">
        <w:rPr>
          <w:rFonts w:ascii="Times New Roman" w:hAnsi="Times New Roman" w:cs="Times New Roman"/>
          <w:sz w:val="28"/>
          <w:szCs w:val="28"/>
        </w:rPr>
        <w:t>In questo caso</w:t>
      </w:r>
      <w:r w:rsidR="00565D41">
        <w:rPr>
          <w:rFonts w:ascii="Times New Roman" w:hAnsi="Times New Roman" w:cs="Times New Roman"/>
          <w:sz w:val="28"/>
          <w:szCs w:val="28"/>
        </w:rPr>
        <w:t>, come in altri, il legislatore affida al titolare l’onere di individuare in che modo adempiere alle prescrizioni dettate dalla norma, calandola nella fattispecie concreta, assumendosi la responsabilità non solo della implementazione, ma anche della valutazione.</w:t>
      </w:r>
    </w:p>
    <w:p w14:paraId="0197FF12" w14:textId="0A1EC61A" w:rsidR="00565D41" w:rsidRDefault="00565D41" w:rsidP="005164D5">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Con riguardo alle applicazioni di intelligenza artificiale</w:t>
      </w:r>
      <w:r w:rsidR="00B62C20">
        <w:rPr>
          <w:rFonts w:ascii="Times New Roman" w:hAnsi="Times New Roman" w:cs="Times New Roman"/>
          <w:sz w:val="28"/>
          <w:szCs w:val="28"/>
        </w:rPr>
        <w:t>,</w:t>
      </w:r>
      <w:r>
        <w:rPr>
          <w:rFonts w:ascii="Times New Roman" w:hAnsi="Times New Roman" w:cs="Times New Roman"/>
          <w:sz w:val="28"/>
          <w:szCs w:val="28"/>
        </w:rPr>
        <w:t xml:space="preserve"> un tentativo di formulare un modello di responsabilità non può prescindere da una combinazione</w:t>
      </w:r>
      <w:r w:rsidR="005164D5">
        <w:rPr>
          <w:rFonts w:ascii="Times New Roman" w:hAnsi="Times New Roman" w:cs="Times New Roman"/>
          <w:sz w:val="28"/>
          <w:szCs w:val="28"/>
        </w:rPr>
        <w:t>,</w:t>
      </w:r>
      <w:r>
        <w:rPr>
          <w:rFonts w:ascii="Times New Roman" w:hAnsi="Times New Roman" w:cs="Times New Roman"/>
          <w:sz w:val="28"/>
          <w:szCs w:val="28"/>
        </w:rPr>
        <w:t xml:space="preserve"> da un lato</w:t>
      </w:r>
      <w:r w:rsidR="005164D5">
        <w:rPr>
          <w:rFonts w:ascii="Times New Roman" w:hAnsi="Times New Roman" w:cs="Times New Roman"/>
          <w:sz w:val="28"/>
          <w:szCs w:val="28"/>
        </w:rPr>
        <w:t>,</w:t>
      </w:r>
      <w:r>
        <w:rPr>
          <w:rFonts w:ascii="Times New Roman" w:hAnsi="Times New Roman" w:cs="Times New Roman"/>
          <w:sz w:val="28"/>
          <w:szCs w:val="28"/>
        </w:rPr>
        <w:t xml:space="preserve"> dell’</w:t>
      </w:r>
      <w:proofErr w:type="spellStart"/>
      <w:r w:rsidRPr="00531C69">
        <w:rPr>
          <w:rFonts w:ascii="Times New Roman" w:hAnsi="Times New Roman" w:cs="Times New Roman"/>
          <w:i/>
          <w:iCs/>
          <w:sz w:val="28"/>
          <w:szCs w:val="28"/>
        </w:rPr>
        <w:t>accountability</w:t>
      </w:r>
      <w:proofErr w:type="spellEnd"/>
      <w:r>
        <w:rPr>
          <w:rFonts w:ascii="Times New Roman" w:hAnsi="Times New Roman" w:cs="Times New Roman"/>
          <w:sz w:val="28"/>
          <w:szCs w:val="28"/>
        </w:rPr>
        <w:t xml:space="preserve"> del titolare del trattamento, dall’altr</w:t>
      </w:r>
      <w:r w:rsidR="005164D5">
        <w:rPr>
          <w:rFonts w:ascii="Times New Roman" w:hAnsi="Times New Roman" w:cs="Times New Roman"/>
          <w:sz w:val="28"/>
          <w:szCs w:val="28"/>
        </w:rPr>
        <w:t>o,</w:t>
      </w:r>
      <w:r>
        <w:rPr>
          <w:rFonts w:ascii="Times New Roman" w:hAnsi="Times New Roman" w:cs="Times New Roman"/>
          <w:sz w:val="28"/>
          <w:szCs w:val="28"/>
        </w:rPr>
        <w:t xml:space="preserve"> da una formulazione che prescinde dagli elementi soggettivi, nonché dalla individuazione dell’errore,</w:t>
      </w:r>
      <w:r w:rsidR="00531C69">
        <w:rPr>
          <w:rFonts w:ascii="Times New Roman" w:hAnsi="Times New Roman" w:cs="Times New Roman"/>
          <w:sz w:val="28"/>
          <w:szCs w:val="28"/>
        </w:rPr>
        <w:t xml:space="preserve"> “</w:t>
      </w:r>
      <w:proofErr w:type="spellStart"/>
      <w:r w:rsidRPr="00565D41">
        <w:rPr>
          <w:rFonts w:ascii="Times New Roman" w:hAnsi="Times New Roman" w:cs="Times New Roman"/>
          <w:i/>
          <w:iCs/>
          <w:sz w:val="28"/>
          <w:szCs w:val="28"/>
        </w:rPr>
        <w:t>issue</w:t>
      </w:r>
      <w:proofErr w:type="spellEnd"/>
      <w:r w:rsidRPr="00565D41">
        <w:rPr>
          <w:rFonts w:ascii="Times New Roman" w:hAnsi="Times New Roman" w:cs="Times New Roman"/>
          <w:i/>
          <w:iCs/>
          <w:sz w:val="28"/>
          <w:szCs w:val="28"/>
        </w:rPr>
        <w:t xml:space="preserve"> of </w:t>
      </w:r>
      <w:proofErr w:type="spellStart"/>
      <w:r w:rsidRPr="00565D41">
        <w:rPr>
          <w:rFonts w:ascii="Times New Roman" w:hAnsi="Times New Roman" w:cs="Times New Roman"/>
          <w:i/>
          <w:iCs/>
          <w:sz w:val="28"/>
          <w:szCs w:val="28"/>
        </w:rPr>
        <w:t>liability</w:t>
      </w:r>
      <w:proofErr w:type="spellEnd"/>
      <w:r w:rsidRPr="00B62C20">
        <w:rPr>
          <w:rFonts w:ascii="Times New Roman" w:hAnsi="Times New Roman" w:cs="Times New Roman"/>
          <w:sz w:val="28"/>
          <w:szCs w:val="28"/>
        </w:rPr>
        <w:t>”, “</w:t>
      </w:r>
      <w:proofErr w:type="spellStart"/>
      <w:r>
        <w:rPr>
          <w:rFonts w:ascii="Times New Roman" w:hAnsi="Times New Roman" w:cs="Times New Roman"/>
          <w:i/>
          <w:iCs/>
          <w:sz w:val="28"/>
          <w:szCs w:val="28"/>
        </w:rPr>
        <w:t>issue</w:t>
      </w:r>
      <w:proofErr w:type="spellEnd"/>
      <w:r>
        <w:rPr>
          <w:rFonts w:ascii="Times New Roman" w:hAnsi="Times New Roman" w:cs="Times New Roman"/>
          <w:i/>
          <w:iCs/>
          <w:sz w:val="28"/>
          <w:szCs w:val="28"/>
        </w:rPr>
        <w:t xml:space="preserve"> of </w:t>
      </w:r>
      <w:proofErr w:type="spellStart"/>
      <w:r>
        <w:rPr>
          <w:rFonts w:ascii="Times New Roman" w:hAnsi="Times New Roman" w:cs="Times New Roman"/>
          <w:i/>
          <w:iCs/>
          <w:sz w:val="28"/>
          <w:szCs w:val="28"/>
        </w:rPr>
        <w:t>permittance</w:t>
      </w:r>
      <w:proofErr w:type="spellEnd"/>
      <w:r w:rsidRPr="00B62C20">
        <w:rPr>
          <w:rFonts w:ascii="Times New Roman" w:hAnsi="Times New Roman" w:cs="Times New Roman"/>
          <w:sz w:val="28"/>
          <w:szCs w:val="28"/>
        </w:rPr>
        <w:t>”,</w:t>
      </w:r>
      <w:r w:rsidR="00F566DC" w:rsidRPr="00B62C20">
        <w:rPr>
          <w:rFonts w:ascii="Times New Roman" w:hAnsi="Times New Roman" w:cs="Times New Roman"/>
          <w:sz w:val="28"/>
          <w:szCs w:val="28"/>
        </w:rPr>
        <w:t xml:space="preserve"> “</w:t>
      </w:r>
      <w:proofErr w:type="spellStart"/>
      <w:r>
        <w:rPr>
          <w:rFonts w:ascii="Times New Roman" w:hAnsi="Times New Roman" w:cs="Times New Roman"/>
          <w:i/>
          <w:iCs/>
          <w:sz w:val="28"/>
          <w:szCs w:val="28"/>
        </w:rPr>
        <w:t>responsability</w:t>
      </w:r>
      <w:proofErr w:type="spellEnd"/>
      <w:r>
        <w:rPr>
          <w:rFonts w:ascii="Times New Roman" w:hAnsi="Times New Roman" w:cs="Times New Roman"/>
          <w:i/>
          <w:iCs/>
          <w:sz w:val="28"/>
          <w:szCs w:val="28"/>
        </w:rPr>
        <w:t xml:space="preserve"> gap</w:t>
      </w:r>
      <w:r w:rsidRPr="00B62C20">
        <w:rPr>
          <w:rFonts w:ascii="Times New Roman" w:hAnsi="Times New Roman" w:cs="Times New Roman"/>
          <w:sz w:val="28"/>
          <w:szCs w:val="28"/>
        </w:rPr>
        <w:t>”.</w:t>
      </w:r>
    </w:p>
    <w:p w14:paraId="4A3B58EA" w14:textId="04CDB6AB" w:rsidR="005164D5" w:rsidRDefault="00565D41" w:rsidP="005164D5">
      <w:pPr>
        <w:tabs>
          <w:tab w:val="left" w:pos="8364"/>
        </w:tabs>
        <w:spacing w:after="0"/>
        <w:jc w:val="both"/>
        <w:rPr>
          <w:rFonts w:ascii="Times New Roman" w:hAnsi="Times New Roman" w:cs="Times New Roman"/>
          <w:sz w:val="28"/>
          <w:szCs w:val="28"/>
        </w:rPr>
      </w:pPr>
      <w:r w:rsidRPr="00565D41">
        <w:rPr>
          <w:rFonts w:ascii="Times New Roman" w:hAnsi="Times New Roman" w:cs="Times New Roman"/>
          <w:sz w:val="28"/>
          <w:szCs w:val="28"/>
        </w:rPr>
        <w:t>Se è vero che il modello di protezione dei dati deve essere dinamico e non statico</w:t>
      </w:r>
      <w:r>
        <w:rPr>
          <w:rFonts w:ascii="Times New Roman" w:hAnsi="Times New Roman" w:cs="Times New Roman"/>
          <w:sz w:val="28"/>
          <w:szCs w:val="28"/>
        </w:rPr>
        <w:t xml:space="preserve">, il principio </w:t>
      </w:r>
      <w:r w:rsidRPr="00565D41">
        <w:rPr>
          <w:rFonts w:ascii="Times New Roman" w:hAnsi="Times New Roman" w:cs="Times New Roman"/>
          <w:sz w:val="28"/>
          <w:szCs w:val="28"/>
        </w:rPr>
        <w:t>dell’</w:t>
      </w:r>
      <w:proofErr w:type="spellStart"/>
      <w:r w:rsidRPr="00565D41">
        <w:rPr>
          <w:rFonts w:ascii="Times New Roman" w:hAnsi="Times New Roman" w:cs="Times New Roman"/>
          <w:i/>
          <w:iCs/>
          <w:sz w:val="28"/>
          <w:szCs w:val="28"/>
        </w:rPr>
        <w:t>accountability</w:t>
      </w:r>
      <w:proofErr w:type="spellEnd"/>
      <w:r>
        <w:rPr>
          <w:rFonts w:ascii="Times New Roman" w:hAnsi="Times New Roman" w:cs="Times New Roman"/>
          <w:sz w:val="28"/>
          <w:szCs w:val="28"/>
        </w:rPr>
        <w:t xml:space="preserve"> basato sull’autodeterminazione</w:t>
      </w:r>
      <w:r w:rsidR="00E70843">
        <w:rPr>
          <w:rFonts w:ascii="Times New Roman" w:hAnsi="Times New Roman" w:cs="Times New Roman"/>
          <w:sz w:val="28"/>
          <w:szCs w:val="28"/>
        </w:rPr>
        <w:t xml:space="preserve"> non può essere idoneo a regolare l’intelligenza artificiale e i </w:t>
      </w:r>
      <w:r w:rsidR="00E70843" w:rsidRPr="00B62C20">
        <w:rPr>
          <w:rFonts w:ascii="Times New Roman" w:hAnsi="Times New Roman" w:cs="Times New Roman"/>
          <w:i/>
          <w:iCs/>
          <w:sz w:val="28"/>
          <w:szCs w:val="28"/>
        </w:rPr>
        <w:t>Big data</w:t>
      </w:r>
      <w:r w:rsidR="005164D5">
        <w:rPr>
          <w:rFonts w:ascii="Times New Roman" w:hAnsi="Times New Roman" w:cs="Times New Roman"/>
          <w:i/>
          <w:iCs/>
          <w:sz w:val="28"/>
          <w:szCs w:val="28"/>
        </w:rPr>
        <w:t>,</w:t>
      </w:r>
      <w:r w:rsidR="00E70843">
        <w:rPr>
          <w:rFonts w:ascii="Times New Roman" w:hAnsi="Times New Roman" w:cs="Times New Roman"/>
          <w:sz w:val="28"/>
          <w:szCs w:val="28"/>
        </w:rPr>
        <w:t xml:space="preserve"> per i quali la determinabilità a priori dei processi di elaborazione non è scontata e nelle quali la finalità del trattamento non potrebbe essere chiara. </w:t>
      </w:r>
    </w:p>
    <w:p w14:paraId="5A1222CB" w14:textId="77777777" w:rsidR="005164D5" w:rsidRDefault="00E70843" w:rsidP="005164D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Questo perché l’algoritmo AI </w:t>
      </w:r>
      <w:r w:rsidRPr="00E70843">
        <w:rPr>
          <w:rFonts w:ascii="Times New Roman" w:hAnsi="Times New Roman" w:cs="Times New Roman"/>
          <w:i/>
          <w:iCs/>
          <w:sz w:val="28"/>
          <w:szCs w:val="28"/>
        </w:rPr>
        <w:t xml:space="preserve">self </w:t>
      </w:r>
      <w:proofErr w:type="spellStart"/>
      <w:r w:rsidRPr="00E70843">
        <w:rPr>
          <w:rFonts w:ascii="Times New Roman" w:hAnsi="Times New Roman" w:cs="Times New Roman"/>
          <w:i/>
          <w:iCs/>
          <w:sz w:val="28"/>
          <w:szCs w:val="28"/>
        </w:rPr>
        <w:t>learning</w:t>
      </w:r>
      <w:proofErr w:type="spellEnd"/>
      <w:r w:rsidR="005164D5">
        <w:rPr>
          <w:rFonts w:ascii="Times New Roman" w:hAnsi="Times New Roman" w:cs="Times New Roman"/>
          <w:i/>
          <w:iCs/>
          <w:sz w:val="28"/>
          <w:szCs w:val="28"/>
        </w:rPr>
        <w:t>,</w:t>
      </w:r>
      <w:r>
        <w:rPr>
          <w:rFonts w:ascii="Times New Roman" w:hAnsi="Times New Roman" w:cs="Times New Roman"/>
          <w:sz w:val="28"/>
          <w:szCs w:val="28"/>
        </w:rPr>
        <w:t xml:space="preserve"> nato buono, può travalicare in “</w:t>
      </w:r>
      <w:proofErr w:type="spellStart"/>
      <w:r w:rsidRPr="00E70843">
        <w:rPr>
          <w:rFonts w:ascii="Times New Roman" w:hAnsi="Times New Roman" w:cs="Times New Roman"/>
          <w:i/>
          <w:iCs/>
          <w:sz w:val="28"/>
          <w:szCs w:val="28"/>
        </w:rPr>
        <w:t>malware</w:t>
      </w:r>
      <w:proofErr w:type="spellEnd"/>
      <w:r w:rsidRPr="00B62C20">
        <w:rPr>
          <w:rFonts w:ascii="Times New Roman" w:hAnsi="Times New Roman" w:cs="Times New Roman"/>
          <w:sz w:val="28"/>
          <w:szCs w:val="28"/>
        </w:rPr>
        <w:t>”</w:t>
      </w:r>
      <w:r w:rsidR="00F566DC">
        <w:rPr>
          <w:rFonts w:ascii="Times New Roman" w:hAnsi="Times New Roman" w:cs="Times New Roman"/>
          <w:i/>
          <w:iCs/>
          <w:sz w:val="28"/>
          <w:szCs w:val="28"/>
        </w:rPr>
        <w:t xml:space="preserve"> </w:t>
      </w:r>
      <w:r>
        <w:rPr>
          <w:rFonts w:ascii="Times New Roman" w:hAnsi="Times New Roman" w:cs="Times New Roman"/>
          <w:i/>
          <w:iCs/>
          <w:sz w:val="28"/>
          <w:szCs w:val="28"/>
        </w:rPr>
        <w:t>(</w:t>
      </w:r>
      <w:proofErr w:type="spellStart"/>
      <w:r>
        <w:rPr>
          <w:rFonts w:ascii="Times New Roman" w:hAnsi="Times New Roman" w:cs="Times New Roman"/>
          <w:i/>
          <w:iCs/>
          <w:sz w:val="28"/>
          <w:szCs w:val="28"/>
        </w:rPr>
        <w:t>malicious</w:t>
      </w:r>
      <w:proofErr w:type="spellEnd"/>
      <w:r>
        <w:rPr>
          <w:rFonts w:ascii="Times New Roman" w:hAnsi="Times New Roman" w:cs="Times New Roman"/>
          <w:i/>
          <w:iCs/>
          <w:sz w:val="28"/>
          <w:szCs w:val="28"/>
        </w:rPr>
        <w:t xml:space="preserve"> software) </w:t>
      </w:r>
      <w:r w:rsidRPr="00E70843">
        <w:rPr>
          <w:rFonts w:ascii="Times New Roman" w:hAnsi="Times New Roman" w:cs="Times New Roman"/>
          <w:sz w:val="28"/>
          <w:szCs w:val="28"/>
        </w:rPr>
        <w:t>a causa del suo addestramento.</w:t>
      </w:r>
      <w:r>
        <w:rPr>
          <w:rFonts w:ascii="Times New Roman" w:hAnsi="Times New Roman" w:cs="Times New Roman"/>
          <w:sz w:val="28"/>
          <w:szCs w:val="28"/>
        </w:rPr>
        <w:t xml:space="preserve"> Quindi, anche il consenso inequivoco, specifico, consapevole non può costituire l’unico strumento di tutela in una dimensione globale del trattamento dei dati. </w:t>
      </w:r>
    </w:p>
    <w:p w14:paraId="1BA5D22A" w14:textId="62E56754" w:rsidR="001149DA" w:rsidRDefault="00E70843" w:rsidP="005164D5">
      <w:pPr>
        <w:tabs>
          <w:tab w:val="left" w:pos="8364"/>
        </w:tabs>
        <w:spacing w:after="0"/>
        <w:jc w:val="both"/>
        <w:rPr>
          <w:rFonts w:ascii="Times New Roman" w:hAnsi="Times New Roman" w:cs="Times New Roman"/>
          <w:sz w:val="28"/>
          <w:szCs w:val="28"/>
        </w:rPr>
      </w:pPr>
      <w:r w:rsidRPr="001149DA">
        <w:rPr>
          <w:rFonts w:ascii="Times New Roman" w:hAnsi="Times New Roman" w:cs="Times New Roman"/>
          <w:sz w:val="28"/>
          <w:szCs w:val="28"/>
        </w:rPr>
        <w:t>“</w:t>
      </w:r>
      <w:proofErr w:type="spellStart"/>
      <w:r w:rsidRPr="001149DA">
        <w:rPr>
          <w:rFonts w:ascii="Times New Roman" w:hAnsi="Times New Roman" w:cs="Times New Roman"/>
          <w:i/>
          <w:iCs/>
          <w:sz w:val="28"/>
          <w:szCs w:val="28"/>
        </w:rPr>
        <w:t>Methaphorically</w:t>
      </w:r>
      <w:proofErr w:type="spellEnd"/>
      <w:r w:rsidR="001149DA" w:rsidRPr="001149DA">
        <w:rPr>
          <w:rFonts w:ascii="Times New Roman" w:hAnsi="Times New Roman" w:cs="Times New Roman"/>
          <w:i/>
          <w:iCs/>
          <w:sz w:val="28"/>
          <w:szCs w:val="28"/>
        </w:rPr>
        <w:t xml:space="preserve">, </w:t>
      </w:r>
      <w:proofErr w:type="spellStart"/>
      <w:r w:rsidR="001149DA" w:rsidRPr="001149DA">
        <w:rPr>
          <w:rFonts w:ascii="Times New Roman" w:hAnsi="Times New Roman" w:cs="Times New Roman"/>
          <w:i/>
          <w:iCs/>
          <w:sz w:val="28"/>
          <w:szCs w:val="28"/>
        </w:rPr>
        <w:t>it</w:t>
      </w:r>
      <w:proofErr w:type="spellEnd"/>
      <w:r w:rsidR="001149DA" w:rsidRPr="001149DA">
        <w:rPr>
          <w:rFonts w:ascii="Times New Roman" w:hAnsi="Times New Roman" w:cs="Times New Roman"/>
          <w:i/>
          <w:iCs/>
          <w:sz w:val="28"/>
          <w:szCs w:val="28"/>
        </w:rPr>
        <w:t xml:space="preserve"> </w:t>
      </w:r>
      <w:proofErr w:type="spellStart"/>
      <w:r w:rsidR="001149DA" w:rsidRPr="001149DA">
        <w:rPr>
          <w:rFonts w:ascii="Times New Roman" w:hAnsi="Times New Roman" w:cs="Times New Roman"/>
          <w:i/>
          <w:iCs/>
          <w:sz w:val="28"/>
          <w:szCs w:val="28"/>
        </w:rPr>
        <w:t>is</w:t>
      </w:r>
      <w:proofErr w:type="spellEnd"/>
      <w:r w:rsidR="001149DA" w:rsidRPr="001149DA">
        <w:rPr>
          <w:rFonts w:ascii="Times New Roman" w:hAnsi="Times New Roman" w:cs="Times New Roman"/>
          <w:i/>
          <w:iCs/>
          <w:sz w:val="28"/>
          <w:szCs w:val="28"/>
        </w:rPr>
        <w:t xml:space="preserve"> a law of the </w:t>
      </w:r>
      <w:proofErr w:type="spellStart"/>
      <w:r w:rsidR="001149DA" w:rsidRPr="001149DA">
        <w:rPr>
          <w:rFonts w:ascii="Times New Roman" w:hAnsi="Times New Roman" w:cs="Times New Roman"/>
          <w:i/>
          <w:iCs/>
          <w:sz w:val="28"/>
          <w:szCs w:val="28"/>
        </w:rPr>
        <w:t>sea</w:t>
      </w:r>
      <w:proofErr w:type="spellEnd"/>
      <w:r w:rsidR="001149DA" w:rsidRPr="001149DA">
        <w:rPr>
          <w:rFonts w:ascii="Times New Roman" w:hAnsi="Times New Roman" w:cs="Times New Roman"/>
          <w:i/>
          <w:iCs/>
          <w:sz w:val="28"/>
          <w:szCs w:val="28"/>
        </w:rPr>
        <w:t xml:space="preserve"> </w:t>
      </w:r>
      <w:proofErr w:type="spellStart"/>
      <w:r w:rsidR="001149DA" w:rsidRPr="001149DA">
        <w:rPr>
          <w:rFonts w:ascii="Times New Roman" w:hAnsi="Times New Roman" w:cs="Times New Roman"/>
          <w:i/>
          <w:iCs/>
          <w:sz w:val="28"/>
          <w:szCs w:val="28"/>
        </w:rPr>
        <w:t>were</w:t>
      </w:r>
      <w:proofErr w:type="spellEnd"/>
      <w:r w:rsidR="001149DA" w:rsidRPr="001149DA">
        <w:rPr>
          <w:rFonts w:ascii="Times New Roman" w:hAnsi="Times New Roman" w:cs="Times New Roman"/>
          <w:i/>
          <w:iCs/>
          <w:sz w:val="28"/>
          <w:szCs w:val="28"/>
        </w:rPr>
        <w:t xml:space="preserve"> </w:t>
      </w:r>
      <w:proofErr w:type="spellStart"/>
      <w:r w:rsidR="001149DA" w:rsidRPr="001149DA">
        <w:rPr>
          <w:rFonts w:ascii="Times New Roman" w:hAnsi="Times New Roman" w:cs="Times New Roman"/>
          <w:i/>
          <w:iCs/>
          <w:sz w:val="28"/>
          <w:szCs w:val="28"/>
        </w:rPr>
        <w:t>based</w:t>
      </w:r>
      <w:proofErr w:type="spellEnd"/>
      <w:r w:rsidR="001149DA" w:rsidRPr="001149DA">
        <w:rPr>
          <w:rFonts w:ascii="Times New Roman" w:hAnsi="Times New Roman" w:cs="Times New Roman"/>
          <w:i/>
          <w:iCs/>
          <w:sz w:val="28"/>
          <w:szCs w:val="28"/>
        </w:rPr>
        <w:t xml:space="preserve"> on the </w:t>
      </w:r>
      <w:proofErr w:type="spellStart"/>
      <w:r w:rsidR="001149DA" w:rsidRPr="001149DA">
        <w:rPr>
          <w:rFonts w:ascii="Times New Roman" w:hAnsi="Times New Roman" w:cs="Times New Roman"/>
          <w:i/>
          <w:iCs/>
          <w:sz w:val="28"/>
          <w:szCs w:val="28"/>
        </w:rPr>
        <w:t>principle</w:t>
      </w:r>
      <w:proofErr w:type="spellEnd"/>
      <w:r w:rsidR="001149DA" w:rsidRPr="001149DA">
        <w:rPr>
          <w:rFonts w:ascii="Times New Roman" w:hAnsi="Times New Roman" w:cs="Times New Roman"/>
          <w:i/>
          <w:iCs/>
          <w:sz w:val="28"/>
          <w:szCs w:val="28"/>
        </w:rPr>
        <w:t xml:space="preserve"> of </w:t>
      </w:r>
      <w:proofErr w:type="spellStart"/>
      <w:r w:rsidR="001149DA" w:rsidRPr="001149DA">
        <w:rPr>
          <w:rFonts w:ascii="Times New Roman" w:hAnsi="Times New Roman" w:cs="Times New Roman"/>
          <w:i/>
          <w:iCs/>
          <w:sz w:val="28"/>
          <w:szCs w:val="28"/>
        </w:rPr>
        <w:t>controlling</w:t>
      </w:r>
      <w:proofErr w:type="spellEnd"/>
      <w:r w:rsidR="001149DA" w:rsidRPr="001149DA">
        <w:rPr>
          <w:rFonts w:ascii="Times New Roman" w:hAnsi="Times New Roman" w:cs="Times New Roman"/>
          <w:i/>
          <w:iCs/>
          <w:sz w:val="28"/>
          <w:szCs w:val="28"/>
        </w:rPr>
        <w:t xml:space="preserve"> </w:t>
      </w:r>
      <w:proofErr w:type="spellStart"/>
      <w:r w:rsidR="001149DA" w:rsidRPr="001149DA">
        <w:rPr>
          <w:rFonts w:ascii="Times New Roman" w:hAnsi="Times New Roman" w:cs="Times New Roman"/>
          <w:i/>
          <w:iCs/>
          <w:sz w:val="28"/>
          <w:szCs w:val="28"/>
        </w:rPr>
        <w:t>every</w:t>
      </w:r>
      <w:proofErr w:type="spellEnd"/>
      <w:r w:rsidR="001149DA" w:rsidRPr="001149DA">
        <w:rPr>
          <w:rFonts w:ascii="Times New Roman" w:hAnsi="Times New Roman" w:cs="Times New Roman"/>
          <w:i/>
          <w:iCs/>
          <w:sz w:val="28"/>
          <w:szCs w:val="28"/>
        </w:rPr>
        <w:t xml:space="preserve"> </w:t>
      </w:r>
      <w:proofErr w:type="spellStart"/>
      <w:r w:rsidR="001149DA" w:rsidRPr="001149DA">
        <w:rPr>
          <w:rFonts w:ascii="Times New Roman" w:hAnsi="Times New Roman" w:cs="Times New Roman"/>
          <w:i/>
          <w:iCs/>
          <w:sz w:val="28"/>
          <w:szCs w:val="28"/>
        </w:rPr>
        <w:t>drop</w:t>
      </w:r>
      <w:proofErr w:type="spellEnd"/>
      <w:r w:rsidR="001149DA" w:rsidRPr="001149DA">
        <w:rPr>
          <w:rFonts w:ascii="Times New Roman" w:hAnsi="Times New Roman" w:cs="Times New Roman"/>
          <w:i/>
          <w:iCs/>
          <w:sz w:val="28"/>
          <w:szCs w:val="28"/>
        </w:rPr>
        <w:t xml:space="preserve"> of water in the </w:t>
      </w:r>
      <w:proofErr w:type="spellStart"/>
      <w:r w:rsidR="001149DA" w:rsidRPr="001149DA">
        <w:rPr>
          <w:rFonts w:ascii="Times New Roman" w:hAnsi="Times New Roman" w:cs="Times New Roman"/>
          <w:i/>
          <w:iCs/>
          <w:sz w:val="28"/>
          <w:szCs w:val="28"/>
        </w:rPr>
        <w:t>oceans</w:t>
      </w:r>
      <w:proofErr w:type="spellEnd"/>
      <w:r w:rsidR="001149DA" w:rsidRPr="001149DA">
        <w:rPr>
          <w:rFonts w:ascii="Times New Roman" w:hAnsi="Times New Roman" w:cs="Times New Roman"/>
          <w:i/>
          <w:iCs/>
          <w:sz w:val="28"/>
          <w:szCs w:val="28"/>
        </w:rPr>
        <w:t xml:space="preserve"> </w:t>
      </w:r>
      <w:proofErr w:type="spellStart"/>
      <w:r w:rsidR="001149DA" w:rsidRPr="001149DA">
        <w:rPr>
          <w:rFonts w:ascii="Times New Roman" w:hAnsi="Times New Roman" w:cs="Times New Roman"/>
          <w:i/>
          <w:iCs/>
          <w:sz w:val="28"/>
          <w:szCs w:val="28"/>
        </w:rPr>
        <w:t>according</w:t>
      </w:r>
      <w:proofErr w:type="spellEnd"/>
      <w:r w:rsidR="001149DA" w:rsidRPr="001149DA">
        <w:rPr>
          <w:rFonts w:ascii="Times New Roman" w:hAnsi="Times New Roman" w:cs="Times New Roman"/>
          <w:i/>
          <w:iCs/>
          <w:sz w:val="28"/>
          <w:szCs w:val="28"/>
        </w:rPr>
        <w:t xml:space="preserve"> to </w:t>
      </w:r>
      <w:proofErr w:type="spellStart"/>
      <w:r w:rsidR="001149DA" w:rsidRPr="001149DA">
        <w:rPr>
          <w:rFonts w:ascii="Times New Roman" w:hAnsi="Times New Roman" w:cs="Times New Roman"/>
          <w:i/>
          <w:iCs/>
          <w:sz w:val="28"/>
          <w:szCs w:val="28"/>
        </w:rPr>
        <w:t>its</w:t>
      </w:r>
      <w:proofErr w:type="spellEnd"/>
      <w:r w:rsidR="001149DA" w:rsidRPr="001149DA">
        <w:rPr>
          <w:rFonts w:ascii="Times New Roman" w:hAnsi="Times New Roman" w:cs="Times New Roman"/>
          <w:i/>
          <w:iCs/>
          <w:sz w:val="28"/>
          <w:szCs w:val="28"/>
        </w:rPr>
        <w:t xml:space="preserve"> </w:t>
      </w:r>
      <w:proofErr w:type="spellStart"/>
      <w:r w:rsidR="001149DA" w:rsidRPr="001149DA">
        <w:rPr>
          <w:rFonts w:ascii="Times New Roman" w:hAnsi="Times New Roman" w:cs="Times New Roman"/>
          <w:i/>
          <w:iCs/>
          <w:sz w:val="28"/>
          <w:szCs w:val="28"/>
        </w:rPr>
        <w:t>origin</w:t>
      </w:r>
      <w:proofErr w:type="spellEnd"/>
      <w:r w:rsidR="001149DA" w:rsidRPr="001149DA">
        <w:rPr>
          <w:rFonts w:ascii="Times New Roman" w:hAnsi="Times New Roman" w:cs="Times New Roman"/>
          <w:i/>
          <w:iCs/>
          <w:sz w:val="28"/>
          <w:szCs w:val="28"/>
        </w:rPr>
        <w:t>” (Sembra quasi che si tenti di governare le onde del mare goccia a goccia, individualmente considerando la goccia</w:t>
      </w:r>
      <w:r w:rsidR="00F566DC">
        <w:rPr>
          <w:rFonts w:ascii="Times New Roman" w:hAnsi="Times New Roman" w:cs="Times New Roman"/>
          <w:i/>
          <w:iCs/>
          <w:sz w:val="28"/>
          <w:szCs w:val="28"/>
        </w:rPr>
        <w:t>):</w:t>
      </w:r>
      <w:r w:rsidR="001149DA" w:rsidRPr="001149DA">
        <w:rPr>
          <w:rFonts w:ascii="Times New Roman" w:hAnsi="Times New Roman" w:cs="Times New Roman"/>
          <w:i/>
          <w:iCs/>
          <w:sz w:val="28"/>
          <w:szCs w:val="28"/>
        </w:rPr>
        <w:t xml:space="preserve"> </w:t>
      </w:r>
      <w:r w:rsidR="001149DA" w:rsidRPr="001149DA">
        <w:rPr>
          <w:rFonts w:ascii="Times New Roman" w:hAnsi="Times New Roman" w:cs="Times New Roman"/>
          <w:sz w:val="28"/>
          <w:szCs w:val="28"/>
        </w:rPr>
        <w:t xml:space="preserve">così </w:t>
      </w:r>
      <w:proofErr w:type="spellStart"/>
      <w:r w:rsidR="001149DA" w:rsidRPr="001149DA">
        <w:rPr>
          <w:rFonts w:ascii="Times New Roman" w:hAnsi="Times New Roman" w:cs="Times New Roman"/>
          <w:sz w:val="28"/>
          <w:szCs w:val="28"/>
        </w:rPr>
        <w:t>Bergè</w:t>
      </w:r>
      <w:proofErr w:type="spellEnd"/>
      <w:r w:rsidR="001149DA" w:rsidRPr="001149DA">
        <w:rPr>
          <w:rFonts w:ascii="Times New Roman" w:hAnsi="Times New Roman" w:cs="Times New Roman"/>
          <w:sz w:val="28"/>
          <w:szCs w:val="28"/>
        </w:rPr>
        <w:t xml:space="preserve"> </w:t>
      </w:r>
      <w:proofErr w:type="spellStart"/>
      <w:r w:rsidR="001149DA" w:rsidRPr="001149DA">
        <w:rPr>
          <w:rFonts w:ascii="Times New Roman" w:hAnsi="Times New Roman" w:cs="Times New Roman"/>
          <w:sz w:val="28"/>
          <w:szCs w:val="28"/>
        </w:rPr>
        <w:t>Grumbach</w:t>
      </w:r>
      <w:proofErr w:type="spellEnd"/>
      <w:r w:rsidR="00F566DC">
        <w:rPr>
          <w:rStyle w:val="Rimandonotaapidipagina"/>
          <w:rFonts w:ascii="Times New Roman" w:hAnsi="Times New Roman" w:cs="Times New Roman"/>
          <w:sz w:val="28"/>
          <w:szCs w:val="28"/>
        </w:rPr>
        <w:footnoteReference w:id="65"/>
      </w:r>
      <w:r w:rsidR="001149DA">
        <w:rPr>
          <w:rFonts w:ascii="Times New Roman" w:hAnsi="Times New Roman" w:cs="Times New Roman"/>
          <w:sz w:val="28"/>
          <w:szCs w:val="28"/>
        </w:rPr>
        <w:t>.</w:t>
      </w:r>
    </w:p>
    <w:p w14:paraId="15B9FDF9" w14:textId="77777777" w:rsidR="005164D5" w:rsidRPr="00B63838" w:rsidRDefault="005164D5" w:rsidP="005164D5">
      <w:pPr>
        <w:tabs>
          <w:tab w:val="left" w:pos="8364"/>
        </w:tabs>
        <w:spacing w:after="0"/>
        <w:jc w:val="both"/>
        <w:rPr>
          <w:rFonts w:ascii="Times New Roman" w:hAnsi="Times New Roman" w:cs="Times New Roman"/>
          <w:i/>
          <w:iCs/>
          <w:sz w:val="28"/>
          <w:szCs w:val="28"/>
        </w:rPr>
      </w:pPr>
    </w:p>
    <w:p w14:paraId="43C90E62" w14:textId="1B5107FC" w:rsidR="001149DA" w:rsidRDefault="001149DA" w:rsidP="005164D5">
      <w:pPr>
        <w:tabs>
          <w:tab w:val="left" w:pos="8364"/>
        </w:tabs>
        <w:spacing w:after="0"/>
        <w:jc w:val="both"/>
        <w:rPr>
          <w:rFonts w:ascii="Times New Roman" w:hAnsi="Times New Roman" w:cs="Times New Roman"/>
          <w:i/>
          <w:iCs/>
          <w:sz w:val="28"/>
          <w:szCs w:val="28"/>
        </w:rPr>
      </w:pPr>
      <w:r w:rsidRPr="001149DA">
        <w:rPr>
          <w:rFonts w:ascii="Times New Roman" w:hAnsi="Times New Roman" w:cs="Times New Roman"/>
          <w:sz w:val="28"/>
          <w:szCs w:val="28"/>
        </w:rPr>
        <w:t>L’ideatore dell’algoritmo dovrebbe essere r</w:t>
      </w:r>
      <w:r>
        <w:rPr>
          <w:rFonts w:ascii="Times New Roman" w:hAnsi="Times New Roman" w:cs="Times New Roman"/>
          <w:sz w:val="28"/>
          <w:szCs w:val="28"/>
        </w:rPr>
        <w:t>itenuto responsabile non solo verso il committente, ma anche verso i terzi lesi dall’entità intelligente</w:t>
      </w:r>
      <w:r w:rsidR="005164D5">
        <w:rPr>
          <w:rFonts w:ascii="Times New Roman" w:hAnsi="Times New Roman" w:cs="Times New Roman"/>
          <w:sz w:val="28"/>
          <w:szCs w:val="28"/>
        </w:rPr>
        <w:t>,</w:t>
      </w:r>
      <w:r w:rsidR="0038364E">
        <w:rPr>
          <w:rFonts w:ascii="Times New Roman" w:hAnsi="Times New Roman" w:cs="Times New Roman"/>
          <w:sz w:val="28"/>
          <w:szCs w:val="28"/>
        </w:rPr>
        <w:t xml:space="preserve"> configurando un risarcimento del danno da IA in base al </w:t>
      </w:r>
      <w:r w:rsidR="0038364E" w:rsidRPr="005164D5">
        <w:rPr>
          <w:rFonts w:ascii="Times New Roman" w:hAnsi="Times New Roman" w:cs="Times New Roman"/>
          <w:sz w:val="28"/>
          <w:szCs w:val="28"/>
        </w:rPr>
        <w:t>criterio di “</w:t>
      </w:r>
      <w:r w:rsidR="0038364E" w:rsidRPr="005164D5">
        <w:rPr>
          <w:rFonts w:ascii="Times New Roman" w:hAnsi="Times New Roman" w:cs="Times New Roman"/>
          <w:i/>
          <w:iCs/>
          <w:sz w:val="28"/>
          <w:szCs w:val="28"/>
        </w:rPr>
        <w:t>provenienza prossima</w:t>
      </w:r>
      <w:r w:rsidR="0038364E" w:rsidRPr="005164D5">
        <w:rPr>
          <w:rFonts w:ascii="Times New Roman" w:hAnsi="Times New Roman" w:cs="Times New Roman"/>
          <w:sz w:val="28"/>
          <w:szCs w:val="28"/>
        </w:rPr>
        <w:t>”.</w:t>
      </w:r>
    </w:p>
    <w:p w14:paraId="169561DC" w14:textId="1591531F" w:rsidR="0038364E" w:rsidRDefault="0038364E" w:rsidP="005164D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Si entra </w:t>
      </w:r>
      <w:r w:rsidR="00F566DC">
        <w:rPr>
          <w:rFonts w:ascii="Times New Roman" w:hAnsi="Times New Roman" w:cs="Times New Roman"/>
          <w:sz w:val="28"/>
          <w:szCs w:val="28"/>
        </w:rPr>
        <w:t>così</w:t>
      </w:r>
      <w:r>
        <w:rPr>
          <w:rFonts w:ascii="Times New Roman" w:hAnsi="Times New Roman" w:cs="Times New Roman"/>
          <w:sz w:val="28"/>
          <w:szCs w:val="28"/>
        </w:rPr>
        <w:t xml:space="preserve"> nella sfera del “</w:t>
      </w:r>
      <w:proofErr w:type="spellStart"/>
      <w:r w:rsidRPr="00BC135C">
        <w:rPr>
          <w:rFonts w:ascii="Times New Roman" w:hAnsi="Times New Roman" w:cs="Times New Roman"/>
          <w:i/>
          <w:iCs/>
          <w:sz w:val="28"/>
          <w:szCs w:val="28"/>
        </w:rPr>
        <w:t>tecnodiritto</w:t>
      </w:r>
      <w:proofErr w:type="spellEnd"/>
      <w:r>
        <w:rPr>
          <w:rFonts w:ascii="Times New Roman" w:hAnsi="Times New Roman" w:cs="Times New Roman"/>
          <w:sz w:val="28"/>
          <w:szCs w:val="28"/>
        </w:rPr>
        <w:t xml:space="preserve">”: responsabilità della </w:t>
      </w:r>
      <w:r w:rsidRPr="0038364E">
        <w:rPr>
          <w:rFonts w:ascii="Times New Roman" w:hAnsi="Times New Roman" w:cs="Times New Roman"/>
          <w:i/>
          <w:iCs/>
          <w:sz w:val="28"/>
          <w:szCs w:val="28"/>
        </w:rPr>
        <w:t xml:space="preserve">machine </w:t>
      </w:r>
      <w:proofErr w:type="spellStart"/>
      <w:r w:rsidRPr="0038364E">
        <w:rPr>
          <w:rFonts w:ascii="Times New Roman" w:hAnsi="Times New Roman" w:cs="Times New Roman"/>
          <w:i/>
          <w:iCs/>
          <w:sz w:val="28"/>
          <w:szCs w:val="28"/>
        </w:rPr>
        <w:t>learning</w:t>
      </w:r>
      <w:proofErr w:type="spellEnd"/>
      <w:r w:rsidRPr="0038364E">
        <w:rPr>
          <w:rFonts w:ascii="Times New Roman" w:hAnsi="Times New Roman" w:cs="Times New Roman"/>
          <w:i/>
          <w:iCs/>
          <w:sz w:val="28"/>
          <w:szCs w:val="28"/>
        </w:rPr>
        <w:t>,</w:t>
      </w:r>
      <w:r>
        <w:rPr>
          <w:rFonts w:ascii="Times New Roman" w:hAnsi="Times New Roman" w:cs="Times New Roman"/>
          <w:sz w:val="28"/>
          <w:szCs w:val="28"/>
        </w:rPr>
        <w:t xml:space="preserve"> </w:t>
      </w:r>
      <w:proofErr w:type="spellStart"/>
      <w:r w:rsidRPr="0038364E">
        <w:rPr>
          <w:rFonts w:ascii="Times New Roman" w:hAnsi="Times New Roman" w:cs="Times New Roman"/>
          <w:i/>
          <w:iCs/>
          <w:sz w:val="28"/>
          <w:szCs w:val="28"/>
        </w:rPr>
        <w:t>deep</w:t>
      </w:r>
      <w:proofErr w:type="spellEnd"/>
      <w:r w:rsidRPr="0038364E">
        <w:rPr>
          <w:rFonts w:ascii="Times New Roman" w:hAnsi="Times New Roman" w:cs="Times New Roman"/>
          <w:i/>
          <w:iCs/>
          <w:sz w:val="28"/>
          <w:szCs w:val="28"/>
        </w:rPr>
        <w:t xml:space="preserve"> </w:t>
      </w:r>
      <w:proofErr w:type="spellStart"/>
      <w:r w:rsidRPr="0038364E">
        <w:rPr>
          <w:rFonts w:ascii="Times New Roman" w:hAnsi="Times New Roman" w:cs="Times New Roman"/>
          <w:i/>
          <w:iCs/>
          <w:sz w:val="28"/>
          <w:szCs w:val="28"/>
        </w:rPr>
        <w:t>learning</w:t>
      </w:r>
      <w:proofErr w:type="spellEnd"/>
      <w:r>
        <w:rPr>
          <w:rFonts w:ascii="Times New Roman" w:hAnsi="Times New Roman" w:cs="Times New Roman"/>
          <w:sz w:val="28"/>
          <w:szCs w:val="28"/>
        </w:rPr>
        <w:t xml:space="preserve">, responsabilità del produttore, dell’ideatore dell’algoritmo, dell’addestratore </w:t>
      </w:r>
      <w:r w:rsidRPr="00B62C20">
        <w:rPr>
          <w:rFonts w:ascii="Times New Roman" w:hAnsi="Times New Roman" w:cs="Times New Roman"/>
          <w:i/>
          <w:iCs/>
          <w:sz w:val="28"/>
          <w:szCs w:val="28"/>
        </w:rPr>
        <w:t xml:space="preserve">self </w:t>
      </w:r>
      <w:proofErr w:type="spellStart"/>
      <w:r w:rsidRPr="00B62C20">
        <w:rPr>
          <w:rFonts w:ascii="Times New Roman" w:hAnsi="Times New Roman" w:cs="Times New Roman"/>
          <w:i/>
          <w:iCs/>
          <w:sz w:val="28"/>
          <w:szCs w:val="28"/>
        </w:rPr>
        <w:t>learning</w:t>
      </w:r>
      <w:proofErr w:type="spellEnd"/>
      <w:r w:rsidR="005164D5">
        <w:rPr>
          <w:rFonts w:ascii="Times New Roman" w:hAnsi="Times New Roman" w:cs="Times New Roman"/>
          <w:i/>
          <w:iCs/>
          <w:sz w:val="28"/>
          <w:szCs w:val="28"/>
        </w:rPr>
        <w:t>,</w:t>
      </w:r>
      <w:r>
        <w:rPr>
          <w:rFonts w:ascii="Times New Roman" w:hAnsi="Times New Roman" w:cs="Times New Roman"/>
          <w:sz w:val="28"/>
          <w:szCs w:val="28"/>
        </w:rPr>
        <w:t xml:space="preserve"> al</w:t>
      </w:r>
      <w:r w:rsidR="00F566DC">
        <w:rPr>
          <w:rFonts w:ascii="Times New Roman" w:hAnsi="Times New Roman" w:cs="Times New Roman"/>
          <w:sz w:val="28"/>
          <w:szCs w:val="28"/>
        </w:rPr>
        <w:t xml:space="preserve"> </w:t>
      </w:r>
      <w:r>
        <w:rPr>
          <w:rFonts w:ascii="Times New Roman" w:hAnsi="Times New Roman" w:cs="Times New Roman"/>
          <w:sz w:val="28"/>
          <w:szCs w:val="28"/>
        </w:rPr>
        <w:t xml:space="preserve">di là del pensiero computazionale, responsabilità da prodotto </w:t>
      </w:r>
      <w:proofErr w:type="spellStart"/>
      <w:r w:rsidRPr="0038364E">
        <w:rPr>
          <w:rFonts w:ascii="Times New Roman" w:hAnsi="Times New Roman" w:cs="Times New Roman"/>
          <w:i/>
          <w:iCs/>
          <w:sz w:val="28"/>
          <w:szCs w:val="28"/>
        </w:rPr>
        <w:t>product</w:t>
      </w:r>
      <w:proofErr w:type="spellEnd"/>
      <w:r w:rsidRPr="0038364E">
        <w:rPr>
          <w:rFonts w:ascii="Times New Roman" w:hAnsi="Times New Roman" w:cs="Times New Roman"/>
          <w:i/>
          <w:iCs/>
          <w:sz w:val="28"/>
          <w:szCs w:val="28"/>
        </w:rPr>
        <w:t xml:space="preserve"> </w:t>
      </w:r>
      <w:proofErr w:type="spellStart"/>
      <w:r w:rsidRPr="0038364E">
        <w:rPr>
          <w:rFonts w:ascii="Times New Roman" w:hAnsi="Times New Roman" w:cs="Times New Roman"/>
          <w:i/>
          <w:iCs/>
          <w:sz w:val="28"/>
          <w:szCs w:val="28"/>
        </w:rPr>
        <w:t>liability</w:t>
      </w:r>
      <w:proofErr w:type="spellEnd"/>
      <w:r>
        <w:rPr>
          <w:rFonts w:ascii="Times New Roman" w:hAnsi="Times New Roman" w:cs="Times New Roman"/>
          <w:sz w:val="28"/>
          <w:szCs w:val="28"/>
        </w:rPr>
        <w:t xml:space="preserve"> </w:t>
      </w:r>
      <w:r w:rsidR="008912BC">
        <w:rPr>
          <w:rFonts w:ascii="Times New Roman" w:hAnsi="Times New Roman" w:cs="Times New Roman"/>
          <w:sz w:val="28"/>
          <w:szCs w:val="28"/>
        </w:rPr>
        <w:t xml:space="preserve">(labile confine tra “prodotto” e “servizio” nel settore dell’IA) </w:t>
      </w:r>
      <w:r>
        <w:rPr>
          <w:rFonts w:ascii="Times New Roman" w:hAnsi="Times New Roman" w:cs="Times New Roman"/>
          <w:sz w:val="28"/>
          <w:szCs w:val="28"/>
        </w:rPr>
        <w:t>ed anche responsabilità ex art.</w:t>
      </w:r>
      <w:r w:rsidR="00F566DC">
        <w:rPr>
          <w:rFonts w:ascii="Times New Roman" w:hAnsi="Times New Roman" w:cs="Times New Roman"/>
          <w:sz w:val="28"/>
          <w:szCs w:val="28"/>
        </w:rPr>
        <w:t xml:space="preserve"> </w:t>
      </w:r>
      <w:r>
        <w:rPr>
          <w:rFonts w:ascii="Times New Roman" w:hAnsi="Times New Roman" w:cs="Times New Roman"/>
          <w:sz w:val="28"/>
          <w:szCs w:val="28"/>
        </w:rPr>
        <w:t>2051 c</w:t>
      </w:r>
      <w:r w:rsidR="00F566DC">
        <w:rPr>
          <w:rFonts w:ascii="Times New Roman" w:hAnsi="Times New Roman" w:cs="Times New Roman"/>
          <w:sz w:val="28"/>
          <w:szCs w:val="28"/>
        </w:rPr>
        <w:t>.</w:t>
      </w:r>
      <w:r>
        <w:rPr>
          <w:rFonts w:ascii="Times New Roman" w:hAnsi="Times New Roman" w:cs="Times New Roman"/>
          <w:sz w:val="28"/>
          <w:szCs w:val="28"/>
        </w:rPr>
        <w:t>c</w:t>
      </w:r>
      <w:r w:rsidR="00F566DC">
        <w:rPr>
          <w:rFonts w:ascii="Times New Roman" w:hAnsi="Times New Roman" w:cs="Times New Roman"/>
          <w:sz w:val="28"/>
          <w:szCs w:val="28"/>
        </w:rPr>
        <w:t>.</w:t>
      </w:r>
      <w:r>
        <w:rPr>
          <w:rFonts w:ascii="Times New Roman" w:hAnsi="Times New Roman" w:cs="Times New Roman"/>
          <w:sz w:val="28"/>
          <w:szCs w:val="28"/>
        </w:rPr>
        <w:t xml:space="preserve"> da cose in custodia e responsabilità per attività pericolosa ex art.</w:t>
      </w:r>
      <w:r w:rsidR="00F566DC">
        <w:rPr>
          <w:rFonts w:ascii="Times New Roman" w:hAnsi="Times New Roman" w:cs="Times New Roman"/>
          <w:sz w:val="28"/>
          <w:szCs w:val="28"/>
        </w:rPr>
        <w:t xml:space="preserve"> </w:t>
      </w:r>
      <w:r>
        <w:rPr>
          <w:rFonts w:ascii="Times New Roman" w:hAnsi="Times New Roman" w:cs="Times New Roman"/>
          <w:sz w:val="28"/>
          <w:szCs w:val="28"/>
        </w:rPr>
        <w:t>2050 c</w:t>
      </w:r>
      <w:r w:rsidR="00F566DC">
        <w:rPr>
          <w:rFonts w:ascii="Times New Roman" w:hAnsi="Times New Roman" w:cs="Times New Roman"/>
          <w:sz w:val="28"/>
          <w:szCs w:val="28"/>
        </w:rPr>
        <w:t>.</w:t>
      </w:r>
      <w:r>
        <w:rPr>
          <w:rFonts w:ascii="Times New Roman" w:hAnsi="Times New Roman" w:cs="Times New Roman"/>
          <w:sz w:val="28"/>
          <w:szCs w:val="28"/>
        </w:rPr>
        <w:t>c</w:t>
      </w:r>
      <w:r w:rsidR="00F566DC">
        <w:rPr>
          <w:rFonts w:ascii="Times New Roman" w:hAnsi="Times New Roman" w:cs="Times New Roman"/>
          <w:sz w:val="28"/>
          <w:szCs w:val="28"/>
        </w:rPr>
        <w:t>.</w:t>
      </w:r>
      <w:r w:rsidR="005164D5">
        <w:rPr>
          <w:rFonts w:ascii="Times New Roman" w:hAnsi="Times New Roman" w:cs="Times New Roman"/>
          <w:sz w:val="28"/>
          <w:szCs w:val="28"/>
        </w:rPr>
        <w:t xml:space="preserve">, </w:t>
      </w:r>
      <w:r>
        <w:rPr>
          <w:rFonts w:ascii="Times New Roman" w:hAnsi="Times New Roman" w:cs="Times New Roman"/>
          <w:sz w:val="28"/>
          <w:szCs w:val="28"/>
        </w:rPr>
        <w:t xml:space="preserve">anche in relazione </w:t>
      </w:r>
      <w:r w:rsidR="00F566DC">
        <w:rPr>
          <w:rFonts w:ascii="Times New Roman" w:hAnsi="Times New Roman" w:cs="Times New Roman"/>
          <w:sz w:val="28"/>
          <w:szCs w:val="28"/>
        </w:rPr>
        <w:t>all’elevata</w:t>
      </w:r>
      <w:r>
        <w:rPr>
          <w:rFonts w:ascii="Times New Roman" w:hAnsi="Times New Roman" w:cs="Times New Roman"/>
          <w:sz w:val="28"/>
          <w:szCs w:val="28"/>
        </w:rPr>
        <w:t xml:space="preserve"> incidenza del “</w:t>
      </w:r>
      <w:r w:rsidRPr="0038364E">
        <w:rPr>
          <w:rFonts w:ascii="Times New Roman" w:hAnsi="Times New Roman" w:cs="Times New Roman"/>
          <w:i/>
          <w:iCs/>
          <w:sz w:val="28"/>
          <w:szCs w:val="28"/>
        </w:rPr>
        <w:t>rischio da sviluppo</w:t>
      </w:r>
      <w:r>
        <w:rPr>
          <w:rFonts w:ascii="Times New Roman" w:hAnsi="Times New Roman" w:cs="Times New Roman"/>
          <w:sz w:val="28"/>
          <w:szCs w:val="28"/>
        </w:rPr>
        <w:t>”.</w:t>
      </w:r>
    </w:p>
    <w:p w14:paraId="30D2FBA6" w14:textId="52BDCE84" w:rsidR="0038364E" w:rsidRDefault="0038364E" w:rsidP="005164D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Ma se l’intelligenza artificiale è </w:t>
      </w:r>
      <w:proofErr w:type="spellStart"/>
      <w:r>
        <w:rPr>
          <w:rFonts w:ascii="Times New Roman" w:hAnsi="Times New Roman" w:cs="Times New Roman"/>
          <w:sz w:val="28"/>
          <w:szCs w:val="28"/>
        </w:rPr>
        <w:t>autoevolutiva</w:t>
      </w:r>
      <w:proofErr w:type="spellEnd"/>
      <w:r>
        <w:rPr>
          <w:rFonts w:ascii="Times New Roman" w:hAnsi="Times New Roman" w:cs="Times New Roman"/>
          <w:sz w:val="28"/>
          <w:szCs w:val="28"/>
        </w:rPr>
        <w:t>, allora si potrebbe attribuire a tale entità la c</w:t>
      </w:r>
      <w:r w:rsidR="00B62C20">
        <w:rPr>
          <w:rFonts w:ascii="Times New Roman" w:hAnsi="Times New Roman" w:cs="Times New Roman"/>
          <w:sz w:val="28"/>
          <w:szCs w:val="28"/>
        </w:rPr>
        <w:t>.</w:t>
      </w:r>
      <w:r>
        <w:rPr>
          <w:rFonts w:ascii="Times New Roman" w:hAnsi="Times New Roman" w:cs="Times New Roman"/>
          <w:sz w:val="28"/>
          <w:szCs w:val="28"/>
        </w:rPr>
        <w:t>d</w:t>
      </w:r>
      <w:r w:rsidR="00B62C20">
        <w:rPr>
          <w:rFonts w:ascii="Times New Roman" w:hAnsi="Times New Roman" w:cs="Times New Roman"/>
          <w:sz w:val="28"/>
          <w:szCs w:val="28"/>
        </w:rPr>
        <w:t>.</w:t>
      </w:r>
      <w:r>
        <w:rPr>
          <w:rFonts w:ascii="Times New Roman" w:hAnsi="Times New Roman" w:cs="Times New Roman"/>
          <w:sz w:val="28"/>
          <w:szCs w:val="28"/>
        </w:rPr>
        <w:t xml:space="preserve"> personalità giuridica elettronica: </w:t>
      </w:r>
      <w:proofErr w:type="spellStart"/>
      <w:r w:rsidRPr="00B62C20">
        <w:rPr>
          <w:rFonts w:ascii="Times New Roman" w:hAnsi="Times New Roman" w:cs="Times New Roman"/>
          <w:i/>
          <w:iCs/>
          <w:sz w:val="28"/>
          <w:szCs w:val="28"/>
        </w:rPr>
        <w:t>Teubner</w:t>
      </w:r>
      <w:proofErr w:type="spellEnd"/>
      <w:r>
        <w:rPr>
          <w:rFonts w:ascii="Times New Roman" w:hAnsi="Times New Roman" w:cs="Times New Roman"/>
          <w:sz w:val="28"/>
          <w:szCs w:val="28"/>
        </w:rPr>
        <w:t xml:space="preserve"> per primo ha parlato di “soggetti giuridici digitali”</w:t>
      </w:r>
      <w:r w:rsidR="00F566DC">
        <w:rPr>
          <w:rFonts w:ascii="Times New Roman" w:hAnsi="Times New Roman" w:cs="Times New Roman"/>
          <w:sz w:val="28"/>
          <w:szCs w:val="28"/>
        </w:rPr>
        <w:t>.</w:t>
      </w:r>
    </w:p>
    <w:p w14:paraId="16026B34" w14:textId="77777777" w:rsidR="005164D5" w:rsidRDefault="00C877DF" w:rsidP="005164D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Allora</w:t>
      </w:r>
      <w:r w:rsidR="005164D5">
        <w:rPr>
          <w:rFonts w:ascii="Times New Roman" w:hAnsi="Times New Roman" w:cs="Times New Roman"/>
          <w:sz w:val="28"/>
          <w:szCs w:val="28"/>
        </w:rPr>
        <w:t>,</w:t>
      </w:r>
      <w:r>
        <w:rPr>
          <w:rFonts w:ascii="Times New Roman" w:hAnsi="Times New Roman" w:cs="Times New Roman"/>
          <w:sz w:val="28"/>
          <w:szCs w:val="28"/>
        </w:rPr>
        <w:t xml:space="preserve"> ecco che si compie il salto quantico: il passaggio dal “bene” ad “essere”, “</w:t>
      </w:r>
      <w:r w:rsidRPr="00C877DF">
        <w:rPr>
          <w:rFonts w:ascii="Times New Roman" w:hAnsi="Times New Roman" w:cs="Times New Roman"/>
          <w:i/>
          <w:iCs/>
          <w:sz w:val="28"/>
          <w:szCs w:val="28"/>
        </w:rPr>
        <w:t>machine sapiens</w:t>
      </w:r>
      <w:r w:rsidRPr="00B62C20">
        <w:rPr>
          <w:rFonts w:ascii="Times New Roman" w:hAnsi="Times New Roman" w:cs="Times New Roman"/>
          <w:sz w:val="28"/>
          <w:szCs w:val="28"/>
        </w:rPr>
        <w:t>” o “</w:t>
      </w:r>
      <w:r>
        <w:rPr>
          <w:rFonts w:ascii="Times New Roman" w:hAnsi="Times New Roman" w:cs="Times New Roman"/>
          <w:i/>
          <w:iCs/>
          <w:sz w:val="28"/>
          <w:szCs w:val="28"/>
        </w:rPr>
        <w:t xml:space="preserve">machine </w:t>
      </w:r>
      <w:proofErr w:type="spellStart"/>
      <w:r>
        <w:rPr>
          <w:rFonts w:ascii="Times New Roman" w:hAnsi="Times New Roman" w:cs="Times New Roman"/>
          <w:i/>
          <w:iCs/>
          <w:sz w:val="28"/>
          <w:szCs w:val="28"/>
        </w:rPr>
        <w:t>senties</w:t>
      </w:r>
      <w:proofErr w:type="spellEnd"/>
      <w:r w:rsidRPr="00B62C20">
        <w:rPr>
          <w:rFonts w:ascii="Times New Roman" w:hAnsi="Times New Roman" w:cs="Times New Roman"/>
          <w:sz w:val="28"/>
          <w:szCs w:val="28"/>
        </w:rPr>
        <w:t xml:space="preserve">” </w:t>
      </w:r>
      <w:r w:rsidRPr="00C877DF">
        <w:rPr>
          <w:rFonts w:ascii="Times New Roman" w:hAnsi="Times New Roman" w:cs="Times New Roman"/>
          <w:sz w:val="28"/>
          <w:szCs w:val="28"/>
        </w:rPr>
        <w:t>con autocoscienza</w:t>
      </w:r>
      <w:r>
        <w:rPr>
          <w:rFonts w:ascii="Times New Roman" w:hAnsi="Times New Roman" w:cs="Times New Roman"/>
          <w:sz w:val="28"/>
          <w:szCs w:val="28"/>
        </w:rPr>
        <w:t>, da “antropomorfizzazione” al concetto di “entità dotata da autonomia”.</w:t>
      </w:r>
      <w:r w:rsidR="00F566DC">
        <w:rPr>
          <w:rFonts w:ascii="Times New Roman" w:hAnsi="Times New Roman" w:cs="Times New Roman"/>
          <w:sz w:val="28"/>
          <w:szCs w:val="28"/>
        </w:rPr>
        <w:t xml:space="preserve"> </w:t>
      </w:r>
    </w:p>
    <w:p w14:paraId="757FD1BC" w14:textId="75D7726B" w:rsidR="00C877DF" w:rsidRDefault="00C877DF" w:rsidP="005164D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Da qui</w:t>
      </w:r>
      <w:r w:rsidR="005164D5">
        <w:rPr>
          <w:rFonts w:ascii="Times New Roman" w:hAnsi="Times New Roman" w:cs="Times New Roman"/>
          <w:sz w:val="28"/>
          <w:szCs w:val="28"/>
        </w:rPr>
        <w:t>,</w:t>
      </w:r>
      <w:r>
        <w:rPr>
          <w:rFonts w:ascii="Times New Roman" w:hAnsi="Times New Roman" w:cs="Times New Roman"/>
          <w:sz w:val="28"/>
          <w:szCs w:val="28"/>
        </w:rPr>
        <w:t xml:space="preserve"> il concetto di responsabilità da atto lecito</w:t>
      </w:r>
      <w:r w:rsidR="00B62C2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C877DF">
        <w:rPr>
          <w:rFonts w:ascii="Times New Roman" w:hAnsi="Times New Roman" w:cs="Times New Roman"/>
          <w:i/>
          <w:iCs/>
          <w:sz w:val="28"/>
          <w:szCs w:val="28"/>
        </w:rPr>
        <w:t>Gefahrdungshaftung</w:t>
      </w:r>
      <w:proofErr w:type="spellEnd"/>
      <w:r w:rsidRPr="00C877DF">
        <w:rPr>
          <w:rFonts w:ascii="Times New Roman" w:hAnsi="Times New Roman" w:cs="Times New Roman"/>
          <w:i/>
          <w:iCs/>
          <w:sz w:val="28"/>
          <w:szCs w:val="28"/>
        </w:rPr>
        <w:t xml:space="preserve"> </w:t>
      </w:r>
      <w:r w:rsidRPr="00C877DF">
        <w:rPr>
          <w:rFonts w:ascii="Times New Roman" w:hAnsi="Times New Roman" w:cs="Times New Roman"/>
          <w:sz w:val="28"/>
          <w:szCs w:val="28"/>
        </w:rPr>
        <w:t xml:space="preserve">invocata per </w:t>
      </w:r>
      <w:r>
        <w:rPr>
          <w:rFonts w:ascii="Times New Roman" w:hAnsi="Times New Roman" w:cs="Times New Roman"/>
          <w:sz w:val="28"/>
          <w:szCs w:val="28"/>
        </w:rPr>
        <w:t xml:space="preserve">i soggetti giuridici digitali. L’IA si nutre di </w:t>
      </w:r>
      <w:r w:rsidRPr="00B62C20">
        <w:rPr>
          <w:rFonts w:ascii="Times New Roman" w:hAnsi="Times New Roman" w:cs="Times New Roman"/>
          <w:i/>
          <w:iCs/>
          <w:sz w:val="28"/>
          <w:szCs w:val="28"/>
        </w:rPr>
        <w:t>B</w:t>
      </w:r>
      <w:r w:rsidR="008912BC" w:rsidRPr="00B62C20">
        <w:rPr>
          <w:rFonts w:ascii="Times New Roman" w:hAnsi="Times New Roman" w:cs="Times New Roman"/>
          <w:i/>
          <w:iCs/>
          <w:sz w:val="28"/>
          <w:szCs w:val="28"/>
        </w:rPr>
        <w:t>i</w:t>
      </w:r>
      <w:r w:rsidR="00B62C20" w:rsidRPr="00B62C20">
        <w:rPr>
          <w:rFonts w:ascii="Times New Roman" w:hAnsi="Times New Roman" w:cs="Times New Roman"/>
          <w:i/>
          <w:iCs/>
          <w:sz w:val="28"/>
          <w:szCs w:val="28"/>
        </w:rPr>
        <w:t>g</w:t>
      </w:r>
      <w:r w:rsidRPr="00B62C20">
        <w:rPr>
          <w:rFonts w:ascii="Times New Roman" w:hAnsi="Times New Roman" w:cs="Times New Roman"/>
          <w:i/>
          <w:iCs/>
          <w:sz w:val="28"/>
          <w:szCs w:val="28"/>
        </w:rPr>
        <w:t xml:space="preserve"> Data</w:t>
      </w:r>
      <w:r>
        <w:rPr>
          <w:rFonts w:ascii="Times New Roman" w:hAnsi="Times New Roman" w:cs="Times New Roman"/>
          <w:sz w:val="28"/>
          <w:szCs w:val="28"/>
        </w:rPr>
        <w:t>: la sua capacità di crescita è inversamente proporzionale al tasso di tutela della privacy, maggiore è l’accesso ai dati, maggiore è la sua capacità di crescita.</w:t>
      </w:r>
    </w:p>
    <w:p w14:paraId="5A21A2F9" w14:textId="7CCE61C3" w:rsidR="008912BC" w:rsidRPr="008912BC" w:rsidRDefault="008912BC" w:rsidP="005164D5">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La qualità dei dati diventa, come sopra già esposto, essenziale: da dati qualitativamente non corretti, non possono che scaturire elaborazioni non corrette, secondo il noto principio “</w:t>
      </w:r>
      <w:proofErr w:type="spellStart"/>
      <w:r w:rsidRPr="00F566DC">
        <w:rPr>
          <w:rFonts w:ascii="Times New Roman" w:hAnsi="Times New Roman" w:cs="Times New Roman"/>
          <w:i/>
          <w:iCs/>
          <w:sz w:val="28"/>
          <w:szCs w:val="28"/>
        </w:rPr>
        <w:t>garbage</w:t>
      </w:r>
      <w:proofErr w:type="spellEnd"/>
      <w:r w:rsidRPr="00F566DC">
        <w:rPr>
          <w:rFonts w:ascii="Times New Roman" w:hAnsi="Times New Roman" w:cs="Times New Roman"/>
          <w:i/>
          <w:iCs/>
          <w:sz w:val="28"/>
          <w:szCs w:val="28"/>
        </w:rPr>
        <w:t xml:space="preserve"> in</w:t>
      </w:r>
      <w:r w:rsidR="00F566DC" w:rsidRPr="00F566DC">
        <w:rPr>
          <w:rFonts w:ascii="Times New Roman" w:hAnsi="Times New Roman" w:cs="Times New Roman"/>
          <w:i/>
          <w:iCs/>
          <w:sz w:val="28"/>
          <w:szCs w:val="28"/>
        </w:rPr>
        <w:t xml:space="preserve">, </w:t>
      </w:r>
      <w:proofErr w:type="spellStart"/>
      <w:r w:rsidRPr="00F566DC">
        <w:rPr>
          <w:rFonts w:ascii="Times New Roman" w:hAnsi="Times New Roman" w:cs="Times New Roman"/>
          <w:i/>
          <w:iCs/>
          <w:sz w:val="28"/>
          <w:szCs w:val="28"/>
        </w:rPr>
        <w:t>garbage</w:t>
      </w:r>
      <w:proofErr w:type="spellEnd"/>
      <w:r w:rsidRPr="00F566DC">
        <w:rPr>
          <w:rFonts w:ascii="Times New Roman" w:hAnsi="Times New Roman" w:cs="Times New Roman"/>
          <w:i/>
          <w:iCs/>
          <w:sz w:val="28"/>
          <w:szCs w:val="28"/>
        </w:rPr>
        <w:t xml:space="preserve"> out</w:t>
      </w:r>
      <w:r>
        <w:rPr>
          <w:rFonts w:ascii="Times New Roman" w:hAnsi="Times New Roman" w:cs="Times New Roman"/>
          <w:sz w:val="28"/>
          <w:szCs w:val="28"/>
        </w:rPr>
        <w:t>”, sulla base dello</w:t>
      </w:r>
      <w:r w:rsidR="00F566DC">
        <w:rPr>
          <w:rFonts w:ascii="Times New Roman" w:hAnsi="Times New Roman" w:cs="Times New Roman"/>
          <w:sz w:val="28"/>
          <w:szCs w:val="28"/>
        </w:rPr>
        <w:t xml:space="preserve"> “</w:t>
      </w:r>
      <w:r w:rsidRPr="008912BC">
        <w:rPr>
          <w:rFonts w:ascii="Times New Roman" w:hAnsi="Times New Roman" w:cs="Times New Roman"/>
          <w:i/>
          <w:iCs/>
          <w:sz w:val="28"/>
          <w:szCs w:val="28"/>
        </w:rPr>
        <w:t xml:space="preserve">Human in </w:t>
      </w:r>
      <w:proofErr w:type="spellStart"/>
      <w:r w:rsidRPr="008912BC">
        <w:rPr>
          <w:rFonts w:ascii="Times New Roman" w:hAnsi="Times New Roman" w:cs="Times New Roman"/>
          <w:i/>
          <w:iCs/>
          <w:sz w:val="28"/>
          <w:szCs w:val="28"/>
        </w:rPr>
        <w:t>command</w:t>
      </w:r>
      <w:proofErr w:type="spellEnd"/>
      <w:r w:rsidRPr="00F566DC">
        <w:rPr>
          <w:rFonts w:ascii="Times New Roman" w:hAnsi="Times New Roman" w:cs="Times New Roman"/>
          <w:sz w:val="28"/>
          <w:szCs w:val="28"/>
        </w:rPr>
        <w:t>”.</w:t>
      </w:r>
    </w:p>
    <w:p w14:paraId="66DA506F" w14:textId="77777777" w:rsidR="006622C2" w:rsidRDefault="00F566DC" w:rsidP="005164D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È</w:t>
      </w:r>
      <w:r w:rsidR="008912BC">
        <w:rPr>
          <w:rFonts w:ascii="Times New Roman" w:hAnsi="Times New Roman" w:cs="Times New Roman"/>
          <w:sz w:val="28"/>
          <w:szCs w:val="28"/>
        </w:rPr>
        <w:t xml:space="preserve"> evidente il contrasto che emerge, da un </w:t>
      </w:r>
      <w:r>
        <w:rPr>
          <w:rFonts w:ascii="Times New Roman" w:hAnsi="Times New Roman" w:cs="Times New Roman"/>
          <w:sz w:val="28"/>
          <w:szCs w:val="28"/>
        </w:rPr>
        <w:t>lato,</w:t>
      </w:r>
      <w:r w:rsidR="008912BC">
        <w:rPr>
          <w:rFonts w:ascii="Times New Roman" w:hAnsi="Times New Roman" w:cs="Times New Roman"/>
          <w:sz w:val="28"/>
          <w:szCs w:val="28"/>
        </w:rPr>
        <w:t xml:space="preserve"> tra l’esigenza di disporre di un’ingente mole di dati ai fini dello sviluppo di sistemi di intelligenza artificiale, e, dall’altro, la necessità di conservare il principio di proporzionalità e di minimizzazione dettato dal Regolamento 679/2016</w:t>
      </w:r>
      <w:r w:rsidR="006622C2">
        <w:rPr>
          <w:rFonts w:ascii="Times New Roman" w:hAnsi="Times New Roman" w:cs="Times New Roman"/>
          <w:sz w:val="28"/>
          <w:szCs w:val="28"/>
        </w:rPr>
        <w:t>,</w:t>
      </w:r>
      <w:r w:rsidR="008912BC">
        <w:rPr>
          <w:rFonts w:ascii="Times New Roman" w:hAnsi="Times New Roman" w:cs="Times New Roman"/>
          <w:sz w:val="28"/>
          <w:szCs w:val="28"/>
        </w:rPr>
        <w:t xml:space="preserve"> secondo cui il trattamento dovrebbe avere ad oggetto soltanto i dati strettamente necessari e pertinenti rispetto alle finalit</w:t>
      </w:r>
      <w:r w:rsidR="006117F6">
        <w:rPr>
          <w:rFonts w:ascii="Times New Roman" w:hAnsi="Times New Roman" w:cs="Times New Roman"/>
          <w:sz w:val="28"/>
          <w:szCs w:val="28"/>
        </w:rPr>
        <w:t xml:space="preserve">à perseguite. </w:t>
      </w:r>
    </w:p>
    <w:p w14:paraId="2573BC6B" w14:textId="77777777" w:rsidR="006622C2" w:rsidRDefault="006117F6" w:rsidP="005164D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Tale tensione impone necessariamente un bilanciamento di interessi</w:t>
      </w:r>
      <w:r w:rsidR="006622C2">
        <w:rPr>
          <w:rFonts w:ascii="Times New Roman" w:hAnsi="Times New Roman" w:cs="Times New Roman"/>
          <w:sz w:val="28"/>
          <w:szCs w:val="28"/>
        </w:rPr>
        <w:t>,</w:t>
      </w:r>
      <w:r>
        <w:rPr>
          <w:rFonts w:ascii="Times New Roman" w:hAnsi="Times New Roman" w:cs="Times New Roman"/>
          <w:sz w:val="28"/>
          <w:szCs w:val="28"/>
        </w:rPr>
        <w:t xml:space="preserve"> che vede contrapposti il diritto alla protezione dei dati personali e l’esigenza di disporre dei dati personali per sviluppare le applicazioni di intelligenza artificiale.</w:t>
      </w:r>
      <w:r w:rsidR="00CD1276">
        <w:rPr>
          <w:rFonts w:ascii="Times New Roman" w:hAnsi="Times New Roman" w:cs="Times New Roman"/>
          <w:sz w:val="28"/>
          <w:szCs w:val="28"/>
        </w:rPr>
        <w:t xml:space="preserve"> </w:t>
      </w:r>
    </w:p>
    <w:p w14:paraId="5833B7F3" w14:textId="77777777" w:rsidR="006622C2" w:rsidRDefault="00CD1276" w:rsidP="005164D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Ci si è chiesti</w:t>
      </w:r>
      <w:r w:rsidR="00F566DC">
        <w:rPr>
          <w:rStyle w:val="Rimandonotaapidipagina"/>
          <w:rFonts w:ascii="Times New Roman" w:hAnsi="Times New Roman" w:cs="Times New Roman"/>
          <w:sz w:val="28"/>
          <w:szCs w:val="28"/>
        </w:rPr>
        <w:footnoteReference w:id="66"/>
      </w:r>
      <w:r w:rsidR="00F566DC">
        <w:rPr>
          <w:rFonts w:ascii="Times New Roman" w:hAnsi="Times New Roman" w:cs="Times New Roman"/>
          <w:sz w:val="28"/>
          <w:szCs w:val="28"/>
        </w:rPr>
        <w:t xml:space="preserve"> </w:t>
      </w:r>
      <w:r w:rsidRPr="00CD1276">
        <w:rPr>
          <w:rFonts w:ascii="Times New Roman" w:hAnsi="Times New Roman" w:cs="Times New Roman"/>
          <w:sz w:val="28"/>
          <w:szCs w:val="28"/>
        </w:rPr>
        <w:t>se il titolare</w:t>
      </w:r>
      <w:r>
        <w:rPr>
          <w:rFonts w:ascii="Times New Roman" w:hAnsi="Times New Roman" w:cs="Times New Roman"/>
          <w:sz w:val="28"/>
          <w:szCs w:val="28"/>
        </w:rPr>
        <w:t xml:space="preserve"> del trattamento (c</w:t>
      </w:r>
      <w:r w:rsidR="00D9249A">
        <w:rPr>
          <w:rFonts w:ascii="Times New Roman" w:hAnsi="Times New Roman" w:cs="Times New Roman"/>
          <w:sz w:val="28"/>
          <w:szCs w:val="28"/>
        </w:rPr>
        <w:t>.</w:t>
      </w:r>
      <w:r>
        <w:rPr>
          <w:rFonts w:ascii="Times New Roman" w:hAnsi="Times New Roman" w:cs="Times New Roman"/>
          <w:sz w:val="28"/>
          <w:szCs w:val="28"/>
        </w:rPr>
        <w:t>d</w:t>
      </w:r>
      <w:r w:rsidR="00D9249A">
        <w:rPr>
          <w:rFonts w:ascii="Times New Roman" w:hAnsi="Times New Roman" w:cs="Times New Roman"/>
          <w:sz w:val="28"/>
          <w:szCs w:val="28"/>
        </w:rPr>
        <w:t>.</w:t>
      </w:r>
      <w:r>
        <w:rPr>
          <w:rFonts w:ascii="Times New Roman" w:hAnsi="Times New Roman" w:cs="Times New Roman"/>
          <w:sz w:val="28"/>
          <w:szCs w:val="28"/>
        </w:rPr>
        <w:t xml:space="preserve"> “</w:t>
      </w:r>
      <w:r w:rsidRPr="00BC135C">
        <w:rPr>
          <w:rFonts w:ascii="Times New Roman" w:hAnsi="Times New Roman" w:cs="Times New Roman"/>
          <w:i/>
          <w:iCs/>
          <w:sz w:val="28"/>
          <w:szCs w:val="28"/>
        </w:rPr>
        <w:t>controller</w:t>
      </w:r>
      <w:r>
        <w:rPr>
          <w:rFonts w:ascii="Times New Roman" w:hAnsi="Times New Roman" w:cs="Times New Roman"/>
          <w:sz w:val="28"/>
          <w:szCs w:val="28"/>
        </w:rPr>
        <w:t>”) possa essere la stessa applicazione di intelligenza artificiale, o se si preferisce, il robot.</w:t>
      </w:r>
      <w:r w:rsidR="00F566DC">
        <w:rPr>
          <w:rFonts w:ascii="Times New Roman" w:hAnsi="Times New Roman" w:cs="Times New Roman"/>
          <w:sz w:val="28"/>
          <w:szCs w:val="28"/>
        </w:rPr>
        <w:t xml:space="preserve"> </w:t>
      </w:r>
    </w:p>
    <w:p w14:paraId="0266CFE2" w14:textId="449B12CB" w:rsidR="008912BC" w:rsidRDefault="00CD1276" w:rsidP="005164D5">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La definizione di titolare del trattamento contenuta nel Regolamento </w:t>
      </w:r>
      <w:r w:rsidR="00F566DC">
        <w:rPr>
          <w:rFonts w:ascii="Times New Roman" w:hAnsi="Times New Roman" w:cs="Times New Roman"/>
          <w:sz w:val="28"/>
          <w:szCs w:val="28"/>
        </w:rPr>
        <w:t>(</w:t>
      </w:r>
      <w:r w:rsidR="006622C2">
        <w:rPr>
          <w:rFonts w:ascii="Times New Roman" w:hAnsi="Times New Roman" w:cs="Times New Roman"/>
          <w:sz w:val="28"/>
          <w:szCs w:val="28"/>
        </w:rPr>
        <w:t>a</w:t>
      </w:r>
      <w:r>
        <w:rPr>
          <w:rFonts w:ascii="Times New Roman" w:hAnsi="Times New Roman" w:cs="Times New Roman"/>
          <w:sz w:val="28"/>
          <w:szCs w:val="28"/>
        </w:rPr>
        <w:t>rt.</w:t>
      </w:r>
      <w:r w:rsidR="00F566DC">
        <w:rPr>
          <w:rFonts w:ascii="Times New Roman" w:hAnsi="Times New Roman" w:cs="Times New Roman"/>
          <w:sz w:val="28"/>
          <w:szCs w:val="28"/>
        </w:rPr>
        <w:t xml:space="preserve"> </w:t>
      </w:r>
      <w:r>
        <w:rPr>
          <w:rFonts w:ascii="Times New Roman" w:hAnsi="Times New Roman" w:cs="Times New Roman"/>
          <w:sz w:val="28"/>
          <w:szCs w:val="28"/>
        </w:rPr>
        <w:t>4</w:t>
      </w:r>
      <w:r w:rsidR="006622C2">
        <w:rPr>
          <w:rFonts w:ascii="Times New Roman" w:hAnsi="Times New Roman" w:cs="Times New Roman"/>
          <w:sz w:val="28"/>
          <w:szCs w:val="28"/>
        </w:rPr>
        <w:t>,</w:t>
      </w:r>
      <w:r>
        <w:rPr>
          <w:rFonts w:ascii="Times New Roman" w:hAnsi="Times New Roman" w:cs="Times New Roman"/>
          <w:sz w:val="28"/>
          <w:szCs w:val="28"/>
        </w:rPr>
        <w:t xml:space="preserve"> n.</w:t>
      </w:r>
      <w:r w:rsidR="00F566DC">
        <w:rPr>
          <w:rFonts w:ascii="Times New Roman" w:hAnsi="Times New Roman" w:cs="Times New Roman"/>
          <w:sz w:val="28"/>
          <w:szCs w:val="28"/>
        </w:rPr>
        <w:t xml:space="preserve"> </w:t>
      </w:r>
      <w:r>
        <w:rPr>
          <w:rFonts w:ascii="Times New Roman" w:hAnsi="Times New Roman" w:cs="Times New Roman"/>
          <w:sz w:val="28"/>
          <w:szCs w:val="28"/>
        </w:rPr>
        <w:t>7</w:t>
      </w:r>
      <w:r w:rsidR="00F566DC">
        <w:rPr>
          <w:rFonts w:ascii="Times New Roman" w:hAnsi="Times New Roman" w:cs="Times New Roman"/>
          <w:sz w:val="28"/>
          <w:szCs w:val="28"/>
        </w:rPr>
        <w:t>)</w:t>
      </w:r>
      <w:r>
        <w:rPr>
          <w:rFonts w:ascii="Times New Roman" w:hAnsi="Times New Roman" w:cs="Times New Roman"/>
          <w:sz w:val="28"/>
          <w:szCs w:val="28"/>
        </w:rPr>
        <w:t xml:space="preserve"> indica che il titolare debba essere una persona giuridica o fisica o,</w:t>
      </w:r>
      <w:r w:rsidR="00BC135C">
        <w:rPr>
          <w:rFonts w:ascii="Times New Roman" w:hAnsi="Times New Roman" w:cs="Times New Roman"/>
          <w:sz w:val="28"/>
          <w:szCs w:val="28"/>
        </w:rPr>
        <w:t xml:space="preserve"> </w:t>
      </w:r>
      <w:r>
        <w:rPr>
          <w:rFonts w:ascii="Times New Roman" w:hAnsi="Times New Roman" w:cs="Times New Roman"/>
          <w:sz w:val="28"/>
          <w:szCs w:val="28"/>
        </w:rPr>
        <w:t xml:space="preserve">comunque, </w:t>
      </w:r>
      <w:r w:rsidR="008D470E">
        <w:rPr>
          <w:rFonts w:ascii="Times New Roman" w:hAnsi="Times New Roman" w:cs="Times New Roman"/>
          <w:sz w:val="28"/>
          <w:szCs w:val="28"/>
        </w:rPr>
        <w:t>soggetto giuridico (“</w:t>
      </w:r>
      <w:r w:rsidR="008D470E" w:rsidRPr="008D470E">
        <w:rPr>
          <w:rFonts w:ascii="Times New Roman" w:hAnsi="Times New Roman" w:cs="Times New Roman"/>
          <w:i/>
          <w:iCs/>
          <w:sz w:val="28"/>
          <w:szCs w:val="28"/>
        </w:rPr>
        <w:t>Il titolare del trattamento è la persona fisica o giuridica, l’autorità pubblica, il servizio o altro organismo che, singolarmente o insieme ad altri, determini la finalità e i mezzi di trattamento dei dati personali”</w:t>
      </w:r>
      <w:r w:rsidR="008D470E" w:rsidRPr="00D9249A">
        <w:rPr>
          <w:rFonts w:ascii="Times New Roman" w:hAnsi="Times New Roman" w:cs="Times New Roman"/>
          <w:sz w:val="28"/>
          <w:szCs w:val="28"/>
        </w:rPr>
        <w:t>).</w:t>
      </w:r>
    </w:p>
    <w:p w14:paraId="498658BB" w14:textId="7306A5F3" w:rsidR="008D470E" w:rsidRDefault="008D470E" w:rsidP="006622C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Se l’applicazione non ha soggettività giuridica, evidentemente non può essere titolare. Ma l’attribuzione di soggettività giuridica deve corrispondere ad una precisa e </w:t>
      </w:r>
      <w:r>
        <w:rPr>
          <w:rFonts w:ascii="Times New Roman" w:hAnsi="Times New Roman" w:cs="Times New Roman"/>
          <w:sz w:val="28"/>
          <w:szCs w:val="28"/>
        </w:rPr>
        <w:lastRenderedPageBreak/>
        <w:t xml:space="preserve">consapevole scelta metodologica e fondare un nuovo approccio al tema della responsabilità. </w:t>
      </w:r>
    </w:p>
    <w:p w14:paraId="61194F7D" w14:textId="2ED5F390" w:rsidR="008D470E" w:rsidRDefault="008D470E" w:rsidP="006622C2">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Ai sensi dell’art.</w:t>
      </w:r>
      <w:r w:rsidR="00F566DC">
        <w:rPr>
          <w:rFonts w:ascii="Times New Roman" w:hAnsi="Times New Roman" w:cs="Times New Roman"/>
          <w:sz w:val="28"/>
          <w:szCs w:val="28"/>
        </w:rPr>
        <w:t xml:space="preserve"> </w:t>
      </w:r>
      <w:r>
        <w:rPr>
          <w:rFonts w:ascii="Times New Roman" w:hAnsi="Times New Roman" w:cs="Times New Roman"/>
          <w:sz w:val="28"/>
          <w:szCs w:val="28"/>
        </w:rPr>
        <w:t>4</w:t>
      </w:r>
      <w:r w:rsidR="006622C2">
        <w:rPr>
          <w:rFonts w:ascii="Times New Roman" w:hAnsi="Times New Roman" w:cs="Times New Roman"/>
          <w:sz w:val="28"/>
          <w:szCs w:val="28"/>
        </w:rPr>
        <w:t>,</w:t>
      </w:r>
      <w:r>
        <w:rPr>
          <w:rFonts w:ascii="Times New Roman" w:hAnsi="Times New Roman" w:cs="Times New Roman"/>
          <w:sz w:val="28"/>
          <w:szCs w:val="28"/>
        </w:rPr>
        <w:t xml:space="preserve"> n.</w:t>
      </w:r>
      <w:r w:rsidR="00F566DC">
        <w:rPr>
          <w:rFonts w:ascii="Times New Roman" w:hAnsi="Times New Roman" w:cs="Times New Roman"/>
          <w:sz w:val="28"/>
          <w:szCs w:val="28"/>
        </w:rPr>
        <w:t xml:space="preserve"> </w:t>
      </w:r>
      <w:r>
        <w:rPr>
          <w:rFonts w:ascii="Times New Roman" w:hAnsi="Times New Roman" w:cs="Times New Roman"/>
          <w:sz w:val="28"/>
          <w:szCs w:val="28"/>
        </w:rPr>
        <w:t xml:space="preserve">8 del </w:t>
      </w:r>
      <w:r w:rsidR="00D9249A">
        <w:rPr>
          <w:rFonts w:ascii="Times New Roman" w:hAnsi="Times New Roman" w:cs="Times New Roman"/>
          <w:sz w:val="28"/>
          <w:szCs w:val="28"/>
        </w:rPr>
        <w:t>GDPR</w:t>
      </w:r>
      <w:r w:rsidR="006622C2">
        <w:rPr>
          <w:rFonts w:ascii="Times New Roman" w:hAnsi="Times New Roman" w:cs="Times New Roman"/>
          <w:sz w:val="28"/>
          <w:szCs w:val="28"/>
        </w:rPr>
        <w:t>,</w:t>
      </w:r>
      <w:r>
        <w:rPr>
          <w:rFonts w:ascii="Times New Roman" w:hAnsi="Times New Roman" w:cs="Times New Roman"/>
          <w:sz w:val="28"/>
          <w:szCs w:val="28"/>
        </w:rPr>
        <w:t xml:space="preserve"> il responsabile del trattamento (c</w:t>
      </w:r>
      <w:r w:rsidR="00D9249A">
        <w:rPr>
          <w:rFonts w:ascii="Times New Roman" w:hAnsi="Times New Roman" w:cs="Times New Roman"/>
          <w:sz w:val="28"/>
          <w:szCs w:val="28"/>
        </w:rPr>
        <w:t>.</w:t>
      </w:r>
      <w:r>
        <w:rPr>
          <w:rFonts w:ascii="Times New Roman" w:hAnsi="Times New Roman" w:cs="Times New Roman"/>
          <w:sz w:val="28"/>
          <w:szCs w:val="28"/>
        </w:rPr>
        <w:t>d</w:t>
      </w:r>
      <w:r w:rsidR="00D9249A">
        <w:rPr>
          <w:rFonts w:ascii="Times New Roman" w:hAnsi="Times New Roman" w:cs="Times New Roman"/>
          <w:sz w:val="28"/>
          <w:szCs w:val="28"/>
        </w:rPr>
        <w:t xml:space="preserve">. </w:t>
      </w:r>
      <w:r>
        <w:rPr>
          <w:rFonts w:ascii="Times New Roman" w:hAnsi="Times New Roman" w:cs="Times New Roman"/>
          <w:sz w:val="28"/>
          <w:szCs w:val="28"/>
        </w:rPr>
        <w:t>“</w:t>
      </w:r>
      <w:r w:rsidRPr="008D470E">
        <w:rPr>
          <w:rFonts w:ascii="Times New Roman" w:hAnsi="Times New Roman" w:cs="Times New Roman"/>
          <w:i/>
          <w:iCs/>
          <w:sz w:val="28"/>
          <w:szCs w:val="28"/>
        </w:rPr>
        <w:t>processor</w:t>
      </w:r>
      <w:r>
        <w:rPr>
          <w:rFonts w:ascii="Times New Roman" w:hAnsi="Times New Roman" w:cs="Times New Roman"/>
          <w:sz w:val="28"/>
          <w:szCs w:val="28"/>
        </w:rPr>
        <w:t xml:space="preserve">”) è </w:t>
      </w:r>
      <w:r w:rsidRPr="001E5540">
        <w:rPr>
          <w:rFonts w:ascii="Times New Roman" w:hAnsi="Times New Roman" w:cs="Times New Roman"/>
          <w:sz w:val="28"/>
          <w:szCs w:val="28"/>
        </w:rPr>
        <w:t>“</w:t>
      </w:r>
      <w:r w:rsidRPr="008D470E">
        <w:rPr>
          <w:rFonts w:ascii="Times New Roman" w:hAnsi="Times New Roman" w:cs="Times New Roman"/>
          <w:i/>
          <w:iCs/>
          <w:sz w:val="28"/>
          <w:szCs w:val="28"/>
        </w:rPr>
        <w:t>la persona fisica o giuridica, o l’autorità pubblica, il servizio o altro organismo che tratta dati personali per conto del titolare del trattamento</w:t>
      </w:r>
      <w:r w:rsidRPr="001E5540">
        <w:rPr>
          <w:rFonts w:ascii="Times New Roman" w:hAnsi="Times New Roman" w:cs="Times New Roman"/>
          <w:sz w:val="28"/>
          <w:szCs w:val="28"/>
        </w:rPr>
        <w:t>”.</w:t>
      </w:r>
    </w:p>
    <w:p w14:paraId="390CE497" w14:textId="0F9A72EF" w:rsidR="00577A0B" w:rsidRDefault="008D470E" w:rsidP="006622C2">
      <w:pPr>
        <w:tabs>
          <w:tab w:val="left" w:pos="8364"/>
        </w:tabs>
        <w:spacing w:after="0"/>
        <w:jc w:val="both"/>
        <w:rPr>
          <w:rFonts w:ascii="Times New Roman" w:hAnsi="Times New Roman" w:cs="Times New Roman"/>
          <w:sz w:val="28"/>
          <w:szCs w:val="28"/>
        </w:rPr>
      </w:pPr>
      <w:r w:rsidRPr="008D470E">
        <w:rPr>
          <w:rFonts w:ascii="Times New Roman" w:hAnsi="Times New Roman" w:cs="Times New Roman"/>
          <w:sz w:val="28"/>
          <w:szCs w:val="28"/>
        </w:rPr>
        <w:t xml:space="preserve">Se </w:t>
      </w:r>
      <w:r>
        <w:rPr>
          <w:rFonts w:ascii="Times New Roman" w:hAnsi="Times New Roman" w:cs="Times New Roman"/>
          <w:sz w:val="28"/>
          <w:szCs w:val="28"/>
        </w:rPr>
        <w:t xml:space="preserve">all’applicazione non viene attribuita una disponibilità economica e se non viene </w:t>
      </w:r>
      <w:r w:rsidR="00295270">
        <w:rPr>
          <w:rFonts w:ascii="Times New Roman" w:hAnsi="Times New Roman" w:cs="Times New Roman"/>
          <w:sz w:val="28"/>
          <w:szCs w:val="28"/>
        </w:rPr>
        <w:t>ridisegnato un regime di responsabilità che prescinda da elementi soggettivi, evidentemente non riferibili all’applicazione, l’attribuzione di soggettività giuridica alle applicazioni</w:t>
      </w:r>
      <w:r w:rsidR="00BC135C">
        <w:rPr>
          <w:rFonts w:ascii="Times New Roman" w:hAnsi="Times New Roman" w:cs="Times New Roman"/>
          <w:sz w:val="28"/>
          <w:szCs w:val="28"/>
        </w:rPr>
        <w:t xml:space="preserve"> di intelligenza artificiale e ai robot</w:t>
      </w:r>
      <w:r w:rsidR="00D9249A">
        <w:rPr>
          <w:rFonts w:ascii="Times New Roman" w:hAnsi="Times New Roman" w:cs="Times New Roman"/>
          <w:sz w:val="28"/>
          <w:szCs w:val="28"/>
        </w:rPr>
        <w:t xml:space="preserve"> d</w:t>
      </w:r>
      <w:r w:rsidR="00BC135C">
        <w:rPr>
          <w:rFonts w:ascii="Times New Roman" w:hAnsi="Times New Roman" w:cs="Times New Roman"/>
          <w:sz w:val="28"/>
          <w:szCs w:val="28"/>
        </w:rPr>
        <w:t>iviene un atto non qualificabile giuridicamente.</w:t>
      </w:r>
      <w:r w:rsidR="00466557">
        <w:rPr>
          <w:rFonts w:ascii="Times New Roman" w:hAnsi="Times New Roman" w:cs="Times New Roman"/>
          <w:sz w:val="28"/>
          <w:szCs w:val="28"/>
        </w:rPr>
        <w:t xml:space="preserve"> Lo stesso argomento si può svolgere per la designazione dei robot quale responsabile del trattamento. Anche in questo caso la designazione del robot quale responsabile richiede la soggettività giuridica del </w:t>
      </w:r>
      <w:r w:rsidR="00F566DC">
        <w:rPr>
          <w:rFonts w:ascii="Times New Roman" w:hAnsi="Times New Roman" w:cs="Times New Roman"/>
          <w:sz w:val="28"/>
          <w:szCs w:val="28"/>
        </w:rPr>
        <w:t>medesimo,</w:t>
      </w:r>
      <w:r w:rsidR="00466557">
        <w:rPr>
          <w:rFonts w:ascii="Times New Roman" w:hAnsi="Times New Roman" w:cs="Times New Roman"/>
          <w:sz w:val="28"/>
          <w:szCs w:val="28"/>
        </w:rPr>
        <w:t xml:space="preserve"> soggettività che non può essere</w:t>
      </w:r>
      <w:r w:rsidR="006622C2">
        <w:rPr>
          <w:rFonts w:ascii="Times New Roman" w:hAnsi="Times New Roman" w:cs="Times New Roman"/>
          <w:sz w:val="28"/>
          <w:szCs w:val="28"/>
        </w:rPr>
        <w:t>,</w:t>
      </w:r>
      <w:r w:rsidR="00466557">
        <w:rPr>
          <w:rFonts w:ascii="Times New Roman" w:hAnsi="Times New Roman" w:cs="Times New Roman"/>
          <w:sz w:val="28"/>
          <w:szCs w:val="28"/>
        </w:rPr>
        <w:t xml:space="preserve"> tuttavia</w:t>
      </w:r>
      <w:r w:rsidR="006622C2">
        <w:rPr>
          <w:rFonts w:ascii="Times New Roman" w:hAnsi="Times New Roman" w:cs="Times New Roman"/>
          <w:sz w:val="28"/>
          <w:szCs w:val="28"/>
        </w:rPr>
        <w:t>,</w:t>
      </w:r>
      <w:r w:rsidR="00466557">
        <w:rPr>
          <w:rFonts w:ascii="Times New Roman" w:hAnsi="Times New Roman" w:cs="Times New Roman"/>
          <w:sz w:val="28"/>
          <w:szCs w:val="28"/>
        </w:rPr>
        <w:t xml:space="preserve"> fine a sé stessa</w:t>
      </w:r>
      <w:r w:rsidR="00577A0B">
        <w:rPr>
          <w:rFonts w:ascii="Times New Roman" w:hAnsi="Times New Roman" w:cs="Times New Roman"/>
          <w:sz w:val="28"/>
          <w:szCs w:val="28"/>
        </w:rPr>
        <w:t>, ma che si deve inserire in un nuovo modello di responsabilità.</w:t>
      </w:r>
    </w:p>
    <w:p w14:paraId="3337EF93" w14:textId="77777777" w:rsidR="006622C2" w:rsidRDefault="006622C2" w:rsidP="006622C2">
      <w:pPr>
        <w:tabs>
          <w:tab w:val="left" w:pos="8364"/>
        </w:tabs>
        <w:spacing w:after="0"/>
        <w:jc w:val="both"/>
        <w:rPr>
          <w:rFonts w:ascii="Times New Roman" w:hAnsi="Times New Roman" w:cs="Times New Roman"/>
          <w:sz w:val="28"/>
          <w:szCs w:val="28"/>
        </w:rPr>
      </w:pPr>
    </w:p>
    <w:p w14:paraId="76CD8878" w14:textId="35BA3E88" w:rsidR="006622C2" w:rsidRDefault="00577A0B" w:rsidP="006622C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Chi è il soggetto responsabile nel caso di danni cagionati da un’applicazione di intelligenza artificiale?</w:t>
      </w:r>
      <w:r w:rsidR="00BC3B0F">
        <w:rPr>
          <w:rStyle w:val="Rimandonotaapidipagina"/>
          <w:rFonts w:ascii="Times New Roman" w:hAnsi="Times New Roman" w:cs="Times New Roman"/>
          <w:sz w:val="28"/>
          <w:szCs w:val="28"/>
        </w:rPr>
        <w:footnoteReference w:id="67"/>
      </w:r>
      <w:r>
        <w:rPr>
          <w:rFonts w:ascii="Times New Roman" w:hAnsi="Times New Roman" w:cs="Times New Roman"/>
          <w:sz w:val="28"/>
          <w:szCs w:val="28"/>
        </w:rPr>
        <w:t xml:space="preserve"> </w:t>
      </w:r>
      <w:r w:rsidR="00D9249A">
        <w:rPr>
          <w:rFonts w:ascii="Times New Roman" w:hAnsi="Times New Roman" w:cs="Times New Roman"/>
          <w:sz w:val="28"/>
          <w:szCs w:val="28"/>
        </w:rPr>
        <w:t>In particolare,</w:t>
      </w:r>
      <w:r>
        <w:rPr>
          <w:rFonts w:ascii="Times New Roman" w:hAnsi="Times New Roman" w:cs="Times New Roman"/>
          <w:sz w:val="28"/>
          <w:szCs w:val="28"/>
        </w:rPr>
        <w:t xml:space="preserve"> l’attenzione si focalizza sui casi in cui l’esito dell’elaborazione effettuata dalla applicazione di intelligenza artificiale non sia del tutto controllabile a priori e sia caratterizzato da un certo grado di imprevedibilità: non </w:t>
      </w:r>
      <w:r w:rsidR="006B52A5">
        <w:rPr>
          <w:rFonts w:ascii="Times New Roman" w:hAnsi="Times New Roman" w:cs="Times New Roman"/>
          <w:sz w:val="28"/>
          <w:szCs w:val="28"/>
        </w:rPr>
        <w:t>sia, cioè</w:t>
      </w:r>
      <w:r>
        <w:rPr>
          <w:rFonts w:ascii="Times New Roman" w:hAnsi="Times New Roman" w:cs="Times New Roman"/>
          <w:sz w:val="28"/>
          <w:szCs w:val="28"/>
        </w:rPr>
        <w:t xml:space="preserve">, un processo deterministico, ma sia caratterizzato da una certa autonomia elaborativa. </w:t>
      </w:r>
    </w:p>
    <w:p w14:paraId="5AC0C312" w14:textId="03EEAF73" w:rsidR="008D470E" w:rsidRPr="006A71BB" w:rsidRDefault="00577A0B" w:rsidP="006622C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 discute se sia l’autore del programma, il produttore, il venditore o l’utilizzatore che ne trae vantaggio. Nella consapevolezza che ogni fenomeno nuovo richiede nuove norme, il tema della responsabilità nelle applicazioni di intelligenza artificiale richiede un approccio nuovo </w:t>
      </w:r>
      <w:r w:rsidRPr="006A71BB">
        <w:rPr>
          <w:rFonts w:ascii="Times New Roman" w:hAnsi="Times New Roman" w:cs="Times New Roman"/>
          <w:sz w:val="28"/>
          <w:szCs w:val="28"/>
        </w:rPr>
        <w:t>e basato su un modello concettuale differente, per rubare un termine alla tecnologia</w:t>
      </w:r>
      <w:r w:rsidR="005D10F9" w:rsidRPr="006A71BB">
        <w:rPr>
          <w:rFonts w:ascii="Times New Roman" w:hAnsi="Times New Roman" w:cs="Times New Roman"/>
          <w:sz w:val="28"/>
          <w:szCs w:val="28"/>
        </w:rPr>
        <w:t>,</w:t>
      </w:r>
      <w:r w:rsidRPr="006A71BB">
        <w:rPr>
          <w:rFonts w:ascii="Times New Roman" w:hAnsi="Times New Roman" w:cs="Times New Roman"/>
          <w:sz w:val="28"/>
          <w:szCs w:val="28"/>
        </w:rPr>
        <w:t xml:space="preserve"> “</w:t>
      </w:r>
      <w:r w:rsidRPr="006622C2">
        <w:rPr>
          <w:rFonts w:ascii="Times New Roman" w:hAnsi="Times New Roman" w:cs="Times New Roman"/>
          <w:i/>
          <w:iCs/>
          <w:sz w:val="28"/>
          <w:szCs w:val="28"/>
        </w:rPr>
        <w:t>disruptive</w:t>
      </w:r>
      <w:r w:rsidRPr="006A71BB">
        <w:rPr>
          <w:rFonts w:ascii="Times New Roman" w:hAnsi="Times New Roman" w:cs="Times New Roman"/>
          <w:sz w:val="28"/>
          <w:szCs w:val="28"/>
        </w:rPr>
        <w:t>”.</w:t>
      </w:r>
    </w:p>
    <w:p w14:paraId="6F6127A9" w14:textId="5DF62783" w:rsidR="00646BC9" w:rsidRPr="006A71BB" w:rsidRDefault="00646BC9" w:rsidP="006622C2">
      <w:pPr>
        <w:tabs>
          <w:tab w:val="left" w:pos="8364"/>
        </w:tabs>
        <w:spacing w:after="0"/>
        <w:jc w:val="both"/>
        <w:rPr>
          <w:rFonts w:ascii="Times New Roman" w:hAnsi="Times New Roman" w:cs="Times New Roman"/>
          <w:sz w:val="28"/>
          <w:szCs w:val="28"/>
        </w:rPr>
      </w:pPr>
      <w:r w:rsidRPr="006A71BB">
        <w:rPr>
          <w:rFonts w:ascii="Times New Roman" w:hAnsi="Times New Roman" w:cs="Times New Roman"/>
          <w:sz w:val="28"/>
          <w:szCs w:val="28"/>
        </w:rPr>
        <w:t>Occorre superare il paradigma basato sull’errore e sulla colpa e, invece, affrontare il tema sotto il profilo dell’</w:t>
      </w:r>
      <w:r w:rsidR="006B52A5" w:rsidRPr="006A71BB">
        <w:rPr>
          <w:rFonts w:ascii="Times New Roman" w:hAnsi="Times New Roman" w:cs="Times New Roman"/>
          <w:sz w:val="28"/>
          <w:szCs w:val="28"/>
        </w:rPr>
        <w:t>“</w:t>
      </w:r>
      <w:r w:rsidRPr="006A71BB">
        <w:rPr>
          <w:rFonts w:ascii="Times New Roman" w:hAnsi="Times New Roman" w:cs="Times New Roman"/>
          <w:sz w:val="28"/>
          <w:szCs w:val="28"/>
        </w:rPr>
        <w:t>allocazione del rischio”.</w:t>
      </w:r>
    </w:p>
    <w:p w14:paraId="25D9B4C9" w14:textId="2BF93F43" w:rsidR="006622C2" w:rsidRDefault="0089587F" w:rsidP="006622C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Occorre prevedere meccanismi di allocazione del costo del danno cagionato su quei soggetti che astrattamente potrebbero essere responsabili, ad esempio, mediante la </w:t>
      </w:r>
      <w:r>
        <w:rPr>
          <w:rFonts w:ascii="Times New Roman" w:hAnsi="Times New Roman" w:cs="Times New Roman"/>
          <w:sz w:val="28"/>
          <w:szCs w:val="28"/>
        </w:rPr>
        <w:lastRenderedPageBreak/>
        <w:t>costituzione di un fondo al quale attingere, prescindendo dall’individuazione delle modalità dell’incidente o dell’errore.</w:t>
      </w:r>
    </w:p>
    <w:p w14:paraId="70DBB86B" w14:textId="77777777" w:rsidR="005C5207" w:rsidRDefault="0089587F" w:rsidP="006622C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Analogo meccanismo è stato previsto nel circuito delle carte di credito, per il caso di danneggiamento o furto. </w:t>
      </w:r>
    </w:p>
    <w:p w14:paraId="5B7653E1" w14:textId="77777777" w:rsidR="005C5207" w:rsidRDefault="0089587F" w:rsidP="006622C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Uno degli obiettivi perseguiti con questo tipo di sistema di allocazione del rischio è immediatamente evidente ed è quello di rassicurare i potenziali utilizzatori sul fatto che, </w:t>
      </w:r>
      <w:r w:rsidR="00E77CD7">
        <w:rPr>
          <w:rFonts w:ascii="Times New Roman" w:hAnsi="Times New Roman" w:cs="Times New Roman"/>
          <w:sz w:val="28"/>
          <w:szCs w:val="28"/>
        </w:rPr>
        <w:t xml:space="preserve">a prescindere dagli esiti di una costosa ricerca dell’errore, otterranno un risarcimento. </w:t>
      </w:r>
    </w:p>
    <w:p w14:paraId="3A62FB18" w14:textId="60C44B0A" w:rsidR="0089587F" w:rsidRDefault="00E77CD7" w:rsidP="006622C2">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A tal proposito</w:t>
      </w:r>
      <w:r w:rsidR="005C5207">
        <w:rPr>
          <w:rFonts w:ascii="Times New Roman" w:hAnsi="Times New Roman" w:cs="Times New Roman"/>
          <w:sz w:val="28"/>
          <w:szCs w:val="28"/>
        </w:rPr>
        <w:t xml:space="preserve">, </w:t>
      </w:r>
      <w:r>
        <w:rPr>
          <w:rFonts w:ascii="Times New Roman" w:hAnsi="Times New Roman" w:cs="Times New Roman"/>
          <w:sz w:val="28"/>
          <w:szCs w:val="28"/>
        </w:rPr>
        <w:t>è stata significativa la Risoluzione del Parlamento Europeo del 16</w:t>
      </w:r>
      <w:r w:rsidR="005C5207">
        <w:rPr>
          <w:rFonts w:ascii="Times New Roman" w:hAnsi="Times New Roman" w:cs="Times New Roman"/>
          <w:sz w:val="28"/>
          <w:szCs w:val="28"/>
        </w:rPr>
        <w:t xml:space="preserve"> febbraio </w:t>
      </w:r>
      <w:r>
        <w:rPr>
          <w:rFonts w:ascii="Times New Roman" w:hAnsi="Times New Roman" w:cs="Times New Roman"/>
          <w:sz w:val="28"/>
          <w:szCs w:val="28"/>
        </w:rPr>
        <w:t>2017</w:t>
      </w:r>
      <w:r w:rsidR="005C5207">
        <w:rPr>
          <w:rFonts w:ascii="Times New Roman" w:hAnsi="Times New Roman" w:cs="Times New Roman"/>
          <w:sz w:val="28"/>
          <w:szCs w:val="28"/>
        </w:rPr>
        <w:t xml:space="preserve"> –</w:t>
      </w:r>
      <w:r>
        <w:rPr>
          <w:rFonts w:ascii="Times New Roman" w:hAnsi="Times New Roman" w:cs="Times New Roman"/>
          <w:sz w:val="28"/>
          <w:szCs w:val="28"/>
        </w:rPr>
        <w:t xml:space="preserve"> recante </w:t>
      </w:r>
      <w:r w:rsidR="004C1A3B">
        <w:rPr>
          <w:rFonts w:ascii="Times New Roman" w:hAnsi="Times New Roman" w:cs="Times New Roman"/>
          <w:sz w:val="28"/>
          <w:szCs w:val="28"/>
        </w:rPr>
        <w:t>raccomandazioni alla Commissione concernenti norme di diritto civile sulla robotica (2015/2103 INL</w:t>
      </w:r>
      <w:r w:rsidR="004A4F51">
        <w:rPr>
          <w:rFonts w:ascii="Times New Roman" w:hAnsi="Times New Roman" w:cs="Times New Roman"/>
          <w:sz w:val="28"/>
          <w:szCs w:val="28"/>
        </w:rPr>
        <w:t>)</w:t>
      </w:r>
      <w:r w:rsidR="005C5207">
        <w:rPr>
          <w:rFonts w:ascii="Times New Roman" w:hAnsi="Times New Roman" w:cs="Times New Roman"/>
          <w:sz w:val="28"/>
          <w:szCs w:val="28"/>
        </w:rPr>
        <w:t xml:space="preserve"> – </w:t>
      </w:r>
      <w:r w:rsidR="004A4F51">
        <w:rPr>
          <w:rFonts w:ascii="Times New Roman" w:hAnsi="Times New Roman" w:cs="Times New Roman"/>
          <w:sz w:val="28"/>
          <w:szCs w:val="28"/>
        </w:rPr>
        <w:t xml:space="preserve">ove la Commissione europea è invitata a valutare talune soluzioni giuridiche possibili in relazione al regime di responsabilità dei robot, tra cui </w:t>
      </w:r>
      <w:r w:rsidR="00D9249A">
        <w:rPr>
          <w:rFonts w:ascii="Times New Roman" w:hAnsi="Times New Roman" w:cs="Times New Roman"/>
          <w:sz w:val="28"/>
          <w:szCs w:val="28"/>
        </w:rPr>
        <w:t>«</w:t>
      </w:r>
      <w:r w:rsidR="004A4F51" w:rsidRPr="004A4F51">
        <w:rPr>
          <w:rFonts w:ascii="Times New Roman" w:hAnsi="Times New Roman" w:cs="Times New Roman"/>
          <w:i/>
          <w:iCs/>
          <w:sz w:val="28"/>
          <w:szCs w:val="28"/>
        </w:rPr>
        <w:t>l’istituzione di uno status giuridico</w:t>
      </w:r>
      <w:r w:rsidR="004A4F51">
        <w:rPr>
          <w:rFonts w:ascii="Times New Roman" w:hAnsi="Times New Roman" w:cs="Times New Roman"/>
          <w:i/>
          <w:iCs/>
          <w:sz w:val="28"/>
          <w:szCs w:val="28"/>
        </w:rPr>
        <w:t xml:space="preserve"> specifico per i robot nel lungo termine (</w:t>
      </w:r>
      <w:r w:rsidR="006B52A5">
        <w:rPr>
          <w:rFonts w:ascii="Times New Roman" w:hAnsi="Times New Roman" w:cs="Times New Roman"/>
          <w:i/>
          <w:iCs/>
          <w:sz w:val="28"/>
          <w:szCs w:val="28"/>
        </w:rPr>
        <w:t>..</w:t>
      </w:r>
      <w:r w:rsidR="004A4F51">
        <w:rPr>
          <w:rFonts w:ascii="Times New Roman" w:hAnsi="Times New Roman" w:cs="Times New Roman"/>
          <w:i/>
          <w:iCs/>
          <w:sz w:val="28"/>
          <w:szCs w:val="28"/>
        </w:rPr>
        <w:t>.), nonché eventualmente il riconoscimento della personalità elettronica dei “</w:t>
      </w:r>
      <w:r w:rsidR="004A4F51" w:rsidRPr="005C5207">
        <w:rPr>
          <w:rFonts w:ascii="Times New Roman" w:hAnsi="Times New Roman" w:cs="Times New Roman"/>
          <w:i/>
          <w:iCs/>
          <w:sz w:val="28"/>
          <w:szCs w:val="28"/>
        </w:rPr>
        <w:t>robot”</w:t>
      </w:r>
      <w:r w:rsidR="006B52A5" w:rsidRPr="005C5207">
        <w:rPr>
          <w:rFonts w:ascii="Times New Roman" w:hAnsi="Times New Roman" w:cs="Times New Roman"/>
          <w:i/>
          <w:iCs/>
          <w:sz w:val="28"/>
          <w:szCs w:val="28"/>
        </w:rPr>
        <w:t xml:space="preserve"> </w:t>
      </w:r>
      <w:r w:rsidR="004A4F51" w:rsidRPr="005C5207">
        <w:rPr>
          <w:rFonts w:ascii="Times New Roman" w:hAnsi="Times New Roman" w:cs="Times New Roman"/>
          <w:i/>
          <w:iCs/>
          <w:sz w:val="28"/>
          <w:szCs w:val="28"/>
        </w:rPr>
        <w:t>(par.</w:t>
      </w:r>
      <w:r w:rsidR="006B52A5" w:rsidRPr="005C5207">
        <w:rPr>
          <w:rFonts w:ascii="Times New Roman" w:hAnsi="Times New Roman" w:cs="Times New Roman"/>
          <w:i/>
          <w:iCs/>
          <w:sz w:val="28"/>
          <w:szCs w:val="28"/>
        </w:rPr>
        <w:t xml:space="preserve"> </w:t>
      </w:r>
      <w:r w:rsidR="004A4F51" w:rsidRPr="005C5207">
        <w:rPr>
          <w:rFonts w:ascii="Times New Roman" w:hAnsi="Times New Roman" w:cs="Times New Roman"/>
          <w:i/>
          <w:iCs/>
          <w:sz w:val="28"/>
          <w:szCs w:val="28"/>
        </w:rPr>
        <w:t>59</w:t>
      </w:r>
      <w:r w:rsidR="006B52A5" w:rsidRPr="005C5207">
        <w:rPr>
          <w:rFonts w:ascii="Times New Roman" w:hAnsi="Times New Roman" w:cs="Times New Roman"/>
          <w:i/>
          <w:iCs/>
          <w:sz w:val="28"/>
          <w:szCs w:val="28"/>
        </w:rPr>
        <w:t xml:space="preserve">, </w:t>
      </w:r>
      <w:proofErr w:type="spellStart"/>
      <w:r w:rsidR="004A4F51" w:rsidRPr="005C5207">
        <w:rPr>
          <w:rFonts w:ascii="Times New Roman" w:hAnsi="Times New Roman" w:cs="Times New Roman"/>
          <w:i/>
          <w:iCs/>
          <w:sz w:val="28"/>
          <w:szCs w:val="28"/>
        </w:rPr>
        <w:t>lett</w:t>
      </w:r>
      <w:proofErr w:type="spellEnd"/>
      <w:r w:rsidR="005C5207">
        <w:rPr>
          <w:rFonts w:ascii="Times New Roman" w:hAnsi="Times New Roman" w:cs="Times New Roman"/>
          <w:i/>
          <w:iCs/>
          <w:sz w:val="28"/>
          <w:szCs w:val="28"/>
        </w:rPr>
        <w:t xml:space="preserve">. </w:t>
      </w:r>
      <w:r w:rsidR="004A4F51" w:rsidRPr="005C5207">
        <w:rPr>
          <w:rFonts w:ascii="Times New Roman" w:hAnsi="Times New Roman" w:cs="Times New Roman"/>
          <w:i/>
          <w:iCs/>
          <w:sz w:val="28"/>
          <w:szCs w:val="28"/>
        </w:rPr>
        <w:t>f)</w:t>
      </w:r>
      <w:r w:rsidR="00D9249A" w:rsidRPr="005C5207">
        <w:rPr>
          <w:rFonts w:ascii="Times New Roman" w:hAnsi="Times New Roman" w:cs="Times New Roman"/>
          <w:i/>
          <w:iCs/>
          <w:sz w:val="28"/>
          <w:szCs w:val="28"/>
        </w:rPr>
        <w:t>»</w:t>
      </w:r>
      <w:r w:rsidR="004A4F51" w:rsidRPr="005C5207">
        <w:rPr>
          <w:rFonts w:ascii="Times New Roman" w:hAnsi="Times New Roman" w:cs="Times New Roman"/>
          <w:i/>
          <w:iCs/>
          <w:sz w:val="28"/>
          <w:szCs w:val="28"/>
        </w:rPr>
        <w:t>.</w:t>
      </w:r>
    </w:p>
    <w:p w14:paraId="657F971F" w14:textId="77777777" w:rsidR="005C5207" w:rsidRPr="005C5207" w:rsidRDefault="005C5207" w:rsidP="006622C2">
      <w:pPr>
        <w:tabs>
          <w:tab w:val="left" w:pos="8364"/>
        </w:tabs>
        <w:spacing w:after="0"/>
        <w:jc w:val="both"/>
        <w:rPr>
          <w:rFonts w:ascii="Times New Roman" w:hAnsi="Times New Roman" w:cs="Times New Roman"/>
          <w:i/>
          <w:iCs/>
          <w:sz w:val="28"/>
          <w:szCs w:val="28"/>
        </w:rPr>
      </w:pPr>
    </w:p>
    <w:p w14:paraId="05E08FF2" w14:textId="611E30C5" w:rsidR="004A4F51" w:rsidRDefault="004A4F51" w:rsidP="005C5207">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Come si concilia, però, il concetto di decisione robotizzata o automatizzata con il principio di </w:t>
      </w:r>
      <w:proofErr w:type="spellStart"/>
      <w:r w:rsidRPr="004A4F51">
        <w:rPr>
          <w:rFonts w:ascii="Times New Roman" w:hAnsi="Times New Roman" w:cs="Times New Roman"/>
          <w:i/>
          <w:iCs/>
          <w:sz w:val="28"/>
          <w:szCs w:val="28"/>
        </w:rPr>
        <w:t>accountability</w:t>
      </w:r>
      <w:proofErr w:type="spellEnd"/>
      <w:r w:rsidRPr="00D9249A">
        <w:rPr>
          <w:rFonts w:ascii="Times New Roman" w:hAnsi="Times New Roman" w:cs="Times New Roman"/>
          <w:sz w:val="28"/>
          <w:szCs w:val="28"/>
        </w:rPr>
        <w:t>?</w:t>
      </w:r>
    </w:p>
    <w:p w14:paraId="7F95ED36" w14:textId="77777777" w:rsidR="00BC3B0F" w:rsidRDefault="004A4F51" w:rsidP="005C5207">
      <w:pPr>
        <w:tabs>
          <w:tab w:val="left" w:pos="8364"/>
        </w:tabs>
        <w:spacing w:after="0"/>
        <w:jc w:val="both"/>
        <w:rPr>
          <w:rFonts w:ascii="Times New Roman" w:hAnsi="Times New Roman" w:cs="Times New Roman"/>
          <w:sz w:val="28"/>
          <w:szCs w:val="28"/>
        </w:rPr>
      </w:pPr>
      <w:r w:rsidRPr="004A4F51">
        <w:rPr>
          <w:rFonts w:ascii="Times New Roman" w:hAnsi="Times New Roman" w:cs="Times New Roman"/>
          <w:sz w:val="28"/>
          <w:szCs w:val="28"/>
        </w:rPr>
        <w:t xml:space="preserve">Il </w:t>
      </w:r>
      <w:r w:rsidR="006D16BF">
        <w:rPr>
          <w:rFonts w:ascii="Times New Roman" w:hAnsi="Times New Roman" w:cs="Times New Roman"/>
          <w:sz w:val="28"/>
          <w:szCs w:val="28"/>
        </w:rPr>
        <w:t xml:space="preserve">termine </w:t>
      </w:r>
      <w:proofErr w:type="spellStart"/>
      <w:r w:rsidR="006D16BF" w:rsidRPr="006D16BF">
        <w:rPr>
          <w:rFonts w:ascii="Times New Roman" w:hAnsi="Times New Roman" w:cs="Times New Roman"/>
          <w:i/>
          <w:iCs/>
          <w:sz w:val="28"/>
          <w:szCs w:val="28"/>
        </w:rPr>
        <w:t>accountability</w:t>
      </w:r>
      <w:proofErr w:type="spellEnd"/>
      <w:r w:rsidR="006D16BF" w:rsidRPr="006D16BF">
        <w:rPr>
          <w:rFonts w:ascii="Times New Roman" w:hAnsi="Times New Roman" w:cs="Times New Roman"/>
          <w:i/>
          <w:iCs/>
          <w:sz w:val="28"/>
          <w:szCs w:val="28"/>
        </w:rPr>
        <w:t xml:space="preserve"> </w:t>
      </w:r>
      <w:r w:rsidR="006D16BF" w:rsidRPr="006D16BF">
        <w:rPr>
          <w:rFonts w:ascii="Times New Roman" w:hAnsi="Times New Roman" w:cs="Times New Roman"/>
          <w:sz w:val="28"/>
          <w:szCs w:val="28"/>
        </w:rPr>
        <w:t>può</w:t>
      </w:r>
      <w:r w:rsidR="006D16BF">
        <w:rPr>
          <w:rFonts w:ascii="Times New Roman" w:hAnsi="Times New Roman" w:cs="Times New Roman"/>
          <w:sz w:val="28"/>
          <w:szCs w:val="28"/>
        </w:rPr>
        <w:t xml:space="preserve"> essere tradotto in responsabilità e, insieme, prova della responsabilità. Il titolare del trattamento deve essere in grado di dimostrare che ha adottato un processo complessivo di misure giuridiche, organizzative, tecniche per la protezione dei dati personali, anche attraverso l’adozione di specifici modelli organizzativi che si possono pensare analoghi a quelli utilizzati in Italia nell’applicazione del D</w:t>
      </w:r>
      <w:r w:rsidR="006B52A5">
        <w:rPr>
          <w:rFonts w:ascii="Times New Roman" w:hAnsi="Times New Roman" w:cs="Times New Roman"/>
          <w:sz w:val="28"/>
          <w:szCs w:val="28"/>
        </w:rPr>
        <w:t>.</w:t>
      </w:r>
      <w:r w:rsidR="006D16BF">
        <w:rPr>
          <w:rFonts w:ascii="Times New Roman" w:hAnsi="Times New Roman" w:cs="Times New Roman"/>
          <w:sz w:val="28"/>
          <w:szCs w:val="28"/>
        </w:rPr>
        <w:t>lgs</w:t>
      </w:r>
      <w:r w:rsidR="006B52A5">
        <w:rPr>
          <w:rFonts w:ascii="Times New Roman" w:hAnsi="Times New Roman" w:cs="Times New Roman"/>
          <w:sz w:val="28"/>
          <w:szCs w:val="28"/>
        </w:rPr>
        <w:t>.</w:t>
      </w:r>
      <w:r w:rsidR="006D16BF">
        <w:rPr>
          <w:rFonts w:ascii="Times New Roman" w:hAnsi="Times New Roman" w:cs="Times New Roman"/>
          <w:sz w:val="28"/>
          <w:szCs w:val="28"/>
        </w:rPr>
        <w:t xml:space="preserve"> 8 giugno 2001</w:t>
      </w:r>
      <w:r w:rsidR="006B52A5">
        <w:rPr>
          <w:rFonts w:ascii="Times New Roman" w:hAnsi="Times New Roman" w:cs="Times New Roman"/>
          <w:sz w:val="28"/>
          <w:szCs w:val="28"/>
        </w:rPr>
        <w:t>,</w:t>
      </w:r>
      <w:r w:rsidR="006D16BF">
        <w:rPr>
          <w:rFonts w:ascii="Times New Roman" w:hAnsi="Times New Roman" w:cs="Times New Roman"/>
          <w:sz w:val="28"/>
          <w:szCs w:val="28"/>
        </w:rPr>
        <w:t xml:space="preserve"> n.</w:t>
      </w:r>
      <w:r w:rsidR="006B52A5">
        <w:rPr>
          <w:rFonts w:ascii="Times New Roman" w:hAnsi="Times New Roman" w:cs="Times New Roman"/>
          <w:sz w:val="28"/>
          <w:szCs w:val="28"/>
        </w:rPr>
        <w:t xml:space="preserve"> </w:t>
      </w:r>
      <w:r w:rsidR="006D16BF">
        <w:rPr>
          <w:rFonts w:ascii="Times New Roman" w:hAnsi="Times New Roman" w:cs="Times New Roman"/>
          <w:sz w:val="28"/>
          <w:szCs w:val="28"/>
        </w:rPr>
        <w:t xml:space="preserve">231. </w:t>
      </w:r>
    </w:p>
    <w:p w14:paraId="107C1E6C" w14:textId="50203B76" w:rsidR="00DA0BDB" w:rsidRDefault="006D16BF" w:rsidP="005C520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Le norme del regolamento </w:t>
      </w:r>
      <w:r w:rsidRPr="006D16BF">
        <w:rPr>
          <w:rFonts w:ascii="Times New Roman" w:hAnsi="Times New Roman" w:cs="Times New Roman"/>
          <w:sz w:val="28"/>
          <w:szCs w:val="28"/>
        </w:rPr>
        <w:t>sull</w:t>
      </w:r>
      <w:r w:rsidR="006B52A5" w:rsidRPr="006B52A5">
        <w:rPr>
          <w:rFonts w:ascii="Times New Roman" w:hAnsi="Times New Roman" w:cs="Times New Roman"/>
          <w:sz w:val="28"/>
          <w:szCs w:val="28"/>
        </w:rPr>
        <w:t>’</w:t>
      </w:r>
      <w:proofErr w:type="spellStart"/>
      <w:r w:rsidRPr="006D16BF">
        <w:rPr>
          <w:rFonts w:ascii="Times New Roman" w:hAnsi="Times New Roman" w:cs="Times New Roman"/>
          <w:i/>
          <w:iCs/>
          <w:sz w:val="28"/>
          <w:szCs w:val="28"/>
        </w:rPr>
        <w:t>accountability</w:t>
      </w:r>
      <w:proofErr w:type="spellEnd"/>
      <w:r w:rsidRPr="006D16BF">
        <w:rPr>
          <w:rFonts w:ascii="Times New Roman" w:hAnsi="Times New Roman" w:cs="Times New Roman"/>
          <w:i/>
          <w:iCs/>
          <w:sz w:val="28"/>
          <w:szCs w:val="28"/>
        </w:rPr>
        <w:t xml:space="preserve"> </w:t>
      </w:r>
      <w:r w:rsidRPr="006D16BF">
        <w:rPr>
          <w:rFonts w:ascii="Times New Roman" w:hAnsi="Times New Roman" w:cs="Times New Roman"/>
          <w:sz w:val="28"/>
          <w:szCs w:val="28"/>
        </w:rPr>
        <w:t>hanno,</w:t>
      </w:r>
      <w:r>
        <w:rPr>
          <w:rFonts w:ascii="Times New Roman" w:hAnsi="Times New Roman" w:cs="Times New Roman"/>
          <w:sz w:val="28"/>
          <w:szCs w:val="28"/>
        </w:rPr>
        <w:t xml:space="preserve"> dunque, lo scopo di promuovere l’adozione di misure concrete e pratiche, trasformando i principi generali della protezione dei dati in politiche e procedure organizzative concrete</w:t>
      </w:r>
      <w:r w:rsidR="00DA0BDB">
        <w:rPr>
          <w:rFonts w:ascii="Times New Roman" w:hAnsi="Times New Roman" w:cs="Times New Roman"/>
          <w:sz w:val="28"/>
          <w:szCs w:val="28"/>
        </w:rPr>
        <w:t>,</w:t>
      </w:r>
      <w:r>
        <w:rPr>
          <w:rFonts w:ascii="Times New Roman" w:hAnsi="Times New Roman" w:cs="Times New Roman"/>
          <w:sz w:val="28"/>
          <w:szCs w:val="28"/>
        </w:rPr>
        <w:t xml:space="preserve"> nel rispetto delle leggi e dei regolamenti applicabili. Il titolare del trattamento deve anche garantire l’efficacia delle misure adottate e dimostrare</w:t>
      </w:r>
      <w:r w:rsidR="00DA0BDB">
        <w:rPr>
          <w:rFonts w:ascii="Times New Roman" w:hAnsi="Times New Roman" w:cs="Times New Roman"/>
          <w:sz w:val="28"/>
          <w:szCs w:val="28"/>
        </w:rPr>
        <w:t>,</w:t>
      </w:r>
      <w:r>
        <w:rPr>
          <w:rFonts w:ascii="Times New Roman" w:hAnsi="Times New Roman" w:cs="Times New Roman"/>
          <w:sz w:val="28"/>
          <w:szCs w:val="28"/>
        </w:rPr>
        <w:t xml:space="preserve"> su richiesta</w:t>
      </w:r>
      <w:r w:rsidR="00DA0BDB">
        <w:rPr>
          <w:rFonts w:ascii="Times New Roman" w:hAnsi="Times New Roman" w:cs="Times New Roman"/>
          <w:sz w:val="28"/>
          <w:szCs w:val="28"/>
        </w:rPr>
        <w:t>,</w:t>
      </w:r>
      <w:r>
        <w:rPr>
          <w:rFonts w:ascii="Times New Roman" w:hAnsi="Times New Roman" w:cs="Times New Roman"/>
          <w:sz w:val="28"/>
          <w:szCs w:val="28"/>
        </w:rPr>
        <w:t xml:space="preserve"> di aver intrapreso tali azioni. </w:t>
      </w:r>
    </w:p>
    <w:p w14:paraId="3F634BB3" w14:textId="67BE742F" w:rsidR="004A4F51" w:rsidRDefault="00D9249A" w:rsidP="005C520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altre parole,</w:t>
      </w:r>
      <w:r w:rsidR="006D16BF">
        <w:rPr>
          <w:rFonts w:ascii="Times New Roman" w:hAnsi="Times New Roman" w:cs="Times New Roman"/>
          <w:sz w:val="28"/>
          <w:szCs w:val="28"/>
        </w:rPr>
        <w:t xml:space="preserve"> </w:t>
      </w:r>
      <w:r w:rsidR="006D16BF" w:rsidRPr="006B52A5">
        <w:rPr>
          <w:rFonts w:ascii="Times New Roman" w:hAnsi="Times New Roman" w:cs="Times New Roman"/>
          <w:sz w:val="28"/>
          <w:szCs w:val="28"/>
        </w:rPr>
        <w:t>l’</w:t>
      </w:r>
      <w:proofErr w:type="spellStart"/>
      <w:r w:rsidR="006D16BF" w:rsidRPr="006D16BF">
        <w:rPr>
          <w:rFonts w:ascii="Times New Roman" w:hAnsi="Times New Roman" w:cs="Times New Roman"/>
          <w:i/>
          <w:iCs/>
          <w:sz w:val="28"/>
          <w:szCs w:val="28"/>
        </w:rPr>
        <w:t>accountability</w:t>
      </w:r>
      <w:proofErr w:type="spellEnd"/>
      <w:r w:rsidR="006D16BF" w:rsidRPr="006D16BF">
        <w:rPr>
          <w:rFonts w:ascii="Times New Roman" w:hAnsi="Times New Roman" w:cs="Times New Roman"/>
          <w:i/>
          <w:iCs/>
          <w:sz w:val="28"/>
          <w:szCs w:val="28"/>
        </w:rPr>
        <w:t xml:space="preserve"> </w:t>
      </w:r>
      <w:r w:rsidR="006D16BF">
        <w:rPr>
          <w:rFonts w:ascii="Times New Roman" w:hAnsi="Times New Roman" w:cs="Times New Roman"/>
          <w:sz w:val="28"/>
          <w:szCs w:val="28"/>
        </w:rPr>
        <w:t>è un meccanismo a due livelli:</w:t>
      </w:r>
      <w:r>
        <w:rPr>
          <w:rFonts w:ascii="Times New Roman" w:hAnsi="Times New Roman" w:cs="Times New Roman"/>
          <w:sz w:val="28"/>
          <w:szCs w:val="28"/>
        </w:rPr>
        <w:t xml:space="preserve"> </w:t>
      </w:r>
      <w:r w:rsidR="006D16BF">
        <w:rPr>
          <w:rFonts w:ascii="Times New Roman" w:hAnsi="Times New Roman" w:cs="Times New Roman"/>
          <w:sz w:val="28"/>
          <w:szCs w:val="28"/>
        </w:rPr>
        <w:t>da un lato</w:t>
      </w:r>
      <w:r>
        <w:rPr>
          <w:rFonts w:ascii="Times New Roman" w:hAnsi="Times New Roman" w:cs="Times New Roman"/>
          <w:sz w:val="28"/>
          <w:szCs w:val="28"/>
        </w:rPr>
        <w:t>,</w:t>
      </w:r>
      <w:r w:rsidR="006D16BF">
        <w:rPr>
          <w:rFonts w:ascii="Times New Roman" w:hAnsi="Times New Roman" w:cs="Times New Roman"/>
          <w:sz w:val="28"/>
          <w:szCs w:val="28"/>
        </w:rPr>
        <w:t xml:space="preserve"> l’attuazione di misure e procedure, e dall’altro, la conservazione delle relative prove.</w:t>
      </w:r>
    </w:p>
    <w:p w14:paraId="105C3704" w14:textId="410E3F5C" w:rsidR="006D16BF" w:rsidRDefault="006D16BF" w:rsidP="005C520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Come può operare questo sistema a due livelli con un’entità intelligente?</w:t>
      </w:r>
    </w:p>
    <w:p w14:paraId="5942CD96" w14:textId="290A8BE4" w:rsidR="00BC3B0F" w:rsidRDefault="00205E5D" w:rsidP="00BC3B0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Si potrebbe ipotizzare un doppio livello</w:t>
      </w:r>
      <w:r w:rsidR="005D10F9">
        <w:rPr>
          <w:rFonts w:ascii="Times New Roman" w:hAnsi="Times New Roman" w:cs="Times New Roman"/>
          <w:sz w:val="28"/>
          <w:szCs w:val="28"/>
        </w:rPr>
        <w:t xml:space="preserve"> di operatività</w:t>
      </w:r>
      <w:r>
        <w:rPr>
          <w:rFonts w:ascii="Times New Roman" w:hAnsi="Times New Roman" w:cs="Times New Roman"/>
          <w:sz w:val="28"/>
          <w:szCs w:val="28"/>
        </w:rPr>
        <w:t xml:space="preserve"> anche della </w:t>
      </w:r>
      <w:r w:rsidR="006B52A5">
        <w:rPr>
          <w:rFonts w:ascii="Times New Roman" w:hAnsi="Times New Roman" w:cs="Times New Roman"/>
          <w:sz w:val="28"/>
          <w:szCs w:val="28"/>
        </w:rPr>
        <w:t>responsabilità:</w:t>
      </w:r>
      <w:r>
        <w:rPr>
          <w:rFonts w:ascii="Times New Roman" w:hAnsi="Times New Roman" w:cs="Times New Roman"/>
          <w:sz w:val="28"/>
          <w:szCs w:val="28"/>
        </w:rPr>
        <w:t xml:space="preserve"> un regime di </w:t>
      </w:r>
      <w:r w:rsidRPr="00205E5D">
        <w:rPr>
          <w:rFonts w:ascii="Times New Roman" w:hAnsi="Times New Roman" w:cs="Times New Roman"/>
          <w:sz w:val="28"/>
          <w:szCs w:val="28"/>
          <w:u w:val="single"/>
        </w:rPr>
        <w:t>responsabilità oggettiva</w:t>
      </w:r>
      <w:r>
        <w:rPr>
          <w:rFonts w:ascii="Times New Roman" w:hAnsi="Times New Roman" w:cs="Times New Roman"/>
          <w:sz w:val="28"/>
          <w:szCs w:val="28"/>
        </w:rPr>
        <w:t xml:space="preserve"> per i sistemi ad alto rischio sintetizzato nei termini </w:t>
      </w:r>
      <w:proofErr w:type="spellStart"/>
      <w:r w:rsidRPr="00205E5D">
        <w:rPr>
          <w:rFonts w:ascii="Times New Roman" w:hAnsi="Times New Roman" w:cs="Times New Roman"/>
          <w:i/>
          <w:iCs/>
          <w:sz w:val="28"/>
          <w:szCs w:val="28"/>
        </w:rPr>
        <w:t>liability</w:t>
      </w:r>
      <w:proofErr w:type="spellEnd"/>
      <w:r>
        <w:rPr>
          <w:rFonts w:ascii="Times New Roman" w:hAnsi="Times New Roman" w:cs="Times New Roman"/>
          <w:i/>
          <w:iCs/>
          <w:sz w:val="28"/>
          <w:szCs w:val="28"/>
        </w:rPr>
        <w:t>,</w:t>
      </w:r>
      <w:r w:rsidR="006B52A5">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transparency</w:t>
      </w:r>
      <w:proofErr w:type="spellEnd"/>
      <w:r>
        <w:rPr>
          <w:rFonts w:ascii="Times New Roman" w:hAnsi="Times New Roman" w:cs="Times New Roman"/>
          <w:i/>
          <w:iCs/>
          <w:sz w:val="28"/>
          <w:szCs w:val="28"/>
        </w:rPr>
        <w:t xml:space="preserve"> e security; </w:t>
      </w:r>
      <w:r w:rsidRPr="00205E5D">
        <w:rPr>
          <w:rFonts w:ascii="Times New Roman" w:hAnsi="Times New Roman" w:cs="Times New Roman"/>
          <w:sz w:val="28"/>
          <w:szCs w:val="28"/>
        </w:rPr>
        <w:t xml:space="preserve">e </w:t>
      </w:r>
      <w:r w:rsidRPr="00205E5D">
        <w:rPr>
          <w:rFonts w:ascii="Times New Roman" w:hAnsi="Times New Roman" w:cs="Times New Roman"/>
          <w:sz w:val="28"/>
          <w:szCs w:val="28"/>
          <w:u w:val="single"/>
        </w:rPr>
        <w:t>responsabilità aggravata</w:t>
      </w:r>
      <w:r w:rsidR="00DA0BDB">
        <w:rPr>
          <w:rFonts w:ascii="Times New Roman" w:hAnsi="Times New Roman" w:cs="Times New Roman"/>
          <w:sz w:val="28"/>
          <w:szCs w:val="28"/>
          <w:u w:val="single"/>
        </w:rPr>
        <w:t>,</w:t>
      </w:r>
      <w:r w:rsidRPr="00205E5D">
        <w:rPr>
          <w:rFonts w:ascii="Times New Roman" w:hAnsi="Times New Roman" w:cs="Times New Roman"/>
          <w:sz w:val="28"/>
          <w:szCs w:val="28"/>
          <w:u w:val="single"/>
        </w:rPr>
        <w:t xml:space="preserve"> per colpa presunta</w:t>
      </w:r>
      <w:r>
        <w:rPr>
          <w:rFonts w:ascii="Times New Roman" w:hAnsi="Times New Roman" w:cs="Times New Roman"/>
          <w:sz w:val="28"/>
          <w:szCs w:val="28"/>
          <w:u w:val="single"/>
        </w:rPr>
        <w:t xml:space="preserve">, </w:t>
      </w:r>
      <w:r w:rsidRPr="00205E5D">
        <w:rPr>
          <w:rFonts w:ascii="Times New Roman" w:hAnsi="Times New Roman" w:cs="Times New Roman"/>
          <w:sz w:val="28"/>
          <w:szCs w:val="28"/>
        </w:rPr>
        <w:t>secondo il modello attuale</w:t>
      </w:r>
      <w:r>
        <w:rPr>
          <w:rFonts w:ascii="Times New Roman" w:hAnsi="Times New Roman" w:cs="Times New Roman"/>
          <w:sz w:val="28"/>
          <w:szCs w:val="28"/>
        </w:rPr>
        <w:t xml:space="preserve"> del GDPR</w:t>
      </w:r>
      <w:r w:rsidR="005D10F9">
        <w:rPr>
          <w:rFonts w:ascii="Times New Roman" w:hAnsi="Times New Roman" w:cs="Times New Roman"/>
          <w:sz w:val="28"/>
          <w:szCs w:val="28"/>
        </w:rPr>
        <w:t>,</w:t>
      </w:r>
      <w:r>
        <w:rPr>
          <w:rFonts w:ascii="Times New Roman" w:hAnsi="Times New Roman" w:cs="Times New Roman"/>
          <w:sz w:val="28"/>
          <w:szCs w:val="28"/>
        </w:rPr>
        <w:t xml:space="preserve"> che prescinde dalla soggettività giuridica.</w:t>
      </w:r>
      <w:r w:rsidR="00B47CBA">
        <w:rPr>
          <w:rFonts w:ascii="Times New Roman" w:hAnsi="Times New Roman" w:cs="Times New Roman"/>
          <w:sz w:val="28"/>
          <w:szCs w:val="28"/>
        </w:rPr>
        <w:t xml:space="preserve"> Come potrebbero applicarsi tali principi </w:t>
      </w:r>
      <w:r w:rsidR="00BC4802">
        <w:rPr>
          <w:rFonts w:ascii="Times New Roman" w:hAnsi="Times New Roman" w:cs="Times New Roman"/>
          <w:sz w:val="28"/>
          <w:szCs w:val="28"/>
        </w:rPr>
        <w:t xml:space="preserve">alle tecnologie basate sui “registri distribuiti”? Per poter regolare tali </w:t>
      </w:r>
      <w:r w:rsidR="00AC42E8">
        <w:rPr>
          <w:rFonts w:ascii="Times New Roman" w:hAnsi="Times New Roman" w:cs="Times New Roman"/>
          <w:sz w:val="28"/>
          <w:szCs w:val="28"/>
        </w:rPr>
        <w:t>meccanismi, il giurista deve prima comprenderli nella loro intrinseca e</w:t>
      </w:r>
      <w:r w:rsidR="00E22E85">
        <w:rPr>
          <w:rFonts w:ascii="Times New Roman" w:hAnsi="Times New Roman" w:cs="Times New Roman"/>
          <w:sz w:val="28"/>
          <w:szCs w:val="28"/>
        </w:rPr>
        <w:t>s</w:t>
      </w:r>
      <w:r w:rsidR="00AC42E8">
        <w:rPr>
          <w:rFonts w:ascii="Times New Roman" w:hAnsi="Times New Roman" w:cs="Times New Roman"/>
          <w:sz w:val="28"/>
          <w:szCs w:val="28"/>
        </w:rPr>
        <w:t>senza ed operatività.</w:t>
      </w:r>
    </w:p>
    <w:p w14:paraId="269E2EBA" w14:textId="1D735B08" w:rsidR="00AA6BA3" w:rsidRDefault="00AA6BA3" w:rsidP="00BC3B0F">
      <w:pPr>
        <w:tabs>
          <w:tab w:val="left" w:pos="8364"/>
        </w:tabs>
        <w:spacing w:after="0"/>
        <w:jc w:val="both"/>
        <w:rPr>
          <w:rFonts w:ascii="Times New Roman" w:hAnsi="Times New Roman" w:cs="Times New Roman"/>
          <w:sz w:val="28"/>
          <w:szCs w:val="28"/>
        </w:rPr>
      </w:pPr>
    </w:p>
    <w:p w14:paraId="303E090E" w14:textId="77777777" w:rsidR="00AA6BA3" w:rsidRDefault="00AA6BA3" w:rsidP="00AA6BA3">
      <w:pPr>
        <w:pStyle w:val="NormaleWeb"/>
        <w:spacing w:before="0" w:beforeAutospacing="0" w:after="0" w:afterAutospacing="0"/>
        <w:jc w:val="both"/>
        <w:rPr>
          <w:sz w:val="28"/>
          <w:szCs w:val="28"/>
        </w:rPr>
      </w:pPr>
      <w:r>
        <w:rPr>
          <w:sz w:val="28"/>
          <w:szCs w:val="28"/>
        </w:rPr>
        <w:lastRenderedPageBreak/>
        <w:t xml:space="preserve">Al c.d. </w:t>
      </w:r>
      <w:r w:rsidRPr="00871650">
        <w:rPr>
          <w:sz w:val="28"/>
          <w:szCs w:val="28"/>
        </w:rPr>
        <w:t>Decreto Semplificazioni 2019</w:t>
      </w:r>
      <w:r>
        <w:rPr>
          <w:sz w:val="28"/>
          <w:szCs w:val="28"/>
        </w:rPr>
        <w:t xml:space="preserve"> (</w:t>
      </w:r>
      <w:proofErr w:type="spellStart"/>
      <w:r w:rsidRPr="00871650">
        <w:rPr>
          <w:sz w:val="28"/>
          <w:szCs w:val="28"/>
        </w:rPr>
        <w:t>d.l.</w:t>
      </w:r>
      <w:proofErr w:type="spellEnd"/>
      <w:r w:rsidRPr="00871650">
        <w:rPr>
          <w:sz w:val="28"/>
          <w:szCs w:val="28"/>
        </w:rPr>
        <w:t xml:space="preserve"> 135/2018</w:t>
      </w:r>
      <w:r>
        <w:rPr>
          <w:sz w:val="28"/>
          <w:szCs w:val="28"/>
        </w:rPr>
        <w:t>) è stato aggiunto,</w:t>
      </w:r>
      <w:r w:rsidRPr="00804B9F">
        <w:rPr>
          <w:sz w:val="28"/>
          <w:szCs w:val="28"/>
        </w:rPr>
        <w:t xml:space="preserve"> </w:t>
      </w:r>
      <w:r w:rsidRPr="00871650">
        <w:rPr>
          <w:sz w:val="28"/>
          <w:szCs w:val="28"/>
        </w:rPr>
        <w:t>in sede di conversione in legge</w:t>
      </w:r>
      <w:r>
        <w:rPr>
          <w:sz w:val="28"/>
          <w:szCs w:val="28"/>
        </w:rPr>
        <w:t>, l</w:t>
      </w:r>
      <w:r w:rsidRPr="00871650">
        <w:rPr>
          <w:sz w:val="28"/>
          <w:szCs w:val="28"/>
        </w:rPr>
        <w:t>’art. 8</w:t>
      </w:r>
      <w:r>
        <w:rPr>
          <w:sz w:val="28"/>
          <w:szCs w:val="28"/>
        </w:rPr>
        <w:t>-</w:t>
      </w:r>
      <w:r w:rsidRPr="00871650">
        <w:rPr>
          <w:sz w:val="28"/>
          <w:szCs w:val="28"/>
        </w:rPr>
        <w:t>ter</w:t>
      </w:r>
      <w:r>
        <w:rPr>
          <w:sz w:val="28"/>
          <w:szCs w:val="28"/>
        </w:rPr>
        <w:t xml:space="preserve">, il quale </w:t>
      </w:r>
      <w:r w:rsidRPr="00871650">
        <w:rPr>
          <w:sz w:val="28"/>
          <w:szCs w:val="28"/>
        </w:rPr>
        <w:t>ha introdotto</w:t>
      </w:r>
      <w:r>
        <w:rPr>
          <w:sz w:val="28"/>
          <w:szCs w:val="28"/>
        </w:rPr>
        <w:t>,</w:t>
      </w:r>
      <w:r w:rsidRPr="00871650">
        <w:rPr>
          <w:sz w:val="28"/>
          <w:szCs w:val="28"/>
        </w:rPr>
        <w:t xml:space="preserve"> nel nostro ordinamento</w:t>
      </w:r>
      <w:r>
        <w:rPr>
          <w:sz w:val="28"/>
          <w:szCs w:val="28"/>
        </w:rPr>
        <w:t>,</w:t>
      </w:r>
      <w:r w:rsidRPr="00871650">
        <w:rPr>
          <w:sz w:val="28"/>
          <w:szCs w:val="28"/>
        </w:rPr>
        <w:t xml:space="preserve"> la definizione di </w:t>
      </w:r>
      <w:r>
        <w:rPr>
          <w:sz w:val="28"/>
          <w:szCs w:val="28"/>
        </w:rPr>
        <w:t>“</w:t>
      </w:r>
      <w:r w:rsidRPr="00871650">
        <w:rPr>
          <w:sz w:val="28"/>
          <w:szCs w:val="28"/>
        </w:rPr>
        <w:t>tecnologie basate su registri distribuiti</w:t>
      </w:r>
      <w:r>
        <w:rPr>
          <w:sz w:val="28"/>
          <w:szCs w:val="28"/>
        </w:rPr>
        <w:t>”</w:t>
      </w:r>
      <w:r w:rsidRPr="00871650">
        <w:rPr>
          <w:sz w:val="28"/>
          <w:szCs w:val="28"/>
        </w:rPr>
        <w:t xml:space="preserve"> e</w:t>
      </w:r>
      <w:r>
        <w:rPr>
          <w:sz w:val="28"/>
          <w:szCs w:val="28"/>
        </w:rPr>
        <w:t xml:space="preserve"> di</w:t>
      </w:r>
      <w:r w:rsidRPr="00871650">
        <w:rPr>
          <w:sz w:val="28"/>
          <w:szCs w:val="28"/>
        </w:rPr>
        <w:t xml:space="preserve"> </w:t>
      </w:r>
      <w:r>
        <w:rPr>
          <w:sz w:val="28"/>
          <w:szCs w:val="28"/>
        </w:rPr>
        <w:t>“</w:t>
      </w:r>
      <w:proofErr w:type="spellStart"/>
      <w:r w:rsidRPr="00804B9F">
        <w:rPr>
          <w:i/>
          <w:iCs/>
          <w:sz w:val="28"/>
          <w:szCs w:val="28"/>
        </w:rPr>
        <w:t>smart</w:t>
      </w:r>
      <w:proofErr w:type="spellEnd"/>
      <w:r w:rsidRPr="00804B9F">
        <w:rPr>
          <w:i/>
          <w:iCs/>
          <w:sz w:val="28"/>
          <w:szCs w:val="28"/>
        </w:rPr>
        <w:t xml:space="preserve"> </w:t>
      </w:r>
      <w:proofErr w:type="spellStart"/>
      <w:r w:rsidRPr="00804B9F">
        <w:rPr>
          <w:i/>
          <w:iCs/>
          <w:sz w:val="28"/>
          <w:szCs w:val="28"/>
        </w:rPr>
        <w:t>contract</w:t>
      </w:r>
      <w:proofErr w:type="spellEnd"/>
      <w:r>
        <w:rPr>
          <w:sz w:val="28"/>
          <w:szCs w:val="28"/>
        </w:rPr>
        <w:t>”</w:t>
      </w:r>
      <w:r w:rsidRPr="00871650">
        <w:rPr>
          <w:sz w:val="28"/>
          <w:szCs w:val="28"/>
        </w:rPr>
        <w:t>.</w:t>
      </w:r>
    </w:p>
    <w:p w14:paraId="56EE3993" w14:textId="77777777" w:rsidR="00AA6BA3" w:rsidRDefault="00AA6BA3" w:rsidP="00AA6BA3">
      <w:pPr>
        <w:pStyle w:val="NormaleWeb"/>
        <w:spacing w:before="0" w:beforeAutospacing="0" w:after="0" w:afterAutospacing="0"/>
        <w:jc w:val="both"/>
        <w:rPr>
          <w:sz w:val="28"/>
          <w:szCs w:val="28"/>
        </w:rPr>
      </w:pPr>
    </w:p>
    <w:p w14:paraId="0C238DEE" w14:textId="77777777" w:rsidR="00AA6BA3" w:rsidRDefault="00AA6BA3" w:rsidP="00AA6BA3">
      <w:pPr>
        <w:pStyle w:val="NormaleWeb"/>
        <w:spacing w:before="0" w:beforeAutospacing="0" w:after="0" w:afterAutospacing="0"/>
        <w:jc w:val="both"/>
        <w:rPr>
          <w:sz w:val="28"/>
          <w:szCs w:val="28"/>
        </w:rPr>
      </w:pPr>
      <w:r>
        <w:rPr>
          <w:sz w:val="28"/>
          <w:szCs w:val="28"/>
        </w:rPr>
        <w:t>Ai sensi del primo comma dell’art. 8-ter, «</w:t>
      </w:r>
      <w:r w:rsidRPr="007B2B2E">
        <w:rPr>
          <w:i/>
          <w:iCs/>
          <w:sz w:val="28"/>
          <w:szCs w:val="28"/>
        </w:rPr>
        <w:t>si definiscono “tecnologie basate su registri distribuiti”</w:t>
      </w:r>
      <w:r>
        <w:rPr>
          <w:sz w:val="28"/>
          <w:szCs w:val="28"/>
        </w:rPr>
        <w:t xml:space="preserve"> </w:t>
      </w:r>
      <w:r w:rsidRPr="007B2B2E">
        <w:rPr>
          <w:i/>
          <w:iCs/>
          <w:sz w:val="28"/>
          <w:szCs w:val="28"/>
        </w:rPr>
        <w:t>le tecnologie e i protocolli informatici che usano un registro condiviso, distribuito,</w:t>
      </w:r>
      <w:r>
        <w:rPr>
          <w:i/>
          <w:iCs/>
          <w:sz w:val="28"/>
          <w:szCs w:val="28"/>
        </w:rPr>
        <w:t xml:space="preserve"> </w:t>
      </w:r>
      <w:r w:rsidRPr="007B2B2E">
        <w:rPr>
          <w:i/>
          <w:iCs/>
          <w:sz w:val="28"/>
          <w:szCs w:val="28"/>
        </w:rPr>
        <w:t>replicabile, accessibile simultaneamente, architetturalmente decentralizzato su basi crittografiche, tali da consentire la registrazione, la convalida, l</w:t>
      </w:r>
      <w:r>
        <w:rPr>
          <w:i/>
          <w:iCs/>
          <w:sz w:val="28"/>
          <w:szCs w:val="28"/>
        </w:rPr>
        <w:t>’</w:t>
      </w:r>
      <w:r w:rsidRPr="007B2B2E">
        <w:rPr>
          <w:i/>
          <w:iCs/>
          <w:sz w:val="28"/>
          <w:szCs w:val="28"/>
        </w:rPr>
        <w:t>aggiornamento e l</w:t>
      </w:r>
      <w:r>
        <w:rPr>
          <w:i/>
          <w:iCs/>
          <w:sz w:val="28"/>
          <w:szCs w:val="28"/>
        </w:rPr>
        <w:t>’</w:t>
      </w:r>
      <w:r w:rsidRPr="007B2B2E">
        <w:rPr>
          <w:i/>
          <w:iCs/>
          <w:sz w:val="28"/>
          <w:szCs w:val="28"/>
        </w:rPr>
        <w:t>archiviazione di dati sia in chiaro che ulteriormente protetti da crittografia verificabili da ciascun partecipante, non alterabili e non modificabili</w:t>
      </w:r>
      <w:r w:rsidRPr="007B2B2E">
        <w:rPr>
          <w:sz w:val="28"/>
          <w:szCs w:val="28"/>
        </w:rPr>
        <w:t>».</w:t>
      </w:r>
    </w:p>
    <w:p w14:paraId="4B08888D" w14:textId="77777777" w:rsidR="00AA6BA3" w:rsidRDefault="00AA6BA3" w:rsidP="00AA6BA3">
      <w:pPr>
        <w:pStyle w:val="NormaleWeb"/>
        <w:spacing w:before="0" w:beforeAutospacing="0" w:after="0" w:afterAutospacing="0"/>
        <w:jc w:val="both"/>
        <w:rPr>
          <w:sz w:val="28"/>
          <w:szCs w:val="28"/>
        </w:rPr>
      </w:pPr>
      <w:r>
        <w:rPr>
          <w:sz w:val="28"/>
          <w:szCs w:val="28"/>
        </w:rPr>
        <w:t xml:space="preserve">Le </w:t>
      </w:r>
      <w:r w:rsidRPr="00871650">
        <w:rPr>
          <w:sz w:val="28"/>
          <w:szCs w:val="28"/>
        </w:rPr>
        <w:t>tecnologie basate su registri distribuiti</w:t>
      </w:r>
      <w:r>
        <w:rPr>
          <w:sz w:val="28"/>
          <w:szCs w:val="28"/>
        </w:rPr>
        <w:t xml:space="preserve"> sembrerebbero richiamare</w:t>
      </w:r>
      <w:r w:rsidRPr="00871650">
        <w:rPr>
          <w:sz w:val="28"/>
          <w:szCs w:val="28"/>
        </w:rPr>
        <w:t xml:space="preserve"> </w:t>
      </w:r>
      <w:r>
        <w:rPr>
          <w:sz w:val="28"/>
          <w:szCs w:val="28"/>
        </w:rPr>
        <w:t>le c.d.</w:t>
      </w:r>
      <w:r w:rsidRPr="00871650">
        <w:rPr>
          <w:sz w:val="28"/>
          <w:szCs w:val="28"/>
        </w:rPr>
        <w:t xml:space="preserve"> </w:t>
      </w:r>
      <w:proofErr w:type="spellStart"/>
      <w:r w:rsidRPr="00804B9F">
        <w:rPr>
          <w:i/>
          <w:iCs/>
          <w:sz w:val="28"/>
          <w:szCs w:val="28"/>
        </w:rPr>
        <w:t>distributed</w:t>
      </w:r>
      <w:proofErr w:type="spellEnd"/>
      <w:r w:rsidRPr="00804B9F">
        <w:rPr>
          <w:i/>
          <w:iCs/>
          <w:sz w:val="28"/>
          <w:szCs w:val="28"/>
        </w:rPr>
        <w:t xml:space="preserve"> </w:t>
      </w:r>
      <w:proofErr w:type="spellStart"/>
      <w:r w:rsidRPr="00804B9F">
        <w:rPr>
          <w:i/>
          <w:iCs/>
          <w:sz w:val="28"/>
          <w:szCs w:val="28"/>
        </w:rPr>
        <w:t>ledger</w:t>
      </w:r>
      <w:proofErr w:type="spellEnd"/>
      <w:r w:rsidRPr="00804B9F">
        <w:rPr>
          <w:i/>
          <w:iCs/>
          <w:sz w:val="28"/>
          <w:szCs w:val="28"/>
        </w:rPr>
        <w:t xml:space="preserve"> </w:t>
      </w:r>
      <w:proofErr w:type="spellStart"/>
      <w:r w:rsidRPr="00804B9F">
        <w:rPr>
          <w:i/>
          <w:iCs/>
          <w:sz w:val="28"/>
          <w:szCs w:val="28"/>
        </w:rPr>
        <w:t>technologies</w:t>
      </w:r>
      <w:proofErr w:type="spellEnd"/>
      <w:r w:rsidRPr="00871650">
        <w:rPr>
          <w:sz w:val="28"/>
          <w:szCs w:val="28"/>
        </w:rPr>
        <w:t xml:space="preserve"> (o DLT), </w:t>
      </w:r>
      <w:r>
        <w:rPr>
          <w:sz w:val="28"/>
          <w:szCs w:val="28"/>
        </w:rPr>
        <w:t xml:space="preserve">ossia le </w:t>
      </w:r>
      <w:r w:rsidRPr="00871650">
        <w:rPr>
          <w:sz w:val="28"/>
          <w:szCs w:val="28"/>
        </w:rPr>
        <w:t xml:space="preserve">reti digitali decentralizzate ispirate alla </w:t>
      </w:r>
      <w:proofErr w:type="spellStart"/>
      <w:r w:rsidRPr="0074630A">
        <w:rPr>
          <w:i/>
          <w:iCs/>
          <w:sz w:val="28"/>
          <w:szCs w:val="28"/>
        </w:rPr>
        <w:t>Bitcoin</w:t>
      </w:r>
      <w:proofErr w:type="spellEnd"/>
      <w:r>
        <w:rPr>
          <w:sz w:val="28"/>
          <w:szCs w:val="28"/>
        </w:rPr>
        <w:t>, ormai famosa in tutto il mondo.</w:t>
      </w:r>
    </w:p>
    <w:p w14:paraId="216B5FB1" w14:textId="77777777" w:rsidR="00AA6BA3" w:rsidRDefault="00AA6BA3" w:rsidP="00AA6BA3">
      <w:pPr>
        <w:pStyle w:val="NormaleWeb"/>
        <w:spacing w:before="0" w:beforeAutospacing="0" w:after="0" w:afterAutospacing="0"/>
        <w:jc w:val="both"/>
        <w:rPr>
          <w:sz w:val="28"/>
          <w:szCs w:val="28"/>
        </w:rPr>
      </w:pPr>
      <w:proofErr w:type="spellStart"/>
      <w:r w:rsidRPr="0074630A">
        <w:rPr>
          <w:i/>
          <w:iCs/>
          <w:sz w:val="28"/>
          <w:szCs w:val="28"/>
        </w:rPr>
        <w:t>Bitcoin</w:t>
      </w:r>
      <w:proofErr w:type="spellEnd"/>
      <w:r>
        <w:rPr>
          <w:sz w:val="28"/>
          <w:szCs w:val="28"/>
        </w:rPr>
        <w:t xml:space="preserve"> fu </w:t>
      </w:r>
      <w:r w:rsidRPr="00871650">
        <w:rPr>
          <w:sz w:val="28"/>
          <w:szCs w:val="28"/>
        </w:rPr>
        <w:t>creata nel 2008 da</w:t>
      </w:r>
      <w:r>
        <w:rPr>
          <w:sz w:val="28"/>
          <w:szCs w:val="28"/>
        </w:rPr>
        <w:t xml:space="preserve"> alcuni</w:t>
      </w:r>
      <w:r w:rsidRPr="00871650">
        <w:rPr>
          <w:sz w:val="28"/>
          <w:szCs w:val="28"/>
        </w:rPr>
        <w:t xml:space="preserve"> </w:t>
      </w:r>
      <w:r w:rsidRPr="0074630A">
        <w:rPr>
          <w:i/>
          <w:iCs/>
          <w:sz w:val="28"/>
          <w:szCs w:val="28"/>
        </w:rPr>
        <w:t>hacker</w:t>
      </w:r>
      <w:r w:rsidRPr="00871650">
        <w:rPr>
          <w:sz w:val="28"/>
          <w:szCs w:val="28"/>
        </w:rPr>
        <w:t xml:space="preserve"> anonimi </w:t>
      </w:r>
      <w:r>
        <w:rPr>
          <w:sz w:val="28"/>
          <w:szCs w:val="28"/>
        </w:rPr>
        <w:t>che volevano creare</w:t>
      </w:r>
      <w:r w:rsidRPr="00871650">
        <w:rPr>
          <w:sz w:val="28"/>
          <w:szCs w:val="28"/>
        </w:rPr>
        <w:t xml:space="preserve"> una forma digitale di denaro</w:t>
      </w:r>
      <w:r>
        <w:rPr>
          <w:sz w:val="28"/>
          <w:szCs w:val="28"/>
        </w:rPr>
        <w:t xml:space="preserve"> (</w:t>
      </w:r>
      <w:r w:rsidRPr="00871650">
        <w:rPr>
          <w:sz w:val="28"/>
          <w:szCs w:val="28"/>
        </w:rPr>
        <w:t xml:space="preserve">c.d. </w:t>
      </w:r>
      <w:proofErr w:type="spellStart"/>
      <w:r w:rsidRPr="0074630A">
        <w:rPr>
          <w:i/>
          <w:iCs/>
          <w:sz w:val="28"/>
          <w:szCs w:val="28"/>
        </w:rPr>
        <w:t>criptovaluta</w:t>
      </w:r>
      <w:proofErr w:type="spellEnd"/>
      <w:r w:rsidRPr="0074630A">
        <w:rPr>
          <w:sz w:val="28"/>
          <w:szCs w:val="28"/>
        </w:rPr>
        <w:t xml:space="preserve">), </w:t>
      </w:r>
      <w:r>
        <w:rPr>
          <w:sz w:val="28"/>
          <w:szCs w:val="28"/>
        </w:rPr>
        <w:t xml:space="preserve">senza che essa avesse </w:t>
      </w:r>
      <w:r w:rsidRPr="00871650">
        <w:rPr>
          <w:sz w:val="28"/>
          <w:szCs w:val="28"/>
        </w:rPr>
        <w:t>corso legale</w:t>
      </w:r>
      <w:r>
        <w:rPr>
          <w:sz w:val="28"/>
          <w:szCs w:val="28"/>
        </w:rPr>
        <w:t xml:space="preserve"> nello Stato</w:t>
      </w:r>
      <w:r w:rsidRPr="00871650">
        <w:rPr>
          <w:sz w:val="28"/>
          <w:szCs w:val="28"/>
        </w:rPr>
        <w:t xml:space="preserve"> né alcun sottostante materiale in controvalore</w:t>
      </w:r>
      <w:r>
        <w:rPr>
          <w:sz w:val="28"/>
          <w:szCs w:val="28"/>
        </w:rPr>
        <w:t>.</w:t>
      </w:r>
    </w:p>
    <w:p w14:paraId="2F42D44E" w14:textId="77777777" w:rsidR="00AA6BA3" w:rsidRDefault="00AA6BA3" w:rsidP="00AA6BA3">
      <w:pPr>
        <w:pStyle w:val="NormaleWeb"/>
        <w:spacing w:before="0" w:beforeAutospacing="0" w:after="0" w:afterAutospacing="0"/>
        <w:jc w:val="both"/>
        <w:rPr>
          <w:sz w:val="28"/>
          <w:szCs w:val="28"/>
        </w:rPr>
      </w:pPr>
      <w:r w:rsidRPr="0074630A">
        <w:rPr>
          <w:sz w:val="28"/>
          <w:szCs w:val="28"/>
        </w:rPr>
        <w:t>La moneta virtuale chiamata</w:t>
      </w:r>
      <w:r>
        <w:rPr>
          <w:i/>
          <w:iCs/>
          <w:sz w:val="28"/>
          <w:szCs w:val="28"/>
        </w:rPr>
        <w:t xml:space="preserve"> </w:t>
      </w:r>
      <w:proofErr w:type="spellStart"/>
      <w:r w:rsidRPr="0074630A">
        <w:rPr>
          <w:i/>
          <w:iCs/>
          <w:sz w:val="28"/>
          <w:szCs w:val="28"/>
        </w:rPr>
        <w:t>Bitcoin</w:t>
      </w:r>
      <w:proofErr w:type="spellEnd"/>
      <w:r w:rsidRPr="00871650">
        <w:rPr>
          <w:sz w:val="28"/>
          <w:szCs w:val="28"/>
        </w:rPr>
        <w:t xml:space="preserve"> è </w:t>
      </w:r>
      <w:r>
        <w:rPr>
          <w:sz w:val="28"/>
          <w:szCs w:val="28"/>
        </w:rPr>
        <w:t>diventata, ormai, molto sostenuta tra il pubblico mondiale: il suo successo è dovuto ad alcuni</w:t>
      </w:r>
      <w:r w:rsidRPr="00871650">
        <w:rPr>
          <w:sz w:val="28"/>
          <w:szCs w:val="28"/>
        </w:rPr>
        <w:t xml:space="preserve"> ideali monetari di stampo democratico e internazionalista</w:t>
      </w:r>
      <w:r>
        <w:rPr>
          <w:sz w:val="28"/>
          <w:szCs w:val="28"/>
        </w:rPr>
        <w:t>,</w:t>
      </w:r>
      <w:r w:rsidRPr="00871650">
        <w:rPr>
          <w:sz w:val="28"/>
          <w:szCs w:val="28"/>
        </w:rPr>
        <w:t xml:space="preserve"> </w:t>
      </w:r>
      <w:r>
        <w:rPr>
          <w:sz w:val="28"/>
          <w:szCs w:val="28"/>
        </w:rPr>
        <w:t>a</w:t>
      </w:r>
      <w:r w:rsidRPr="00871650">
        <w:rPr>
          <w:sz w:val="28"/>
          <w:szCs w:val="28"/>
        </w:rPr>
        <w:t xml:space="preserve"> motivi speculativi</w:t>
      </w:r>
      <w:r>
        <w:rPr>
          <w:rStyle w:val="Rimandonotaapidipagina"/>
          <w:sz w:val="28"/>
          <w:szCs w:val="28"/>
        </w:rPr>
        <w:footnoteReference w:id="68"/>
      </w:r>
      <w:r w:rsidRPr="00871650">
        <w:rPr>
          <w:sz w:val="28"/>
          <w:szCs w:val="28"/>
        </w:rPr>
        <w:t xml:space="preserve"> o di agevolazione delle transazioni legate ad attività illecite</w:t>
      </w:r>
      <w:r>
        <w:rPr>
          <w:sz w:val="28"/>
          <w:szCs w:val="28"/>
        </w:rPr>
        <w:t xml:space="preserve"> e, soprattutto, al superamento di </w:t>
      </w:r>
      <w:r w:rsidRPr="00871650">
        <w:rPr>
          <w:sz w:val="28"/>
          <w:szCs w:val="28"/>
        </w:rPr>
        <w:t>due cruciali problemi che scoraggiavano l’adozione di forme integralmente digitali di denaro</w:t>
      </w:r>
      <w:r>
        <w:rPr>
          <w:sz w:val="28"/>
          <w:szCs w:val="28"/>
        </w:rPr>
        <w:t xml:space="preserve">. </w:t>
      </w:r>
    </w:p>
    <w:p w14:paraId="31D7875C" w14:textId="77777777" w:rsidR="00AA6BA3" w:rsidRPr="00871650" w:rsidRDefault="00AA6BA3" w:rsidP="00AA6BA3">
      <w:pPr>
        <w:pStyle w:val="NormaleWeb"/>
        <w:spacing w:before="0" w:beforeAutospacing="0" w:after="0" w:afterAutospacing="0"/>
        <w:jc w:val="both"/>
        <w:rPr>
          <w:sz w:val="28"/>
          <w:szCs w:val="28"/>
        </w:rPr>
      </w:pPr>
      <w:r>
        <w:rPr>
          <w:sz w:val="28"/>
          <w:szCs w:val="28"/>
        </w:rPr>
        <w:t>Da un lato, era temuto</w:t>
      </w:r>
      <w:r w:rsidRPr="00871650">
        <w:rPr>
          <w:sz w:val="28"/>
          <w:szCs w:val="28"/>
        </w:rPr>
        <w:t xml:space="preserve"> il rischio della doppia spesa della stessa unità monetaria e</w:t>
      </w:r>
      <w:r>
        <w:rPr>
          <w:sz w:val="28"/>
          <w:szCs w:val="28"/>
        </w:rPr>
        <w:t>, dall’altro, si paventava</w:t>
      </w:r>
      <w:r w:rsidRPr="00871650">
        <w:rPr>
          <w:sz w:val="28"/>
          <w:szCs w:val="28"/>
        </w:rPr>
        <w:t xml:space="preserve"> la necessità di</w:t>
      </w:r>
      <w:r>
        <w:rPr>
          <w:sz w:val="28"/>
          <w:szCs w:val="28"/>
        </w:rPr>
        <w:t xml:space="preserve"> essere assistiti da</w:t>
      </w:r>
      <w:r w:rsidRPr="00871650">
        <w:rPr>
          <w:sz w:val="28"/>
          <w:szCs w:val="28"/>
        </w:rPr>
        <w:t xml:space="preserve"> intermediari di fiducia </w:t>
      </w:r>
      <w:r>
        <w:rPr>
          <w:sz w:val="28"/>
          <w:szCs w:val="28"/>
        </w:rPr>
        <w:t xml:space="preserve">per </w:t>
      </w:r>
      <w:r w:rsidRPr="00871650">
        <w:rPr>
          <w:sz w:val="28"/>
          <w:szCs w:val="28"/>
        </w:rPr>
        <w:t>ogni transazione</w:t>
      </w:r>
      <w:r>
        <w:rPr>
          <w:sz w:val="28"/>
          <w:szCs w:val="28"/>
        </w:rPr>
        <w:t>.</w:t>
      </w:r>
    </w:p>
    <w:p w14:paraId="347091CA" w14:textId="77777777" w:rsidR="00AA6BA3" w:rsidRDefault="00AA6BA3" w:rsidP="00AA6BA3">
      <w:pPr>
        <w:pStyle w:val="NormaleWeb"/>
        <w:spacing w:before="0" w:beforeAutospacing="0" w:after="0" w:afterAutospacing="0"/>
        <w:jc w:val="both"/>
        <w:rPr>
          <w:sz w:val="28"/>
          <w:szCs w:val="28"/>
        </w:rPr>
      </w:pPr>
      <w:proofErr w:type="spellStart"/>
      <w:r w:rsidRPr="00F96716">
        <w:rPr>
          <w:i/>
          <w:iCs/>
          <w:sz w:val="28"/>
          <w:szCs w:val="28"/>
        </w:rPr>
        <w:t>Bitcoin</w:t>
      </w:r>
      <w:proofErr w:type="spellEnd"/>
      <w:r>
        <w:rPr>
          <w:sz w:val="28"/>
          <w:szCs w:val="28"/>
        </w:rPr>
        <w:t xml:space="preserve"> ha offerto proprio un</w:t>
      </w:r>
      <w:r w:rsidRPr="00871650">
        <w:rPr>
          <w:sz w:val="28"/>
          <w:szCs w:val="28"/>
        </w:rPr>
        <w:t>a soluzione tecnologica a tali criticità</w:t>
      </w:r>
      <w:r>
        <w:rPr>
          <w:sz w:val="28"/>
          <w:szCs w:val="28"/>
        </w:rPr>
        <w:t xml:space="preserve">, tramite la </w:t>
      </w:r>
      <w:r w:rsidRPr="00871650">
        <w:rPr>
          <w:sz w:val="28"/>
          <w:szCs w:val="28"/>
        </w:rPr>
        <w:t xml:space="preserve">creazione di un registro delle transazioni decentralizzato, distribuito fra tutti gli utenti della rete, </w:t>
      </w:r>
      <w:r>
        <w:rPr>
          <w:sz w:val="28"/>
          <w:szCs w:val="28"/>
        </w:rPr>
        <w:t>che</w:t>
      </w:r>
      <w:r w:rsidRPr="00871650">
        <w:rPr>
          <w:sz w:val="28"/>
          <w:szCs w:val="28"/>
        </w:rPr>
        <w:t xml:space="preserve"> possono accedere a ogni sua parte e verificarne autonomamente la regolarità. </w:t>
      </w:r>
      <w:r>
        <w:rPr>
          <w:sz w:val="28"/>
          <w:szCs w:val="28"/>
        </w:rPr>
        <w:t>L’organizzazione del registro è</w:t>
      </w:r>
      <w:r w:rsidRPr="00871650">
        <w:rPr>
          <w:sz w:val="28"/>
          <w:szCs w:val="28"/>
        </w:rPr>
        <w:t xml:space="preserve"> su base crittografica, in modo tale da risultare, di norma, immutabile e insuscettibile di manomissioni fraudolente.</w:t>
      </w:r>
    </w:p>
    <w:p w14:paraId="5D95C327" w14:textId="77777777" w:rsidR="00AA6BA3" w:rsidRPr="00871650" w:rsidRDefault="00AA6BA3" w:rsidP="00AA6BA3">
      <w:pPr>
        <w:pStyle w:val="NormaleWeb"/>
        <w:spacing w:before="0" w:beforeAutospacing="0" w:after="0" w:afterAutospacing="0"/>
        <w:jc w:val="both"/>
        <w:rPr>
          <w:sz w:val="28"/>
          <w:szCs w:val="28"/>
        </w:rPr>
      </w:pPr>
      <w:r>
        <w:rPr>
          <w:sz w:val="28"/>
          <w:szCs w:val="28"/>
        </w:rPr>
        <w:t>È necessaria la</w:t>
      </w:r>
      <w:r w:rsidRPr="00871650">
        <w:rPr>
          <w:sz w:val="28"/>
          <w:szCs w:val="28"/>
        </w:rPr>
        <w:t xml:space="preserve"> firma digitale</w:t>
      </w:r>
      <w:r>
        <w:rPr>
          <w:sz w:val="28"/>
          <w:szCs w:val="28"/>
        </w:rPr>
        <w:t xml:space="preserve"> per </w:t>
      </w:r>
      <w:r w:rsidRPr="00871650">
        <w:rPr>
          <w:sz w:val="28"/>
          <w:szCs w:val="28"/>
        </w:rPr>
        <w:t xml:space="preserve">riservare al titolare effettivo la disponibilità esclusiva di ogni unità di </w:t>
      </w:r>
      <w:proofErr w:type="spellStart"/>
      <w:r w:rsidRPr="00871650">
        <w:rPr>
          <w:sz w:val="28"/>
          <w:szCs w:val="28"/>
        </w:rPr>
        <w:t>criptovaluta</w:t>
      </w:r>
      <w:proofErr w:type="spellEnd"/>
      <w:r w:rsidRPr="00871650">
        <w:rPr>
          <w:sz w:val="28"/>
          <w:szCs w:val="28"/>
        </w:rPr>
        <w:t>.</w:t>
      </w:r>
    </w:p>
    <w:p w14:paraId="556CA807" w14:textId="77777777" w:rsidR="00AA6BA3" w:rsidRPr="00871650" w:rsidRDefault="00AA6BA3" w:rsidP="00AA6BA3">
      <w:pPr>
        <w:pStyle w:val="NormaleWeb"/>
        <w:spacing w:before="0" w:beforeAutospacing="0" w:after="0" w:afterAutospacing="0"/>
        <w:jc w:val="both"/>
        <w:rPr>
          <w:sz w:val="28"/>
          <w:szCs w:val="28"/>
        </w:rPr>
      </w:pPr>
      <w:r>
        <w:rPr>
          <w:sz w:val="28"/>
          <w:szCs w:val="28"/>
        </w:rPr>
        <w:t>La</w:t>
      </w:r>
      <w:r w:rsidRPr="00871650">
        <w:rPr>
          <w:sz w:val="28"/>
          <w:szCs w:val="28"/>
        </w:rPr>
        <w:t xml:space="preserve"> rete DLT sinonimo per antonomasia è la c.d. </w:t>
      </w:r>
      <w:proofErr w:type="spellStart"/>
      <w:r w:rsidRPr="00F77F8B">
        <w:rPr>
          <w:i/>
          <w:iCs/>
          <w:sz w:val="28"/>
          <w:szCs w:val="28"/>
        </w:rPr>
        <w:t>blockchain</w:t>
      </w:r>
      <w:proofErr w:type="spellEnd"/>
      <w:r w:rsidRPr="00871650">
        <w:rPr>
          <w:sz w:val="28"/>
          <w:szCs w:val="28"/>
        </w:rPr>
        <w:t xml:space="preserve"> (“</w:t>
      </w:r>
      <w:r w:rsidRPr="00F77F8B">
        <w:rPr>
          <w:sz w:val="28"/>
          <w:szCs w:val="28"/>
        </w:rPr>
        <w:t>catena di blocchi</w:t>
      </w:r>
      <w:r w:rsidRPr="00871650">
        <w:rPr>
          <w:sz w:val="28"/>
          <w:szCs w:val="28"/>
        </w:rPr>
        <w:t xml:space="preserve">”), inaugurata da </w:t>
      </w:r>
      <w:proofErr w:type="spellStart"/>
      <w:r w:rsidRPr="00F77F8B">
        <w:rPr>
          <w:i/>
          <w:iCs/>
          <w:sz w:val="28"/>
          <w:szCs w:val="28"/>
        </w:rPr>
        <w:t>Bitcoin</w:t>
      </w:r>
      <w:proofErr w:type="spellEnd"/>
      <w:r>
        <w:rPr>
          <w:sz w:val="28"/>
          <w:szCs w:val="28"/>
        </w:rPr>
        <w:t>;</w:t>
      </w:r>
      <w:r w:rsidRPr="00871650">
        <w:rPr>
          <w:sz w:val="28"/>
          <w:szCs w:val="28"/>
        </w:rPr>
        <w:t xml:space="preserve"> vi rientrano </w:t>
      </w:r>
      <w:r>
        <w:rPr>
          <w:sz w:val="28"/>
          <w:szCs w:val="28"/>
        </w:rPr>
        <w:t>anche</w:t>
      </w:r>
      <w:r w:rsidRPr="00871650">
        <w:rPr>
          <w:sz w:val="28"/>
          <w:szCs w:val="28"/>
        </w:rPr>
        <w:t xml:space="preserve"> </w:t>
      </w:r>
      <w:r>
        <w:rPr>
          <w:sz w:val="28"/>
          <w:szCs w:val="28"/>
        </w:rPr>
        <w:t>i c.d.</w:t>
      </w:r>
      <w:r w:rsidRPr="00871650">
        <w:rPr>
          <w:sz w:val="28"/>
          <w:szCs w:val="28"/>
        </w:rPr>
        <w:t xml:space="preserve"> </w:t>
      </w:r>
      <w:proofErr w:type="spellStart"/>
      <w:r w:rsidRPr="00F77F8B">
        <w:rPr>
          <w:i/>
          <w:iCs/>
          <w:sz w:val="28"/>
          <w:szCs w:val="28"/>
        </w:rPr>
        <w:t>ledger</w:t>
      </w:r>
      <w:proofErr w:type="spellEnd"/>
      <w:r w:rsidRPr="00871650">
        <w:rPr>
          <w:sz w:val="28"/>
          <w:szCs w:val="28"/>
        </w:rPr>
        <w:t xml:space="preserve"> (“libro mastro”) tradizionale e </w:t>
      </w:r>
      <w:r>
        <w:rPr>
          <w:sz w:val="28"/>
          <w:szCs w:val="28"/>
        </w:rPr>
        <w:t xml:space="preserve">il </w:t>
      </w:r>
      <w:proofErr w:type="spellStart"/>
      <w:r w:rsidRPr="00F77F8B">
        <w:rPr>
          <w:i/>
          <w:iCs/>
          <w:sz w:val="28"/>
          <w:szCs w:val="28"/>
        </w:rPr>
        <w:lastRenderedPageBreak/>
        <w:t>tangle</w:t>
      </w:r>
      <w:proofErr w:type="spellEnd"/>
      <w:r w:rsidRPr="00871650">
        <w:rPr>
          <w:sz w:val="28"/>
          <w:szCs w:val="28"/>
        </w:rPr>
        <w:t xml:space="preserve"> (“intreccio”)</w:t>
      </w:r>
      <w:r>
        <w:rPr>
          <w:sz w:val="28"/>
          <w:szCs w:val="28"/>
        </w:rPr>
        <w:t xml:space="preserve">. Questi ultimi operano </w:t>
      </w:r>
      <w:r w:rsidRPr="00871650">
        <w:rPr>
          <w:sz w:val="28"/>
          <w:szCs w:val="28"/>
        </w:rPr>
        <w:t>in base a diversi sistemi di raggruppamento delle transazioni da validare prima per essere iscritte permanentemente nel registro condiviso.</w:t>
      </w:r>
    </w:p>
    <w:p w14:paraId="4476EDDC" w14:textId="77777777" w:rsidR="00AA6BA3" w:rsidRDefault="00AA6BA3" w:rsidP="00AA6BA3">
      <w:pPr>
        <w:pStyle w:val="NormaleWeb"/>
        <w:spacing w:before="0" w:beforeAutospacing="0" w:after="0" w:afterAutospacing="0"/>
        <w:jc w:val="both"/>
        <w:rPr>
          <w:sz w:val="28"/>
          <w:szCs w:val="28"/>
        </w:rPr>
      </w:pPr>
      <w:r>
        <w:rPr>
          <w:sz w:val="28"/>
          <w:szCs w:val="28"/>
        </w:rPr>
        <w:t>Ogni</w:t>
      </w:r>
      <w:r w:rsidRPr="00871650">
        <w:rPr>
          <w:sz w:val="28"/>
          <w:szCs w:val="28"/>
        </w:rPr>
        <w:t xml:space="preserve"> rete può </w:t>
      </w:r>
      <w:r>
        <w:rPr>
          <w:sz w:val="28"/>
          <w:szCs w:val="28"/>
        </w:rPr>
        <w:t xml:space="preserve">usare </w:t>
      </w:r>
      <w:r w:rsidRPr="00871650">
        <w:rPr>
          <w:sz w:val="28"/>
          <w:szCs w:val="28"/>
        </w:rPr>
        <w:t>diversi sistemi di controllo decentralizzato</w:t>
      </w:r>
      <w:r w:rsidRPr="00AD5B5D">
        <w:rPr>
          <w:sz w:val="28"/>
          <w:szCs w:val="28"/>
        </w:rPr>
        <w:t xml:space="preserve"> </w:t>
      </w:r>
      <w:r w:rsidRPr="00871650">
        <w:rPr>
          <w:sz w:val="28"/>
          <w:szCs w:val="28"/>
        </w:rPr>
        <w:t xml:space="preserve">della regolarità delle transazioni, basati sempre su tecniche di crittografia, in particolare: </w:t>
      </w:r>
    </w:p>
    <w:p w14:paraId="218FD82E" w14:textId="77777777" w:rsidR="00AA6BA3" w:rsidRDefault="00AA6BA3" w:rsidP="00AA6BA3">
      <w:pPr>
        <w:pStyle w:val="NormaleWeb"/>
        <w:spacing w:before="0" w:beforeAutospacing="0" w:after="0" w:afterAutospacing="0"/>
        <w:jc w:val="both"/>
        <w:rPr>
          <w:sz w:val="28"/>
          <w:szCs w:val="28"/>
        </w:rPr>
      </w:pPr>
      <w:r w:rsidRPr="00F77F8B">
        <w:rPr>
          <w:sz w:val="28"/>
          <w:szCs w:val="28"/>
        </w:rPr>
        <w:t>(i</w:t>
      </w:r>
      <w:r>
        <w:rPr>
          <w:sz w:val="28"/>
          <w:szCs w:val="28"/>
        </w:rPr>
        <w:t xml:space="preserve">) </w:t>
      </w:r>
      <w:r w:rsidRPr="00871650">
        <w:rPr>
          <w:sz w:val="28"/>
          <w:szCs w:val="28"/>
        </w:rPr>
        <w:t>il voto a maggioranza</w:t>
      </w:r>
      <w:r>
        <w:rPr>
          <w:sz w:val="28"/>
          <w:szCs w:val="28"/>
        </w:rPr>
        <w:t>;</w:t>
      </w:r>
    </w:p>
    <w:p w14:paraId="26652C96" w14:textId="77777777" w:rsidR="00AA6BA3" w:rsidRDefault="00AA6BA3" w:rsidP="00AA6BA3">
      <w:pPr>
        <w:pStyle w:val="NormaleWeb"/>
        <w:spacing w:before="0" w:beforeAutospacing="0" w:after="0" w:afterAutospacing="0"/>
        <w:jc w:val="both"/>
        <w:rPr>
          <w:sz w:val="28"/>
          <w:szCs w:val="28"/>
        </w:rPr>
      </w:pPr>
      <w:r w:rsidRPr="00871650">
        <w:rPr>
          <w:sz w:val="28"/>
          <w:szCs w:val="28"/>
        </w:rPr>
        <w:t xml:space="preserve">(ii) la </w:t>
      </w:r>
      <w:proofErr w:type="spellStart"/>
      <w:r w:rsidRPr="00F77F8B">
        <w:rPr>
          <w:i/>
          <w:iCs/>
          <w:sz w:val="28"/>
          <w:szCs w:val="28"/>
        </w:rPr>
        <w:t>proof</w:t>
      </w:r>
      <w:proofErr w:type="spellEnd"/>
      <w:r w:rsidRPr="00F77F8B">
        <w:rPr>
          <w:i/>
          <w:iCs/>
          <w:sz w:val="28"/>
          <w:szCs w:val="28"/>
        </w:rPr>
        <w:t xml:space="preserve"> of work</w:t>
      </w:r>
      <w:r w:rsidRPr="00871650">
        <w:rPr>
          <w:sz w:val="28"/>
          <w:szCs w:val="28"/>
        </w:rPr>
        <w:t xml:space="preserve"> (“prova di lavoro”)</w:t>
      </w:r>
      <w:r>
        <w:rPr>
          <w:sz w:val="28"/>
          <w:szCs w:val="28"/>
        </w:rPr>
        <w:t>;</w:t>
      </w:r>
    </w:p>
    <w:p w14:paraId="126C4219" w14:textId="77777777" w:rsidR="00AA6BA3" w:rsidRDefault="00AA6BA3" w:rsidP="00AA6BA3">
      <w:pPr>
        <w:pStyle w:val="NormaleWeb"/>
        <w:spacing w:before="0" w:beforeAutospacing="0" w:after="0" w:afterAutospacing="0"/>
        <w:jc w:val="both"/>
        <w:rPr>
          <w:sz w:val="28"/>
          <w:szCs w:val="28"/>
        </w:rPr>
      </w:pPr>
      <w:r w:rsidRPr="00871650">
        <w:rPr>
          <w:sz w:val="28"/>
          <w:szCs w:val="28"/>
        </w:rPr>
        <w:t xml:space="preserve">(iii) la </w:t>
      </w:r>
      <w:proofErr w:type="spellStart"/>
      <w:r w:rsidRPr="00F77F8B">
        <w:rPr>
          <w:i/>
          <w:iCs/>
          <w:sz w:val="28"/>
          <w:szCs w:val="28"/>
        </w:rPr>
        <w:t>proof</w:t>
      </w:r>
      <w:proofErr w:type="spellEnd"/>
      <w:r w:rsidRPr="00F77F8B">
        <w:rPr>
          <w:i/>
          <w:iCs/>
          <w:sz w:val="28"/>
          <w:szCs w:val="28"/>
        </w:rPr>
        <w:t xml:space="preserve"> of </w:t>
      </w:r>
      <w:proofErr w:type="spellStart"/>
      <w:r w:rsidRPr="00F77F8B">
        <w:rPr>
          <w:i/>
          <w:iCs/>
          <w:sz w:val="28"/>
          <w:szCs w:val="28"/>
        </w:rPr>
        <w:t>stake</w:t>
      </w:r>
      <w:proofErr w:type="spellEnd"/>
      <w:r w:rsidRPr="00871650">
        <w:rPr>
          <w:sz w:val="28"/>
          <w:szCs w:val="28"/>
        </w:rPr>
        <w:t xml:space="preserve"> (“prova della posta in gioco”)</w:t>
      </w:r>
      <w:r>
        <w:rPr>
          <w:sz w:val="28"/>
          <w:szCs w:val="28"/>
        </w:rPr>
        <w:t>;</w:t>
      </w:r>
    </w:p>
    <w:p w14:paraId="5E30771F" w14:textId="77777777" w:rsidR="00AA6BA3" w:rsidRPr="00871650" w:rsidRDefault="00AA6BA3" w:rsidP="00AA6BA3">
      <w:pPr>
        <w:pStyle w:val="NormaleWeb"/>
        <w:spacing w:before="0" w:beforeAutospacing="0" w:after="0" w:afterAutospacing="0"/>
        <w:jc w:val="both"/>
        <w:rPr>
          <w:sz w:val="28"/>
          <w:szCs w:val="28"/>
        </w:rPr>
      </w:pPr>
      <w:r w:rsidRPr="00871650">
        <w:rPr>
          <w:sz w:val="28"/>
          <w:szCs w:val="28"/>
        </w:rPr>
        <w:t xml:space="preserve">(iv) la </w:t>
      </w:r>
      <w:proofErr w:type="spellStart"/>
      <w:r w:rsidRPr="00F77F8B">
        <w:rPr>
          <w:i/>
          <w:iCs/>
          <w:sz w:val="28"/>
          <w:szCs w:val="28"/>
        </w:rPr>
        <w:t>proof</w:t>
      </w:r>
      <w:proofErr w:type="spellEnd"/>
      <w:r w:rsidRPr="00F77F8B">
        <w:rPr>
          <w:i/>
          <w:iCs/>
          <w:sz w:val="28"/>
          <w:szCs w:val="28"/>
        </w:rPr>
        <w:t xml:space="preserve"> of authority</w:t>
      </w:r>
      <w:r w:rsidRPr="00871650">
        <w:rPr>
          <w:sz w:val="28"/>
          <w:szCs w:val="28"/>
        </w:rPr>
        <w:t xml:space="preserve"> (“prova di autorevolezza”)</w:t>
      </w:r>
      <w:r>
        <w:rPr>
          <w:sz w:val="28"/>
          <w:szCs w:val="28"/>
        </w:rPr>
        <w:t>.</w:t>
      </w:r>
    </w:p>
    <w:p w14:paraId="0456C964" w14:textId="77777777" w:rsidR="00AA6BA3" w:rsidRPr="00871650" w:rsidRDefault="00AA6BA3" w:rsidP="00AA6BA3">
      <w:pPr>
        <w:pStyle w:val="NormaleWeb"/>
        <w:spacing w:before="0" w:beforeAutospacing="0" w:after="0" w:afterAutospacing="0"/>
        <w:jc w:val="both"/>
        <w:rPr>
          <w:sz w:val="28"/>
          <w:szCs w:val="28"/>
        </w:rPr>
      </w:pPr>
      <w:r>
        <w:rPr>
          <w:sz w:val="28"/>
          <w:szCs w:val="28"/>
        </w:rPr>
        <w:t>L</w:t>
      </w:r>
      <w:r w:rsidRPr="00871650">
        <w:rPr>
          <w:sz w:val="28"/>
          <w:szCs w:val="28"/>
        </w:rPr>
        <w:t>e reti DLT</w:t>
      </w:r>
      <w:r>
        <w:rPr>
          <w:sz w:val="28"/>
          <w:szCs w:val="28"/>
        </w:rPr>
        <w:t>, o</w:t>
      </w:r>
      <w:r w:rsidRPr="00871650">
        <w:rPr>
          <w:sz w:val="28"/>
          <w:szCs w:val="28"/>
        </w:rPr>
        <w:t>ltre a rappresenta</w:t>
      </w:r>
      <w:r>
        <w:rPr>
          <w:sz w:val="28"/>
          <w:szCs w:val="28"/>
        </w:rPr>
        <w:t>re il</w:t>
      </w:r>
      <w:r w:rsidRPr="00871650">
        <w:rPr>
          <w:sz w:val="28"/>
          <w:szCs w:val="28"/>
        </w:rPr>
        <w:t xml:space="preserve"> valore monetario, possono</w:t>
      </w:r>
      <w:r>
        <w:rPr>
          <w:sz w:val="28"/>
          <w:szCs w:val="28"/>
        </w:rPr>
        <w:t>, se progettate in tal senso,</w:t>
      </w:r>
      <w:r w:rsidRPr="00871650">
        <w:rPr>
          <w:sz w:val="28"/>
          <w:szCs w:val="28"/>
        </w:rPr>
        <w:t xml:space="preserve"> ospitare anche altre forme di “</w:t>
      </w:r>
      <w:r>
        <w:rPr>
          <w:sz w:val="28"/>
          <w:szCs w:val="28"/>
        </w:rPr>
        <w:t>elementi</w:t>
      </w:r>
      <w:r w:rsidRPr="00871650">
        <w:rPr>
          <w:sz w:val="28"/>
          <w:szCs w:val="28"/>
        </w:rPr>
        <w:t xml:space="preserve">” digitali, i c.d. </w:t>
      </w:r>
      <w:proofErr w:type="spellStart"/>
      <w:r w:rsidRPr="00AD5B5D">
        <w:rPr>
          <w:i/>
          <w:iCs/>
          <w:sz w:val="28"/>
          <w:szCs w:val="28"/>
        </w:rPr>
        <w:t>token</w:t>
      </w:r>
      <w:proofErr w:type="spellEnd"/>
      <w:r w:rsidRPr="00871650">
        <w:rPr>
          <w:sz w:val="28"/>
          <w:szCs w:val="28"/>
        </w:rPr>
        <w:t xml:space="preserve"> (“gettoni”), fungibili o meno, stringhe di codice irripetibili rappresentative di diritti o beni materiali effettivamente esistenti nel mondo “analogico”, oppure utilizzati per riservare l’accesso esclusivo a servizi digitali telematici.</w:t>
      </w:r>
    </w:p>
    <w:p w14:paraId="1078AEBD" w14:textId="77777777" w:rsidR="00AA6BA3" w:rsidRPr="00871650" w:rsidRDefault="00AA6BA3" w:rsidP="00AA6BA3">
      <w:pPr>
        <w:pStyle w:val="NormaleWeb"/>
        <w:spacing w:before="0" w:beforeAutospacing="0" w:after="0" w:afterAutospacing="0"/>
        <w:jc w:val="both"/>
        <w:rPr>
          <w:sz w:val="28"/>
          <w:szCs w:val="28"/>
        </w:rPr>
      </w:pPr>
    </w:p>
    <w:p w14:paraId="00D43EFD" w14:textId="77777777" w:rsidR="00AA6BA3" w:rsidRPr="00871650" w:rsidRDefault="00AA6BA3" w:rsidP="00AA6BA3">
      <w:pPr>
        <w:pStyle w:val="NormaleWeb"/>
        <w:spacing w:before="0" w:beforeAutospacing="0" w:after="0" w:afterAutospacing="0"/>
        <w:jc w:val="both"/>
        <w:rPr>
          <w:sz w:val="28"/>
          <w:szCs w:val="28"/>
        </w:rPr>
      </w:pPr>
      <w:r w:rsidRPr="00871650">
        <w:rPr>
          <w:sz w:val="28"/>
          <w:szCs w:val="28"/>
        </w:rPr>
        <w:t xml:space="preserve">Per </w:t>
      </w:r>
      <w:r>
        <w:rPr>
          <w:sz w:val="28"/>
          <w:szCs w:val="28"/>
        </w:rPr>
        <w:t>quanto concerne, invece, la nozione di “</w:t>
      </w:r>
      <w:proofErr w:type="spellStart"/>
      <w:r w:rsidRPr="0074630A">
        <w:rPr>
          <w:i/>
          <w:iCs/>
          <w:sz w:val="28"/>
          <w:szCs w:val="28"/>
        </w:rPr>
        <w:t>smart</w:t>
      </w:r>
      <w:proofErr w:type="spellEnd"/>
      <w:r w:rsidRPr="0074630A">
        <w:rPr>
          <w:i/>
          <w:iCs/>
          <w:sz w:val="28"/>
          <w:szCs w:val="28"/>
        </w:rPr>
        <w:t xml:space="preserve"> </w:t>
      </w:r>
      <w:proofErr w:type="spellStart"/>
      <w:r w:rsidRPr="0074630A">
        <w:rPr>
          <w:i/>
          <w:iCs/>
          <w:sz w:val="28"/>
          <w:szCs w:val="28"/>
        </w:rPr>
        <w:t>contract</w:t>
      </w:r>
      <w:proofErr w:type="spellEnd"/>
      <w:r>
        <w:rPr>
          <w:sz w:val="28"/>
          <w:szCs w:val="28"/>
        </w:rPr>
        <w:t>”</w:t>
      </w:r>
      <w:r w:rsidRPr="00871650">
        <w:rPr>
          <w:sz w:val="28"/>
          <w:szCs w:val="28"/>
        </w:rPr>
        <w:t xml:space="preserve"> (“contratto intelligente”)</w:t>
      </w:r>
      <w:r>
        <w:rPr>
          <w:sz w:val="28"/>
          <w:szCs w:val="28"/>
        </w:rPr>
        <w:t>, si tratta di «</w:t>
      </w:r>
      <w:r w:rsidRPr="00231609">
        <w:rPr>
          <w:i/>
          <w:iCs/>
          <w:sz w:val="28"/>
          <w:szCs w:val="28"/>
        </w:rPr>
        <w:t xml:space="preserve">un programma per elaboratore che opera su tecnologie basate su registri distribuiti e la cui esecuzione vincola automaticamente due o più parti sulla base di effetti predefiniti dalle stesse. Gli </w:t>
      </w:r>
      <w:proofErr w:type="spellStart"/>
      <w:r w:rsidRPr="00841761">
        <w:rPr>
          <w:sz w:val="28"/>
          <w:szCs w:val="28"/>
        </w:rPr>
        <w:t>smart</w:t>
      </w:r>
      <w:proofErr w:type="spellEnd"/>
      <w:r w:rsidRPr="00841761">
        <w:rPr>
          <w:sz w:val="28"/>
          <w:szCs w:val="28"/>
        </w:rPr>
        <w:t xml:space="preserve"> </w:t>
      </w:r>
      <w:proofErr w:type="spellStart"/>
      <w:r w:rsidRPr="00841761">
        <w:rPr>
          <w:sz w:val="28"/>
          <w:szCs w:val="28"/>
        </w:rPr>
        <w:t>contract</w:t>
      </w:r>
      <w:proofErr w:type="spellEnd"/>
      <w:r w:rsidRPr="00231609">
        <w:rPr>
          <w:i/>
          <w:iCs/>
          <w:sz w:val="28"/>
          <w:szCs w:val="28"/>
        </w:rPr>
        <w:t xml:space="preserve"> soddisfano il requisito della forma scritta previa identificazione informatica delle parti interessate, attraverso un processo avente i requisiti fissati dall</w:t>
      </w:r>
      <w:r>
        <w:rPr>
          <w:i/>
          <w:iCs/>
          <w:sz w:val="28"/>
          <w:szCs w:val="28"/>
        </w:rPr>
        <w:t>’</w:t>
      </w:r>
      <w:r w:rsidRPr="00231609">
        <w:rPr>
          <w:i/>
          <w:iCs/>
          <w:sz w:val="28"/>
          <w:szCs w:val="28"/>
        </w:rPr>
        <w:t>Agenzia per l</w:t>
      </w:r>
      <w:r>
        <w:rPr>
          <w:i/>
          <w:iCs/>
          <w:sz w:val="28"/>
          <w:szCs w:val="28"/>
        </w:rPr>
        <w:t>’</w:t>
      </w:r>
      <w:r w:rsidRPr="00231609">
        <w:rPr>
          <w:i/>
          <w:iCs/>
          <w:sz w:val="28"/>
          <w:szCs w:val="28"/>
        </w:rPr>
        <w:t>Italia digitale con linee guida da adottare entro novanta giorni dalla data di entrata in vigore della legge di conversione del presente decreto</w:t>
      </w:r>
      <w:r w:rsidRPr="00871650">
        <w:rPr>
          <w:sz w:val="28"/>
          <w:szCs w:val="28"/>
        </w:rPr>
        <w:t>».</w:t>
      </w:r>
    </w:p>
    <w:p w14:paraId="69811778" w14:textId="77777777" w:rsidR="00AA6BA3" w:rsidRPr="00871650" w:rsidRDefault="00AA6BA3" w:rsidP="00AA6BA3">
      <w:pPr>
        <w:pStyle w:val="NormaleWeb"/>
        <w:spacing w:before="0" w:beforeAutospacing="0" w:after="0" w:afterAutospacing="0"/>
        <w:jc w:val="both"/>
        <w:rPr>
          <w:sz w:val="28"/>
          <w:szCs w:val="28"/>
        </w:rPr>
      </w:pPr>
      <w:r>
        <w:rPr>
          <w:sz w:val="28"/>
          <w:szCs w:val="28"/>
        </w:rPr>
        <w:t xml:space="preserve">Si tratta di una </w:t>
      </w:r>
      <w:r w:rsidRPr="00871650">
        <w:rPr>
          <w:sz w:val="28"/>
          <w:szCs w:val="28"/>
        </w:rPr>
        <w:t xml:space="preserve">forma di </w:t>
      </w:r>
      <w:r w:rsidRPr="000F4BE5">
        <w:rPr>
          <w:i/>
          <w:iCs/>
          <w:sz w:val="28"/>
          <w:szCs w:val="28"/>
        </w:rPr>
        <w:t>software</w:t>
      </w:r>
      <w:r w:rsidRPr="00871650">
        <w:rPr>
          <w:sz w:val="28"/>
          <w:szCs w:val="28"/>
        </w:rPr>
        <w:t xml:space="preserve"> applicativo </w:t>
      </w:r>
      <w:r>
        <w:rPr>
          <w:sz w:val="28"/>
          <w:szCs w:val="28"/>
        </w:rPr>
        <w:t>capace</w:t>
      </w:r>
      <w:r w:rsidRPr="00871650">
        <w:rPr>
          <w:sz w:val="28"/>
          <w:szCs w:val="28"/>
        </w:rPr>
        <w:t xml:space="preserve"> di realizzare, su una rete DLT, transazioni articolate e condizionali. </w:t>
      </w:r>
      <w:r>
        <w:rPr>
          <w:sz w:val="28"/>
          <w:szCs w:val="28"/>
        </w:rPr>
        <w:t xml:space="preserve">Il suo utilizzo può essere anche quello di </w:t>
      </w:r>
      <w:r w:rsidRPr="00871650">
        <w:rPr>
          <w:sz w:val="28"/>
          <w:szCs w:val="28"/>
        </w:rPr>
        <w:t>portare a esecuzione figure negoziali tradizionali</w:t>
      </w:r>
      <w:r>
        <w:rPr>
          <w:sz w:val="28"/>
          <w:szCs w:val="28"/>
        </w:rPr>
        <w:t xml:space="preserve"> (</w:t>
      </w:r>
      <w:r w:rsidRPr="00871650">
        <w:rPr>
          <w:sz w:val="28"/>
          <w:szCs w:val="28"/>
        </w:rPr>
        <w:t>es. contratti o promesse al pubblico</w:t>
      </w:r>
      <w:r>
        <w:rPr>
          <w:sz w:val="28"/>
          <w:szCs w:val="28"/>
        </w:rPr>
        <w:t>).</w:t>
      </w:r>
    </w:p>
    <w:p w14:paraId="050609A5" w14:textId="77777777" w:rsidR="003E27E1" w:rsidRDefault="00AA6BA3" w:rsidP="00AA6BA3">
      <w:pPr>
        <w:pStyle w:val="NormaleWeb"/>
        <w:spacing w:before="0" w:beforeAutospacing="0" w:after="0" w:afterAutospacing="0"/>
        <w:jc w:val="both"/>
        <w:rPr>
          <w:sz w:val="28"/>
          <w:szCs w:val="28"/>
        </w:rPr>
      </w:pPr>
      <w:r>
        <w:rPr>
          <w:sz w:val="28"/>
          <w:szCs w:val="28"/>
        </w:rPr>
        <w:t>Gli</w:t>
      </w:r>
      <w:r w:rsidRPr="00871650">
        <w:rPr>
          <w:sz w:val="28"/>
          <w:szCs w:val="28"/>
        </w:rPr>
        <w:t xml:space="preserve"> </w:t>
      </w:r>
      <w:proofErr w:type="spellStart"/>
      <w:r w:rsidRPr="000F4BE5">
        <w:rPr>
          <w:i/>
          <w:iCs/>
          <w:sz w:val="28"/>
          <w:szCs w:val="28"/>
        </w:rPr>
        <w:t>smart</w:t>
      </w:r>
      <w:proofErr w:type="spellEnd"/>
      <w:r w:rsidRPr="000F4BE5">
        <w:rPr>
          <w:i/>
          <w:iCs/>
          <w:sz w:val="28"/>
          <w:szCs w:val="28"/>
        </w:rPr>
        <w:t xml:space="preserve"> </w:t>
      </w:r>
      <w:proofErr w:type="spellStart"/>
      <w:r w:rsidRPr="000F4BE5">
        <w:rPr>
          <w:i/>
          <w:iCs/>
          <w:sz w:val="28"/>
          <w:szCs w:val="28"/>
        </w:rPr>
        <w:t>contract</w:t>
      </w:r>
      <w:proofErr w:type="spellEnd"/>
      <w:r>
        <w:rPr>
          <w:sz w:val="28"/>
          <w:szCs w:val="28"/>
        </w:rPr>
        <w:t xml:space="preserve"> </w:t>
      </w:r>
      <w:r w:rsidRPr="00871650">
        <w:rPr>
          <w:sz w:val="28"/>
          <w:szCs w:val="28"/>
        </w:rPr>
        <w:t>acquistano tutte le caratteristiche tecniche tipiche</w:t>
      </w:r>
      <w:r w:rsidRPr="000F4BE5">
        <w:rPr>
          <w:sz w:val="28"/>
          <w:szCs w:val="28"/>
        </w:rPr>
        <w:t xml:space="preserve"> </w:t>
      </w:r>
      <w:r>
        <w:rPr>
          <w:sz w:val="28"/>
          <w:szCs w:val="28"/>
        </w:rPr>
        <w:t xml:space="preserve">delle </w:t>
      </w:r>
      <w:r w:rsidRPr="00871650">
        <w:rPr>
          <w:sz w:val="28"/>
          <w:szCs w:val="28"/>
        </w:rPr>
        <w:t>reti DLT</w:t>
      </w:r>
      <w:r>
        <w:rPr>
          <w:sz w:val="28"/>
          <w:szCs w:val="28"/>
        </w:rPr>
        <w:t xml:space="preserve"> su cui operano</w:t>
      </w:r>
      <w:r w:rsidRPr="00871650">
        <w:rPr>
          <w:sz w:val="28"/>
          <w:szCs w:val="28"/>
        </w:rPr>
        <w:t>,</w:t>
      </w:r>
      <w:r>
        <w:rPr>
          <w:sz w:val="28"/>
          <w:szCs w:val="28"/>
        </w:rPr>
        <w:t xml:space="preserve"> come </w:t>
      </w:r>
      <w:r w:rsidRPr="00871650">
        <w:rPr>
          <w:sz w:val="28"/>
          <w:szCs w:val="28"/>
        </w:rPr>
        <w:t xml:space="preserve">la pubblicità, la trasparenza, l’immutabilità, l’irrevocabilità e la permanenza. </w:t>
      </w:r>
    </w:p>
    <w:p w14:paraId="186E5334" w14:textId="08141213" w:rsidR="00AA6BA3" w:rsidRPr="00871650" w:rsidRDefault="00AA6BA3" w:rsidP="00AA6BA3">
      <w:pPr>
        <w:pStyle w:val="NormaleWeb"/>
        <w:spacing w:before="0" w:beforeAutospacing="0" w:after="0" w:afterAutospacing="0"/>
        <w:jc w:val="both"/>
        <w:rPr>
          <w:sz w:val="28"/>
          <w:szCs w:val="28"/>
        </w:rPr>
      </w:pPr>
      <w:r>
        <w:rPr>
          <w:sz w:val="28"/>
          <w:szCs w:val="28"/>
        </w:rPr>
        <w:t>L’autore di un “contratto intelligente” può anche escludere queste</w:t>
      </w:r>
      <w:r w:rsidRPr="00871650">
        <w:rPr>
          <w:sz w:val="28"/>
          <w:szCs w:val="28"/>
        </w:rPr>
        <w:t xml:space="preserve"> ultime tre qualità</w:t>
      </w:r>
      <w:r>
        <w:rPr>
          <w:sz w:val="28"/>
          <w:szCs w:val="28"/>
        </w:rPr>
        <w:t xml:space="preserve">, ma lo deve fare </w:t>
      </w:r>
      <w:r w:rsidRPr="00871650">
        <w:rPr>
          <w:sz w:val="28"/>
          <w:szCs w:val="28"/>
        </w:rPr>
        <w:t xml:space="preserve">in modo preventivo, in sede di programmazione, </w:t>
      </w:r>
      <w:r>
        <w:rPr>
          <w:sz w:val="28"/>
          <w:szCs w:val="28"/>
        </w:rPr>
        <w:t xml:space="preserve">al fine di predisporre </w:t>
      </w:r>
      <w:r w:rsidRPr="00871650">
        <w:rPr>
          <w:sz w:val="28"/>
          <w:szCs w:val="28"/>
        </w:rPr>
        <w:t xml:space="preserve">apposite funzioni che ne sospendano l’operatività, ne modifichino il contenuto o lo rimuovano definitivamente dalla rete (es. </w:t>
      </w:r>
      <w:r>
        <w:rPr>
          <w:sz w:val="28"/>
          <w:szCs w:val="28"/>
        </w:rPr>
        <w:t xml:space="preserve">la </w:t>
      </w:r>
      <w:r w:rsidRPr="00871650">
        <w:rPr>
          <w:sz w:val="28"/>
          <w:szCs w:val="28"/>
        </w:rPr>
        <w:t xml:space="preserve">c.d. funzione </w:t>
      </w:r>
      <w:r w:rsidRPr="000F4BE5">
        <w:rPr>
          <w:i/>
          <w:iCs/>
          <w:sz w:val="28"/>
          <w:szCs w:val="28"/>
        </w:rPr>
        <w:t>self-</w:t>
      </w:r>
      <w:proofErr w:type="spellStart"/>
      <w:r w:rsidRPr="000F4BE5">
        <w:rPr>
          <w:i/>
          <w:iCs/>
          <w:sz w:val="28"/>
          <w:szCs w:val="28"/>
        </w:rPr>
        <w:t>destruct</w:t>
      </w:r>
      <w:proofErr w:type="spellEnd"/>
      <w:r w:rsidRPr="00871650">
        <w:rPr>
          <w:sz w:val="28"/>
          <w:szCs w:val="28"/>
        </w:rPr>
        <w:t xml:space="preserve">, “auto-distruzione”, o il c.d. </w:t>
      </w:r>
      <w:proofErr w:type="spellStart"/>
      <w:r w:rsidRPr="000F4BE5">
        <w:rPr>
          <w:i/>
          <w:iCs/>
          <w:sz w:val="28"/>
          <w:szCs w:val="28"/>
        </w:rPr>
        <w:t>kill</w:t>
      </w:r>
      <w:proofErr w:type="spellEnd"/>
      <w:r w:rsidRPr="000F4BE5">
        <w:rPr>
          <w:i/>
          <w:iCs/>
          <w:sz w:val="28"/>
          <w:szCs w:val="28"/>
        </w:rPr>
        <w:t xml:space="preserve"> </w:t>
      </w:r>
      <w:proofErr w:type="spellStart"/>
      <w:r w:rsidRPr="000F4BE5">
        <w:rPr>
          <w:i/>
          <w:iCs/>
          <w:sz w:val="28"/>
          <w:szCs w:val="28"/>
        </w:rPr>
        <w:t>switch</w:t>
      </w:r>
      <w:proofErr w:type="spellEnd"/>
      <w:r w:rsidRPr="00871650">
        <w:rPr>
          <w:sz w:val="28"/>
          <w:szCs w:val="28"/>
        </w:rPr>
        <w:t>, “tasto di spegnimento immediato”)</w:t>
      </w:r>
      <w:r>
        <w:rPr>
          <w:sz w:val="28"/>
          <w:szCs w:val="28"/>
        </w:rPr>
        <w:t>. Sono f</w:t>
      </w:r>
      <w:r w:rsidRPr="00871650">
        <w:rPr>
          <w:sz w:val="28"/>
          <w:szCs w:val="28"/>
        </w:rPr>
        <w:t>unzioni attivabili ad opera di uno o più soggetti predeterminati, disgiuntamente o congiuntamente secondo le circostanze.</w:t>
      </w:r>
    </w:p>
    <w:p w14:paraId="22BE6AA0" w14:textId="77777777" w:rsidR="003E27E1" w:rsidRDefault="00AA6BA3" w:rsidP="00AA6BA3">
      <w:pPr>
        <w:pStyle w:val="NormaleWeb"/>
        <w:spacing w:before="0" w:beforeAutospacing="0" w:after="0" w:afterAutospacing="0"/>
        <w:jc w:val="both"/>
        <w:rPr>
          <w:sz w:val="28"/>
          <w:szCs w:val="28"/>
        </w:rPr>
      </w:pPr>
      <w:r>
        <w:rPr>
          <w:sz w:val="28"/>
          <w:szCs w:val="28"/>
        </w:rPr>
        <w:t>Le</w:t>
      </w:r>
      <w:r w:rsidRPr="00871650">
        <w:rPr>
          <w:sz w:val="28"/>
          <w:szCs w:val="28"/>
        </w:rPr>
        <w:t xml:space="preserve"> transazioni </w:t>
      </w:r>
      <w:r>
        <w:rPr>
          <w:sz w:val="28"/>
          <w:szCs w:val="28"/>
        </w:rPr>
        <w:t xml:space="preserve">possono avere ad oggetto </w:t>
      </w:r>
      <w:r w:rsidRPr="00871650">
        <w:rPr>
          <w:sz w:val="28"/>
          <w:szCs w:val="28"/>
        </w:rPr>
        <w:t xml:space="preserve">tanto unità </w:t>
      </w:r>
      <w:proofErr w:type="spellStart"/>
      <w:r w:rsidRPr="00871650">
        <w:rPr>
          <w:sz w:val="28"/>
          <w:szCs w:val="28"/>
        </w:rPr>
        <w:t>criptovalutarie</w:t>
      </w:r>
      <w:proofErr w:type="spellEnd"/>
      <w:r>
        <w:rPr>
          <w:sz w:val="28"/>
          <w:szCs w:val="28"/>
        </w:rPr>
        <w:t>,</w:t>
      </w:r>
      <w:r w:rsidRPr="00871650">
        <w:rPr>
          <w:sz w:val="28"/>
          <w:szCs w:val="28"/>
        </w:rPr>
        <w:t xml:space="preserve"> quanto </w:t>
      </w:r>
      <w:proofErr w:type="spellStart"/>
      <w:r w:rsidRPr="000F4BE5">
        <w:rPr>
          <w:i/>
          <w:iCs/>
          <w:sz w:val="28"/>
          <w:szCs w:val="28"/>
        </w:rPr>
        <w:t>token</w:t>
      </w:r>
      <w:proofErr w:type="spellEnd"/>
      <w:r w:rsidRPr="00871650">
        <w:rPr>
          <w:sz w:val="28"/>
          <w:szCs w:val="28"/>
        </w:rPr>
        <w:t xml:space="preserve">, fungibili o infungibili, presenti sulla relativa rete DLT, </w:t>
      </w:r>
      <w:r>
        <w:rPr>
          <w:sz w:val="28"/>
          <w:szCs w:val="28"/>
        </w:rPr>
        <w:t>ma anche</w:t>
      </w:r>
      <w:r w:rsidRPr="00871650">
        <w:rPr>
          <w:sz w:val="28"/>
          <w:szCs w:val="28"/>
        </w:rPr>
        <w:t xml:space="preserve"> qualsiasi istruzione informatica diretta, come </w:t>
      </w:r>
      <w:r w:rsidRPr="000646AD">
        <w:rPr>
          <w:i/>
          <w:iCs/>
          <w:sz w:val="28"/>
          <w:szCs w:val="28"/>
        </w:rPr>
        <w:t>output</w:t>
      </w:r>
      <w:r w:rsidRPr="00871650">
        <w:rPr>
          <w:sz w:val="28"/>
          <w:szCs w:val="28"/>
        </w:rPr>
        <w:t>, a computer o altri dispositivi digitali telematicamente connessi.</w:t>
      </w:r>
      <w:r>
        <w:rPr>
          <w:sz w:val="28"/>
          <w:szCs w:val="28"/>
        </w:rPr>
        <w:t xml:space="preserve"> </w:t>
      </w:r>
    </w:p>
    <w:p w14:paraId="5B7AB374" w14:textId="53ACAEE5" w:rsidR="00AA6BA3" w:rsidRDefault="00AA6BA3" w:rsidP="00AA6BA3">
      <w:pPr>
        <w:pStyle w:val="NormaleWeb"/>
        <w:spacing w:before="0" w:beforeAutospacing="0" w:after="0" w:afterAutospacing="0"/>
        <w:jc w:val="both"/>
        <w:rPr>
          <w:sz w:val="28"/>
          <w:szCs w:val="28"/>
        </w:rPr>
      </w:pPr>
      <w:r>
        <w:rPr>
          <w:sz w:val="28"/>
          <w:szCs w:val="28"/>
        </w:rPr>
        <w:t>Anche</w:t>
      </w:r>
      <w:r w:rsidRPr="00871650">
        <w:rPr>
          <w:sz w:val="28"/>
          <w:szCs w:val="28"/>
        </w:rPr>
        <w:t xml:space="preserve"> gli </w:t>
      </w:r>
      <w:r w:rsidRPr="000646AD">
        <w:rPr>
          <w:i/>
          <w:iCs/>
          <w:sz w:val="28"/>
          <w:szCs w:val="28"/>
        </w:rPr>
        <w:t>input</w:t>
      </w:r>
      <w:r w:rsidRPr="00871650">
        <w:rPr>
          <w:sz w:val="28"/>
          <w:szCs w:val="28"/>
        </w:rPr>
        <w:t xml:space="preserve"> recepiti dallo </w:t>
      </w:r>
      <w:proofErr w:type="spellStart"/>
      <w:r w:rsidRPr="000646AD">
        <w:rPr>
          <w:i/>
          <w:iCs/>
          <w:sz w:val="28"/>
          <w:szCs w:val="28"/>
        </w:rPr>
        <w:t>smart</w:t>
      </w:r>
      <w:proofErr w:type="spellEnd"/>
      <w:r w:rsidRPr="000646AD">
        <w:rPr>
          <w:i/>
          <w:iCs/>
          <w:sz w:val="28"/>
          <w:szCs w:val="28"/>
        </w:rPr>
        <w:t xml:space="preserve"> </w:t>
      </w:r>
      <w:proofErr w:type="spellStart"/>
      <w:r w:rsidRPr="000646AD">
        <w:rPr>
          <w:i/>
          <w:iCs/>
          <w:sz w:val="28"/>
          <w:szCs w:val="28"/>
        </w:rPr>
        <w:t>contract</w:t>
      </w:r>
      <w:proofErr w:type="spellEnd"/>
      <w:r w:rsidRPr="00871650">
        <w:rPr>
          <w:sz w:val="28"/>
          <w:szCs w:val="28"/>
        </w:rPr>
        <w:t xml:space="preserve"> possono provenire da soggetti predeterminati</w:t>
      </w:r>
      <w:r>
        <w:rPr>
          <w:sz w:val="28"/>
          <w:szCs w:val="28"/>
        </w:rPr>
        <w:t xml:space="preserve">, come </w:t>
      </w:r>
      <w:r w:rsidRPr="00871650">
        <w:rPr>
          <w:sz w:val="28"/>
          <w:szCs w:val="28"/>
        </w:rPr>
        <w:t xml:space="preserve">le parti della transazione in questione oppure </w:t>
      </w:r>
      <w:r>
        <w:rPr>
          <w:sz w:val="28"/>
          <w:szCs w:val="28"/>
        </w:rPr>
        <w:t xml:space="preserve">i </w:t>
      </w:r>
      <w:r w:rsidRPr="00871650">
        <w:rPr>
          <w:sz w:val="28"/>
          <w:szCs w:val="28"/>
        </w:rPr>
        <w:t xml:space="preserve">c.d. </w:t>
      </w:r>
      <w:r w:rsidRPr="000646AD">
        <w:rPr>
          <w:i/>
          <w:iCs/>
          <w:sz w:val="28"/>
          <w:szCs w:val="28"/>
        </w:rPr>
        <w:t>oracoli</w:t>
      </w:r>
      <w:r w:rsidRPr="00871650">
        <w:rPr>
          <w:sz w:val="28"/>
          <w:szCs w:val="28"/>
        </w:rPr>
        <w:t>, ossia terzi attori estranei interpellati d</w:t>
      </w:r>
      <w:r>
        <w:rPr>
          <w:sz w:val="28"/>
          <w:szCs w:val="28"/>
        </w:rPr>
        <w:t>al contratto stesso.</w:t>
      </w:r>
    </w:p>
    <w:p w14:paraId="5B1E9629" w14:textId="77777777" w:rsidR="003E27E1" w:rsidRDefault="00AA6BA3" w:rsidP="00AA6BA3">
      <w:pPr>
        <w:pStyle w:val="NormaleWeb"/>
        <w:spacing w:before="0" w:beforeAutospacing="0" w:after="0" w:afterAutospacing="0"/>
        <w:jc w:val="both"/>
        <w:rPr>
          <w:sz w:val="28"/>
          <w:szCs w:val="28"/>
        </w:rPr>
      </w:pPr>
      <w:r w:rsidRPr="00871650">
        <w:rPr>
          <w:sz w:val="28"/>
          <w:szCs w:val="28"/>
        </w:rPr>
        <w:lastRenderedPageBreak/>
        <w:t xml:space="preserve">Tali oracoli possono </w:t>
      </w:r>
      <w:r>
        <w:rPr>
          <w:sz w:val="28"/>
          <w:szCs w:val="28"/>
        </w:rPr>
        <w:t>essere</w:t>
      </w:r>
      <w:r w:rsidRPr="00871650">
        <w:rPr>
          <w:sz w:val="28"/>
          <w:szCs w:val="28"/>
        </w:rPr>
        <w:t xml:space="preserve"> umani, computer o altri dispositivi (anche </w:t>
      </w:r>
      <w:r>
        <w:rPr>
          <w:sz w:val="28"/>
          <w:szCs w:val="28"/>
        </w:rPr>
        <w:t>provenienti dalla</w:t>
      </w:r>
      <w:r w:rsidRPr="00871650">
        <w:rPr>
          <w:sz w:val="28"/>
          <w:szCs w:val="28"/>
        </w:rPr>
        <w:t xml:space="preserve"> c.d. </w:t>
      </w:r>
      <w:r w:rsidRPr="000646AD">
        <w:rPr>
          <w:i/>
          <w:iCs/>
          <w:sz w:val="28"/>
          <w:szCs w:val="28"/>
        </w:rPr>
        <w:t xml:space="preserve">Internet of </w:t>
      </w:r>
      <w:proofErr w:type="spellStart"/>
      <w:r w:rsidRPr="000646AD">
        <w:rPr>
          <w:i/>
          <w:iCs/>
          <w:sz w:val="28"/>
          <w:szCs w:val="28"/>
        </w:rPr>
        <w:t>Things</w:t>
      </w:r>
      <w:proofErr w:type="spellEnd"/>
      <w:r w:rsidRPr="00871650">
        <w:rPr>
          <w:sz w:val="28"/>
          <w:szCs w:val="28"/>
        </w:rPr>
        <w:t>, “</w:t>
      </w:r>
      <w:proofErr w:type="spellStart"/>
      <w:r w:rsidRPr="00871650">
        <w:rPr>
          <w:sz w:val="28"/>
          <w:szCs w:val="28"/>
        </w:rPr>
        <w:t>IoT</w:t>
      </w:r>
      <w:proofErr w:type="spellEnd"/>
      <w:r w:rsidRPr="00871650">
        <w:rPr>
          <w:sz w:val="28"/>
          <w:szCs w:val="28"/>
        </w:rPr>
        <w:t>”) telematicamente connessi</w:t>
      </w:r>
      <w:r>
        <w:rPr>
          <w:sz w:val="28"/>
          <w:szCs w:val="28"/>
        </w:rPr>
        <w:t xml:space="preserve">. </w:t>
      </w:r>
    </w:p>
    <w:p w14:paraId="0D434083" w14:textId="7E0D3105" w:rsidR="00AA6BA3" w:rsidRPr="00871650" w:rsidRDefault="00AA6BA3" w:rsidP="00AA6BA3">
      <w:pPr>
        <w:pStyle w:val="NormaleWeb"/>
        <w:spacing w:before="0" w:beforeAutospacing="0" w:after="0" w:afterAutospacing="0"/>
        <w:jc w:val="both"/>
        <w:rPr>
          <w:sz w:val="28"/>
          <w:szCs w:val="28"/>
        </w:rPr>
      </w:pPr>
      <w:r>
        <w:rPr>
          <w:sz w:val="28"/>
          <w:szCs w:val="28"/>
        </w:rPr>
        <w:t xml:space="preserve">Essi possono essere </w:t>
      </w:r>
      <w:r w:rsidRPr="00871650">
        <w:rPr>
          <w:sz w:val="28"/>
          <w:szCs w:val="28"/>
        </w:rPr>
        <w:t xml:space="preserve">in grado, secondo i casi, di fornire informazioni su un determinato stato della realtà esterna alla rete DLT o </w:t>
      </w:r>
      <w:r>
        <w:rPr>
          <w:sz w:val="28"/>
          <w:szCs w:val="28"/>
        </w:rPr>
        <w:t>di risolvere</w:t>
      </w:r>
      <w:r w:rsidRPr="00871650">
        <w:rPr>
          <w:sz w:val="28"/>
          <w:szCs w:val="28"/>
        </w:rPr>
        <w:t xml:space="preserve"> di controversie tra le parti</w:t>
      </w:r>
      <w:r>
        <w:rPr>
          <w:sz w:val="28"/>
          <w:szCs w:val="28"/>
        </w:rPr>
        <w:t xml:space="preserve"> (come un </w:t>
      </w:r>
      <w:r w:rsidRPr="00871650">
        <w:rPr>
          <w:sz w:val="28"/>
          <w:szCs w:val="28"/>
        </w:rPr>
        <w:t>“arbitro” o “arbitratore”</w:t>
      </w:r>
      <w:r>
        <w:rPr>
          <w:sz w:val="28"/>
          <w:szCs w:val="28"/>
        </w:rPr>
        <w:t>).</w:t>
      </w:r>
    </w:p>
    <w:p w14:paraId="680E8D1F" w14:textId="1C89E8F6" w:rsidR="00AA6BA3" w:rsidRDefault="00AA6BA3" w:rsidP="00AA6BA3">
      <w:pPr>
        <w:pStyle w:val="NormaleWeb"/>
        <w:spacing w:before="0" w:beforeAutospacing="0" w:after="0" w:afterAutospacing="0"/>
        <w:jc w:val="both"/>
        <w:rPr>
          <w:sz w:val="28"/>
          <w:szCs w:val="28"/>
        </w:rPr>
      </w:pPr>
      <w:r>
        <w:rPr>
          <w:sz w:val="28"/>
          <w:szCs w:val="28"/>
        </w:rPr>
        <w:t>Ma quali sono i</w:t>
      </w:r>
      <w:r w:rsidRPr="00871650">
        <w:rPr>
          <w:sz w:val="28"/>
          <w:szCs w:val="28"/>
        </w:rPr>
        <w:t xml:space="preserve"> vantaggi principali</w:t>
      </w:r>
      <w:r>
        <w:rPr>
          <w:sz w:val="28"/>
          <w:szCs w:val="28"/>
        </w:rPr>
        <w:t xml:space="preserve"> del c.d. </w:t>
      </w:r>
      <w:r w:rsidRPr="000646AD">
        <w:rPr>
          <w:i/>
          <w:iCs/>
          <w:sz w:val="28"/>
          <w:szCs w:val="28"/>
        </w:rPr>
        <w:t xml:space="preserve">Smart </w:t>
      </w:r>
      <w:proofErr w:type="spellStart"/>
      <w:r w:rsidRPr="000646AD">
        <w:rPr>
          <w:i/>
          <w:iCs/>
          <w:sz w:val="28"/>
          <w:szCs w:val="28"/>
        </w:rPr>
        <w:t>Contract</w:t>
      </w:r>
      <w:proofErr w:type="spellEnd"/>
      <w:r>
        <w:rPr>
          <w:sz w:val="28"/>
          <w:szCs w:val="28"/>
        </w:rPr>
        <w:t>?</w:t>
      </w:r>
      <w:r w:rsidR="004A3F96">
        <w:rPr>
          <w:rStyle w:val="Rimandonotaapidipagina"/>
          <w:sz w:val="28"/>
          <w:szCs w:val="28"/>
        </w:rPr>
        <w:footnoteReference w:id="69"/>
      </w:r>
      <w:r w:rsidRPr="00871650">
        <w:rPr>
          <w:sz w:val="28"/>
          <w:szCs w:val="28"/>
        </w:rPr>
        <w:t xml:space="preserve"> </w:t>
      </w:r>
    </w:p>
    <w:p w14:paraId="3F505685" w14:textId="77777777" w:rsidR="003E27E1" w:rsidRDefault="00AA6BA3" w:rsidP="00AA6BA3">
      <w:pPr>
        <w:pStyle w:val="NormaleWeb"/>
        <w:spacing w:before="0" w:beforeAutospacing="0" w:after="0" w:afterAutospacing="0"/>
        <w:jc w:val="both"/>
        <w:rPr>
          <w:sz w:val="28"/>
          <w:szCs w:val="28"/>
        </w:rPr>
      </w:pPr>
      <w:r>
        <w:rPr>
          <w:sz w:val="28"/>
          <w:szCs w:val="28"/>
        </w:rPr>
        <w:t xml:space="preserve">Anzitutto, la </w:t>
      </w:r>
      <w:r w:rsidRPr="00871650">
        <w:rPr>
          <w:sz w:val="28"/>
          <w:szCs w:val="28"/>
        </w:rPr>
        <w:t>garanzia di una esecuzione automatica ed esatta del programma contrattuale, sia in ipotesi fisiologiche</w:t>
      </w:r>
      <w:r>
        <w:rPr>
          <w:sz w:val="28"/>
          <w:szCs w:val="28"/>
        </w:rPr>
        <w:t xml:space="preserve"> (</w:t>
      </w:r>
      <w:r w:rsidRPr="00871650">
        <w:rPr>
          <w:sz w:val="28"/>
          <w:szCs w:val="28"/>
        </w:rPr>
        <w:t xml:space="preserve">c.d. </w:t>
      </w:r>
      <w:r w:rsidRPr="000646AD">
        <w:rPr>
          <w:i/>
          <w:iCs/>
          <w:sz w:val="28"/>
          <w:szCs w:val="28"/>
        </w:rPr>
        <w:t>self-</w:t>
      </w:r>
      <w:proofErr w:type="spellStart"/>
      <w:r w:rsidRPr="000646AD">
        <w:rPr>
          <w:i/>
          <w:iCs/>
          <w:sz w:val="28"/>
          <w:szCs w:val="28"/>
        </w:rPr>
        <w:t>execution</w:t>
      </w:r>
      <w:proofErr w:type="spellEnd"/>
      <w:r w:rsidRPr="00871650">
        <w:rPr>
          <w:sz w:val="28"/>
          <w:szCs w:val="28"/>
        </w:rPr>
        <w:t>, “esecuzione automatica”</w:t>
      </w:r>
      <w:r>
        <w:rPr>
          <w:sz w:val="28"/>
          <w:szCs w:val="28"/>
        </w:rPr>
        <w:t>), sia nei casi in cui lo</w:t>
      </w:r>
      <w:r w:rsidRPr="00871650">
        <w:rPr>
          <w:sz w:val="28"/>
          <w:szCs w:val="28"/>
        </w:rPr>
        <w:t xml:space="preserve"> </w:t>
      </w:r>
      <w:proofErr w:type="spellStart"/>
      <w:r w:rsidRPr="000646AD">
        <w:rPr>
          <w:i/>
          <w:iCs/>
          <w:sz w:val="28"/>
          <w:szCs w:val="28"/>
        </w:rPr>
        <w:t>smart</w:t>
      </w:r>
      <w:proofErr w:type="spellEnd"/>
      <w:r w:rsidRPr="000646AD">
        <w:rPr>
          <w:i/>
          <w:iCs/>
          <w:sz w:val="28"/>
          <w:szCs w:val="28"/>
        </w:rPr>
        <w:t xml:space="preserve"> </w:t>
      </w:r>
      <w:proofErr w:type="spellStart"/>
      <w:r w:rsidRPr="000646AD">
        <w:rPr>
          <w:i/>
          <w:iCs/>
          <w:sz w:val="28"/>
          <w:szCs w:val="28"/>
        </w:rPr>
        <w:t>contract</w:t>
      </w:r>
      <w:proofErr w:type="spellEnd"/>
      <w:r w:rsidRPr="00871650">
        <w:rPr>
          <w:sz w:val="28"/>
          <w:szCs w:val="28"/>
        </w:rPr>
        <w:t xml:space="preserve"> spiegherà la propria capacità di c.d. </w:t>
      </w:r>
      <w:r w:rsidRPr="000646AD">
        <w:rPr>
          <w:i/>
          <w:iCs/>
          <w:sz w:val="28"/>
          <w:szCs w:val="28"/>
        </w:rPr>
        <w:t xml:space="preserve">self- </w:t>
      </w:r>
      <w:proofErr w:type="spellStart"/>
      <w:r w:rsidRPr="000646AD">
        <w:rPr>
          <w:i/>
          <w:iCs/>
          <w:sz w:val="28"/>
          <w:szCs w:val="28"/>
        </w:rPr>
        <w:t>enforcement</w:t>
      </w:r>
      <w:proofErr w:type="spellEnd"/>
      <w:r w:rsidRPr="00871650">
        <w:rPr>
          <w:sz w:val="28"/>
          <w:szCs w:val="28"/>
        </w:rPr>
        <w:t xml:space="preserve">, “tutela coercitiva automatica”, </w:t>
      </w:r>
      <w:r>
        <w:rPr>
          <w:sz w:val="28"/>
          <w:szCs w:val="28"/>
        </w:rPr>
        <w:t>come una vera e propria</w:t>
      </w:r>
      <w:r w:rsidRPr="00871650">
        <w:rPr>
          <w:sz w:val="28"/>
          <w:szCs w:val="28"/>
        </w:rPr>
        <w:t xml:space="preserve"> autotutela privata</w:t>
      </w:r>
      <w:r>
        <w:rPr>
          <w:sz w:val="28"/>
          <w:szCs w:val="28"/>
        </w:rPr>
        <w:t xml:space="preserve"> (</w:t>
      </w:r>
      <w:r w:rsidRPr="00871650">
        <w:rPr>
          <w:sz w:val="28"/>
          <w:szCs w:val="28"/>
        </w:rPr>
        <w:t>consentita o meno dall’ordinamento giuridico</w:t>
      </w:r>
      <w:r>
        <w:rPr>
          <w:sz w:val="28"/>
          <w:szCs w:val="28"/>
        </w:rPr>
        <w:t>)</w:t>
      </w:r>
      <w:r w:rsidRPr="00871650">
        <w:rPr>
          <w:sz w:val="28"/>
          <w:szCs w:val="28"/>
        </w:rPr>
        <w:t>.</w:t>
      </w:r>
      <w:r>
        <w:rPr>
          <w:sz w:val="28"/>
          <w:szCs w:val="28"/>
        </w:rPr>
        <w:t xml:space="preserve"> </w:t>
      </w:r>
    </w:p>
    <w:p w14:paraId="1148CC8F" w14:textId="460EC2B4" w:rsidR="00AA6BA3" w:rsidRDefault="00AA6BA3" w:rsidP="00AA6BA3">
      <w:pPr>
        <w:pStyle w:val="NormaleWeb"/>
        <w:spacing w:before="0" w:beforeAutospacing="0" w:after="0" w:afterAutospacing="0"/>
        <w:jc w:val="both"/>
        <w:rPr>
          <w:sz w:val="28"/>
          <w:szCs w:val="28"/>
        </w:rPr>
      </w:pPr>
      <w:r>
        <w:rPr>
          <w:sz w:val="28"/>
          <w:szCs w:val="28"/>
        </w:rPr>
        <w:t>Tuttavia, se è vero che non ci sono incertezze</w:t>
      </w:r>
      <w:r w:rsidRPr="00871650">
        <w:rPr>
          <w:sz w:val="28"/>
          <w:szCs w:val="28"/>
        </w:rPr>
        <w:t xml:space="preserve"> interpretativ</w:t>
      </w:r>
      <w:r>
        <w:rPr>
          <w:sz w:val="28"/>
          <w:szCs w:val="28"/>
        </w:rPr>
        <w:t>e</w:t>
      </w:r>
      <w:r w:rsidRPr="00871650">
        <w:rPr>
          <w:sz w:val="28"/>
          <w:szCs w:val="28"/>
        </w:rPr>
        <w:t xml:space="preserve"> o eccezion</w:t>
      </w:r>
      <w:r>
        <w:rPr>
          <w:sz w:val="28"/>
          <w:szCs w:val="28"/>
        </w:rPr>
        <w:t>i</w:t>
      </w:r>
      <w:r w:rsidRPr="00871650">
        <w:rPr>
          <w:sz w:val="28"/>
          <w:szCs w:val="28"/>
        </w:rPr>
        <w:t xml:space="preserve">, </w:t>
      </w:r>
      <w:r>
        <w:rPr>
          <w:sz w:val="28"/>
          <w:szCs w:val="28"/>
        </w:rPr>
        <w:t>è anche vero che non vi è</w:t>
      </w:r>
      <w:r w:rsidRPr="00871650">
        <w:rPr>
          <w:sz w:val="28"/>
          <w:szCs w:val="28"/>
        </w:rPr>
        <w:t xml:space="preserve"> alcun riguardo a norme imperative che tutelano contraenti definiti deboli o interessi superiori</w:t>
      </w:r>
      <w:r>
        <w:rPr>
          <w:rStyle w:val="Rimandonotaapidipagina"/>
          <w:sz w:val="28"/>
          <w:szCs w:val="28"/>
        </w:rPr>
        <w:footnoteReference w:id="70"/>
      </w:r>
      <w:r>
        <w:rPr>
          <w:sz w:val="28"/>
          <w:szCs w:val="28"/>
        </w:rPr>
        <w:t>.</w:t>
      </w:r>
      <w:r w:rsidRPr="00871650">
        <w:rPr>
          <w:sz w:val="28"/>
          <w:szCs w:val="28"/>
        </w:rPr>
        <w:t xml:space="preserve"> </w:t>
      </w:r>
    </w:p>
    <w:p w14:paraId="30DC4BD0" w14:textId="77777777" w:rsidR="00AA6BA3" w:rsidRPr="00871650" w:rsidRDefault="00AA6BA3" w:rsidP="00AA6BA3">
      <w:pPr>
        <w:pStyle w:val="NormaleWeb"/>
        <w:spacing w:before="0" w:beforeAutospacing="0" w:after="0" w:afterAutospacing="0"/>
        <w:jc w:val="both"/>
        <w:rPr>
          <w:sz w:val="28"/>
          <w:szCs w:val="28"/>
        </w:rPr>
      </w:pPr>
      <w:r>
        <w:rPr>
          <w:sz w:val="28"/>
          <w:szCs w:val="28"/>
        </w:rPr>
        <w:t>Tra l’altro, in mancanza di</w:t>
      </w:r>
      <w:r w:rsidRPr="00871650">
        <w:rPr>
          <w:sz w:val="28"/>
          <w:szCs w:val="28"/>
        </w:rPr>
        <w:t xml:space="preserve"> una apposita funzione predisposta dalle parti nello </w:t>
      </w:r>
      <w:proofErr w:type="spellStart"/>
      <w:r w:rsidRPr="00231609">
        <w:rPr>
          <w:i/>
          <w:iCs/>
          <w:sz w:val="28"/>
          <w:szCs w:val="28"/>
        </w:rPr>
        <w:t>smart</w:t>
      </w:r>
      <w:proofErr w:type="spellEnd"/>
      <w:r w:rsidRPr="00231609">
        <w:rPr>
          <w:i/>
          <w:iCs/>
          <w:sz w:val="28"/>
          <w:szCs w:val="28"/>
        </w:rPr>
        <w:t xml:space="preserve"> </w:t>
      </w:r>
      <w:proofErr w:type="spellStart"/>
      <w:r w:rsidRPr="00231609">
        <w:rPr>
          <w:i/>
          <w:iCs/>
          <w:sz w:val="28"/>
          <w:szCs w:val="28"/>
        </w:rPr>
        <w:t>contract</w:t>
      </w:r>
      <w:proofErr w:type="spellEnd"/>
      <w:r w:rsidRPr="00231609">
        <w:rPr>
          <w:i/>
          <w:iCs/>
          <w:sz w:val="28"/>
          <w:szCs w:val="28"/>
        </w:rPr>
        <w:t xml:space="preserve"> </w:t>
      </w:r>
      <w:r w:rsidRPr="00871650">
        <w:rPr>
          <w:sz w:val="28"/>
          <w:szCs w:val="28"/>
        </w:rPr>
        <w:t xml:space="preserve">e senza il consenso dell’obbligato, l’autorità giudiziaria </w:t>
      </w:r>
      <w:r>
        <w:rPr>
          <w:sz w:val="28"/>
          <w:szCs w:val="28"/>
        </w:rPr>
        <w:t xml:space="preserve">non </w:t>
      </w:r>
      <w:r w:rsidRPr="00871650">
        <w:rPr>
          <w:sz w:val="28"/>
          <w:szCs w:val="28"/>
        </w:rPr>
        <w:t>potrebbe portare a esecuzione forzata una sentenza di condanna contraria al contratto intelligente.</w:t>
      </w:r>
    </w:p>
    <w:p w14:paraId="0E553771" w14:textId="77777777" w:rsidR="00AA6BA3" w:rsidRDefault="00AA6BA3" w:rsidP="00AA6BA3">
      <w:pPr>
        <w:pStyle w:val="NormaleWeb"/>
        <w:spacing w:before="0" w:beforeAutospacing="0" w:after="0" w:afterAutospacing="0"/>
        <w:jc w:val="both"/>
        <w:rPr>
          <w:sz w:val="28"/>
          <w:szCs w:val="28"/>
        </w:rPr>
      </w:pPr>
      <w:r>
        <w:rPr>
          <w:sz w:val="28"/>
          <w:szCs w:val="28"/>
        </w:rPr>
        <w:t>Per</w:t>
      </w:r>
      <w:r w:rsidRPr="00871650">
        <w:rPr>
          <w:sz w:val="28"/>
          <w:szCs w:val="28"/>
        </w:rPr>
        <w:t xml:space="preserve"> </w:t>
      </w:r>
      <w:r>
        <w:rPr>
          <w:sz w:val="28"/>
          <w:szCs w:val="28"/>
        </w:rPr>
        <w:t>l</w:t>
      </w:r>
      <w:r w:rsidRPr="00871650">
        <w:rPr>
          <w:sz w:val="28"/>
          <w:szCs w:val="28"/>
        </w:rPr>
        <w:t>’interprete</w:t>
      </w:r>
      <w:r>
        <w:rPr>
          <w:sz w:val="28"/>
          <w:szCs w:val="28"/>
        </w:rPr>
        <w:t xml:space="preserve"> è difficile capire se adottare</w:t>
      </w:r>
      <w:r w:rsidRPr="00871650">
        <w:rPr>
          <w:sz w:val="28"/>
          <w:szCs w:val="28"/>
        </w:rPr>
        <w:t xml:space="preserve"> una interpretazione teleologica della disposizione </w:t>
      </w:r>
      <w:r>
        <w:rPr>
          <w:sz w:val="28"/>
          <w:szCs w:val="28"/>
        </w:rPr>
        <w:t xml:space="preserve">normativa </w:t>
      </w:r>
      <w:r w:rsidRPr="00871650">
        <w:rPr>
          <w:sz w:val="28"/>
          <w:szCs w:val="28"/>
        </w:rPr>
        <w:t>in senso permissivo o</w:t>
      </w:r>
      <w:r>
        <w:rPr>
          <w:sz w:val="28"/>
          <w:szCs w:val="28"/>
        </w:rPr>
        <w:t xml:space="preserve"> in senso</w:t>
      </w:r>
      <w:r w:rsidRPr="00871650">
        <w:rPr>
          <w:sz w:val="28"/>
          <w:szCs w:val="28"/>
        </w:rPr>
        <w:t xml:space="preserve"> restrittivo. </w:t>
      </w:r>
    </w:p>
    <w:p w14:paraId="763CAB76" w14:textId="77777777" w:rsidR="00AA6BA3" w:rsidRPr="00871650" w:rsidRDefault="00AA6BA3" w:rsidP="00AA6BA3">
      <w:pPr>
        <w:pStyle w:val="NormaleWeb"/>
        <w:spacing w:before="0" w:beforeAutospacing="0" w:after="0" w:afterAutospacing="0"/>
        <w:jc w:val="both"/>
        <w:rPr>
          <w:sz w:val="28"/>
          <w:szCs w:val="28"/>
        </w:rPr>
      </w:pPr>
      <w:r w:rsidRPr="00871650">
        <w:rPr>
          <w:sz w:val="28"/>
          <w:szCs w:val="28"/>
        </w:rPr>
        <w:t xml:space="preserve">Nell’attuale panorama nazionale </w:t>
      </w:r>
      <w:r>
        <w:rPr>
          <w:sz w:val="28"/>
          <w:szCs w:val="28"/>
        </w:rPr>
        <w:t>ed europeo, il fine</w:t>
      </w:r>
      <w:r w:rsidRPr="00871650">
        <w:rPr>
          <w:sz w:val="28"/>
          <w:szCs w:val="28"/>
        </w:rPr>
        <w:t xml:space="preserve"> della norma </w:t>
      </w:r>
      <w:r>
        <w:rPr>
          <w:sz w:val="28"/>
          <w:szCs w:val="28"/>
        </w:rPr>
        <w:t>dovrebbe essere</w:t>
      </w:r>
      <w:r w:rsidRPr="00871650">
        <w:rPr>
          <w:sz w:val="28"/>
          <w:szCs w:val="28"/>
        </w:rPr>
        <w:t xml:space="preserve"> l’estensione dell’efficacia giuridica dei preesistenti </w:t>
      </w:r>
      <w:proofErr w:type="spellStart"/>
      <w:r w:rsidRPr="00112F9D">
        <w:rPr>
          <w:i/>
          <w:iCs/>
          <w:sz w:val="28"/>
          <w:szCs w:val="28"/>
        </w:rPr>
        <w:t>smart</w:t>
      </w:r>
      <w:proofErr w:type="spellEnd"/>
      <w:r w:rsidRPr="00112F9D">
        <w:rPr>
          <w:i/>
          <w:iCs/>
          <w:sz w:val="28"/>
          <w:szCs w:val="28"/>
        </w:rPr>
        <w:t xml:space="preserve"> </w:t>
      </w:r>
      <w:proofErr w:type="spellStart"/>
      <w:r w:rsidRPr="00112F9D">
        <w:rPr>
          <w:i/>
          <w:iCs/>
          <w:sz w:val="28"/>
          <w:szCs w:val="28"/>
        </w:rPr>
        <w:t>contract</w:t>
      </w:r>
      <w:proofErr w:type="spellEnd"/>
      <w:r w:rsidRPr="00871650">
        <w:rPr>
          <w:sz w:val="28"/>
          <w:szCs w:val="28"/>
        </w:rPr>
        <w:t>, intesi in senso informatico, o quantomeno nella conferma di tale capacità di produrre diritti e doveri.</w:t>
      </w:r>
    </w:p>
    <w:p w14:paraId="108ABDAA" w14:textId="77777777" w:rsidR="00AA6BA3" w:rsidRDefault="00AA6BA3" w:rsidP="00AA6BA3">
      <w:pPr>
        <w:pStyle w:val="NormaleWeb"/>
        <w:spacing w:before="0" w:beforeAutospacing="0" w:after="0" w:afterAutospacing="0"/>
        <w:jc w:val="both"/>
        <w:rPr>
          <w:sz w:val="28"/>
          <w:szCs w:val="28"/>
        </w:rPr>
      </w:pPr>
      <w:r>
        <w:rPr>
          <w:sz w:val="28"/>
          <w:szCs w:val="28"/>
        </w:rPr>
        <w:t>Il</w:t>
      </w:r>
      <w:r w:rsidRPr="00871650">
        <w:rPr>
          <w:sz w:val="28"/>
          <w:szCs w:val="28"/>
        </w:rPr>
        <w:t xml:space="preserve"> termine «</w:t>
      </w:r>
      <w:r w:rsidRPr="00112F9D">
        <w:rPr>
          <w:i/>
          <w:iCs/>
          <w:sz w:val="28"/>
          <w:szCs w:val="28"/>
        </w:rPr>
        <w:t>esecuzione</w:t>
      </w:r>
      <w:r w:rsidRPr="00871650">
        <w:rPr>
          <w:sz w:val="28"/>
          <w:szCs w:val="28"/>
        </w:rPr>
        <w:t xml:space="preserve">» di cui al primo periodo del paragrafo </w:t>
      </w:r>
      <w:r>
        <w:rPr>
          <w:sz w:val="28"/>
          <w:szCs w:val="28"/>
        </w:rPr>
        <w:t>esaminato</w:t>
      </w:r>
      <w:r w:rsidRPr="00871650">
        <w:rPr>
          <w:sz w:val="28"/>
          <w:szCs w:val="28"/>
        </w:rPr>
        <w:t xml:space="preserve"> è inteso comunemente come “</w:t>
      </w:r>
      <w:r w:rsidRPr="00112F9D">
        <w:rPr>
          <w:i/>
          <w:iCs/>
          <w:sz w:val="28"/>
          <w:szCs w:val="28"/>
        </w:rPr>
        <w:t>avvio del software applicativo sulla rete DLT</w:t>
      </w:r>
      <w:r w:rsidRPr="00871650">
        <w:rPr>
          <w:sz w:val="28"/>
          <w:szCs w:val="28"/>
        </w:rPr>
        <w:t xml:space="preserve">”, </w:t>
      </w:r>
      <w:r>
        <w:rPr>
          <w:sz w:val="28"/>
          <w:szCs w:val="28"/>
        </w:rPr>
        <w:t>e il</w:t>
      </w:r>
      <w:r w:rsidRPr="00871650">
        <w:rPr>
          <w:sz w:val="28"/>
          <w:szCs w:val="28"/>
        </w:rPr>
        <w:t xml:space="preserve"> «</w:t>
      </w:r>
      <w:r w:rsidRPr="0049466F">
        <w:rPr>
          <w:i/>
          <w:iCs/>
          <w:sz w:val="28"/>
          <w:szCs w:val="28"/>
        </w:rPr>
        <w:t>requisito della forma scritta</w:t>
      </w:r>
      <w:r w:rsidRPr="00871650">
        <w:rPr>
          <w:sz w:val="28"/>
          <w:szCs w:val="28"/>
        </w:rPr>
        <w:t xml:space="preserve">», </w:t>
      </w:r>
      <w:r>
        <w:rPr>
          <w:sz w:val="28"/>
          <w:szCs w:val="28"/>
        </w:rPr>
        <w:t>per</w:t>
      </w:r>
      <w:r w:rsidRPr="00871650">
        <w:rPr>
          <w:sz w:val="28"/>
          <w:szCs w:val="28"/>
        </w:rPr>
        <w:t xml:space="preserve"> il principio di conservazione degli atti giuridici, </w:t>
      </w:r>
      <w:r>
        <w:rPr>
          <w:sz w:val="28"/>
          <w:szCs w:val="28"/>
        </w:rPr>
        <w:t>porta</w:t>
      </w:r>
      <w:r w:rsidRPr="00871650">
        <w:rPr>
          <w:sz w:val="28"/>
          <w:szCs w:val="28"/>
        </w:rPr>
        <w:t xml:space="preserve"> a </w:t>
      </w:r>
      <w:r>
        <w:rPr>
          <w:sz w:val="28"/>
          <w:szCs w:val="28"/>
        </w:rPr>
        <w:t>ritenere che</w:t>
      </w:r>
      <w:r w:rsidRPr="00871650">
        <w:rPr>
          <w:sz w:val="28"/>
          <w:szCs w:val="28"/>
        </w:rPr>
        <w:t xml:space="preserve"> lo scopo della disposizione </w:t>
      </w:r>
      <w:r>
        <w:rPr>
          <w:sz w:val="28"/>
          <w:szCs w:val="28"/>
        </w:rPr>
        <w:t>normativa</w:t>
      </w:r>
      <w:r w:rsidRPr="00871650">
        <w:rPr>
          <w:sz w:val="28"/>
          <w:szCs w:val="28"/>
        </w:rPr>
        <w:t xml:space="preserve"> </w:t>
      </w:r>
      <w:r>
        <w:rPr>
          <w:sz w:val="28"/>
          <w:szCs w:val="28"/>
        </w:rPr>
        <w:t xml:space="preserve">sia </w:t>
      </w:r>
      <w:r w:rsidRPr="00871650">
        <w:rPr>
          <w:sz w:val="28"/>
          <w:szCs w:val="28"/>
        </w:rPr>
        <w:t xml:space="preserve">non tanto </w:t>
      </w:r>
      <w:r>
        <w:rPr>
          <w:sz w:val="28"/>
          <w:szCs w:val="28"/>
        </w:rPr>
        <w:t>quello di</w:t>
      </w:r>
      <w:r w:rsidRPr="00871650">
        <w:rPr>
          <w:sz w:val="28"/>
          <w:szCs w:val="28"/>
        </w:rPr>
        <w:t xml:space="preserve"> definizione di un fenomeno tecnologico preesistente, né </w:t>
      </w:r>
      <w:r>
        <w:rPr>
          <w:sz w:val="28"/>
          <w:szCs w:val="28"/>
        </w:rPr>
        <w:t>quello di</w:t>
      </w:r>
      <w:r w:rsidRPr="00871650">
        <w:rPr>
          <w:sz w:val="28"/>
          <w:szCs w:val="28"/>
        </w:rPr>
        <w:t xml:space="preserve"> riaffermare, in modo </w:t>
      </w:r>
      <w:r>
        <w:rPr>
          <w:sz w:val="28"/>
          <w:szCs w:val="28"/>
        </w:rPr>
        <w:t>ripetitivo</w:t>
      </w:r>
      <w:r w:rsidRPr="00871650">
        <w:rPr>
          <w:sz w:val="28"/>
          <w:szCs w:val="28"/>
        </w:rPr>
        <w:t xml:space="preserve">, l’equiparazione del </w:t>
      </w:r>
      <w:r w:rsidRPr="0049466F">
        <w:rPr>
          <w:i/>
          <w:iCs/>
          <w:sz w:val="28"/>
          <w:szCs w:val="28"/>
        </w:rPr>
        <w:t>file</w:t>
      </w:r>
      <w:r w:rsidRPr="00871650">
        <w:rPr>
          <w:sz w:val="28"/>
          <w:szCs w:val="28"/>
        </w:rPr>
        <w:t xml:space="preserve"> digitale al documento scritto e sottoscritto, già prevista dal Codice dell’Amministrazione Digitale</w:t>
      </w:r>
      <w:r>
        <w:rPr>
          <w:sz w:val="28"/>
          <w:szCs w:val="28"/>
        </w:rPr>
        <w:t xml:space="preserve"> (</w:t>
      </w:r>
      <w:r w:rsidRPr="00871650">
        <w:rPr>
          <w:sz w:val="28"/>
          <w:szCs w:val="28"/>
        </w:rPr>
        <w:t>“CAD”</w:t>
      </w:r>
      <w:r>
        <w:rPr>
          <w:sz w:val="28"/>
          <w:szCs w:val="28"/>
        </w:rPr>
        <w:t>, D</w:t>
      </w:r>
      <w:r w:rsidRPr="00871650">
        <w:rPr>
          <w:sz w:val="28"/>
          <w:szCs w:val="28"/>
        </w:rPr>
        <w:t>.lgs. 82/2005</w:t>
      </w:r>
      <w:r>
        <w:rPr>
          <w:sz w:val="28"/>
          <w:szCs w:val="28"/>
        </w:rPr>
        <w:t xml:space="preserve">) </w:t>
      </w:r>
      <w:r w:rsidRPr="00871650">
        <w:rPr>
          <w:sz w:val="28"/>
          <w:szCs w:val="28"/>
        </w:rPr>
        <w:t xml:space="preserve">e dal </w:t>
      </w:r>
      <w:r>
        <w:rPr>
          <w:sz w:val="28"/>
          <w:szCs w:val="28"/>
        </w:rPr>
        <w:t>Regolamento</w:t>
      </w:r>
      <w:r w:rsidRPr="00871650">
        <w:rPr>
          <w:sz w:val="28"/>
          <w:szCs w:val="28"/>
        </w:rPr>
        <w:t xml:space="preserve"> </w:t>
      </w:r>
      <w:r>
        <w:rPr>
          <w:sz w:val="28"/>
          <w:szCs w:val="28"/>
        </w:rPr>
        <w:t xml:space="preserve">n. </w:t>
      </w:r>
      <w:r w:rsidRPr="00871650">
        <w:rPr>
          <w:sz w:val="28"/>
          <w:szCs w:val="28"/>
        </w:rPr>
        <w:t xml:space="preserve">910/2014 (Regolamento EIDAS), quanto piuttosto probabilmente </w:t>
      </w:r>
      <w:r>
        <w:rPr>
          <w:sz w:val="28"/>
          <w:szCs w:val="28"/>
        </w:rPr>
        <w:t xml:space="preserve">quello di </w:t>
      </w:r>
      <w:r w:rsidRPr="00871650">
        <w:rPr>
          <w:sz w:val="28"/>
          <w:szCs w:val="28"/>
        </w:rPr>
        <w:t>attribu</w:t>
      </w:r>
      <w:r>
        <w:rPr>
          <w:sz w:val="28"/>
          <w:szCs w:val="28"/>
        </w:rPr>
        <w:t>ire</w:t>
      </w:r>
      <w:r w:rsidRPr="00871650">
        <w:rPr>
          <w:sz w:val="28"/>
          <w:szCs w:val="28"/>
        </w:rPr>
        <w:t xml:space="preserve"> efficacia giuridica allo </w:t>
      </w:r>
      <w:proofErr w:type="spellStart"/>
      <w:r w:rsidRPr="0049466F">
        <w:rPr>
          <w:i/>
          <w:iCs/>
          <w:sz w:val="28"/>
          <w:szCs w:val="28"/>
        </w:rPr>
        <w:t>smart</w:t>
      </w:r>
      <w:proofErr w:type="spellEnd"/>
      <w:r w:rsidRPr="0049466F">
        <w:rPr>
          <w:i/>
          <w:iCs/>
          <w:sz w:val="28"/>
          <w:szCs w:val="28"/>
        </w:rPr>
        <w:t xml:space="preserve"> </w:t>
      </w:r>
      <w:proofErr w:type="spellStart"/>
      <w:r w:rsidRPr="0049466F">
        <w:rPr>
          <w:i/>
          <w:iCs/>
          <w:sz w:val="28"/>
          <w:szCs w:val="28"/>
        </w:rPr>
        <w:t>contract</w:t>
      </w:r>
      <w:proofErr w:type="spellEnd"/>
      <w:r w:rsidRPr="00871650">
        <w:rPr>
          <w:sz w:val="28"/>
          <w:szCs w:val="28"/>
        </w:rPr>
        <w:t xml:space="preserve"> in quanto tale</w:t>
      </w:r>
      <w:r>
        <w:rPr>
          <w:sz w:val="28"/>
          <w:szCs w:val="28"/>
        </w:rPr>
        <w:t>,</w:t>
      </w:r>
      <w:r w:rsidRPr="00871650">
        <w:rPr>
          <w:sz w:val="28"/>
          <w:szCs w:val="28"/>
        </w:rPr>
        <w:t xml:space="preserve"> </w:t>
      </w:r>
      <w:r>
        <w:rPr>
          <w:sz w:val="28"/>
          <w:szCs w:val="28"/>
        </w:rPr>
        <w:t>anche se</w:t>
      </w:r>
      <w:r w:rsidRPr="00871650">
        <w:rPr>
          <w:sz w:val="28"/>
          <w:szCs w:val="28"/>
        </w:rPr>
        <w:t xml:space="preserve"> esso </w:t>
      </w:r>
      <w:r>
        <w:rPr>
          <w:sz w:val="28"/>
          <w:szCs w:val="28"/>
        </w:rPr>
        <w:t>è</w:t>
      </w:r>
      <w:r w:rsidRPr="00871650">
        <w:rPr>
          <w:sz w:val="28"/>
          <w:szCs w:val="28"/>
        </w:rPr>
        <w:t xml:space="preserve"> scritto in un linguaggio </w:t>
      </w:r>
      <w:r>
        <w:rPr>
          <w:sz w:val="28"/>
          <w:szCs w:val="28"/>
        </w:rPr>
        <w:t>diverso, cioè</w:t>
      </w:r>
      <w:r w:rsidRPr="00871650">
        <w:rPr>
          <w:sz w:val="28"/>
          <w:szCs w:val="28"/>
        </w:rPr>
        <w:t xml:space="preserve"> informatico compilato. </w:t>
      </w:r>
    </w:p>
    <w:p w14:paraId="359AD689" w14:textId="77777777" w:rsidR="00AA6BA3" w:rsidRPr="00871650" w:rsidRDefault="00AA6BA3" w:rsidP="00AA6BA3">
      <w:pPr>
        <w:pStyle w:val="NormaleWeb"/>
        <w:spacing w:before="0" w:beforeAutospacing="0" w:after="0" w:afterAutospacing="0"/>
        <w:jc w:val="both"/>
        <w:rPr>
          <w:sz w:val="28"/>
          <w:szCs w:val="28"/>
        </w:rPr>
      </w:pPr>
      <w:r>
        <w:rPr>
          <w:sz w:val="28"/>
          <w:szCs w:val="28"/>
        </w:rPr>
        <w:t>Lo</w:t>
      </w:r>
      <w:r w:rsidRPr="00871650">
        <w:rPr>
          <w:sz w:val="28"/>
          <w:szCs w:val="28"/>
        </w:rPr>
        <w:t xml:space="preserve"> </w:t>
      </w:r>
      <w:proofErr w:type="spellStart"/>
      <w:r w:rsidRPr="0049466F">
        <w:rPr>
          <w:i/>
          <w:iCs/>
          <w:sz w:val="28"/>
          <w:szCs w:val="28"/>
        </w:rPr>
        <w:t>smart</w:t>
      </w:r>
      <w:proofErr w:type="spellEnd"/>
      <w:r w:rsidRPr="0049466F">
        <w:rPr>
          <w:i/>
          <w:iCs/>
          <w:sz w:val="28"/>
          <w:szCs w:val="28"/>
        </w:rPr>
        <w:t xml:space="preserve"> </w:t>
      </w:r>
      <w:proofErr w:type="spellStart"/>
      <w:r w:rsidRPr="0049466F">
        <w:rPr>
          <w:i/>
          <w:iCs/>
          <w:sz w:val="28"/>
          <w:szCs w:val="28"/>
        </w:rPr>
        <w:t>contract</w:t>
      </w:r>
      <w:proofErr w:type="spellEnd"/>
      <w:r w:rsidRPr="00871650">
        <w:rPr>
          <w:sz w:val="28"/>
          <w:szCs w:val="28"/>
        </w:rPr>
        <w:t xml:space="preserve"> </w:t>
      </w:r>
      <w:r>
        <w:rPr>
          <w:sz w:val="28"/>
          <w:szCs w:val="28"/>
        </w:rPr>
        <w:t xml:space="preserve">passerebbe </w:t>
      </w:r>
      <w:r w:rsidRPr="00871650">
        <w:rPr>
          <w:sz w:val="28"/>
          <w:szCs w:val="28"/>
        </w:rPr>
        <w:t>dalla condizione di mero strumento di esecuzione di un negozio giuridico a quella di fonte diretta e autosufficiente di costituzione e disciplina</w:t>
      </w:r>
      <w:r>
        <w:rPr>
          <w:sz w:val="28"/>
          <w:szCs w:val="28"/>
        </w:rPr>
        <w:t>.</w:t>
      </w:r>
    </w:p>
    <w:p w14:paraId="10250CF4" w14:textId="77777777" w:rsidR="00AA6BA3" w:rsidRDefault="00AA6BA3" w:rsidP="00AA6BA3">
      <w:pPr>
        <w:pStyle w:val="NormaleWeb"/>
        <w:spacing w:before="0" w:beforeAutospacing="0" w:after="0" w:afterAutospacing="0"/>
        <w:jc w:val="both"/>
        <w:rPr>
          <w:sz w:val="28"/>
          <w:szCs w:val="28"/>
        </w:rPr>
      </w:pPr>
      <w:r>
        <w:rPr>
          <w:sz w:val="28"/>
          <w:szCs w:val="28"/>
        </w:rPr>
        <w:t>Sorgono</w:t>
      </w:r>
      <w:r w:rsidRPr="00871650">
        <w:rPr>
          <w:sz w:val="28"/>
          <w:szCs w:val="28"/>
        </w:rPr>
        <w:t xml:space="preserve"> problemi nel rapporto con gli artt. 1321 ss. c.c. </w:t>
      </w:r>
    </w:p>
    <w:p w14:paraId="786EB58B" w14:textId="77777777" w:rsidR="00AA6BA3" w:rsidRPr="00871650" w:rsidRDefault="00AA6BA3" w:rsidP="00AA6BA3">
      <w:pPr>
        <w:pStyle w:val="NormaleWeb"/>
        <w:spacing w:before="0" w:beforeAutospacing="0" w:after="0" w:afterAutospacing="0"/>
        <w:jc w:val="both"/>
        <w:rPr>
          <w:sz w:val="28"/>
          <w:szCs w:val="28"/>
        </w:rPr>
      </w:pPr>
      <w:r>
        <w:rPr>
          <w:sz w:val="28"/>
          <w:szCs w:val="28"/>
        </w:rPr>
        <w:lastRenderedPageBreak/>
        <w:t>Anzitutto</w:t>
      </w:r>
      <w:r w:rsidRPr="00871650">
        <w:rPr>
          <w:sz w:val="28"/>
          <w:szCs w:val="28"/>
        </w:rPr>
        <w:t xml:space="preserve">, ci si può </w:t>
      </w:r>
      <w:r>
        <w:rPr>
          <w:sz w:val="28"/>
          <w:szCs w:val="28"/>
        </w:rPr>
        <w:t>chiedere</w:t>
      </w:r>
      <w:r w:rsidRPr="00871650">
        <w:rPr>
          <w:sz w:val="28"/>
          <w:szCs w:val="28"/>
        </w:rPr>
        <w:t xml:space="preserve"> </w:t>
      </w:r>
      <w:r>
        <w:rPr>
          <w:sz w:val="28"/>
          <w:szCs w:val="28"/>
        </w:rPr>
        <w:t xml:space="preserve">se </w:t>
      </w:r>
      <w:r w:rsidRPr="00871650">
        <w:rPr>
          <w:sz w:val="28"/>
          <w:szCs w:val="28"/>
        </w:rPr>
        <w:t>l’art. 8</w:t>
      </w:r>
      <w:r>
        <w:rPr>
          <w:sz w:val="28"/>
          <w:szCs w:val="28"/>
        </w:rPr>
        <w:t>-</w:t>
      </w:r>
      <w:r w:rsidRPr="00871650">
        <w:rPr>
          <w:sz w:val="28"/>
          <w:szCs w:val="28"/>
        </w:rPr>
        <w:t xml:space="preserve">ter </w:t>
      </w:r>
      <w:r>
        <w:rPr>
          <w:sz w:val="28"/>
          <w:szCs w:val="28"/>
        </w:rPr>
        <w:t>voglia</w:t>
      </w:r>
      <w:r w:rsidRPr="00871650">
        <w:rPr>
          <w:sz w:val="28"/>
          <w:szCs w:val="28"/>
        </w:rPr>
        <w:t xml:space="preserve"> escludere ogni rilevanza tanto ad eventuali </w:t>
      </w:r>
      <w:r w:rsidRPr="003A7766">
        <w:rPr>
          <w:i/>
          <w:iCs/>
          <w:sz w:val="28"/>
          <w:szCs w:val="28"/>
        </w:rPr>
        <w:t>bug</w:t>
      </w:r>
      <w:r w:rsidRPr="00871650">
        <w:rPr>
          <w:sz w:val="28"/>
          <w:szCs w:val="28"/>
        </w:rPr>
        <w:t xml:space="preserve"> (“errori di programmazione”) dello </w:t>
      </w:r>
      <w:proofErr w:type="spellStart"/>
      <w:r w:rsidRPr="003A7766">
        <w:rPr>
          <w:i/>
          <w:iCs/>
          <w:sz w:val="28"/>
          <w:szCs w:val="28"/>
        </w:rPr>
        <w:t>smart</w:t>
      </w:r>
      <w:proofErr w:type="spellEnd"/>
      <w:r w:rsidRPr="003A7766">
        <w:rPr>
          <w:i/>
          <w:iCs/>
          <w:sz w:val="28"/>
          <w:szCs w:val="28"/>
        </w:rPr>
        <w:t xml:space="preserve"> </w:t>
      </w:r>
      <w:proofErr w:type="spellStart"/>
      <w:r w:rsidRPr="003A7766">
        <w:rPr>
          <w:i/>
          <w:iCs/>
          <w:sz w:val="28"/>
          <w:szCs w:val="28"/>
        </w:rPr>
        <w:t>contract</w:t>
      </w:r>
      <w:proofErr w:type="spellEnd"/>
      <w:r>
        <w:rPr>
          <w:i/>
          <w:iCs/>
          <w:sz w:val="28"/>
          <w:szCs w:val="28"/>
        </w:rPr>
        <w:t>,</w:t>
      </w:r>
      <w:r w:rsidRPr="00871650">
        <w:rPr>
          <w:sz w:val="28"/>
          <w:szCs w:val="28"/>
        </w:rPr>
        <w:t xml:space="preserve"> quanto a possibili fraintendimenti del suo funzionamento da parte di una parte contraente all’atto dell’avvio dello stesso.</w:t>
      </w:r>
    </w:p>
    <w:p w14:paraId="4A378B95" w14:textId="77777777" w:rsidR="00AA6BA3" w:rsidRDefault="00AA6BA3" w:rsidP="00AA6BA3">
      <w:pPr>
        <w:pStyle w:val="NormaleWeb"/>
        <w:spacing w:before="0" w:beforeAutospacing="0" w:after="0" w:afterAutospacing="0"/>
        <w:jc w:val="both"/>
        <w:rPr>
          <w:sz w:val="28"/>
          <w:szCs w:val="28"/>
        </w:rPr>
      </w:pPr>
      <w:r>
        <w:rPr>
          <w:sz w:val="28"/>
          <w:szCs w:val="28"/>
        </w:rPr>
        <w:t>Inoltre</w:t>
      </w:r>
      <w:r w:rsidRPr="00871650">
        <w:rPr>
          <w:sz w:val="28"/>
          <w:szCs w:val="28"/>
        </w:rPr>
        <w:t xml:space="preserve">, </w:t>
      </w:r>
      <w:r>
        <w:rPr>
          <w:sz w:val="28"/>
          <w:szCs w:val="28"/>
        </w:rPr>
        <w:t>si potrebbe parlare di</w:t>
      </w:r>
      <w:r w:rsidRPr="00871650">
        <w:rPr>
          <w:sz w:val="28"/>
          <w:szCs w:val="28"/>
        </w:rPr>
        <w:t xml:space="preserve"> asimmetria tra le competenze informatiche delle parti, </w:t>
      </w:r>
      <w:r>
        <w:rPr>
          <w:sz w:val="28"/>
          <w:szCs w:val="28"/>
        </w:rPr>
        <w:t>soprattutto perché</w:t>
      </w:r>
      <w:r w:rsidRPr="00871650">
        <w:rPr>
          <w:sz w:val="28"/>
          <w:szCs w:val="28"/>
        </w:rPr>
        <w:t xml:space="preserve"> il codice compilato di uno </w:t>
      </w:r>
      <w:proofErr w:type="spellStart"/>
      <w:r w:rsidRPr="003A7766">
        <w:rPr>
          <w:i/>
          <w:iCs/>
          <w:sz w:val="28"/>
          <w:szCs w:val="28"/>
        </w:rPr>
        <w:t>smart</w:t>
      </w:r>
      <w:proofErr w:type="spellEnd"/>
      <w:r w:rsidRPr="003A7766">
        <w:rPr>
          <w:i/>
          <w:iCs/>
          <w:sz w:val="28"/>
          <w:szCs w:val="28"/>
        </w:rPr>
        <w:t xml:space="preserve"> </w:t>
      </w:r>
      <w:proofErr w:type="spellStart"/>
      <w:r w:rsidRPr="003A7766">
        <w:rPr>
          <w:i/>
          <w:iCs/>
          <w:sz w:val="28"/>
          <w:szCs w:val="28"/>
        </w:rPr>
        <w:t>contract</w:t>
      </w:r>
      <w:proofErr w:type="spellEnd"/>
      <w:r w:rsidRPr="00871650">
        <w:rPr>
          <w:sz w:val="28"/>
          <w:szCs w:val="28"/>
        </w:rPr>
        <w:t xml:space="preserve"> può essere anche molto più difficile a leggersi, rispetto al corrispondente codice sorgente. </w:t>
      </w:r>
    </w:p>
    <w:p w14:paraId="4FF2B728" w14:textId="77777777" w:rsidR="00AA6BA3" w:rsidRPr="00871650" w:rsidRDefault="00AA6BA3" w:rsidP="00AA6BA3">
      <w:pPr>
        <w:pStyle w:val="NormaleWeb"/>
        <w:spacing w:before="0" w:beforeAutospacing="0" w:after="0" w:afterAutospacing="0"/>
        <w:jc w:val="both"/>
        <w:rPr>
          <w:sz w:val="28"/>
          <w:szCs w:val="28"/>
        </w:rPr>
      </w:pPr>
      <w:r>
        <w:rPr>
          <w:sz w:val="28"/>
          <w:szCs w:val="28"/>
        </w:rPr>
        <w:t>Poi potrebbe configurarsi il</w:t>
      </w:r>
      <w:r w:rsidRPr="00871650">
        <w:rPr>
          <w:sz w:val="28"/>
          <w:szCs w:val="28"/>
        </w:rPr>
        <w:t xml:space="preserve"> caso di contraenti che affidino a terzi soggetti esperti la scrittura del proprio </w:t>
      </w:r>
      <w:proofErr w:type="spellStart"/>
      <w:r w:rsidRPr="003A7766">
        <w:rPr>
          <w:i/>
          <w:iCs/>
          <w:sz w:val="28"/>
          <w:szCs w:val="28"/>
        </w:rPr>
        <w:t>smart</w:t>
      </w:r>
      <w:proofErr w:type="spellEnd"/>
      <w:r w:rsidRPr="003A7766">
        <w:rPr>
          <w:i/>
          <w:iCs/>
          <w:sz w:val="28"/>
          <w:szCs w:val="28"/>
        </w:rPr>
        <w:t xml:space="preserve"> </w:t>
      </w:r>
      <w:proofErr w:type="spellStart"/>
      <w:r w:rsidRPr="003A7766">
        <w:rPr>
          <w:i/>
          <w:iCs/>
          <w:sz w:val="28"/>
          <w:szCs w:val="28"/>
        </w:rPr>
        <w:t>contract</w:t>
      </w:r>
      <w:proofErr w:type="spellEnd"/>
      <w:r w:rsidRPr="00871650">
        <w:rPr>
          <w:sz w:val="28"/>
          <w:szCs w:val="28"/>
        </w:rPr>
        <w:t>.</w:t>
      </w:r>
    </w:p>
    <w:p w14:paraId="2D69662E" w14:textId="77777777" w:rsidR="00AA6BA3" w:rsidRDefault="00AA6BA3" w:rsidP="00AA6BA3">
      <w:pPr>
        <w:pStyle w:val="NormaleWeb"/>
        <w:spacing w:before="0" w:beforeAutospacing="0" w:after="0" w:afterAutospacing="0"/>
        <w:jc w:val="both"/>
        <w:rPr>
          <w:sz w:val="28"/>
          <w:szCs w:val="28"/>
        </w:rPr>
      </w:pPr>
      <w:r>
        <w:rPr>
          <w:sz w:val="28"/>
          <w:szCs w:val="28"/>
        </w:rPr>
        <w:t>Sono possibili diverse</w:t>
      </w:r>
      <w:r w:rsidRPr="00871650">
        <w:rPr>
          <w:sz w:val="28"/>
          <w:szCs w:val="28"/>
        </w:rPr>
        <w:t xml:space="preserve"> </w:t>
      </w:r>
      <w:r>
        <w:rPr>
          <w:sz w:val="28"/>
          <w:szCs w:val="28"/>
        </w:rPr>
        <w:t>interpretazioni</w:t>
      </w:r>
      <w:r w:rsidRPr="00871650">
        <w:rPr>
          <w:sz w:val="28"/>
          <w:szCs w:val="28"/>
        </w:rPr>
        <w:t>, da quelle che attribuisc</w:t>
      </w:r>
      <w:r>
        <w:rPr>
          <w:sz w:val="28"/>
          <w:szCs w:val="28"/>
        </w:rPr>
        <w:t>o</w:t>
      </w:r>
      <w:r w:rsidRPr="00871650">
        <w:rPr>
          <w:sz w:val="28"/>
          <w:szCs w:val="28"/>
        </w:rPr>
        <w:t>no la massima portata innovativa all’art. 8</w:t>
      </w:r>
      <w:r>
        <w:rPr>
          <w:sz w:val="28"/>
          <w:szCs w:val="28"/>
        </w:rPr>
        <w:t>-</w:t>
      </w:r>
      <w:r w:rsidRPr="00871650">
        <w:rPr>
          <w:sz w:val="28"/>
          <w:szCs w:val="28"/>
        </w:rPr>
        <w:t>ter, con conseguente irrilevanza di ogni errore commesso dai contraenti (</w:t>
      </w:r>
      <w:r w:rsidRPr="003A7766">
        <w:rPr>
          <w:i/>
          <w:iCs/>
          <w:sz w:val="28"/>
          <w:szCs w:val="28"/>
        </w:rPr>
        <w:t>bug</w:t>
      </w:r>
      <w:r w:rsidRPr="00871650">
        <w:rPr>
          <w:sz w:val="28"/>
          <w:szCs w:val="28"/>
        </w:rPr>
        <w:t xml:space="preserve"> inclusi), a quelle che affermano un’incidenza minima della disposizione in commento sull’assetto normativo previgente</w:t>
      </w:r>
      <w:r>
        <w:rPr>
          <w:sz w:val="28"/>
          <w:szCs w:val="28"/>
        </w:rPr>
        <w:t xml:space="preserve"> (</w:t>
      </w:r>
      <w:r w:rsidRPr="00871650">
        <w:rPr>
          <w:sz w:val="28"/>
          <w:szCs w:val="28"/>
        </w:rPr>
        <w:t xml:space="preserve">essa si limiterebbe a chiarire la possibilità di </w:t>
      </w:r>
      <w:r>
        <w:rPr>
          <w:sz w:val="28"/>
          <w:szCs w:val="28"/>
        </w:rPr>
        <w:t>creare</w:t>
      </w:r>
      <w:r w:rsidRPr="00871650">
        <w:rPr>
          <w:sz w:val="28"/>
          <w:szCs w:val="28"/>
        </w:rPr>
        <w:t xml:space="preserve"> un rapporto giuridico negoziale con la semplice esecuzione di uno </w:t>
      </w:r>
      <w:proofErr w:type="spellStart"/>
      <w:r w:rsidRPr="003A7766">
        <w:rPr>
          <w:i/>
          <w:iCs/>
          <w:sz w:val="28"/>
          <w:szCs w:val="28"/>
        </w:rPr>
        <w:t>smart</w:t>
      </w:r>
      <w:proofErr w:type="spellEnd"/>
      <w:r w:rsidRPr="003A7766">
        <w:rPr>
          <w:i/>
          <w:iCs/>
          <w:sz w:val="28"/>
          <w:szCs w:val="28"/>
        </w:rPr>
        <w:t xml:space="preserve"> </w:t>
      </w:r>
      <w:proofErr w:type="spellStart"/>
      <w:r w:rsidRPr="003A7766">
        <w:rPr>
          <w:i/>
          <w:iCs/>
          <w:sz w:val="28"/>
          <w:szCs w:val="28"/>
        </w:rPr>
        <w:t>contract</w:t>
      </w:r>
      <w:proofErr w:type="spellEnd"/>
      <w:r>
        <w:rPr>
          <w:sz w:val="28"/>
          <w:szCs w:val="28"/>
        </w:rPr>
        <w:t>).</w:t>
      </w:r>
      <w:r w:rsidRPr="00871650">
        <w:rPr>
          <w:sz w:val="28"/>
          <w:szCs w:val="28"/>
        </w:rPr>
        <w:t xml:space="preserve"> </w:t>
      </w:r>
    </w:p>
    <w:p w14:paraId="3F81B4B9" w14:textId="77777777" w:rsidR="00AA6BA3" w:rsidRPr="00871650" w:rsidRDefault="00AA6BA3" w:rsidP="00AA6BA3">
      <w:pPr>
        <w:pStyle w:val="NormaleWeb"/>
        <w:spacing w:before="0" w:beforeAutospacing="0" w:after="0" w:afterAutospacing="0"/>
        <w:jc w:val="both"/>
        <w:rPr>
          <w:sz w:val="28"/>
          <w:szCs w:val="28"/>
        </w:rPr>
      </w:pPr>
      <w:r>
        <w:rPr>
          <w:sz w:val="28"/>
          <w:szCs w:val="28"/>
        </w:rPr>
        <w:t>C’è anche una possibilità intermedia, per molti</w:t>
      </w:r>
      <w:r w:rsidRPr="00871650">
        <w:rPr>
          <w:sz w:val="28"/>
          <w:szCs w:val="28"/>
        </w:rPr>
        <w:t xml:space="preserve"> preferibile</w:t>
      </w:r>
      <w:r>
        <w:rPr>
          <w:sz w:val="28"/>
          <w:szCs w:val="28"/>
        </w:rPr>
        <w:t xml:space="preserve">: l’istituto dello </w:t>
      </w:r>
      <w:proofErr w:type="spellStart"/>
      <w:r w:rsidRPr="00EA6B5E">
        <w:rPr>
          <w:i/>
          <w:iCs/>
          <w:sz w:val="28"/>
          <w:szCs w:val="28"/>
        </w:rPr>
        <w:t>smart</w:t>
      </w:r>
      <w:proofErr w:type="spellEnd"/>
      <w:r w:rsidRPr="00EA6B5E">
        <w:rPr>
          <w:i/>
          <w:iCs/>
          <w:sz w:val="28"/>
          <w:szCs w:val="28"/>
        </w:rPr>
        <w:t xml:space="preserve"> </w:t>
      </w:r>
      <w:proofErr w:type="spellStart"/>
      <w:r w:rsidRPr="00EA6B5E">
        <w:rPr>
          <w:i/>
          <w:iCs/>
          <w:sz w:val="28"/>
          <w:szCs w:val="28"/>
        </w:rPr>
        <w:t>contract</w:t>
      </w:r>
      <w:proofErr w:type="spellEnd"/>
      <w:r w:rsidRPr="00871650">
        <w:rPr>
          <w:sz w:val="28"/>
          <w:szCs w:val="28"/>
        </w:rPr>
        <w:t xml:space="preserve"> </w:t>
      </w:r>
      <w:r>
        <w:rPr>
          <w:sz w:val="28"/>
          <w:szCs w:val="28"/>
        </w:rPr>
        <w:t>sarebbe una</w:t>
      </w:r>
      <w:r w:rsidRPr="00871650">
        <w:rPr>
          <w:sz w:val="28"/>
          <w:szCs w:val="28"/>
        </w:rPr>
        <w:t xml:space="preserve"> nuova possibilità espressiva di volontà negoziale, alternativa alla comunicazione verbale e ai </w:t>
      </w:r>
      <w:proofErr w:type="spellStart"/>
      <w:r w:rsidRPr="00EA6B5E">
        <w:rPr>
          <w:i/>
          <w:iCs/>
          <w:sz w:val="28"/>
          <w:szCs w:val="28"/>
        </w:rPr>
        <w:t>facta</w:t>
      </w:r>
      <w:proofErr w:type="spellEnd"/>
      <w:r w:rsidRPr="00EA6B5E">
        <w:rPr>
          <w:i/>
          <w:iCs/>
          <w:sz w:val="28"/>
          <w:szCs w:val="28"/>
        </w:rPr>
        <w:t xml:space="preserve"> </w:t>
      </w:r>
      <w:proofErr w:type="spellStart"/>
      <w:r w:rsidRPr="00EA6B5E">
        <w:rPr>
          <w:i/>
          <w:iCs/>
          <w:sz w:val="28"/>
          <w:szCs w:val="28"/>
        </w:rPr>
        <w:t>concludentia</w:t>
      </w:r>
      <w:proofErr w:type="spellEnd"/>
      <w:r w:rsidRPr="00871650">
        <w:rPr>
          <w:sz w:val="28"/>
          <w:szCs w:val="28"/>
        </w:rPr>
        <w:t xml:space="preserve">, </w:t>
      </w:r>
      <w:r>
        <w:rPr>
          <w:sz w:val="28"/>
          <w:szCs w:val="28"/>
        </w:rPr>
        <w:t xml:space="preserve">con la conseguente applicazione </w:t>
      </w:r>
      <w:r w:rsidRPr="00871650">
        <w:rPr>
          <w:sz w:val="28"/>
          <w:szCs w:val="28"/>
        </w:rPr>
        <w:t xml:space="preserve">in generale </w:t>
      </w:r>
      <w:r>
        <w:rPr>
          <w:sz w:val="28"/>
          <w:szCs w:val="28"/>
        </w:rPr>
        <w:t>de</w:t>
      </w:r>
      <w:r w:rsidRPr="00871650">
        <w:rPr>
          <w:sz w:val="28"/>
          <w:szCs w:val="28"/>
        </w:rPr>
        <w:t>lle norme di cui agli artt. 1321 ss. c.c., inclusa la disciplina dell’errore-vizio e dell’errore ostativo.</w:t>
      </w:r>
    </w:p>
    <w:p w14:paraId="6DFEF805" w14:textId="77777777" w:rsidR="00AA6BA3" w:rsidRDefault="00AA6BA3" w:rsidP="00AA6BA3">
      <w:pPr>
        <w:pStyle w:val="NormaleWeb"/>
        <w:spacing w:before="0" w:beforeAutospacing="0" w:after="0" w:afterAutospacing="0"/>
        <w:jc w:val="both"/>
        <w:rPr>
          <w:sz w:val="28"/>
          <w:szCs w:val="28"/>
        </w:rPr>
      </w:pPr>
      <w:r>
        <w:rPr>
          <w:sz w:val="28"/>
          <w:szCs w:val="28"/>
        </w:rPr>
        <w:t>Le</w:t>
      </w:r>
      <w:r w:rsidRPr="00871650">
        <w:rPr>
          <w:sz w:val="28"/>
          <w:szCs w:val="28"/>
        </w:rPr>
        <w:t xml:space="preserve"> tecnologie basate su registro distribuito e gli </w:t>
      </w:r>
      <w:proofErr w:type="spellStart"/>
      <w:r w:rsidRPr="00EA6B5E">
        <w:rPr>
          <w:i/>
          <w:iCs/>
          <w:sz w:val="28"/>
          <w:szCs w:val="28"/>
        </w:rPr>
        <w:t>smart</w:t>
      </w:r>
      <w:proofErr w:type="spellEnd"/>
      <w:r w:rsidRPr="00EA6B5E">
        <w:rPr>
          <w:i/>
          <w:iCs/>
          <w:sz w:val="28"/>
          <w:szCs w:val="28"/>
        </w:rPr>
        <w:t xml:space="preserve"> </w:t>
      </w:r>
      <w:proofErr w:type="spellStart"/>
      <w:r w:rsidRPr="00EA6B5E">
        <w:rPr>
          <w:i/>
          <w:iCs/>
          <w:sz w:val="28"/>
          <w:szCs w:val="28"/>
        </w:rPr>
        <w:t>contract</w:t>
      </w:r>
      <w:proofErr w:type="spellEnd"/>
      <w:r w:rsidRPr="00871650">
        <w:rPr>
          <w:sz w:val="28"/>
          <w:szCs w:val="28"/>
        </w:rPr>
        <w:t xml:space="preserve"> assumeranno</w:t>
      </w:r>
      <w:r>
        <w:rPr>
          <w:sz w:val="28"/>
          <w:szCs w:val="28"/>
        </w:rPr>
        <w:t xml:space="preserve">, molto probabilmente, </w:t>
      </w:r>
      <w:r w:rsidRPr="00871650">
        <w:rPr>
          <w:sz w:val="28"/>
          <w:szCs w:val="28"/>
        </w:rPr>
        <w:t>una</w:t>
      </w:r>
      <w:r>
        <w:rPr>
          <w:sz w:val="28"/>
          <w:szCs w:val="28"/>
        </w:rPr>
        <w:t xml:space="preserve"> grande</w:t>
      </w:r>
      <w:r w:rsidRPr="00871650">
        <w:rPr>
          <w:sz w:val="28"/>
          <w:szCs w:val="28"/>
        </w:rPr>
        <w:t xml:space="preserve"> rilevanza economico-sociale </w:t>
      </w:r>
      <w:r>
        <w:rPr>
          <w:sz w:val="28"/>
          <w:szCs w:val="28"/>
        </w:rPr>
        <w:t>in futuro.</w:t>
      </w:r>
    </w:p>
    <w:p w14:paraId="697DB759" w14:textId="77777777" w:rsidR="00AA6BA3" w:rsidRPr="006733D4" w:rsidRDefault="00AA6BA3" w:rsidP="00AA6BA3">
      <w:pPr>
        <w:pStyle w:val="NormaleWeb"/>
        <w:spacing w:before="0" w:beforeAutospacing="0" w:after="0" w:afterAutospacing="0"/>
        <w:jc w:val="both"/>
        <w:rPr>
          <w:sz w:val="28"/>
          <w:szCs w:val="28"/>
        </w:rPr>
      </w:pPr>
      <w:r>
        <w:rPr>
          <w:sz w:val="28"/>
          <w:szCs w:val="28"/>
        </w:rPr>
        <w:t>Sarà necessario, dunque, un</w:t>
      </w:r>
      <w:r w:rsidRPr="00871650">
        <w:rPr>
          <w:sz w:val="28"/>
          <w:szCs w:val="28"/>
        </w:rPr>
        <w:t xml:space="preserve"> intervento del legislatore </w:t>
      </w:r>
      <w:r>
        <w:rPr>
          <w:sz w:val="28"/>
          <w:szCs w:val="28"/>
        </w:rPr>
        <w:t>per</w:t>
      </w:r>
      <w:r w:rsidRPr="00871650">
        <w:rPr>
          <w:sz w:val="28"/>
          <w:szCs w:val="28"/>
        </w:rPr>
        <w:t xml:space="preserve"> </w:t>
      </w:r>
      <w:r>
        <w:rPr>
          <w:sz w:val="28"/>
          <w:szCs w:val="28"/>
        </w:rPr>
        <w:t>risolvere</w:t>
      </w:r>
      <w:r w:rsidRPr="00871650">
        <w:rPr>
          <w:sz w:val="28"/>
          <w:szCs w:val="28"/>
        </w:rPr>
        <w:t xml:space="preserve"> </w:t>
      </w:r>
      <w:r>
        <w:rPr>
          <w:sz w:val="28"/>
          <w:szCs w:val="28"/>
        </w:rPr>
        <w:t xml:space="preserve">la menzionata </w:t>
      </w:r>
      <w:r w:rsidRPr="00871650">
        <w:rPr>
          <w:sz w:val="28"/>
          <w:szCs w:val="28"/>
        </w:rPr>
        <w:t xml:space="preserve">impossibilità di assoggettare a esecuzione forzata alcun ordine della pubblica autorità riguardante </w:t>
      </w:r>
      <w:r>
        <w:rPr>
          <w:sz w:val="28"/>
          <w:szCs w:val="28"/>
        </w:rPr>
        <w:t>le</w:t>
      </w:r>
      <w:r w:rsidRPr="00871650">
        <w:rPr>
          <w:sz w:val="28"/>
          <w:szCs w:val="28"/>
        </w:rPr>
        <w:t xml:space="preserve"> reti telematiche, </w:t>
      </w:r>
      <w:r>
        <w:rPr>
          <w:sz w:val="28"/>
          <w:szCs w:val="28"/>
        </w:rPr>
        <w:t xml:space="preserve">per trovare una soluzione per quanto riguarda i </w:t>
      </w:r>
      <w:r w:rsidRPr="00871650">
        <w:rPr>
          <w:sz w:val="28"/>
          <w:szCs w:val="28"/>
        </w:rPr>
        <w:t xml:space="preserve">negozi </w:t>
      </w:r>
      <w:r w:rsidRPr="006733D4">
        <w:rPr>
          <w:sz w:val="28"/>
          <w:szCs w:val="28"/>
        </w:rPr>
        <w:t xml:space="preserve">illeciti o contrari a norme imperative, e per rimuovere eventuali contenuti digitali illeciti permanentemente registrati su reti DLT. </w:t>
      </w:r>
    </w:p>
    <w:p w14:paraId="35A20905" w14:textId="2440D8AA" w:rsidR="001E5540" w:rsidRDefault="00AA6BA3" w:rsidP="001E5540">
      <w:pPr>
        <w:tabs>
          <w:tab w:val="left" w:pos="8364"/>
        </w:tabs>
        <w:spacing w:after="0"/>
        <w:jc w:val="both"/>
        <w:rPr>
          <w:rFonts w:ascii="Times New Roman" w:hAnsi="Times New Roman" w:cs="Times New Roman"/>
          <w:sz w:val="28"/>
          <w:szCs w:val="28"/>
        </w:rPr>
      </w:pPr>
      <w:r w:rsidRPr="006733D4">
        <w:rPr>
          <w:rFonts w:ascii="Times New Roman" w:hAnsi="Times New Roman" w:cs="Times New Roman"/>
          <w:sz w:val="28"/>
          <w:szCs w:val="28"/>
        </w:rPr>
        <w:t xml:space="preserve">Il punto di svolta, comunque, potrebbe arrivare in futuro con l’adozione di una </w:t>
      </w:r>
      <w:proofErr w:type="spellStart"/>
      <w:r w:rsidRPr="006733D4">
        <w:rPr>
          <w:rFonts w:ascii="Times New Roman" w:hAnsi="Times New Roman" w:cs="Times New Roman"/>
          <w:sz w:val="28"/>
          <w:szCs w:val="28"/>
        </w:rPr>
        <w:t>criptovaluta</w:t>
      </w:r>
      <w:proofErr w:type="spellEnd"/>
      <w:r w:rsidRPr="006733D4">
        <w:rPr>
          <w:rFonts w:ascii="Times New Roman" w:hAnsi="Times New Roman" w:cs="Times New Roman"/>
          <w:sz w:val="28"/>
          <w:szCs w:val="28"/>
        </w:rPr>
        <w:t xml:space="preserve"> della Banca Centrale Europea avente corso legale, che è già stata studiata per anni dalla BCE</w:t>
      </w:r>
      <w:r w:rsidRPr="006733D4">
        <w:rPr>
          <w:rStyle w:val="Rimandonotaapidipagina"/>
          <w:rFonts w:ascii="Times New Roman" w:hAnsi="Times New Roman" w:cs="Times New Roman"/>
          <w:sz w:val="28"/>
          <w:szCs w:val="28"/>
        </w:rPr>
        <w:footnoteReference w:id="71"/>
      </w:r>
      <w:r w:rsidRPr="006733D4">
        <w:rPr>
          <w:rFonts w:ascii="Times New Roman" w:hAnsi="Times New Roman" w:cs="Times New Roman"/>
          <w:sz w:val="28"/>
          <w:szCs w:val="28"/>
        </w:rPr>
        <w:t>.</w:t>
      </w:r>
    </w:p>
    <w:p w14:paraId="3F94959C" w14:textId="423C5BE3" w:rsidR="00A75A26" w:rsidRDefault="00A75A26" w:rsidP="00764B83">
      <w:pPr>
        <w:tabs>
          <w:tab w:val="left" w:pos="8364"/>
        </w:tabs>
        <w:ind w:left="360"/>
        <w:jc w:val="both"/>
        <w:rPr>
          <w:rFonts w:ascii="Times New Roman" w:hAnsi="Times New Roman" w:cs="Times New Roman"/>
          <w:sz w:val="28"/>
          <w:szCs w:val="28"/>
        </w:rPr>
      </w:pPr>
    </w:p>
    <w:p w14:paraId="41A05E4C" w14:textId="77777777" w:rsidR="006B52A5" w:rsidRDefault="006B52A5" w:rsidP="00764B83">
      <w:pPr>
        <w:tabs>
          <w:tab w:val="left" w:pos="8364"/>
        </w:tabs>
        <w:ind w:left="360"/>
        <w:jc w:val="both"/>
        <w:rPr>
          <w:rFonts w:ascii="Times New Roman" w:hAnsi="Times New Roman" w:cs="Times New Roman"/>
          <w:sz w:val="28"/>
          <w:szCs w:val="28"/>
        </w:rPr>
      </w:pPr>
    </w:p>
    <w:p w14:paraId="470CFC2B" w14:textId="07E51247" w:rsidR="006B52A5" w:rsidRDefault="006B52A5">
      <w:pPr>
        <w:rPr>
          <w:rFonts w:ascii="Times New Roman" w:hAnsi="Times New Roman" w:cs="Times New Roman"/>
          <w:sz w:val="28"/>
          <w:szCs w:val="28"/>
        </w:rPr>
      </w:pPr>
      <w:r>
        <w:rPr>
          <w:rFonts w:ascii="Times New Roman" w:hAnsi="Times New Roman" w:cs="Times New Roman"/>
          <w:sz w:val="28"/>
          <w:szCs w:val="28"/>
        </w:rPr>
        <w:br w:type="page"/>
      </w:r>
    </w:p>
    <w:p w14:paraId="1CEF7CC5" w14:textId="1B0193EB" w:rsidR="00A75A26" w:rsidRPr="006B52A5" w:rsidRDefault="000A002B" w:rsidP="00774481">
      <w:pPr>
        <w:tabs>
          <w:tab w:val="left" w:pos="8364"/>
        </w:tabs>
        <w:jc w:val="both"/>
        <w:rPr>
          <w:rFonts w:ascii="Times New Roman" w:hAnsi="Times New Roman" w:cs="Times New Roman"/>
          <w:b/>
          <w:bCs/>
          <w:sz w:val="32"/>
          <w:szCs w:val="32"/>
        </w:rPr>
      </w:pPr>
      <w:r>
        <w:rPr>
          <w:rFonts w:ascii="Times New Roman" w:hAnsi="Times New Roman" w:cs="Times New Roman"/>
          <w:b/>
          <w:bCs/>
          <w:sz w:val="32"/>
          <w:szCs w:val="32"/>
        </w:rPr>
        <w:lastRenderedPageBreak/>
        <w:t>C</w:t>
      </w:r>
      <w:r w:rsidR="00A75A26" w:rsidRPr="006B52A5">
        <w:rPr>
          <w:rFonts w:ascii="Times New Roman" w:hAnsi="Times New Roman" w:cs="Times New Roman"/>
          <w:b/>
          <w:bCs/>
          <w:sz w:val="32"/>
          <w:szCs w:val="32"/>
        </w:rPr>
        <w:t>apitolo</w:t>
      </w:r>
      <w:r>
        <w:rPr>
          <w:rFonts w:ascii="Times New Roman" w:hAnsi="Times New Roman" w:cs="Times New Roman"/>
          <w:b/>
          <w:bCs/>
          <w:sz w:val="32"/>
          <w:szCs w:val="32"/>
        </w:rPr>
        <w:t xml:space="preserve"> V</w:t>
      </w:r>
    </w:p>
    <w:p w14:paraId="24F3F577" w14:textId="4FD6F1D0" w:rsidR="00E64824" w:rsidRPr="006B52A5" w:rsidRDefault="00E64824" w:rsidP="00774481">
      <w:pPr>
        <w:tabs>
          <w:tab w:val="left" w:pos="8364"/>
        </w:tabs>
        <w:jc w:val="both"/>
        <w:rPr>
          <w:rFonts w:ascii="Times New Roman" w:hAnsi="Times New Roman" w:cs="Times New Roman"/>
          <w:b/>
          <w:bCs/>
          <w:sz w:val="32"/>
          <w:szCs w:val="32"/>
        </w:rPr>
      </w:pPr>
      <w:r w:rsidRPr="006B52A5">
        <w:rPr>
          <w:rFonts w:ascii="Times New Roman" w:hAnsi="Times New Roman" w:cs="Times New Roman"/>
          <w:b/>
          <w:bCs/>
          <w:sz w:val="32"/>
          <w:szCs w:val="32"/>
        </w:rPr>
        <w:t>Il governo della tecnica e il controllo umano delle sue applicazioni</w:t>
      </w:r>
    </w:p>
    <w:p w14:paraId="67D7EB4E" w14:textId="08EF949F" w:rsidR="001B5E24" w:rsidRDefault="00205E5D"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Il tema </w:t>
      </w:r>
      <w:r w:rsidR="000677B0">
        <w:rPr>
          <w:rFonts w:ascii="Times New Roman" w:hAnsi="Times New Roman" w:cs="Times New Roman"/>
          <w:sz w:val="28"/>
          <w:szCs w:val="28"/>
        </w:rPr>
        <w:t>della “gestione del rischio” pone la delicata questione del governo della tecnica e della necessità di un approccio antropocentrico e antropogenico dell’intelligenza artificiale: il Libro Bianco sull’intelligenza artificiale</w:t>
      </w:r>
      <w:r w:rsidR="006B52A5">
        <w:rPr>
          <w:rStyle w:val="Rimandonotaapidipagina"/>
          <w:rFonts w:ascii="Times New Roman" w:hAnsi="Times New Roman" w:cs="Times New Roman"/>
          <w:sz w:val="28"/>
          <w:szCs w:val="28"/>
        </w:rPr>
        <w:footnoteReference w:id="72"/>
      </w:r>
      <w:r w:rsidR="000677B0">
        <w:rPr>
          <w:rFonts w:ascii="Times New Roman" w:hAnsi="Times New Roman" w:cs="Times New Roman"/>
          <w:sz w:val="28"/>
          <w:szCs w:val="28"/>
        </w:rPr>
        <w:t xml:space="preserve"> prevede </w:t>
      </w:r>
      <w:r w:rsidR="005D10F9">
        <w:rPr>
          <w:rFonts w:ascii="Times New Roman" w:hAnsi="Times New Roman" w:cs="Times New Roman"/>
          <w:sz w:val="28"/>
          <w:szCs w:val="28"/>
        </w:rPr>
        <w:t>che</w:t>
      </w:r>
      <w:r w:rsidR="006B52A5">
        <w:rPr>
          <w:rFonts w:ascii="Times New Roman" w:hAnsi="Times New Roman" w:cs="Times New Roman"/>
          <w:sz w:val="28"/>
          <w:szCs w:val="28"/>
        </w:rPr>
        <w:t>,</w:t>
      </w:r>
      <w:r w:rsidR="005D10F9">
        <w:rPr>
          <w:rFonts w:ascii="Times New Roman" w:hAnsi="Times New Roman" w:cs="Times New Roman"/>
          <w:sz w:val="28"/>
          <w:szCs w:val="28"/>
        </w:rPr>
        <w:t xml:space="preserve"> </w:t>
      </w:r>
      <w:r w:rsidR="000677B0">
        <w:rPr>
          <w:rFonts w:ascii="Times New Roman" w:hAnsi="Times New Roman" w:cs="Times New Roman"/>
          <w:sz w:val="28"/>
          <w:szCs w:val="28"/>
        </w:rPr>
        <w:t>entro il 2030</w:t>
      </w:r>
      <w:r w:rsidR="006B52A5">
        <w:rPr>
          <w:rFonts w:ascii="Times New Roman" w:hAnsi="Times New Roman" w:cs="Times New Roman"/>
          <w:sz w:val="28"/>
          <w:szCs w:val="28"/>
        </w:rPr>
        <w:t>,</w:t>
      </w:r>
      <w:r w:rsidR="000677B0">
        <w:rPr>
          <w:rFonts w:ascii="Times New Roman" w:hAnsi="Times New Roman" w:cs="Times New Roman"/>
          <w:sz w:val="28"/>
          <w:szCs w:val="28"/>
        </w:rPr>
        <w:t xml:space="preserve"> 20 miliardi di </w:t>
      </w:r>
      <w:r w:rsidR="005D10F9">
        <w:rPr>
          <w:rFonts w:ascii="Times New Roman" w:hAnsi="Times New Roman" w:cs="Times New Roman"/>
          <w:sz w:val="28"/>
          <w:szCs w:val="28"/>
        </w:rPr>
        <w:t>euro saranno investiti</w:t>
      </w:r>
      <w:r w:rsidR="000677B0">
        <w:rPr>
          <w:rFonts w:ascii="Times New Roman" w:hAnsi="Times New Roman" w:cs="Times New Roman"/>
          <w:sz w:val="28"/>
          <w:szCs w:val="28"/>
        </w:rPr>
        <w:t xml:space="preserve"> in intelligenza artificiale ed è necessario che i giuristi pongano delle regole per modulare il rapporto uomo-macchina tenendo ben presente la forza pervasiva, performativa che la tecnologia può avere sull’io, sulla stessa essenza dell’uomo</w:t>
      </w:r>
      <w:r w:rsidR="005046D4">
        <w:rPr>
          <w:rStyle w:val="Rimandonotaapidipagina"/>
          <w:rFonts w:ascii="Times New Roman" w:hAnsi="Times New Roman" w:cs="Times New Roman"/>
          <w:sz w:val="28"/>
          <w:szCs w:val="28"/>
        </w:rPr>
        <w:footnoteReference w:id="73"/>
      </w:r>
      <w:r w:rsidR="000677B0">
        <w:rPr>
          <w:rFonts w:ascii="Times New Roman" w:hAnsi="Times New Roman" w:cs="Times New Roman"/>
          <w:sz w:val="28"/>
          <w:szCs w:val="28"/>
        </w:rPr>
        <w:t xml:space="preserve">. </w:t>
      </w:r>
    </w:p>
    <w:p w14:paraId="5E40CC5A" w14:textId="77777777" w:rsidR="001B5E24" w:rsidRDefault="000677B0" w:rsidP="001B5E24">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Einstein affermava:</w:t>
      </w:r>
      <w:r w:rsidR="00006CC0">
        <w:rPr>
          <w:rFonts w:ascii="Times New Roman" w:hAnsi="Times New Roman" w:cs="Times New Roman"/>
          <w:sz w:val="28"/>
          <w:szCs w:val="28"/>
        </w:rPr>
        <w:t xml:space="preserve"> </w:t>
      </w:r>
      <w:r w:rsidR="00D9249A">
        <w:rPr>
          <w:rFonts w:ascii="Times New Roman" w:hAnsi="Times New Roman" w:cs="Times New Roman"/>
          <w:sz w:val="28"/>
          <w:szCs w:val="28"/>
        </w:rPr>
        <w:t>«</w:t>
      </w:r>
      <w:r w:rsidRPr="000677B0">
        <w:rPr>
          <w:rFonts w:ascii="Times New Roman" w:hAnsi="Times New Roman" w:cs="Times New Roman"/>
          <w:i/>
          <w:iCs/>
          <w:sz w:val="28"/>
          <w:szCs w:val="28"/>
        </w:rPr>
        <w:t>un giorno le macchine</w:t>
      </w:r>
      <w:r>
        <w:rPr>
          <w:rFonts w:ascii="Times New Roman" w:hAnsi="Times New Roman" w:cs="Times New Roman"/>
          <w:i/>
          <w:iCs/>
          <w:sz w:val="28"/>
          <w:szCs w:val="28"/>
        </w:rPr>
        <w:t xml:space="preserve"> riusciranno a risolvere tutti i problemi, ma mai nessuna di esse potrà porne uno</w:t>
      </w:r>
      <w:r w:rsidR="00D9249A">
        <w:rPr>
          <w:rFonts w:ascii="Times New Roman" w:hAnsi="Times New Roman" w:cs="Times New Roman"/>
          <w:i/>
          <w:iCs/>
          <w:sz w:val="28"/>
          <w:szCs w:val="28"/>
        </w:rPr>
        <w:t>»</w:t>
      </w:r>
      <w:r>
        <w:rPr>
          <w:rFonts w:ascii="Times New Roman" w:hAnsi="Times New Roman" w:cs="Times New Roman"/>
          <w:i/>
          <w:iCs/>
          <w:sz w:val="28"/>
          <w:szCs w:val="28"/>
        </w:rPr>
        <w:t xml:space="preserve">, </w:t>
      </w:r>
      <w:r w:rsidRPr="000677B0">
        <w:rPr>
          <w:rFonts w:ascii="Times New Roman" w:hAnsi="Times New Roman" w:cs="Times New Roman"/>
          <w:sz w:val="28"/>
          <w:szCs w:val="28"/>
        </w:rPr>
        <w:t xml:space="preserve">volendo </w:t>
      </w:r>
      <w:r>
        <w:rPr>
          <w:rFonts w:ascii="Times New Roman" w:hAnsi="Times New Roman" w:cs="Times New Roman"/>
          <w:sz w:val="28"/>
          <w:szCs w:val="28"/>
        </w:rPr>
        <w:t>mettere in rilievo la ragion critica che è propri</w:t>
      </w:r>
      <w:r w:rsidR="00D9249A">
        <w:rPr>
          <w:rFonts w:ascii="Times New Roman" w:hAnsi="Times New Roman" w:cs="Times New Roman"/>
          <w:sz w:val="28"/>
          <w:szCs w:val="28"/>
        </w:rPr>
        <w:t>a</w:t>
      </w:r>
      <w:r>
        <w:rPr>
          <w:rFonts w:ascii="Times New Roman" w:hAnsi="Times New Roman" w:cs="Times New Roman"/>
          <w:sz w:val="28"/>
          <w:szCs w:val="28"/>
        </w:rPr>
        <w:t xml:space="preserve"> dell’uomo e non del</w:t>
      </w:r>
      <w:r w:rsidR="005D10F9">
        <w:rPr>
          <w:rFonts w:ascii="Times New Roman" w:hAnsi="Times New Roman" w:cs="Times New Roman"/>
          <w:sz w:val="28"/>
          <w:szCs w:val="28"/>
        </w:rPr>
        <w:t>la</w:t>
      </w:r>
      <w:r>
        <w:rPr>
          <w:rFonts w:ascii="Times New Roman" w:hAnsi="Times New Roman" w:cs="Times New Roman"/>
          <w:sz w:val="28"/>
          <w:szCs w:val="28"/>
        </w:rPr>
        <w:t xml:space="preserve"> macchina</w:t>
      </w:r>
      <w:r w:rsidR="005D10F9">
        <w:rPr>
          <w:rFonts w:ascii="Times New Roman" w:hAnsi="Times New Roman" w:cs="Times New Roman"/>
          <w:sz w:val="28"/>
          <w:szCs w:val="28"/>
        </w:rPr>
        <w:t xml:space="preserve">. </w:t>
      </w:r>
      <w:r w:rsidR="00D9249A">
        <w:rPr>
          <w:rFonts w:ascii="Times New Roman" w:hAnsi="Times New Roman" w:cs="Times New Roman"/>
          <w:sz w:val="28"/>
          <w:szCs w:val="28"/>
        </w:rPr>
        <w:t>Eppure,</w:t>
      </w:r>
      <w:r w:rsidR="005D10F9">
        <w:rPr>
          <w:rFonts w:ascii="Times New Roman" w:hAnsi="Times New Roman" w:cs="Times New Roman"/>
          <w:sz w:val="28"/>
          <w:szCs w:val="28"/>
        </w:rPr>
        <w:t xml:space="preserve"> oggi questa ragion critica può essere incisa e manipolata dalla stessa intelligenza artificiale. </w:t>
      </w:r>
    </w:p>
    <w:p w14:paraId="54ED6D7E" w14:textId="77777777" w:rsidR="001B5E24" w:rsidRDefault="005D10F9" w:rsidP="001B5E24">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Di recente</w:t>
      </w:r>
      <w:r w:rsidR="001B5E2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Elon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Musk</w:t>
      </w:r>
      <w:proofErr w:type="spellEnd"/>
      <w:r w:rsidR="009F449A">
        <w:rPr>
          <w:rFonts w:ascii="Times New Roman" w:hAnsi="Times New Roman" w:cs="Times New Roman"/>
          <w:sz w:val="28"/>
          <w:szCs w:val="28"/>
        </w:rPr>
        <w:t xml:space="preserve"> durante un</w:t>
      </w:r>
      <w:r w:rsidR="00006CC0">
        <w:rPr>
          <w:rFonts w:ascii="Times New Roman" w:hAnsi="Times New Roman" w:cs="Times New Roman"/>
          <w:sz w:val="28"/>
          <w:szCs w:val="28"/>
        </w:rPr>
        <w:t>’</w:t>
      </w:r>
      <w:r w:rsidR="009F449A">
        <w:rPr>
          <w:rFonts w:ascii="Times New Roman" w:hAnsi="Times New Roman" w:cs="Times New Roman"/>
          <w:sz w:val="28"/>
          <w:szCs w:val="28"/>
        </w:rPr>
        <w:t>intervista</w:t>
      </w:r>
      <w:r>
        <w:rPr>
          <w:rFonts w:ascii="Times New Roman" w:hAnsi="Times New Roman" w:cs="Times New Roman"/>
          <w:sz w:val="28"/>
          <w:szCs w:val="28"/>
        </w:rPr>
        <w:t xml:space="preserve"> ha parlato di “</w:t>
      </w:r>
      <w:proofErr w:type="spellStart"/>
      <w:r w:rsidRPr="005D10F9">
        <w:rPr>
          <w:rFonts w:ascii="Times New Roman" w:hAnsi="Times New Roman" w:cs="Times New Roman"/>
          <w:i/>
          <w:iCs/>
          <w:sz w:val="28"/>
          <w:szCs w:val="28"/>
        </w:rPr>
        <w:t>transumanesimo</w:t>
      </w:r>
      <w:proofErr w:type="spellEnd"/>
      <w:r>
        <w:rPr>
          <w:rFonts w:ascii="Times New Roman" w:hAnsi="Times New Roman" w:cs="Times New Roman"/>
          <w:sz w:val="28"/>
          <w:szCs w:val="28"/>
        </w:rPr>
        <w:t xml:space="preserve">”, dichiarando lo scorso 5 </w:t>
      </w:r>
      <w:proofErr w:type="gramStart"/>
      <w:r>
        <w:rPr>
          <w:rFonts w:ascii="Times New Roman" w:hAnsi="Times New Roman" w:cs="Times New Roman"/>
          <w:sz w:val="28"/>
          <w:szCs w:val="28"/>
        </w:rPr>
        <w:t>Ottobre</w:t>
      </w:r>
      <w:proofErr w:type="gramEnd"/>
      <w:r>
        <w:rPr>
          <w:rFonts w:ascii="Times New Roman" w:hAnsi="Times New Roman" w:cs="Times New Roman"/>
          <w:sz w:val="28"/>
          <w:szCs w:val="28"/>
        </w:rPr>
        <w:t xml:space="preserve"> 2021</w:t>
      </w:r>
      <w:r w:rsidR="00D9249A">
        <w:rPr>
          <w:rFonts w:ascii="Times New Roman" w:hAnsi="Times New Roman" w:cs="Times New Roman"/>
          <w:sz w:val="28"/>
          <w:szCs w:val="28"/>
        </w:rPr>
        <w:t>,</w:t>
      </w:r>
      <w:r>
        <w:rPr>
          <w:rFonts w:ascii="Times New Roman" w:hAnsi="Times New Roman" w:cs="Times New Roman"/>
          <w:sz w:val="28"/>
          <w:szCs w:val="28"/>
        </w:rPr>
        <w:t xml:space="preserve"> in una trasmissione televisiva</w:t>
      </w:r>
      <w:r w:rsidR="00D9249A">
        <w:rPr>
          <w:rFonts w:ascii="Times New Roman" w:hAnsi="Times New Roman" w:cs="Times New Roman"/>
          <w:sz w:val="28"/>
          <w:szCs w:val="28"/>
        </w:rPr>
        <w:t>,</w:t>
      </w:r>
      <w:r>
        <w:rPr>
          <w:rFonts w:ascii="Times New Roman" w:hAnsi="Times New Roman" w:cs="Times New Roman"/>
          <w:sz w:val="28"/>
          <w:szCs w:val="28"/>
        </w:rPr>
        <w:t xml:space="preserve"> che</w:t>
      </w:r>
      <w:r w:rsidR="00006CC0">
        <w:rPr>
          <w:rFonts w:ascii="Times New Roman" w:hAnsi="Times New Roman" w:cs="Times New Roman"/>
          <w:sz w:val="28"/>
          <w:szCs w:val="28"/>
        </w:rPr>
        <w:t xml:space="preserve">: </w:t>
      </w:r>
      <w:r w:rsidR="00D9249A">
        <w:rPr>
          <w:rFonts w:ascii="Times New Roman" w:hAnsi="Times New Roman" w:cs="Times New Roman"/>
          <w:sz w:val="28"/>
          <w:szCs w:val="28"/>
        </w:rPr>
        <w:t>«</w:t>
      </w:r>
      <w:r w:rsidRPr="005D10F9">
        <w:rPr>
          <w:rFonts w:ascii="Times New Roman" w:hAnsi="Times New Roman" w:cs="Times New Roman"/>
          <w:i/>
          <w:iCs/>
          <w:sz w:val="28"/>
          <w:szCs w:val="28"/>
        </w:rPr>
        <w:t>Per unirsi</w:t>
      </w:r>
      <w:r>
        <w:rPr>
          <w:rFonts w:ascii="Times New Roman" w:hAnsi="Times New Roman" w:cs="Times New Roman"/>
          <w:sz w:val="28"/>
          <w:szCs w:val="28"/>
        </w:rPr>
        <w:t xml:space="preserve"> </w:t>
      </w:r>
      <w:r w:rsidR="009F449A">
        <w:rPr>
          <w:rFonts w:ascii="Times New Roman" w:hAnsi="Times New Roman" w:cs="Times New Roman"/>
          <w:i/>
          <w:iCs/>
          <w:sz w:val="28"/>
          <w:szCs w:val="28"/>
        </w:rPr>
        <w:t xml:space="preserve">in modo davvero simbiotico all’intelligenza artificiale serve un’interfaccia con il cervello, un collegamento diretto tra cervello e computer. Io penso che la soluzione </w:t>
      </w:r>
      <w:r w:rsidR="009F449A">
        <w:rPr>
          <w:rFonts w:ascii="Times New Roman" w:hAnsi="Times New Roman" w:cs="Times New Roman"/>
          <w:i/>
          <w:iCs/>
          <w:sz w:val="28"/>
          <w:szCs w:val="28"/>
        </w:rPr>
        <w:lastRenderedPageBreak/>
        <w:t>migliore sia avere all’interno del cervello un livello di intelligenza artificiale che operi simbioticamente con te, proprio come fa il tuo cervello biologico</w:t>
      </w:r>
      <w:r w:rsidR="00D9249A">
        <w:rPr>
          <w:rFonts w:ascii="Times New Roman" w:hAnsi="Times New Roman" w:cs="Times New Roman"/>
          <w:i/>
          <w:iCs/>
          <w:sz w:val="28"/>
          <w:szCs w:val="28"/>
        </w:rPr>
        <w:t>»</w:t>
      </w:r>
      <w:r w:rsidR="009F449A">
        <w:rPr>
          <w:rFonts w:ascii="Times New Roman" w:hAnsi="Times New Roman" w:cs="Times New Roman"/>
          <w:i/>
          <w:iCs/>
          <w:sz w:val="28"/>
          <w:szCs w:val="28"/>
        </w:rPr>
        <w:t xml:space="preserve">. </w:t>
      </w:r>
    </w:p>
    <w:p w14:paraId="770E942B" w14:textId="77777777" w:rsidR="001B5E24" w:rsidRDefault="009F449A" w:rsidP="001B5E24">
      <w:pPr>
        <w:tabs>
          <w:tab w:val="left" w:pos="8364"/>
        </w:tabs>
        <w:spacing w:after="0"/>
        <w:jc w:val="both"/>
        <w:rPr>
          <w:rFonts w:ascii="Times New Roman" w:hAnsi="Times New Roman" w:cs="Times New Roman"/>
          <w:i/>
          <w:iCs/>
          <w:sz w:val="28"/>
          <w:szCs w:val="28"/>
        </w:rPr>
      </w:pPr>
      <w:r w:rsidRPr="009F449A">
        <w:rPr>
          <w:rFonts w:ascii="Times New Roman" w:hAnsi="Times New Roman" w:cs="Times New Roman"/>
          <w:sz w:val="28"/>
          <w:szCs w:val="28"/>
        </w:rPr>
        <w:t>Ma è qualcosa che richiede un intervento chirurgico</w:t>
      </w:r>
      <w:r w:rsidR="00F61F2D">
        <w:rPr>
          <w:rFonts w:ascii="Times New Roman" w:hAnsi="Times New Roman" w:cs="Times New Roman"/>
          <w:sz w:val="28"/>
          <w:szCs w:val="28"/>
        </w:rPr>
        <w:t xml:space="preserve">? – </w:t>
      </w:r>
      <w:r>
        <w:rPr>
          <w:rFonts w:ascii="Times New Roman" w:hAnsi="Times New Roman" w:cs="Times New Roman"/>
          <w:sz w:val="28"/>
          <w:szCs w:val="28"/>
        </w:rPr>
        <w:t>gli ha domandato l’intervistatore</w:t>
      </w:r>
      <w:r w:rsidR="00F61F2D">
        <w:rPr>
          <w:rFonts w:ascii="Times New Roman" w:hAnsi="Times New Roman" w:cs="Times New Roman"/>
          <w:sz w:val="28"/>
          <w:szCs w:val="28"/>
        </w:rPr>
        <w:t xml:space="preserve"> – «</w:t>
      </w:r>
      <w:r w:rsidRPr="009F449A">
        <w:rPr>
          <w:rFonts w:ascii="Times New Roman" w:hAnsi="Times New Roman" w:cs="Times New Roman"/>
          <w:i/>
          <w:iCs/>
          <w:sz w:val="28"/>
          <w:szCs w:val="28"/>
        </w:rPr>
        <w:t>Assolutamente no</w:t>
      </w:r>
      <w:r w:rsidR="00F61F2D">
        <w:rPr>
          <w:rFonts w:ascii="Times New Roman" w:hAnsi="Times New Roman" w:cs="Times New Roman"/>
          <w:i/>
          <w:iCs/>
          <w:sz w:val="28"/>
          <w:szCs w:val="28"/>
        </w:rPr>
        <w:t xml:space="preserve"> – </w:t>
      </w:r>
      <w:r w:rsidRPr="009F449A">
        <w:rPr>
          <w:rFonts w:ascii="Times New Roman" w:hAnsi="Times New Roman" w:cs="Times New Roman"/>
          <w:sz w:val="28"/>
          <w:szCs w:val="28"/>
        </w:rPr>
        <w:t xml:space="preserve">ha risposto </w:t>
      </w:r>
      <w:proofErr w:type="spellStart"/>
      <w:r w:rsidRPr="009F449A">
        <w:rPr>
          <w:rFonts w:ascii="Times New Roman" w:hAnsi="Times New Roman" w:cs="Times New Roman"/>
          <w:sz w:val="28"/>
          <w:szCs w:val="28"/>
        </w:rPr>
        <w:t>Musk</w:t>
      </w:r>
      <w:proofErr w:type="spellEnd"/>
      <w:r w:rsidR="00F61F2D">
        <w:rPr>
          <w:rFonts w:ascii="Times New Roman" w:hAnsi="Times New Roman" w:cs="Times New Roman"/>
          <w:sz w:val="28"/>
          <w:szCs w:val="28"/>
        </w:rPr>
        <w:t xml:space="preserve"> – </w:t>
      </w:r>
      <w:r w:rsidRPr="009F449A">
        <w:rPr>
          <w:rFonts w:ascii="Times New Roman" w:hAnsi="Times New Roman" w:cs="Times New Roman"/>
          <w:i/>
          <w:iCs/>
          <w:sz w:val="28"/>
          <w:szCs w:val="28"/>
        </w:rPr>
        <w:t xml:space="preserve">puoi </w:t>
      </w:r>
      <w:r>
        <w:rPr>
          <w:rFonts w:ascii="Times New Roman" w:hAnsi="Times New Roman" w:cs="Times New Roman"/>
          <w:i/>
          <w:iCs/>
          <w:sz w:val="28"/>
          <w:szCs w:val="28"/>
        </w:rPr>
        <w:t>iniettarlo nel sangue o direttamente nella giugulare: da li arriva velocemente ai neuroni. Si introducono con delle tecniche genetiche dei piccoli interruttori di proteine che si possono attivare: accendono o spengono il neurone mandando piccoli fasci di luce per indurre il neurone stesso a dire quello che noi vogliamo fargli dire</w:t>
      </w:r>
      <w:r w:rsidR="00F61F2D">
        <w:rPr>
          <w:rFonts w:ascii="Times New Roman" w:hAnsi="Times New Roman" w:cs="Times New Roman"/>
          <w:i/>
          <w:iCs/>
          <w:sz w:val="28"/>
          <w:szCs w:val="28"/>
        </w:rPr>
        <w:t>»</w:t>
      </w:r>
      <w:r w:rsidR="00D03BF1">
        <w:rPr>
          <w:rFonts w:ascii="Times New Roman" w:hAnsi="Times New Roman" w:cs="Times New Roman"/>
          <w:i/>
          <w:iCs/>
          <w:sz w:val="28"/>
          <w:szCs w:val="28"/>
        </w:rPr>
        <w:t xml:space="preserve">. </w:t>
      </w:r>
    </w:p>
    <w:p w14:paraId="7480D69C" w14:textId="338E598F" w:rsidR="00205E5D" w:rsidRDefault="00D03BF1" w:rsidP="001B5E24">
      <w:pPr>
        <w:tabs>
          <w:tab w:val="left" w:pos="8364"/>
        </w:tabs>
        <w:spacing w:after="0"/>
        <w:jc w:val="both"/>
        <w:rPr>
          <w:rFonts w:ascii="Times New Roman" w:hAnsi="Times New Roman" w:cs="Times New Roman"/>
          <w:sz w:val="28"/>
          <w:szCs w:val="28"/>
        </w:rPr>
      </w:pPr>
      <w:r w:rsidRPr="00D03BF1">
        <w:rPr>
          <w:rFonts w:ascii="Times New Roman" w:hAnsi="Times New Roman" w:cs="Times New Roman"/>
          <w:sz w:val="28"/>
          <w:szCs w:val="28"/>
        </w:rPr>
        <w:t xml:space="preserve">Tale dichiarazione </w:t>
      </w:r>
      <w:r>
        <w:rPr>
          <w:rFonts w:ascii="Times New Roman" w:hAnsi="Times New Roman" w:cs="Times New Roman"/>
          <w:sz w:val="28"/>
          <w:szCs w:val="28"/>
        </w:rPr>
        <w:t>suscita un’inquietudine di fondo, poiché il c</w:t>
      </w:r>
      <w:r w:rsidR="00F61F2D">
        <w:rPr>
          <w:rFonts w:ascii="Times New Roman" w:hAnsi="Times New Roman" w:cs="Times New Roman"/>
          <w:sz w:val="28"/>
          <w:szCs w:val="28"/>
        </w:rPr>
        <w:t>.</w:t>
      </w:r>
      <w:r>
        <w:rPr>
          <w:rFonts w:ascii="Times New Roman" w:hAnsi="Times New Roman" w:cs="Times New Roman"/>
          <w:sz w:val="28"/>
          <w:szCs w:val="28"/>
        </w:rPr>
        <w:t>d</w:t>
      </w:r>
      <w:r w:rsidR="00F61F2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D03BF1">
        <w:rPr>
          <w:rFonts w:ascii="Times New Roman" w:hAnsi="Times New Roman" w:cs="Times New Roman"/>
          <w:i/>
          <w:iCs/>
          <w:sz w:val="28"/>
          <w:szCs w:val="28"/>
        </w:rPr>
        <w:t>transumanesimo</w:t>
      </w:r>
      <w:proofErr w:type="spellEnd"/>
      <w:r w:rsidR="00F61F2D">
        <w:rPr>
          <w:rFonts w:ascii="Times New Roman" w:hAnsi="Times New Roman" w:cs="Times New Roman"/>
          <w:i/>
          <w:iCs/>
          <w:sz w:val="28"/>
          <w:szCs w:val="28"/>
        </w:rPr>
        <w:t>,</w:t>
      </w:r>
      <w:r>
        <w:rPr>
          <w:rFonts w:ascii="Times New Roman" w:hAnsi="Times New Roman" w:cs="Times New Roman"/>
          <w:sz w:val="28"/>
          <w:szCs w:val="28"/>
        </w:rPr>
        <w:t xml:space="preserve"> che sembrava un’idea futuristica</w:t>
      </w:r>
      <w:r w:rsidR="00F61F2D">
        <w:rPr>
          <w:rFonts w:ascii="Times New Roman" w:hAnsi="Times New Roman" w:cs="Times New Roman"/>
          <w:sz w:val="28"/>
          <w:szCs w:val="28"/>
        </w:rPr>
        <w:t>,</w:t>
      </w:r>
      <w:r>
        <w:rPr>
          <w:rFonts w:ascii="Times New Roman" w:hAnsi="Times New Roman" w:cs="Times New Roman"/>
          <w:sz w:val="28"/>
          <w:szCs w:val="28"/>
        </w:rPr>
        <w:t xml:space="preserve"> appare un’idea molto vicina alla sua concreta realizzazione. Gran parte dei seguaci del </w:t>
      </w:r>
      <w:proofErr w:type="spellStart"/>
      <w:r>
        <w:rPr>
          <w:rFonts w:ascii="Times New Roman" w:hAnsi="Times New Roman" w:cs="Times New Roman"/>
          <w:sz w:val="28"/>
          <w:szCs w:val="28"/>
        </w:rPr>
        <w:t>transumanesimo</w:t>
      </w:r>
      <w:proofErr w:type="spellEnd"/>
      <w:r>
        <w:rPr>
          <w:rFonts w:ascii="Times New Roman" w:hAnsi="Times New Roman" w:cs="Times New Roman"/>
          <w:sz w:val="28"/>
          <w:szCs w:val="28"/>
        </w:rPr>
        <w:t xml:space="preserve"> vive nella </w:t>
      </w:r>
      <w:proofErr w:type="spellStart"/>
      <w:r>
        <w:rPr>
          <w:rFonts w:ascii="Times New Roman" w:hAnsi="Times New Roman" w:cs="Times New Roman"/>
          <w:sz w:val="28"/>
          <w:szCs w:val="28"/>
        </w:rPr>
        <w:t>Silicon</w:t>
      </w:r>
      <w:proofErr w:type="spellEnd"/>
      <w:r>
        <w:rPr>
          <w:rFonts w:ascii="Times New Roman" w:hAnsi="Times New Roman" w:cs="Times New Roman"/>
          <w:sz w:val="28"/>
          <w:szCs w:val="28"/>
        </w:rPr>
        <w:t xml:space="preserve"> Valley e molti di loro hanno ruoli ai vertici di quelle aziende che stanno investendo su tecnologia web e genetica.</w:t>
      </w:r>
    </w:p>
    <w:p w14:paraId="7A2EB161" w14:textId="237DB1A0" w:rsidR="00D03BF1" w:rsidRDefault="00D03BF1" w:rsidP="001B5E24">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Emblematiche sono state le parole pronunciate da </w:t>
      </w:r>
      <w:r w:rsidRPr="001B5E24">
        <w:rPr>
          <w:rFonts w:ascii="Times New Roman" w:hAnsi="Times New Roman" w:cs="Times New Roman"/>
          <w:i/>
          <w:iCs/>
          <w:sz w:val="28"/>
          <w:szCs w:val="28"/>
        </w:rPr>
        <w:t xml:space="preserve">Klaus </w:t>
      </w:r>
      <w:proofErr w:type="spellStart"/>
      <w:r w:rsidRPr="001B5E24">
        <w:rPr>
          <w:rFonts w:ascii="Times New Roman" w:hAnsi="Times New Roman" w:cs="Times New Roman"/>
          <w:i/>
          <w:iCs/>
          <w:sz w:val="28"/>
          <w:szCs w:val="28"/>
        </w:rPr>
        <w:t>Schwab</w:t>
      </w:r>
      <w:proofErr w:type="spellEnd"/>
      <w:r w:rsidRPr="00F61F2D">
        <w:rPr>
          <w:rFonts w:ascii="Times New Roman" w:hAnsi="Times New Roman" w:cs="Times New Roman"/>
          <w:sz w:val="28"/>
          <w:szCs w:val="28"/>
        </w:rPr>
        <w:t>,</w:t>
      </w:r>
      <w:r>
        <w:rPr>
          <w:rFonts w:ascii="Times New Roman" w:hAnsi="Times New Roman" w:cs="Times New Roman"/>
          <w:b/>
          <w:bCs/>
          <w:sz w:val="28"/>
          <w:szCs w:val="28"/>
        </w:rPr>
        <w:t xml:space="preserve"> </w:t>
      </w:r>
      <w:r w:rsidRPr="00D03BF1">
        <w:rPr>
          <w:rFonts w:ascii="Times New Roman" w:hAnsi="Times New Roman" w:cs="Times New Roman"/>
          <w:sz w:val="28"/>
          <w:szCs w:val="28"/>
        </w:rPr>
        <w:t xml:space="preserve">direttore del </w:t>
      </w:r>
      <w:r w:rsidRPr="001B5E24">
        <w:rPr>
          <w:rFonts w:ascii="Times New Roman" w:hAnsi="Times New Roman" w:cs="Times New Roman"/>
          <w:i/>
          <w:iCs/>
          <w:sz w:val="28"/>
          <w:szCs w:val="28"/>
        </w:rPr>
        <w:t xml:space="preserve">World </w:t>
      </w:r>
      <w:proofErr w:type="spellStart"/>
      <w:r w:rsidRPr="001B5E24">
        <w:rPr>
          <w:rFonts w:ascii="Times New Roman" w:hAnsi="Times New Roman" w:cs="Times New Roman"/>
          <w:i/>
          <w:iCs/>
          <w:sz w:val="28"/>
          <w:szCs w:val="28"/>
        </w:rPr>
        <w:t>Economic</w:t>
      </w:r>
      <w:proofErr w:type="spellEnd"/>
      <w:r w:rsidRPr="001B5E24">
        <w:rPr>
          <w:rFonts w:ascii="Times New Roman" w:hAnsi="Times New Roman" w:cs="Times New Roman"/>
          <w:i/>
          <w:iCs/>
          <w:sz w:val="28"/>
          <w:szCs w:val="28"/>
        </w:rPr>
        <w:t xml:space="preserve"> Forum</w:t>
      </w:r>
      <w:r w:rsidRPr="00D03BF1">
        <w:rPr>
          <w:rFonts w:ascii="Times New Roman" w:hAnsi="Times New Roman" w:cs="Times New Roman"/>
          <w:sz w:val="28"/>
          <w:szCs w:val="28"/>
        </w:rPr>
        <w:t xml:space="preserve"> </w:t>
      </w:r>
      <w:r>
        <w:rPr>
          <w:rFonts w:ascii="Times New Roman" w:hAnsi="Times New Roman" w:cs="Times New Roman"/>
          <w:sz w:val="28"/>
          <w:szCs w:val="28"/>
        </w:rPr>
        <w:t>e promotore del Grande Reset:</w:t>
      </w:r>
      <w:r w:rsidR="00006CC0">
        <w:rPr>
          <w:rFonts w:ascii="Times New Roman" w:hAnsi="Times New Roman" w:cs="Times New Roman"/>
          <w:sz w:val="28"/>
          <w:szCs w:val="28"/>
        </w:rPr>
        <w:t xml:space="preserve"> </w:t>
      </w:r>
      <w:r w:rsidR="00F61F2D">
        <w:rPr>
          <w:rFonts w:ascii="Times New Roman" w:hAnsi="Times New Roman" w:cs="Times New Roman"/>
          <w:sz w:val="28"/>
          <w:szCs w:val="28"/>
        </w:rPr>
        <w:t>«</w:t>
      </w:r>
      <w:r w:rsidRPr="00D03BF1">
        <w:rPr>
          <w:rFonts w:ascii="Times New Roman" w:hAnsi="Times New Roman" w:cs="Times New Roman"/>
          <w:i/>
          <w:iCs/>
          <w:sz w:val="28"/>
          <w:szCs w:val="28"/>
        </w:rPr>
        <w:t xml:space="preserve">La differenza di </w:t>
      </w:r>
      <w:r>
        <w:rPr>
          <w:rFonts w:ascii="Times New Roman" w:hAnsi="Times New Roman" w:cs="Times New Roman"/>
          <w:i/>
          <w:iCs/>
          <w:sz w:val="28"/>
          <w:szCs w:val="28"/>
        </w:rPr>
        <w:t>questa quarta rivoluzione industriale è che non cambia ciò che fai, ma cambia te stesso, cambia ciò che intendiamo come umano</w:t>
      </w:r>
      <w:r w:rsidR="00F61F2D">
        <w:rPr>
          <w:rFonts w:ascii="Times New Roman" w:hAnsi="Times New Roman" w:cs="Times New Roman"/>
          <w:i/>
          <w:iCs/>
          <w:sz w:val="28"/>
          <w:szCs w:val="28"/>
        </w:rPr>
        <w:t>».</w:t>
      </w:r>
    </w:p>
    <w:p w14:paraId="47A50428" w14:textId="77777777" w:rsidR="00A600DD" w:rsidRDefault="00E96841" w:rsidP="00A600DD">
      <w:pPr>
        <w:tabs>
          <w:tab w:val="left" w:pos="8364"/>
        </w:tabs>
        <w:spacing w:after="0"/>
        <w:jc w:val="both"/>
        <w:rPr>
          <w:rFonts w:ascii="Times New Roman" w:hAnsi="Times New Roman" w:cs="Times New Roman"/>
          <w:sz w:val="28"/>
          <w:szCs w:val="28"/>
        </w:rPr>
      </w:pPr>
      <w:r w:rsidRPr="00E96841">
        <w:rPr>
          <w:rFonts w:ascii="Times New Roman" w:hAnsi="Times New Roman" w:cs="Times New Roman"/>
          <w:sz w:val="28"/>
          <w:szCs w:val="28"/>
        </w:rPr>
        <w:t xml:space="preserve">Siamo ben oltre </w:t>
      </w:r>
      <w:r>
        <w:rPr>
          <w:rFonts w:ascii="Times New Roman" w:hAnsi="Times New Roman" w:cs="Times New Roman"/>
          <w:sz w:val="28"/>
          <w:szCs w:val="28"/>
        </w:rPr>
        <w:t>l’esaltazione della tecnologia che fu il pensiero dominante del futurismo all’inizio del ventesimo secolo: si ricorderà come Ungaretti esaltasse la macchina come strumento di progresso. La stessa parola cibernetica deriva dal greco “</w:t>
      </w:r>
      <w:proofErr w:type="spellStart"/>
      <w:r w:rsidRPr="00E96841">
        <w:rPr>
          <w:rFonts w:ascii="Times New Roman" w:hAnsi="Times New Roman" w:cs="Times New Roman"/>
          <w:i/>
          <w:iCs/>
          <w:sz w:val="28"/>
          <w:szCs w:val="28"/>
        </w:rPr>
        <w:t>kybernetike</w:t>
      </w:r>
      <w:proofErr w:type="spellEnd"/>
      <w:r w:rsidRPr="00E96841">
        <w:rPr>
          <w:rFonts w:ascii="Times New Roman" w:hAnsi="Times New Roman" w:cs="Times New Roman"/>
          <w:i/>
          <w:iCs/>
          <w:sz w:val="28"/>
          <w:szCs w:val="28"/>
        </w:rPr>
        <w:t xml:space="preserve"> </w:t>
      </w:r>
      <w:proofErr w:type="spellStart"/>
      <w:r w:rsidRPr="00E96841">
        <w:rPr>
          <w:rFonts w:ascii="Times New Roman" w:hAnsi="Times New Roman" w:cs="Times New Roman"/>
          <w:i/>
          <w:iCs/>
          <w:sz w:val="28"/>
          <w:szCs w:val="28"/>
        </w:rPr>
        <w:t>teckhne</w:t>
      </w:r>
      <w:proofErr w:type="spellEnd"/>
      <w:r w:rsidRPr="00006CC0">
        <w:rPr>
          <w:rFonts w:ascii="Times New Roman" w:hAnsi="Times New Roman" w:cs="Times New Roman"/>
          <w:sz w:val="28"/>
          <w:szCs w:val="28"/>
        </w:rPr>
        <w:t>”</w:t>
      </w:r>
      <w:r w:rsidR="00006CC0">
        <w:rPr>
          <w:rFonts w:ascii="Times New Roman" w:hAnsi="Times New Roman" w:cs="Times New Roman"/>
          <w:i/>
          <w:iCs/>
          <w:sz w:val="28"/>
          <w:szCs w:val="28"/>
        </w:rPr>
        <w:t xml:space="preserve"> </w:t>
      </w:r>
      <w:r w:rsidRPr="00E96841">
        <w:rPr>
          <w:rFonts w:ascii="Times New Roman" w:hAnsi="Times New Roman" w:cs="Times New Roman"/>
          <w:sz w:val="28"/>
          <w:szCs w:val="28"/>
        </w:rPr>
        <w:t xml:space="preserve">che </w:t>
      </w:r>
      <w:r>
        <w:rPr>
          <w:rFonts w:ascii="Times New Roman" w:hAnsi="Times New Roman" w:cs="Times New Roman"/>
          <w:sz w:val="28"/>
          <w:szCs w:val="28"/>
        </w:rPr>
        <w:t>significa “</w:t>
      </w:r>
      <w:r w:rsidRPr="00FF4745">
        <w:rPr>
          <w:rFonts w:ascii="Times New Roman" w:hAnsi="Times New Roman" w:cs="Times New Roman"/>
          <w:i/>
          <w:iCs/>
          <w:sz w:val="28"/>
          <w:szCs w:val="28"/>
        </w:rPr>
        <w:t>arte del pilota o del timoniere</w:t>
      </w:r>
      <w:r w:rsidRPr="00F61F2D">
        <w:rPr>
          <w:rFonts w:ascii="Times New Roman" w:hAnsi="Times New Roman" w:cs="Times New Roman"/>
          <w:sz w:val="28"/>
          <w:szCs w:val="28"/>
        </w:rPr>
        <w:t xml:space="preserve">”. </w:t>
      </w:r>
      <w:r>
        <w:rPr>
          <w:rFonts w:ascii="Times New Roman" w:hAnsi="Times New Roman" w:cs="Times New Roman"/>
          <w:sz w:val="28"/>
          <w:szCs w:val="28"/>
        </w:rPr>
        <w:t xml:space="preserve">L’etimologia della parola ci suscita l’idea di una guida nel progresso della tecnica che deve rinvenirsi nella coscienza umana. </w:t>
      </w:r>
    </w:p>
    <w:p w14:paraId="098F24D2" w14:textId="4CC69ED3" w:rsidR="00A600DD" w:rsidRDefault="00E96841"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Sappiamo che la cibernetica è quel ramo della scienza pura e applicata, che si prefigge lo studio e la realizzazione di dispositivi e macchine capaci di simulare le funzioni del cervello umano, autoregolandosi per mezzo di segnali di comando e di controllo in circuiti elettrici ed elettronici o in sistemi meccanici</w:t>
      </w:r>
      <w:r w:rsidR="0040569F">
        <w:rPr>
          <w:rStyle w:val="Rimandonotaapidipagina"/>
          <w:rFonts w:ascii="Times New Roman" w:hAnsi="Times New Roman" w:cs="Times New Roman"/>
          <w:sz w:val="28"/>
          <w:szCs w:val="28"/>
        </w:rPr>
        <w:footnoteReference w:id="74"/>
      </w:r>
      <w:r>
        <w:rPr>
          <w:rFonts w:ascii="Times New Roman" w:hAnsi="Times New Roman" w:cs="Times New Roman"/>
          <w:sz w:val="28"/>
          <w:szCs w:val="28"/>
        </w:rPr>
        <w:t>.</w:t>
      </w:r>
      <w:r w:rsidR="00FF4745">
        <w:rPr>
          <w:rFonts w:ascii="Times New Roman" w:hAnsi="Times New Roman" w:cs="Times New Roman"/>
          <w:sz w:val="28"/>
          <w:szCs w:val="28"/>
        </w:rPr>
        <w:t xml:space="preserve"> </w:t>
      </w:r>
    </w:p>
    <w:p w14:paraId="7399FF32" w14:textId="1541205A" w:rsidR="00E96841" w:rsidRPr="00006CC0" w:rsidRDefault="00FF4745" w:rsidP="00A600DD">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lastRenderedPageBreak/>
        <w:t>Ma oggi siamo in presenza di algoritmi che incidono sul processo decisionale dell’uomo</w:t>
      </w:r>
      <w:r w:rsidR="00A600DD">
        <w:rPr>
          <w:rFonts w:ascii="Times New Roman" w:hAnsi="Times New Roman" w:cs="Times New Roman"/>
          <w:sz w:val="28"/>
          <w:szCs w:val="28"/>
        </w:rPr>
        <w:t>,</w:t>
      </w:r>
      <w:r>
        <w:rPr>
          <w:rFonts w:ascii="Times New Roman" w:hAnsi="Times New Roman" w:cs="Times New Roman"/>
          <w:sz w:val="28"/>
          <w:szCs w:val="28"/>
        </w:rPr>
        <w:t xml:space="preserve"> mettendo in discussione gli stessi principi di libertà e democrazia di un paese. La par</w:t>
      </w:r>
      <w:r w:rsidR="00A600DD">
        <w:rPr>
          <w:rFonts w:ascii="Times New Roman" w:hAnsi="Times New Roman" w:cs="Times New Roman"/>
          <w:sz w:val="28"/>
          <w:szCs w:val="28"/>
        </w:rPr>
        <w:t>o</w:t>
      </w:r>
      <w:r>
        <w:rPr>
          <w:rFonts w:ascii="Times New Roman" w:hAnsi="Times New Roman" w:cs="Times New Roman"/>
          <w:sz w:val="28"/>
          <w:szCs w:val="28"/>
        </w:rPr>
        <w:t xml:space="preserve">la algoritmo deriva dal nome del matematico arabo </w:t>
      </w:r>
      <w:r w:rsidRPr="00FF4745">
        <w:rPr>
          <w:rFonts w:ascii="Times New Roman" w:hAnsi="Times New Roman" w:cs="Times New Roman"/>
          <w:i/>
          <w:iCs/>
          <w:sz w:val="28"/>
          <w:szCs w:val="28"/>
        </w:rPr>
        <w:t>al-</w:t>
      </w:r>
      <w:proofErr w:type="spellStart"/>
      <w:r w:rsidRPr="00FF4745">
        <w:rPr>
          <w:rFonts w:ascii="Times New Roman" w:hAnsi="Times New Roman" w:cs="Times New Roman"/>
          <w:i/>
          <w:iCs/>
          <w:sz w:val="28"/>
          <w:szCs w:val="28"/>
        </w:rPr>
        <w:t>Khuwarizmi</w:t>
      </w:r>
      <w:proofErr w:type="spellEnd"/>
      <w:r>
        <w:rPr>
          <w:rFonts w:ascii="Times New Roman" w:hAnsi="Times New Roman" w:cs="Times New Roman"/>
          <w:sz w:val="28"/>
          <w:szCs w:val="28"/>
        </w:rPr>
        <w:t>, importante matematico arabo del nono secolo.</w:t>
      </w:r>
    </w:p>
    <w:p w14:paraId="1D2B4447" w14:textId="77777777" w:rsidR="00A600DD" w:rsidRDefault="00FF4745" w:rsidP="00A600DD">
      <w:pPr>
        <w:tabs>
          <w:tab w:val="left" w:pos="8364"/>
        </w:tabs>
        <w:spacing w:after="0"/>
        <w:jc w:val="both"/>
        <w:rPr>
          <w:rFonts w:ascii="Times New Roman" w:hAnsi="Times New Roman" w:cs="Times New Roman"/>
          <w:sz w:val="28"/>
          <w:szCs w:val="28"/>
        </w:rPr>
      </w:pPr>
      <w:r w:rsidRPr="00F61F2D">
        <w:rPr>
          <w:rFonts w:ascii="Times New Roman" w:hAnsi="Times New Roman" w:cs="Times New Roman"/>
          <w:i/>
          <w:iCs/>
          <w:sz w:val="28"/>
          <w:szCs w:val="28"/>
        </w:rPr>
        <w:t>Al-</w:t>
      </w:r>
      <w:proofErr w:type="spellStart"/>
      <w:r w:rsidRPr="00F61F2D">
        <w:rPr>
          <w:rFonts w:ascii="Times New Roman" w:hAnsi="Times New Roman" w:cs="Times New Roman"/>
          <w:i/>
          <w:iCs/>
          <w:sz w:val="28"/>
          <w:szCs w:val="28"/>
        </w:rPr>
        <w:t>Khwarizmi</w:t>
      </w:r>
      <w:proofErr w:type="spellEnd"/>
      <w:r>
        <w:rPr>
          <w:rFonts w:ascii="Times New Roman" w:hAnsi="Times New Roman" w:cs="Times New Roman"/>
          <w:sz w:val="28"/>
          <w:szCs w:val="28"/>
        </w:rPr>
        <w:t xml:space="preserve"> è famoso per averci insegnato i c</w:t>
      </w:r>
      <w:r w:rsidR="00A600DD">
        <w:rPr>
          <w:rFonts w:ascii="Times New Roman" w:hAnsi="Times New Roman" w:cs="Times New Roman"/>
          <w:sz w:val="28"/>
          <w:szCs w:val="28"/>
        </w:rPr>
        <w:t>.</w:t>
      </w:r>
      <w:r>
        <w:rPr>
          <w:rFonts w:ascii="Times New Roman" w:hAnsi="Times New Roman" w:cs="Times New Roman"/>
          <w:sz w:val="28"/>
          <w:szCs w:val="28"/>
        </w:rPr>
        <w:t>d</w:t>
      </w:r>
      <w:r w:rsidR="00A600DD">
        <w:rPr>
          <w:rFonts w:ascii="Times New Roman" w:hAnsi="Times New Roman" w:cs="Times New Roman"/>
          <w:sz w:val="28"/>
          <w:szCs w:val="28"/>
        </w:rPr>
        <w:t>.</w:t>
      </w:r>
      <w:r>
        <w:rPr>
          <w:rFonts w:ascii="Times New Roman" w:hAnsi="Times New Roman" w:cs="Times New Roman"/>
          <w:sz w:val="28"/>
          <w:szCs w:val="28"/>
        </w:rPr>
        <w:t xml:space="preserve"> numeri arabi: la sua opera “</w:t>
      </w:r>
      <w:r w:rsidRPr="00FF4745">
        <w:rPr>
          <w:rFonts w:ascii="Times New Roman" w:hAnsi="Times New Roman" w:cs="Times New Roman"/>
          <w:i/>
          <w:iCs/>
          <w:sz w:val="28"/>
          <w:szCs w:val="28"/>
        </w:rPr>
        <w:t>Libro di Al-</w:t>
      </w:r>
      <w:proofErr w:type="spellStart"/>
      <w:r w:rsidRPr="00FF4745">
        <w:rPr>
          <w:rFonts w:ascii="Times New Roman" w:hAnsi="Times New Roman" w:cs="Times New Roman"/>
          <w:i/>
          <w:iCs/>
          <w:sz w:val="28"/>
          <w:szCs w:val="28"/>
        </w:rPr>
        <w:t>Khwarizmi</w:t>
      </w:r>
      <w:proofErr w:type="spellEnd"/>
      <w:r w:rsidRPr="00FF4745">
        <w:rPr>
          <w:rFonts w:ascii="Times New Roman" w:hAnsi="Times New Roman" w:cs="Times New Roman"/>
          <w:i/>
          <w:iCs/>
          <w:sz w:val="28"/>
          <w:szCs w:val="28"/>
        </w:rPr>
        <w:t xml:space="preserve"> sui numeri indiani</w:t>
      </w:r>
      <w:r>
        <w:rPr>
          <w:rFonts w:ascii="Times New Roman" w:hAnsi="Times New Roman" w:cs="Times New Roman"/>
          <w:i/>
          <w:iCs/>
          <w:sz w:val="28"/>
          <w:szCs w:val="28"/>
        </w:rPr>
        <w:t>”</w:t>
      </w:r>
      <w:r w:rsidR="00006CC0">
        <w:rPr>
          <w:rFonts w:ascii="Times New Roman" w:hAnsi="Times New Roman" w:cs="Times New Roman"/>
          <w:i/>
          <w:iCs/>
          <w:sz w:val="28"/>
          <w:szCs w:val="28"/>
        </w:rPr>
        <w:t xml:space="preserve"> </w:t>
      </w:r>
      <w:r w:rsidRPr="00FF4745">
        <w:rPr>
          <w:rFonts w:ascii="Times New Roman" w:hAnsi="Times New Roman" w:cs="Times New Roman"/>
          <w:sz w:val="28"/>
          <w:szCs w:val="28"/>
        </w:rPr>
        <w:t xml:space="preserve">fu </w:t>
      </w:r>
      <w:r>
        <w:rPr>
          <w:rFonts w:ascii="Times New Roman" w:hAnsi="Times New Roman" w:cs="Times New Roman"/>
          <w:sz w:val="28"/>
          <w:szCs w:val="28"/>
        </w:rPr>
        <w:t>tradotta in latino come “</w:t>
      </w:r>
      <w:r w:rsidRPr="00FF4745">
        <w:rPr>
          <w:rFonts w:ascii="Times New Roman" w:hAnsi="Times New Roman" w:cs="Times New Roman"/>
          <w:i/>
          <w:iCs/>
          <w:sz w:val="28"/>
          <w:szCs w:val="28"/>
        </w:rPr>
        <w:t xml:space="preserve">Algoritmi de numero </w:t>
      </w:r>
      <w:proofErr w:type="spellStart"/>
      <w:r w:rsidRPr="00FF4745">
        <w:rPr>
          <w:rFonts w:ascii="Times New Roman" w:hAnsi="Times New Roman" w:cs="Times New Roman"/>
          <w:i/>
          <w:iCs/>
          <w:sz w:val="28"/>
          <w:szCs w:val="28"/>
        </w:rPr>
        <w:t>indorum</w:t>
      </w:r>
      <w:proofErr w:type="spellEnd"/>
      <w:r w:rsidR="00006CC0">
        <w:rPr>
          <w:rFonts w:ascii="Times New Roman" w:hAnsi="Times New Roman" w:cs="Times New Roman"/>
          <w:sz w:val="28"/>
          <w:szCs w:val="28"/>
        </w:rPr>
        <w:t>”</w:t>
      </w:r>
      <w:r>
        <w:rPr>
          <w:rFonts w:ascii="Times New Roman" w:hAnsi="Times New Roman" w:cs="Times New Roman"/>
          <w:i/>
          <w:iCs/>
          <w:sz w:val="28"/>
          <w:szCs w:val="28"/>
        </w:rPr>
        <w:t>.</w:t>
      </w:r>
      <w:r>
        <w:rPr>
          <w:rFonts w:ascii="Times New Roman" w:hAnsi="Times New Roman" w:cs="Times New Roman"/>
          <w:sz w:val="28"/>
          <w:szCs w:val="28"/>
        </w:rPr>
        <w:t xml:space="preserve"> Fu su questo libro che l’Europa intera imparò ad usare il sistema di notazione decimale posizionale. </w:t>
      </w:r>
    </w:p>
    <w:p w14:paraId="25A68D72" w14:textId="77777777" w:rsidR="00A600DD" w:rsidRDefault="00FF4745"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Le procedure che permett</w:t>
      </w:r>
      <w:r w:rsidR="009F5C72">
        <w:rPr>
          <w:rFonts w:ascii="Times New Roman" w:hAnsi="Times New Roman" w:cs="Times New Roman"/>
          <w:sz w:val="28"/>
          <w:szCs w:val="28"/>
        </w:rPr>
        <w:t>e</w:t>
      </w:r>
      <w:r>
        <w:rPr>
          <w:rFonts w:ascii="Times New Roman" w:hAnsi="Times New Roman" w:cs="Times New Roman"/>
          <w:sz w:val="28"/>
          <w:szCs w:val="28"/>
        </w:rPr>
        <w:t xml:space="preserve">vano di effettuare calcoli in notazioni decimale </w:t>
      </w:r>
      <w:r w:rsidR="00006CC0">
        <w:rPr>
          <w:rFonts w:ascii="Times New Roman" w:hAnsi="Times New Roman" w:cs="Times New Roman"/>
          <w:sz w:val="28"/>
          <w:szCs w:val="28"/>
        </w:rPr>
        <w:t>divennero così</w:t>
      </w:r>
      <w:r>
        <w:rPr>
          <w:rFonts w:ascii="Times New Roman" w:hAnsi="Times New Roman" w:cs="Times New Roman"/>
          <w:sz w:val="28"/>
          <w:szCs w:val="28"/>
        </w:rPr>
        <w:t xml:space="preserve"> note come “Algorismi” o “Algoritmi” e più tardi lo stesso termine fu applicato</w:t>
      </w:r>
      <w:r w:rsidR="001D08DF">
        <w:rPr>
          <w:rFonts w:ascii="Times New Roman" w:hAnsi="Times New Roman" w:cs="Times New Roman"/>
          <w:sz w:val="28"/>
          <w:szCs w:val="28"/>
        </w:rPr>
        <w:t xml:space="preserve"> in generale alle procedure di calcolo necessarie per ottenere un determinato risul</w:t>
      </w:r>
      <w:r w:rsidR="009F5C72">
        <w:rPr>
          <w:rFonts w:ascii="Times New Roman" w:hAnsi="Times New Roman" w:cs="Times New Roman"/>
          <w:sz w:val="28"/>
          <w:szCs w:val="28"/>
        </w:rPr>
        <w:t>t</w:t>
      </w:r>
      <w:r w:rsidR="001D08DF">
        <w:rPr>
          <w:rFonts w:ascii="Times New Roman" w:hAnsi="Times New Roman" w:cs="Times New Roman"/>
          <w:sz w:val="28"/>
          <w:szCs w:val="28"/>
        </w:rPr>
        <w:t>ato.</w:t>
      </w:r>
      <w:r w:rsidR="009F5C72">
        <w:rPr>
          <w:rFonts w:ascii="Times New Roman" w:hAnsi="Times New Roman" w:cs="Times New Roman"/>
          <w:sz w:val="28"/>
          <w:szCs w:val="28"/>
        </w:rPr>
        <w:t xml:space="preserve"> Oggi l’algoritmo è entrato nella dimensione digitale assumendo una forza intrusiva e pervasiva nella vita degli </w:t>
      </w:r>
      <w:r w:rsidR="00006CC0">
        <w:rPr>
          <w:rFonts w:ascii="Times New Roman" w:hAnsi="Times New Roman" w:cs="Times New Roman"/>
          <w:sz w:val="28"/>
          <w:szCs w:val="28"/>
        </w:rPr>
        <w:t>uomini che</w:t>
      </w:r>
      <w:r w:rsidR="009F5C72">
        <w:rPr>
          <w:rFonts w:ascii="Times New Roman" w:hAnsi="Times New Roman" w:cs="Times New Roman"/>
          <w:sz w:val="28"/>
          <w:szCs w:val="28"/>
        </w:rPr>
        <w:t xml:space="preserve"> certamente il matematico arabo </w:t>
      </w:r>
      <w:r w:rsidR="009F5C72" w:rsidRPr="00F61F2D">
        <w:rPr>
          <w:rFonts w:ascii="Times New Roman" w:hAnsi="Times New Roman" w:cs="Times New Roman"/>
          <w:i/>
          <w:iCs/>
          <w:sz w:val="28"/>
          <w:szCs w:val="28"/>
        </w:rPr>
        <w:t>A</w:t>
      </w:r>
      <w:r w:rsidR="00F61F2D">
        <w:rPr>
          <w:rFonts w:ascii="Times New Roman" w:hAnsi="Times New Roman" w:cs="Times New Roman"/>
          <w:i/>
          <w:iCs/>
          <w:sz w:val="28"/>
          <w:szCs w:val="28"/>
        </w:rPr>
        <w:t>l</w:t>
      </w:r>
      <w:r w:rsidR="009F5C72" w:rsidRPr="00F61F2D">
        <w:rPr>
          <w:rFonts w:ascii="Times New Roman" w:hAnsi="Times New Roman" w:cs="Times New Roman"/>
          <w:i/>
          <w:iCs/>
          <w:sz w:val="28"/>
          <w:szCs w:val="28"/>
        </w:rPr>
        <w:t>-</w:t>
      </w:r>
      <w:proofErr w:type="spellStart"/>
      <w:r w:rsidR="009F5C72" w:rsidRPr="00F61F2D">
        <w:rPr>
          <w:rFonts w:ascii="Times New Roman" w:hAnsi="Times New Roman" w:cs="Times New Roman"/>
          <w:i/>
          <w:iCs/>
          <w:sz w:val="28"/>
          <w:szCs w:val="28"/>
        </w:rPr>
        <w:t>khwarizmi</w:t>
      </w:r>
      <w:proofErr w:type="spellEnd"/>
      <w:r w:rsidR="009F5C72">
        <w:rPr>
          <w:rFonts w:ascii="Times New Roman" w:hAnsi="Times New Roman" w:cs="Times New Roman"/>
          <w:sz w:val="28"/>
          <w:szCs w:val="28"/>
        </w:rPr>
        <w:t xml:space="preserve"> non </w:t>
      </w:r>
      <w:r w:rsidR="009F5C72" w:rsidRPr="00A600DD">
        <w:rPr>
          <w:rFonts w:ascii="Times New Roman" w:hAnsi="Times New Roman" w:cs="Times New Roman"/>
          <w:sz w:val="28"/>
          <w:szCs w:val="28"/>
        </w:rPr>
        <w:t>poteva</w:t>
      </w:r>
      <w:r w:rsidR="00A600DD">
        <w:rPr>
          <w:rFonts w:ascii="Times New Roman" w:hAnsi="Times New Roman" w:cs="Times New Roman"/>
          <w:sz w:val="28"/>
          <w:szCs w:val="28"/>
        </w:rPr>
        <w:t xml:space="preserve"> </w:t>
      </w:r>
      <w:r w:rsidR="009F5C72">
        <w:rPr>
          <w:rFonts w:ascii="Times New Roman" w:hAnsi="Times New Roman" w:cs="Times New Roman"/>
          <w:sz w:val="28"/>
          <w:szCs w:val="28"/>
        </w:rPr>
        <w:t xml:space="preserve">immaginare. </w:t>
      </w:r>
    </w:p>
    <w:p w14:paraId="1B2C46E1" w14:textId="77777777" w:rsidR="00A600DD" w:rsidRDefault="009F5C72"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Tale forza pervasiva pone la necessità di un dialogo tra la matematica e la regola </w:t>
      </w:r>
      <w:r w:rsidR="00006CC0">
        <w:rPr>
          <w:rFonts w:ascii="Times New Roman" w:hAnsi="Times New Roman" w:cs="Times New Roman"/>
          <w:sz w:val="28"/>
          <w:szCs w:val="28"/>
        </w:rPr>
        <w:t>giuridica,</w:t>
      </w:r>
      <w:r>
        <w:rPr>
          <w:rFonts w:ascii="Times New Roman" w:hAnsi="Times New Roman" w:cs="Times New Roman"/>
          <w:sz w:val="28"/>
          <w:szCs w:val="28"/>
        </w:rPr>
        <w:t xml:space="preserve"> </w:t>
      </w:r>
      <w:r w:rsidR="00006CC0">
        <w:rPr>
          <w:rFonts w:ascii="Times New Roman" w:hAnsi="Times New Roman" w:cs="Times New Roman"/>
          <w:sz w:val="28"/>
          <w:szCs w:val="28"/>
        </w:rPr>
        <w:t>affinché</w:t>
      </w:r>
      <w:r>
        <w:rPr>
          <w:rFonts w:ascii="Times New Roman" w:hAnsi="Times New Roman" w:cs="Times New Roman"/>
          <w:sz w:val="28"/>
          <w:szCs w:val="28"/>
        </w:rPr>
        <w:t xml:space="preserve"> si colgano le necessarie interrelazioni tra la scienza applicata e il diritto. </w:t>
      </w:r>
    </w:p>
    <w:p w14:paraId="339B2C0F" w14:textId="018D0CAF" w:rsidR="00FF4745" w:rsidRDefault="009F5C72" w:rsidP="00A600DD">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Si ricorderà la nota frase di </w:t>
      </w:r>
      <w:proofErr w:type="spellStart"/>
      <w:r>
        <w:rPr>
          <w:rFonts w:ascii="Times New Roman" w:hAnsi="Times New Roman" w:cs="Times New Roman"/>
          <w:sz w:val="28"/>
          <w:szCs w:val="28"/>
        </w:rPr>
        <w:t>Calamandrei</w:t>
      </w:r>
      <w:proofErr w:type="spellEnd"/>
      <w:r>
        <w:rPr>
          <w:rFonts w:ascii="Times New Roman" w:hAnsi="Times New Roman" w:cs="Times New Roman"/>
          <w:sz w:val="28"/>
          <w:szCs w:val="28"/>
        </w:rPr>
        <w:t>: “</w:t>
      </w:r>
      <w:r w:rsidRPr="009F5C72">
        <w:rPr>
          <w:rFonts w:ascii="Times New Roman" w:hAnsi="Times New Roman" w:cs="Times New Roman"/>
          <w:i/>
          <w:iCs/>
          <w:sz w:val="28"/>
          <w:szCs w:val="28"/>
        </w:rPr>
        <w:t>Cosa sono le leggi se non</w:t>
      </w:r>
      <w:r w:rsidR="00006CC0">
        <w:rPr>
          <w:rFonts w:ascii="Times New Roman" w:hAnsi="Times New Roman" w:cs="Times New Roman"/>
          <w:i/>
          <w:iCs/>
          <w:sz w:val="28"/>
          <w:szCs w:val="28"/>
        </w:rPr>
        <w:t xml:space="preserve"> </w:t>
      </w:r>
      <w:r w:rsidRPr="009F5C72">
        <w:rPr>
          <w:rFonts w:ascii="Times New Roman" w:hAnsi="Times New Roman" w:cs="Times New Roman"/>
          <w:i/>
          <w:iCs/>
          <w:sz w:val="28"/>
          <w:szCs w:val="28"/>
        </w:rPr>
        <w:t xml:space="preserve">esse stesse, </w:t>
      </w:r>
      <w:r>
        <w:rPr>
          <w:rFonts w:ascii="Times New Roman" w:hAnsi="Times New Roman" w:cs="Times New Roman"/>
          <w:i/>
          <w:iCs/>
          <w:sz w:val="28"/>
          <w:szCs w:val="28"/>
        </w:rPr>
        <w:t>correnti di pensiero?</w:t>
      </w:r>
      <w:r w:rsidR="007B659E">
        <w:rPr>
          <w:rFonts w:ascii="Times New Roman" w:hAnsi="Times New Roman" w:cs="Times New Roman"/>
          <w:i/>
          <w:iCs/>
          <w:sz w:val="28"/>
          <w:szCs w:val="28"/>
        </w:rPr>
        <w:t xml:space="preserve"> </w:t>
      </w:r>
      <w:r>
        <w:rPr>
          <w:rFonts w:ascii="Times New Roman" w:hAnsi="Times New Roman" w:cs="Times New Roman"/>
          <w:i/>
          <w:iCs/>
          <w:sz w:val="28"/>
          <w:szCs w:val="28"/>
        </w:rPr>
        <w:t xml:space="preserve">Le leggi sono vive poiché </w:t>
      </w:r>
      <w:r w:rsidR="007B659E">
        <w:rPr>
          <w:rFonts w:ascii="Times New Roman" w:hAnsi="Times New Roman" w:cs="Times New Roman"/>
          <w:i/>
          <w:iCs/>
          <w:sz w:val="28"/>
          <w:szCs w:val="28"/>
        </w:rPr>
        <w:t>dietro le proposte formule bisogna far circolare il pensiero del nostro tempo, lasciarvi entrare l’aria che respiriamo…Le norme sono figli, mandati per il mondo in cerca di fortuna”.</w:t>
      </w:r>
    </w:p>
    <w:p w14:paraId="21418DC1" w14:textId="08835652" w:rsidR="00A600DD" w:rsidRDefault="007B659E" w:rsidP="00A600DD">
      <w:pPr>
        <w:tabs>
          <w:tab w:val="left" w:pos="8364"/>
        </w:tabs>
        <w:spacing w:after="0"/>
        <w:jc w:val="both"/>
        <w:rPr>
          <w:rFonts w:ascii="Times New Roman" w:hAnsi="Times New Roman" w:cs="Times New Roman"/>
          <w:sz w:val="28"/>
          <w:szCs w:val="28"/>
        </w:rPr>
      </w:pPr>
      <w:r w:rsidRPr="007B659E">
        <w:rPr>
          <w:rFonts w:ascii="Times New Roman" w:hAnsi="Times New Roman" w:cs="Times New Roman"/>
          <w:sz w:val="28"/>
          <w:szCs w:val="28"/>
        </w:rPr>
        <w:t xml:space="preserve">Le leggi </w:t>
      </w:r>
      <w:r>
        <w:rPr>
          <w:rFonts w:ascii="Times New Roman" w:hAnsi="Times New Roman" w:cs="Times New Roman"/>
          <w:sz w:val="28"/>
          <w:szCs w:val="28"/>
        </w:rPr>
        <w:t xml:space="preserve">che devono governare i processi algoritmici devono poggiare su principi solidaristici e personalistici: sotto una prospettiva antropocentrica </w:t>
      </w:r>
      <w:r w:rsidR="00D465F3">
        <w:rPr>
          <w:rFonts w:ascii="Times New Roman" w:hAnsi="Times New Roman" w:cs="Times New Roman"/>
          <w:sz w:val="28"/>
          <w:szCs w:val="28"/>
        </w:rPr>
        <w:t xml:space="preserve">le norme devono </w:t>
      </w:r>
      <w:r>
        <w:rPr>
          <w:rFonts w:ascii="Times New Roman" w:hAnsi="Times New Roman" w:cs="Times New Roman"/>
          <w:sz w:val="28"/>
          <w:szCs w:val="28"/>
        </w:rPr>
        <w:t xml:space="preserve">contenere il principio di trasparenza, di non esclusività, di </w:t>
      </w:r>
      <w:r w:rsidR="00006CC0">
        <w:rPr>
          <w:rFonts w:ascii="Times New Roman" w:hAnsi="Times New Roman" w:cs="Times New Roman"/>
          <w:sz w:val="28"/>
          <w:szCs w:val="28"/>
        </w:rPr>
        <w:t>sindacabilità,</w:t>
      </w:r>
      <w:r>
        <w:rPr>
          <w:rFonts w:ascii="Times New Roman" w:hAnsi="Times New Roman" w:cs="Times New Roman"/>
          <w:sz w:val="28"/>
          <w:szCs w:val="28"/>
        </w:rPr>
        <w:t xml:space="preserve"> di </w:t>
      </w:r>
      <w:proofErr w:type="spellStart"/>
      <w:r w:rsidRPr="007B659E">
        <w:rPr>
          <w:rFonts w:ascii="Times New Roman" w:hAnsi="Times New Roman" w:cs="Times New Roman"/>
          <w:i/>
          <w:iCs/>
          <w:sz w:val="28"/>
          <w:szCs w:val="28"/>
        </w:rPr>
        <w:t>digital</w:t>
      </w:r>
      <w:proofErr w:type="spellEnd"/>
      <w:r w:rsidRPr="007B659E">
        <w:rPr>
          <w:rFonts w:ascii="Times New Roman" w:hAnsi="Times New Roman" w:cs="Times New Roman"/>
          <w:i/>
          <w:iCs/>
          <w:sz w:val="28"/>
          <w:szCs w:val="28"/>
        </w:rPr>
        <w:t xml:space="preserve"> due </w:t>
      </w:r>
      <w:proofErr w:type="spellStart"/>
      <w:r w:rsidRPr="007B659E">
        <w:rPr>
          <w:rFonts w:ascii="Times New Roman" w:hAnsi="Times New Roman" w:cs="Times New Roman"/>
          <w:i/>
          <w:iCs/>
          <w:sz w:val="28"/>
          <w:szCs w:val="28"/>
        </w:rPr>
        <w:t>process</w:t>
      </w:r>
      <w:proofErr w:type="spellEnd"/>
      <w:r>
        <w:rPr>
          <w:rFonts w:ascii="Times New Roman" w:hAnsi="Times New Roman" w:cs="Times New Roman"/>
          <w:i/>
          <w:iCs/>
          <w:sz w:val="28"/>
          <w:szCs w:val="28"/>
        </w:rPr>
        <w:t xml:space="preserve">, </w:t>
      </w:r>
      <w:r w:rsidRPr="007B659E">
        <w:rPr>
          <w:rFonts w:ascii="Times New Roman" w:hAnsi="Times New Roman" w:cs="Times New Roman"/>
          <w:sz w:val="28"/>
          <w:szCs w:val="28"/>
        </w:rPr>
        <w:t>di correttez</w:t>
      </w:r>
      <w:r>
        <w:rPr>
          <w:rFonts w:ascii="Times New Roman" w:hAnsi="Times New Roman" w:cs="Times New Roman"/>
          <w:sz w:val="28"/>
          <w:szCs w:val="28"/>
        </w:rPr>
        <w:t>z</w:t>
      </w:r>
      <w:r w:rsidRPr="007B659E">
        <w:rPr>
          <w:rFonts w:ascii="Times New Roman" w:hAnsi="Times New Roman" w:cs="Times New Roman"/>
          <w:sz w:val="28"/>
          <w:szCs w:val="28"/>
        </w:rPr>
        <w:t>a procedurale del trattamento dei dati</w:t>
      </w:r>
      <w:r>
        <w:rPr>
          <w:rFonts w:ascii="Times New Roman" w:hAnsi="Times New Roman" w:cs="Times New Roman"/>
          <w:sz w:val="28"/>
          <w:szCs w:val="28"/>
        </w:rPr>
        <w:t xml:space="preserve"> nel rispetto della c</w:t>
      </w:r>
      <w:r w:rsidR="00F61F2D">
        <w:rPr>
          <w:rFonts w:ascii="Times New Roman" w:hAnsi="Times New Roman" w:cs="Times New Roman"/>
          <w:sz w:val="28"/>
          <w:szCs w:val="28"/>
        </w:rPr>
        <w:t>.</w:t>
      </w:r>
      <w:r>
        <w:rPr>
          <w:rFonts w:ascii="Times New Roman" w:hAnsi="Times New Roman" w:cs="Times New Roman"/>
          <w:sz w:val="28"/>
          <w:szCs w:val="28"/>
        </w:rPr>
        <w:t>d</w:t>
      </w:r>
      <w:r w:rsidR="00F61F2D">
        <w:rPr>
          <w:rFonts w:ascii="Times New Roman" w:hAnsi="Times New Roman" w:cs="Times New Roman"/>
          <w:sz w:val="28"/>
          <w:szCs w:val="28"/>
        </w:rPr>
        <w:t>.</w:t>
      </w:r>
      <w:r>
        <w:rPr>
          <w:rFonts w:ascii="Times New Roman" w:hAnsi="Times New Roman" w:cs="Times New Roman"/>
          <w:sz w:val="28"/>
          <w:szCs w:val="28"/>
        </w:rPr>
        <w:t xml:space="preserve"> libertà di coscienza dell’uomo</w:t>
      </w:r>
      <w:r w:rsidR="004B42F2">
        <w:rPr>
          <w:rStyle w:val="Rimandonotaapidipagina"/>
          <w:rFonts w:ascii="Times New Roman" w:hAnsi="Times New Roman" w:cs="Times New Roman"/>
          <w:sz w:val="28"/>
          <w:szCs w:val="28"/>
        </w:rPr>
        <w:footnoteReference w:id="75"/>
      </w:r>
      <w:r>
        <w:rPr>
          <w:rFonts w:ascii="Times New Roman" w:hAnsi="Times New Roman" w:cs="Times New Roman"/>
          <w:sz w:val="28"/>
          <w:szCs w:val="28"/>
        </w:rPr>
        <w:t xml:space="preserve">. </w:t>
      </w:r>
    </w:p>
    <w:p w14:paraId="271E0547" w14:textId="77777777" w:rsidR="00A600DD" w:rsidRDefault="007B659E"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I principi di </w:t>
      </w:r>
      <w:proofErr w:type="spellStart"/>
      <w:r w:rsidRPr="00D001D4">
        <w:rPr>
          <w:rFonts w:ascii="Times New Roman" w:hAnsi="Times New Roman" w:cs="Times New Roman"/>
          <w:i/>
          <w:iCs/>
          <w:sz w:val="28"/>
          <w:szCs w:val="28"/>
        </w:rPr>
        <w:t>accountability</w:t>
      </w:r>
      <w:proofErr w:type="spellEnd"/>
      <w:r w:rsidRPr="00D001D4">
        <w:rPr>
          <w:rFonts w:ascii="Times New Roman" w:hAnsi="Times New Roman" w:cs="Times New Roman"/>
          <w:i/>
          <w:iCs/>
          <w:sz w:val="28"/>
          <w:szCs w:val="28"/>
        </w:rPr>
        <w:t xml:space="preserve"> </w:t>
      </w:r>
      <w:r>
        <w:rPr>
          <w:rFonts w:ascii="Times New Roman" w:hAnsi="Times New Roman" w:cs="Times New Roman"/>
          <w:sz w:val="28"/>
          <w:szCs w:val="28"/>
        </w:rPr>
        <w:t xml:space="preserve">e </w:t>
      </w:r>
      <w:r w:rsidR="00D001D4">
        <w:rPr>
          <w:rFonts w:ascii="Times New Roman" w:hAnsi="Times New Roman" w:cs="Times New Roman"/>
          <w:sz w:val="28"/>
          <w:szCs w:val="28"/>
        </w:rPr>
        <w:t xml:space="preserve">di </w:t>
      </w:r>
      <w:r w:rsidR="00D001D4" w:rsidRPr="00D001D4">
        <w:rPr>
          <w:rFonts w:ascii="Times New Roman" w:hAnsi="Times New Roman" w:cs="Times New Roman"/>
          <w:i/>
          <w:iCs/>
          <w:sz w:val="28"/>
          <w:szCs w:val="28"/>
        </w:rPr>
        <w:t xml:space="preserve">right to </w:t>
      </w:r>
      <w:proofErr w:type="spellStart"/>
      <w:r w:rsidR="00D001D4" w:rsidRPr="00D001D4">
        <w:rPr>
          <w:rFonts w:ascii="Times New Roman" w:hAnsi="Times New Roman" w:cs="Times New Roman"/>
          <w:i/>
          <w:iCs/>
          <w:sz w:val="28"/>
          <w:szCs w:val="28"/>
        </w:rPr>
        <w:t>explanation</w:t>
      </w:r>
      <w:proofErr w:type="spellEnd"/>
      <w:r w:rsidR="00D001D4" w:rsidRPr="00D001D4">
        <w:rPr>
          <w:rFonts w:ascii="Times New Roman" w:hAnsi="Times New Roman" w:cs="Times New Roman"/>
          <w:i/>
          <w:iCs/>
          <w:sz w:val="28"/>
          <w:szCs w:val="28"/>
        </w:rPr>
        <w:t xml:space="preserve"> </w:t>
      </w:r>
      <w:r w:rsidR="00D001D4">
        <w:rPr>
          <w:rFonts w:ascii="Times New Roman" w:hAnsi="Times New Roman" w:cs="Times New Roman"/>
          <w:sz w:val="28"/>
          <w:szCs w:val="28"/>
        </w:rPr>
        <w:t xml:space="preserve">contenuti nel GDPR </w:t>
      </w:r>
      <w:r w:rsidR="00D465F3">
        <w:rPr>
          <w:rFonts w:ascii="Times New Roman" w:hAnsi="Times New Roman" w:cs="Times New Roman"/>
          <w:sz w:val="28"/>
          <w:szCs w:val="28"/>
        </w:rPr>
        <w:t>possono</w:t>
      </w:r>
      <w:r w:rsidR="00D001D4">
        <w:rPr>
          <w:rFonts w:ascii="Times New Roman" w:hAnsi="Times New Roman" w:cs="Times New Roman"/>
          <w:sz w:val="28"/>
          <w:szCs w:val="28"/>
        </w:rPr>
        <w:t xml:space="preserve"> certamente costituire il primo livello regolatore dell’intelligenza artificiale</w:t>
      </w:r>
      <w:r w:rsidR="00D465F3">
        <w:rPr>
          <w:rFonts w:ascii="Times New Roman" w:hAnsi="Times New Roman" w:cs="Times New Roman"/>
          <w:sz w:val="28"/>
          <w:szCs w:val="28"/>
        </w:rPr>
        <w:t xml:space="preserve">, ma le numerose applicazioni di quest’ultima nella vita quotidiana pongono il problema di un’evoluzione qualitativa della normativa volta ad un rafforzamento della tutela della propria identità. </w:t>
      </w:r>
    </w:p>
    <w:p w14:paraId="263A43C7" w14:textId="77777777" w:rsidR="00A600DD" w:rsidRDefault="00D465F3"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Si pensi al sistema c</w:t>
      </w:r>
      <w:r w:rsidR="00A600DD">
        <w:rPr>
          <w:rFonts w:ascii="Times New Roman" w:hAnsi="Times New Roman" w:cs="Times New Roman"/>
          <w:sz w:val="28"/>
          <w:szCs w:val="28"/>
        </w:rPr>
        <w:t>.</w:t>
      </w:r>
      <w:r>
        <w:rPr>
          <w:rFonts w:ascii="Times New Roman" w:hAnsi="Times New Roman" w:cs="Times New Roman"/>
          <w:sz w:val="28"/>
          <w:szCs w:val="28"/>
        </w:rPr>
        <w:t>d</w:t>
      </w:r>
      <w:r w:rsidR="00A600DD">
        <w:rPr>
          <w:rFonts w:ascii="Times New Roman" w:hAnsi="Times New Roman" w:cs="Times New Roman"/>
          <w:sz w:val="28"/>
          <w:szCs w:val="28"/>
        </w:rPr>
        <w:t>.</w:t>
      </w:r>
      <w:r>
        <w:rPr>
          <w:rFonts w:ascii="Times New Roman" w:hAnsi="Times New Roman" w:cs="Times New Roman"/>
          <w:sz w:val="28"/>
          <w:szCs w:val="28"/>
        </w:rPr>
        <w:t xml:space="preserve"> ACR “</w:t>
      </w:r>
      <w:proofErr w:type="spellStart"/>
      <w:r w:rsidRPr="00D465F3">
        <w:rPr>
          <w:rFonts w:ascii="Times New Roman" w:hAnsi="Times New Roman" w:cs="Times New Roman"/>
          <w:i/>
          <w:iCs/>
          <w:sz w:val="28"/>
          <w:szCs w:val="28"/>
        </w:rPr>
        <w:t>Automatic</w:t>
      </w:r>
      <w:proofErr w:type="spellEnd"/>
      <w:r w:rsidRPr="00D465F3">
        <w:rPr>
          <w:rFonts w:ascii="Times New Roman" w:hAnsi="Times New Roman" w:cs="Times New Roman"/>
          <w:i/>
          <w:iCs/>
          <w:sz w:val="28"/>
          <w:szCs w:val="28"/>
        </w:rPr>
        <w:t xml:space="preserve"> Content </w:t>
      </w:r>
      <w:proofErr w:type="spellStart"/>
      <w:r w:rsidRPr="00D465F3">
        <w:rPr>
          <w:rFonts w:ascii="Times New Roman" w:hAnsi="Times New Roman" w:cs="Times New Roman"/>
          <w:i/>
          <w:iCs/>
          <w:sz w:val="28"/>
          <w:szCs w:val="28"/>
        </w:rPr>
        <w:t>Recognition</w:t>
      </w:r>
      <w:proofErr w:type="spellEnd"/>
      <w:r w:rsidR="00006CC0" w:rsidRPr="00A600DD">
        <w:rPr>
          <w:rFonts w:ascii="Times New Roman" w:hAnsi="Times New Roman" w:cs="Times New Roman"/>
          <w:sz w:val="28"/>
          <w:szCs w:val="28"/>
        </w:rPr>
        <w:t>”</w:t>
      </w:r>
      <w:r w:rsidR="00A600DD">
        <w:rPr>
          <w:rFonts w:ascii="Times New Roman" w:hAnsi="Times New Roman" w:cs="Times New Roman"/>
          <w:sz w:val="28"/>
          <w:szCs w:val="28"/>
        </w:rPr>
        <w:t>:</w:t>
      </w:r>
      <w:r w:rsidR="00006CC0">
        <w:rPr>
          <w:rFonts w:ascii="Times New Roman" w:hAnsi="Times New Roman" w:cs="Times New Roman"/>
          <w:i/>
          <w:iCs/>
          <w:sz w:val="28"/>
          <w:szCs w:val="28"/>
        </w:rPr>
        <w:t xml:space="preserve"> </w:t>
      </w:r>
      <w:r>
        <w:rPr>
          <w:rFonts w:ascii="Times New Roman" w:hAnsi="Times New Roman" w:cs="Times New Roman"/>
          <w:sz w:val="28"/>
          <w:szCs w:val="28"/>
        </w:rPr>
        <w:t>applicato al televisore</w:t>
      </w:r>
      <w:r w:rsidR="00A600DD">
        <w:rPr>
          <w:rFonts w:ascii="Times New Roman" w:hAnsi="Times New Roman" w:cs="Times New Roman"/>
          <w:sz w:val="28"/>
          <w:szCs w:val="28"/>
        </w:rPr>
        <w:t>,</w:t>
      </w:r>
      <w:r>
        <w:rPr>
          <w:rFonts w:ascii="Times New Roman" w:hAnsi="Times New Roman" w:cs="Times New Roman"/>
          <w:sz w:val="28"/>
          <w:szCs w:val="28"/>
        </w:rPr>
        <w:t xml:space="preserve"> fornisce a ogni parte del contenuto una sorta di “impronta digitale”, andando ad </w:t>
      </w:r>
      <w:r>
        <w:rPr>
          <w:rFonts w:ascii="Times New Roman" w:hAnsi="Times New Roman" w:cs="Times New Roman"/>
          <w:sz w:val="28"/>
          <w:szCs w:val="28"/>
        </w:rPr>
        <w:lastRenderedPageBreak/>
        <w:t xml:space="preserve">incrociare basi </w:t>
      </w:r>
      <w:r w:rsidR="00A600DD">
        <w:rPr>
          <w:rFonts w:ascii="Times New Roman" w:hAnsi="Times New Roman" w:cs="Times New Roman"/>
          <w:sz w:val="28"/>
          <w:szCs w:val="28"/>
        </w:rPr>
        <w:t xml:space="preserve">di </w:t>
      </w:r>
      <w:r>
        <w:rPr>
          <w:rFonts w:ascii="Times New Roman" w:hAnsi="Times New Roman" w:cs="Times New Roman"/>
          <w:sz w:val="28"/>
          <w:szCs w:val="28"/>
        </w:rPr>
        <w:t xml:space="preserve">dati generando altri dati e informazioni che iniziano a circolare indipendentemente dalla nostra volontà. </w:t>
      </w:r>
    </w:p>
    <w:p w14:paraId="50702221" w14:textId="77777777" w:rsidR="00A600DD" w:rsidRDefault="00D465F3"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 pensi ancora al </w:t>
      </w:r>
      <w:r w:rsidRPr="00D465F3">
        <w:rPr>
          <w:rFonts w:ascii="Times New Roman" w:hAnsi="Times New Roman" w:cs="Times New Roman"/>
          <w:i/>
          <w:iCs/>
          <w:sz w:val="28"/>
          <w:szCs w:val="28"/>
        </w:rPr>
        <w:t xml:space="preserve">Generative </w:t>
      </w:r>
      <w:proofErr w:type="spellStart"/>
      <w:r w:rsidRPr="00D465F3">
        <w:rPr>
          <w:rFonts w:ascii="Times New Roman" w:hAnsi="Times New Roman" w:cs="Times New Roman"/>
          <w:i/>
          <w:iCs/>
          <w:sz w:val="28"/>
          <w:szCs w:val="28"/>
        </w:rPr>
        <w:t>Adversarial</w:t>
      </w:r>
      <w:proofErr w:type="spellEnd"/>
      <w:r w:rsidRPr="00D465F3">
        <w:rPr>
          <w:rFonts w:ascii="Times New Roman" w:hAnsi="Times New Roman" w:cs="Times New Roman"/>
          <w:i/>
          <w:iCs/>
          <w:sz w:val="28"/>
          <w:szCs w:val="28"/>
        </w:rPr>
        <w:t xml:space="preserve"> Network</w:t>
      </w:r>
      <w:r>
        <w:rPr>
          <w:rFonts w:ascii="Times New Roman" w:hAnsi="Times New Roman" w:cs="Times New Roman"/>
          <w:i/>
          <w:iCs/>
          <w:sz w:val="28"/>
          <w:szCs w:val="28"/>
        </w:rPr>
        <w:t>, Access,</w:t>
      </w:r>
      <w:r w:rsidR="00006CC0">
        <w:rPr>
          <w:rFonts w:ascii="Times New Roman" w:hAnsi="Times New Roman" w:cs="Times New Roman"/>
          <w:i/>
          <w:iCs/>
          <w:sz w:val="28"/>
          <w:szCs w:val="28"/>
        </w:rPr>
        <w:t xml:space="preserve"> </w:t>
      </w:r>
      <w:r>
        <w:rPr>
          <w:rFonts w:ascii="Times New Roman" w:hAnsi="Times New Roman" w:cs="Times New Roman"/>
          <w:i/>
          <w:iCs/>
          <w:sz w:val="28"/>
          <w:szCs w:val="28"/>
        </w:rPr>
        <w:t xml:space="preserve">AI </w:t>
      </w:r>
      <w:proofErr w:type="spellStart"/>
      <w:r>
        <w:rPr>
          <w:rFonts w:ascii="Times New Roman" w:hAnsi="Times New Roman" w:cs="Times New Roman"/>
          <w:i/>
          <w:iCs/>
          <w:sz w:val="28"/>
          <w:szCs w:val="28"/>
        </w:rPr>
        <w:t>aaS</w:t>
      </w:r>
      <w:proofErr w:type="spellEnd"/>
      <w:r>
        <w:rPr>
          <w:rFonts w:ascii="Times New Roman" w:hAnsi="Times New Roman" w:cs="Times New Roman"/>
          <w:i/>
          <w:iCs/>
          <w:sz w:val="28"/>
          <w:szCs w:val="28"/>
        </w:rPr>
        <w:t xml:space="preserve"> Human </w:t>
      </w:r>
      <w:proofErr w:type="spellStart"/>
      <w:r>
        <w:rPr>
          <w:rFonts w:ascii="Times New Roman" w:hAnsi="Times New Roman" w:cs="Times New Roman"/>
          <w:i/>
          <w:iCs/>
          <w:sz w:val="28"/>
          <w:szCs w:val="28"/>
        </w:rPr>
        <w:t>Centric</w:t>
      </w:r>
      <w:proofErr w:type="spellEnd"/>
      <w:r>
        <w:rPr>
          <w:rFonts w:ascii="Times New Roman" w:hAnsi="Times New Roman" w:cs="Times New Roman"/>
          <w:i/>
          <w:iCs/>
          <w:sz w:val="28"/>
          <w:szCs w:val="28"/>
        </w:rPr>
        <w:t xml:space="preserve"> AI, </w:t>
      </w:r>
      <w:r w:rsidRPr="00B56F93">
        <w:rPr>
          <w:rFonts w:ascii="Times New Roman" w:hAnsi="Times New Roman" w:cs="Times New Roman"/>
          <w:sz w:val="28"/>
          <w:szCs w:val="28"/>
        </w:rPr>
        <w:t>intelligenza artificiale che crea volti umani.</w:t>
      </w:r>
      <w:r w:rsidR="00087F50">
        <w:rPr>
          <w:rFonts w:ascii="Times New Roman" w:hAnsi="Times New Roman" w:cs="Times New Roman"/>
          <w:sz w:val="28"/>
          <w:szCs w:val="28"/>
        </w:rPr>
        <w:t xml:space="preserve"> </w:t>
      </w:r>
    </w:p>
    <w:p w14:paraId="54F92CFE" w14:textId="77777777" w:rsidR="00A600DD" w:rsidRDefault="00087F50"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 pensi ancora alla nota questione dei microfoni degli </w:t>
      </w:r>
      <w:proofErr w:type="spellStart"/>
      <w:r w:rsidRPr="004667AC">
        <w:rPr>
          <w:rFonts w:ascii="Times New Roman" w:hAnsi="Times New Roman" w:cs="Times New Roman"/>
          <w:i/>
          <w:iCs/>
          <w:sz w:val="28"/>
          <w:szCs w:val="28"/>
        </w:rPr>
        <w:t>smartphone</w:t>
      </w:r>
      <w:proofErr w:type="spellEnd"/>
      <w:r w:rsidR="00A600DD">
        <w:rPr>
          <w:rFonts w:ascii="Times New Roman" w:hAnsi="Times New Roman" w:cs="Times New Roman"/>
          <w:sz w:val="28"/>
          <w:szCs w:val="28"/>
        </w:rPr>
        <w:t>,</w:t>
      </w:r>
      <w:r>
        <w:rPr>
          <w:rFonts w:ascii="Times New Roman" w:hAnsi="Times New Roman" w:cs="Times New Roman"/>
          <w:sz w:val="28"/>
          <w:szCs w:val="28"/>
        </w:rPr>
        <w:t xml:space="preserve"> sempre accesi a carpire informazioni rivendute poi a società per fare proposte commerciali. Un fenomeno sempre più diffuso, che sembrerebbe causato anche dalle </w:t>
      </w:r>
      <w:proofErr w:type="spellStart"/>
      <w:r>
        <w:rPr>
          <w:rFonts w:ascii="Times New Roman" w:hAnsi="Times New Roman" w:cs="Times New Roman"/>
          <w:sz w:val="28"/>
          <w:szCs w:val="28"/>
        </w:rPr>
        <w:t>app</w:t>
      </w:r>
      <w:proofErr w:type="spellEnd"/>
      <w:r>
        <w:rPr>
          <w:rFonts w:ascii="Times New Roman" w:hAnsi="Times New Roman" w:cs="Times New Roman"/>
          <w:sz w:val="28"/>
          <w:szCs w:val="28"/>
        </w:rPr>
        <w:t xml:space="preserve"> che scarichiamo sui nostri cellulari. </w:t>
      </w:r>
    </w:p>
    <w:p w14:paraId="74D9CCC8" w14:textId="77777777" w:rsidR="0088413A" w:rsidRDefault="00087F50"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Molte </w:t>
      </w:r>
      <w:proofErr w:type="spellStart"/>
      <w:r>
        <w:rPr>
          <w:rFonts w:ascii="Times New Roman" w:hAnsi="Times New Roman" w:cs="Times New Roman"/>
          <w:sz w:val="28"/>
          <w:szCs w:val="28"/>
        </w:rPr>
        <w:t>app</w:t>
      </w:r>
      <w:proofErr w:type="spellEnd"/>
      <w:r>
        <w:rPr>
          <w:rFonts w:ascii="Times New Roman" w:hAnsi="Times New Roman" w:cs="Times New Roman"/>
          <w:sz w:val="28"/>
          <w:szCs w:val="28"/>
        </w:rPr>
        <w:t xml:space="preserve">, infatti, tra le autorizzazioni di accesso che richiedono al momento del download, inseriscono anche l’utilizzazione del microfono. Una volta che si accetta, senza pensarci troppo e senza informarsi sull’uso che verrà fatto dei propri dati, il gioco è fatto. </w:t>
      </w:r>
    </w:p>
    <w:p w14:paraId="2B856405" w14:textId="77777777" w:rsidR="0088413A" w:rsidRDefault="00087F50"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Su questo illecito uso di dati il garante per la Privacy ha avviato un’indagine</w:t>
      </w:r>
      <w:r w:rsidR="0088413A">
        <w:rPr>
          <w:rFonts w:ascii="Times New Roman" w:hAnsi="Times New Roman" w:cs="Times New Roman"/>
          <w:sz w:val="28"/>
          <w:szCs w:val="28"/>
        </w:rPr>
        <w:t>,</w:t>
      </w:r>
      <w:r>
        <w:rPr>
          <w:rFonts w:ascii="Times New Roman" w:hAnsi="Times New Roman" w:cs="Times New Roman"/>
          <w:sz w:val="28"/>
          <w:szCs w:val="28"/>
        </w:rPr>
        <w:t xml:space="preserve"> dopo che un servizio televisivo e diversi utenti hanno segnalato come basterebbe pronunciare alcune parole sui loro gusti, progetti, viaggi o semplici desideri per vedersi arrivare sul cellulare la pubblicità di un’auto</w:t>
      </w:r>
      <w:r w:rsidR="00F024E4">
        <w:rPr>
          <w:rFonts w:ascii="Times New Roman" w:hAnsi="Times New Roman" w:cs="Times New Roman"/>
          <w:sz w:val="28"/>
          <w:szCs w:val="28"/>
        </w:rPr>
        <w:t>, di un’agenzia turistica, di un prodotto cosmetico. L’Autorità ha avviato un’istruttoria, in collaborazione con il Nucleo speciale privacy e frodi tecnologiche della Guardia di Finanza</w:t>
      </w:r>
      <w:r w:rsidR="0088413A">
        <w:rPr>
          <w:rFonts w:ascii="Times New Roman" w:hAnsi="Times New Roman" w:cs="Times New Roman"/>
          <w:sz w:val="28"/>
          <w:szCs w:val="28"/>
        </w:rPr>
        <w:t>,</w:t>
      </w:r>
      <w:r w:rsidR="00F024E4">
        <w:rPr>
          <w:rFonts w:ascii="Times New Roman" w:hAnsi="Times New Roman" w:cs="Times New Roman"/>
          <w:sz w:val="28"/>
          <w:szCs w:val="28"/>
        </w:rPr>
        <w:t xml:space="preserve"> che prevede l’esame di una serie di </w:t>
      </w:r>
      <w:proofErr w:type="spellStart"/>
      <w:r w:rsidR="00F024E4">
        <w:rPr>
          <w:rFonts w:ascii="Times New Roman" w:hAnsi="Times New Roman" w:cs="Times New Roman"/>
          <w:sz w:val="28"/>
          <w:szCs w:val="28"/>
        </w:rPr>
        <w:t>app</w:t>
      </w:r>
      <w:proofErr w:type="spellEnd"/>
      <w:r w:rsidR="00F024E4">
        <w:rPr>
          <w:rFonts w:ascii="Times New Roman" w:hAnsi="Times New Roman" w:cs="Times New Roman"/>
          <w:sz w:val="28"/>
          <w:szCs w:val="28"/>
        </w:rPr>
        <w:t xml:space="preserve"> tra le più scaricate e la verifica che l’informativa resa agli utenti sia chiara e trasparente e che sia stato correttamente acquisito il loro consenso. </w:t>
      </w:r>
    </w:p>
    <w:p w14:paraId="33C9D552" w14:textId="77777777" w:rsidR="0088413A" w:rsidRDefault="00F024E4"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La nuova attività del Garante si affianca a quella già avviata sulla semplificazione delle informative, attraverso simboli ed immagini, </w:t>
      </w:r>
      <w:r w:rsidR="006675F7">
        <w:rPr>
          <w:rFonts w:ascii="Times New Roman" w:hAnsi="Times New Roman" w:cs="Times New Roman"/>
          <w:sz w:val="28"/>
          <w:szCs w:val="28"/>
        </w:rPr>
        <w:t>affinché</w:t>
      </w:r>
      <w:r>
        <w:rPr>
          <w:rFonts w:ascii="Times New Roman" w:hAnsi="Times New Roman" w:cs="Times New Roman"/>
          <w:sz w:val="28"/>
          <w:szCs w:val="28"/>
        </w:rPr>
        <w:t xml:space="preserve"> gli utenti e i consumatori siano messi in grado in maniera sintetica ed efficace di fare scelte libere e consapevoli. </w:t>
      </w:r>
    </w:p>
    <w:p w14:paraId="7DC176A6" w14:textId="77777777" w:rsidR="0088413A" w:rsidRDefault="00F024E4"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 pensi ancora all’OBA, </w:t>
      </w:r>
      <w:r w:rsidRPr="00F024E4">
        <w:rPr>
          <w:rFonts w:ascii="Times New Roman" w:hAnsi="Times New Roman" w:cs="Times New Roman"/>
          <w:i/>
          <w:iCs/>
          <w:sz w:val="28"/>
          <w:szCs w:val="28"/>
        </w:rPr>
        <w:t>On line</w:t>
      </w:r>
      <w:r>
        <w:rPr>
          <w:rFonts w:ascii="Times New Roman" w:hAnsi="Times New Roman" w:cs="Times New Roman"/>
          <w:sz w:val="28"/>
          <w:szCs w:val="28"/>
        </w:rPr>
        <w:t xml:space="preserve"> </w:t>
      </w:r>
      <w:proofErr w:type="spellStart"/>
      <w:r w:rsidRPr="00F024E4">
        <w:rPr>
          <w:rFonts w:ascii="Times New Roman" w:hAnsi="Times New Roman" w:cs="Times New Roman"/>
          <w:i/>
          <w:iCs/>
          <w:sz w:val="28"/>
          <w:szCs w:val="28"/>
        </w:rPr>
        <w:t>behavioral</w:t>
      </w:r>
      <w:proofErr w:type="spellEnd"/>
      <w:r w:rsidRPr="00F024E4">
        <w:rPr>
          <w:rFonts w:ascii="Times New Roman" w:hAnsi="Times New Roman" w:cs="Times New Roman"/>
          <w:i/>
          <w:iCs/>
          <w:sz w:val="28"/>
          <w:szCs w:val="28"/>
        </w:rPr>
        <w:t xml:space="preserve"> adver</w:t>
      </w:r>
      <w:r>
        <w:rPr>
          <w:rFonts w:ascii="Times New Roman" w:hAnsi="Times New Roman" w:cs="Times New Roman"/>
          <w:i/>
          <w:iCs/>
          <w:sz w:val="28"/>
          <w:szCs w:val="28"/>
        </w:rPr>
        <w:t>t</w:t>
      </w:r>
      <w:r w:rsidRPr="00F024E4">
        <w:rPr>
          <w:rFonts w:ascii="Times New Roman" w:hAnsi="Times New Roman" w:cs="Times New Roman"/>
          <w:i/>
          <w:iCs/>
          <w:sz w:val="28"/>
          <w:szCs w:val="28"/>
        </w:rPr>
        <w:t>ising</w:t>
      </w:r>
      <w:r>
        <w:rPr>
          <w:rFonts w:ascii="Times New Roman" w:hAnsi="Times New Roman" w:cs="Times New Roman"/>
          <w:i/>
          <w:iCs/>
          <w:sz w:val="28"/>
          <w:szCs w:val="28"/>
        </w:rPr>
        <w:t xml:space="preserve">, </w:t>
      </w:r>
      <w:r>
        <w:rPr>
          <w:rFonts w:ascii="Times New Roman" w:hAnsi="Times New Roman" w:cs="Times New Roman"/>
          <w:sz w:val="28"/>
          <w:szCs w:val="28"/>
        </w:rPr>
        <w:t xml:space="preserve">la </w:t>
      </w:r>
      <w:proofErr w:type="spellStart"/>
      <w:r>
        <w:rPr>
          <w:rFonts w:ascii="Times New Roman" w:hAnsi="Times New Roman" w:cs="Times New Roman"/>
          <w:sz w:val="28"/>
          <w:szCs w:val="28"/>
        </w:rPr>
        <w:t>profilazione</w:t>
      </w:r>
      <w:proofErr w:type="spellEnd"/>
      <w:r>
        <w:rPr>
          <w:rFonts w:ascii="Times New Roman" w:hAnsi="Times New Roman" w:cs="Times New Roman"/>
          <w:sz w:val="28"/>
          <w:szCs w:val="28"/>
        </w:rPr>
        <w:t xml:space="preserve"> per azioni pubblicitarie mirate ed efficaci. La valutazione dell’impatto</w:t>
      </w:r>
      <w:r w:rsidR="00B1376A">
        <w:rPr>
          <w:rFonts w:ascii="Times New Roman" w:hAnsi="Times New Roman" w:cs="Times New Roman"/>
          <w:sz w:val="28"/>
          <w:szCs w:val="28"/>
        </w:rPr>
        <w:t xml:space="preserve"> del trattamento sui diritti e sulle libertà fondamentali degli interessati è di cruciale importanza nel </w:t>
      </w:r>
      <w:proofErr w:type="spellStart"/>
      <w:r w:rsidR="00B1376A" w:rsidRPr="00B1376A">
        <w:rPr>
          <w:rFonts w:ascii="Times New Roman" w:hAnsi="Times New Roman" w:cs="Times New Roman"/>
          <w:i/>
          <w:iCs/>
          <w:sz w:val="28"/>
          <w:szCs w:val="28"/>
        </w:rPr>
        <w:t>balancing</w:t>
      </w:r>
      <w:proofErr w:type="spellEnd"/>
      <w:r w:rsidR="00B1376A" w:rsidRPr="00B1376A">
        <w:rPr>
          <w:rFonts w:ascii="Times New Roman" w:hAnsi="Times New Roman" w:cs="Times New Roman"/>
          <w:i/>
          <w:iCs/>
          <w:sz w:val="28"/>
          <w:szCs w:val="28"/>
        </w:rPr>
        <w:t xml:space="preserve"> test.</w:t>
      </w:r>
      <w:r w:rsidR="00B1376A">
        <w:rPr>
          <w:rFonts w:ascii="Times New Roman" w:hAnsi="Times New Roman" w:cs="Times New Roman"/>
          <w:sz w:val="28"/>
          <w:szCs w:val="28"/>
        </w:rPr>
        <w:t xml:space="preserve"> Gli effetti negativi non sono rappresentati solo dai classici danni morali e materiali (</w:t>
      </w:r>
      <w:proofErr w:type="spellStart"/>
      <w:r w:rsidR="00B1376A" w:rsidRPr="00B1376A">
        <w:rPr>
          <w:rFonts w:ascii="Times New Roman" w:hAnsi="Times New Roman" w:cs="Times New Roman"/>
          <w:i/>
          <w:iCs/>
          <w:sz w:val="28"/>
          <w:szCs w:val="28"/>
        </w:rPr>
        <w:t>harm</w:t>
      </w:r>
      <w:proofErr w:type="spellEnd"/>
      <w:r w:rsidR="00B1376A" w:rsidRPr="00B1376A">
        <w:rPr>
          <w:rFonts w:ascii="Times New Roman" w:hAnsi="Times New Roman" w:cs="Times New Roman"/>
          <w:i/>
          <w:iCs/>
          <w:sz w:val="28"/>
          <w:szCs w:val="28"/>
        </w:rPr>
        <w:t xml:space="preserve"> and </w:t>
      </w:r>
      <w:proofErr w:type="spellStart"/>
      <w:r w:rsidR="00B1376A" w:rsidRPr="00B1376A">
        <w:rPr>
          <w:rFonts w:ascii="Times New Roman" w:hAnsi="Times New Roman" w:cs="Times New Roman"/>
          <w:i/>
          <w:iCs/>
          <w:sz w:val="28"/>
          <w:szCs w:val="28"/>
        </w:rPr>
        <w:t>damage</w:t>
      </w:r>
      <w:proofErr w:type="spellEnd"/>
      <w:r w:rsidR="00B1376A" w:rsidRPr="00B1376A">
        <w:rPr>
          <w:rFonts w:ascii="Times New Roman" w:hAnsi="Times New Roman" w:cs="Times New Roman"/>
          <w:i/>
          <w:iCs/>
          <w:sz w:val="28"/>
          <w:szCs w:val="28"/>
        </w:rPr>
        <w:t>)</w:t>
      </w:r>
      <w:r w:rsidR="00B1376A">
        <w:rPr>
          <w:rFonts w:ascii="Times New Roman" w:hAnsi="Times New Roman" w:cs="Times New Roman"/>
          <w:i/>
          <w:iCs/>
          <w:sz w:val="28"/>
          <w:szCs w:val="28"/>
        </w:rPr>
        <w:t xml:space="preserve">, </w:t>
      </w:r>
      <w:r w:rsidR="00B1376A" w:rsidRPr="00B1376A">
        <w:rPr>
          <w:rFonts w:ascii="Times New Roman" w:hAnsi="Times New Roman" w:cs="Times New Roman"/>
          <w:sz w:val="28"/>
          <w:szCs w:val="28"/>
        </w:rPr>
        <w:t>ma</w:t>
      </w:r>
      <w:r w:rsidR="00B1376A">
        <w:rPr>
          <w:rFonts w:ascii="Times New Roman" w:hAnsi="Times New Roman" w:cs="Times New Roman"/>
          <w:sz w:val="28"/>
          <w:szCs w:val="28"/>
        </w:rPr>
        <w:t xml:space="preserve"> possono essere rappresentati anche dalle minacce alla reputazione, al potere negoziale e all’autonomia degli interessati, o più genericamente in quegli impatti emotivi, come paura, irritazione, nonché il “</w:t>
      </w:r>
      <w:proofErr w:type="spellStart"/>
      <w:r w:rsidR="00B1376A" w:rsidRPr="00B1376A">
        <w:rPr>
          <w:rFonts w:ascii="Times New Roman" w:hAnsi="Times New Roman" w:cs="Times New Roman"/>
          <w:i/>
          <w:iCs/>
          <w:sz w:val="28"/>
          <w:szCs w:val="28"/>
        </w:rPr>
        <w:t>chilling</w:t>
      </w:r>
      <w:proofErr w:type="spellEnd"/>
      <w:r w:rsidR="00B1376A">
        <w:rPr>
          <w:rFonts w:ascii="Times New Roman" w:hAnsi="Times New Roman" w:cs="Times New Roman"/>
          <w:i/>
          <w:iCs/>
          <w:sz w:val="28"/>
          <w:szCs w:val="28"/>
        </w:rPr>
        <w:t xml:space="preserve"> </w:t>
      </w:r>
      <w:proofErr w:type="spellStart"/>
      <w:r w:rsidR="00B1376A">
        <w:rPr>
          <w:rFonts w:ascii="Times New Roman" w:hAnsi="Times New Roman" w:cs="Times New Roman"/>
          <w:i/>
          <w:iCs/>
          <w:sz w:val="28"/>
          <w:szCs w:val="28"/>
        </w:rPr>
        <w:t>effect</w:t>
      </w:r>
      <w:proofErr w:type="spellEnd"/>
      <w:r w:rsidR="00B1376A" w:rsidRPr="0088413A">
        <w:rPr>
          <w:rFonts w:ascii="Times New Roman" w:hAnsi="Times New Roman" w:cs="Times New Roman"/>
          <w:sz w:val="28"/>
          <w:szCs w:val="28"/>
        </w:rPr>
        <w:t>”</w:t>
      </w:r>
      <w:r w:rsidR="0088413A">
        <w:rPr>
          <w:rFonts w:ascii="Times New Roman" w:hAnsi="Times New Roman" w:cs="Times New Roman"/>
          <w:sz w:val="28"/>
          <w:szCs w:val="28"/>
        </w:rPr>
        <w:t>,</w:t>
      </w:r>
      <w:r w:rsidR="00577490">
        <w:rPr>
          <w:rFonts w:ascii="Times New Roman" w:hAnsi="Times New Roman" w:cs="Times New Roman"/>
          <w:i/>
          <w:iCs/>
          <w:sz w:val="28"/>
          <w:szCs w:val="28"/>
        </w:rPr>
        <w:t xml:space="preserve"> </w:t>
      </w:r>
      <w:r w:rsidR="00B1376A" w:rsidRPr="00B1376A">
        <w:rPr>
          <w:rFonts w:ascii="Times New Roman" w:hAnsi="Times New Roman" w:cs="Times New Roman"/>
          <w:sz w:val="28"/>
          <w:szCs w:val="28"/>
        </w:rPr>
        <w:t xml:space="preserve">derivante </w:t>
      </w:r>
      <w:r w:rsidR="00B1376A">
        <w:rPr>
          <w:rFonts w:ascii="Times New Roman" w:hAnsi="Times New Roman" w:cs="Times New Roman"/>
          <w:sz w:val="28"/>
          <w:szCs w:val="28"/>
        </w:rPr>
        <w:t>dalla consapevolezza di essere sottoposti ad un monitoraggio costante e continuo, il c</w:t>
      </w:r>
      <w:r w:rsidR="00F61F2D">
        <w:rPr>
          <w:rFonts w:ascii="Times New Roman" w:hAnsi="Times New Roman" w:cs="Times New Roman"/>
          <w:sz w:val="28"/>
          <w:szCs w:val="28"/>
        </w:rPr>
        <w:t>.</w:t>
      </w:r>
      <w:r w:rsidR="00B1376A">
        <w:rPr>
          <w:rFonts w:ascii="Times New Roman" w:hAnsi="Times New Roman" w:cs="Times New Roman"/>
          <w:sz w:val="28"/>
          <w:szCs w:val="28"/>
        </w:rPr>
        <w:t>d</w:t>
      </w:r>
      <w:r w:rsidR="00F61F2D">
        <w:rPr>
          <w:rFonts w:ascii="Times New Roman" w:hAnsi="Times New Roman" w:cs="Times New Roman"/>
          <w:sz w:val="28"/>
          <w:szCs w:val="28"/>
        </w:rPr>
        <w:t>.</w:t>
      </w:r>
      <w:r w:rsidR="00B1376A">
        <w:rPr>
          <w:rFonts w:ascii="Times New Roman" w:hAnsi="Times New Roman" w:cs="Times New Roman"/>
          <w:sz w:val="28"/>
          <w:szCs w:val="28"/>
        </w:rPr>
        <w:t xml:space="preserve"> </w:t>
      </w:r>
      <w:r w:rsidR="00B1376A" w:rsidRPr="00B1376A">
        <w:rPr>
          <w:rFonts w:ascii="Times New Roman" w:hAnsi="Times New Roman" w:cs="Times New Roman"/>
          <w:i/>
          <w:iCs/>
          <w:sz w:val="28"/>
          <w:szCs w:val="28"/>
        </w:rPr>
        <w:t>pedinamento digitale</w:t>
      </w:r>
      <w:r w:rsidR="00B1376A">
        <w:rPr>
          <w:rFonts w:ascii="Times New Roman" w:hAnsi="Times New Roman" w:cs="Times New Roman"/>
          <w:sz w:val="28"/>
          <w:szCs w:val="28"/>
        </w:rPr>
        <w:t xml:space="preserve"> o </w:t>
      </w:r>
      <w:r w:rsidR="00B1376A" w:rsidRPr="00B1376A">
        <w:rPr>
          <w:rFonts w:ascii="Times New Roman" w:hAnsi="Times New Roman" w:cs="Times New Roman"/>
          <w:i/>
          <w:iCs/>
          <w:sz w:val="28"/>
          <w:szCs w:val="28"/>
        </w:rPr>
        <w:t>al punteggio sociale</w:t>
      </w:r>
      <w:r w:rsidR="0088413A">
        <w:rPr>
          <w:rFonts w:ascii="Times New Roman" w:hAnsi="Times New Roman" w:cs="Times New Roman"/>
          <w:sz w:val="28"/>
          <w:szCs w:val="28"/>
        </w:rPr>
        <w:t xml:space="preserve"> (</w:t>
      </w:r>
      <w:r w:rsidR="00B1376A">
        <w:rPr>
          <w:rFonts w:ascii="Times New Roman" w:hAnsi="Times New Roman" w:cs="Times New Roman"/>
          <w:sz w:val="28"/>
          <w:szCs w:val="28"/>
        </w:rPr>
        <w:t>c</w:t>
      </w:r>
      <w:r w:rsidR="00F61F2D">
        <w:rPr>
          <w:rFonts w:ascii="Times New Roman" w:hAnsi="Times New Roman" w:cs="Times New Roman"/>
          <w:sz w:val="28"/>
          <w:szCs w:val="28"/>
        </w:rPr>
        <w:t>.</w:t>
      </w:r>
      <w:r w:rsidR="00B1376A">
        <w:rPr>
          <w:rFonts w:ascii="Times New Roman" w:hAnsi="Times New Roman" w:cs="Times New Roman"/>
          <w:sz w:val="28"/>
          <w:szCs w:val="28"/>
        </w:rPr>
        <w:t>d</w:t>
      </w:r>
      <w:r w:rsidR="00F61F2D">
        <w:rPr>
          <w:rFonts w:ascii="Times New Roman" w:hAnsi="Times New Roman" w:cs="Times New Roman"/>
          <w:sz w:val="28"/>
          <w:szCs w:val="28"/>
        </w:rPr>
        <w:t>.</w:t>
      </w:r>
      <w:r w:rsidR="00B1376A">
        <w:rPr>
          <w:rFonts w:ascii="Times New Roman" w:hAnsi="Times New Roman" w:cs="Times New Roman"/>
          <w:sz w:val="28"/>
          <w:szCs w:val="28"/>
        </w:rPr>
        <w:t xml:space="preserve"> </w:t>
      </w:r>
      <w:proofErr w:type="spellStart"/>
      <w:r w:rsidR="00B1376A" w:rsidRPr="00B1376A">
        <w:rPr>
          <w:rFonts w:ascii="Times New Roman" w:hAnsi="Times New Roman" w:cs="Times New Roman"/>
          <w:i/>
          <w:iCs/>
          <w:sz w:val="28"/>
          <w:szCs w:val="28"/>
        </w:rPr>
        <w:t>scoring</w:t>
      </w:r>
      <w:proofErr w:type="spellEnd"/>
      <w:r w:rsidR="0088413A">
        <w:rPr>
          <w:rFonts w:ascii="Times New Roman" w:hAnsi="Times New Roman" w:cs="Times New Roman"/>
          <w:sz w:val="28"/>
          <w:szCs w:val="28"/>
        </w:rPr>
        <w:t xml:space="preserve">, </w:t>
      </w:r>
      <w:r w:rsidR="00B1376A">
        <w:rPr>
          <w:rFonts w:ascii="Times New Roman" w:hAnsi="Times New Roman" w:cs="Times New Roman"/>
          <w:sz w:val="28"/>
          <w:szCs w:val="28"/>
        </w:rPr>
        <w:t xml:space="preserve">secondo il modello </w:t>
      </w:r>
      <w:r w:rsidR="00B1376A" w:rsidRPr="00B1376A">
        <w:rPr>
          <w:rFonts w:ascii="Times New Roman" w:hAnsi="Times New Roman" w:cs="Times New Roman"/>
          <w:i/>
          <w:iCs/>
          <w:sz w:val="28"/>
          <w:szCs w:val="28"/>
        </w:rPr>
        <w:t>social credit</w:t>
      </w:r>
      <w:r w:rsidR="00B1376A">
        <w:rPr>
          <w:rFonts w:ascii="Times New Roman" w:hAnsi="Times New Roman" w:cs="Times New Roman"/>
          <w:sz w:val="28"/>
          <w:szCs w:val="28"/>
        </w:rPr>
        <w:t xml:space="preserve"> cinese</w:t>
      </w:r>
      <w:r w:rsidR="0088413A">
        <w:rPr>
          <w:rFonts w:ascii="Times New Roman" w:hAnsi="Times New Roman" w:cs="Times New Roman"/>
          <w:sz w:val="28"/>
          <w:szCs w:val="28"/>
        </w:rPr>
        <w:t xml:space="preserve">), </w:t>
      </w:r>
      <w:r w:rsidR="00B1376A">
        <w:rPr>
          <w:rFonts w:ascii="Times New Roman" w:hAnsi="Times New Roman" w:cs="Times New Roman"/>
          <w:sz w:val="28"/>
          <w:szCs w:val="28"/>
        </w:rPr>
        <w:t xml:space="preserve">basato su “bolle </w:t>
      </w:r>
      <w:proofErr w:type="spellStart"/>
      <w:r w:rsidR="00B1376A">
        <w:rPr>
          <w:rFonts w:ascii="Times New Roman" w:hAnsi="Times New Roman" w:cs="Times New Roman"/>
          <w:sz w:val="28"/>
          <w:szCs w:val="28"/>
        </w:rPr>
        <w:t>profilative</w:t>
      </w:r>
      <w:proofErr w:type="spellEnd"/>
      <w:r w:rsidR="00B1376A">
        <w:rPr>
          <w:rFonts w:ascii="Times New Roman" w:hAnsi="Times New Roman" w:cs="Times New Roman"/>
          <w:sz w:val="28"/>
          <w:szCs w:val="28"/>
        </w:rPr>
        <w:t>” e “</w:t>
      </w:r>
      <w:proofErr w:type="spellStart"/>
      <w:r w:rsidR="00B1376A" w:rsidRPr="00B1376A">
        <w:rPr>
          <w:rFonts w:ascii="Times New Roman" w:hAnsi="Times New Roman" w:cs="Times New Roman"/>
          <w:i/>
          <w:iCs/>
          <w:sz w:val="28"/>
          <w:szCs w:val="28"/>
        </w:rPr>
        <w:t>inferred</w:t>
      </w:r>
      <w:proofErr w:type="spellEnd"/>
      <w:r w:rsidR="00B1376A" w:rsidRPr="00B1376A">
        <w:rPr>
          <w:rFonts w:ascii="Times New Roman" w:hAnsi="Times New Roman" w:cs="Times New Roman"/>
          <w:i/>
          <w:iCs/>
          <w:sz w:val="28"/>
          <w:szCs w:val="28"/>
        </w:rPr>
        <w:t xml:space="preserve"> data</w:t>
      </w:r>
      <w:r w:rsidR="00B1376A">
        <w:rPr>
          <w:rFonts w:ascii="Times New Roman" w:hAnsi="Times New Roman" w:cs="Times New Roman"/>
          <w:sz w:val="28"/>
          <w:szCs w:val="28"/>
        </w:rPr>
        <w:t>”, o il c</w:t>
      </w:r>
      <w:r w:rsidR="00F61F2D">
        <w:rPr>
          <w:rFonts w:ascii="Times New Roman" w:hAnsi="Times New Roman" w:cs="Times New Roman"/>
          <w:sz w:val="28"/>
          <w:szCs w:val="28"/>
        </w:rPr>
        <w:t>.</w:t>
      </w:r>
      <w:r w:rsidR="00B1376A">
        <w:rPr>
          <w:rFonts w:ascii="Times New Roman" w:hAnsi="Times New Roman" w:cs="Times New Roman"/>
          <w:sz w:val="28"/>
          <w:szCs w:val="28"/>
        </w:rPr>
        <w:t>d</w:t>
      </w:r>
      <w:r w:rsidR="00F61F2D">
        <w:rPr>
          <w:rFonts w:ascii="Times New Roman" w:hAnsi="Times New Roman" w:cs="Times New Roman"/>
          <w:sz w:val="28"/>
          <w:szCs w:val="28"/>
        </w:rPr>
        <w:t>.</w:t>
      </w:r>
      <w:r w:rsidR="00B1376A">
        <w:rPr>
          <w:rFonts w:ascii="Times New Roman" w:hAnsi="Times New Roman" w:cs="Times New Roman"/>
          <w:sz w:val="28"/>
          <w:szCs w:val="28"/>
        </w:rPr>
        <w:t xml:space="preserve"> “</w:t>
      </w:r>
      <w:proofErr w:type="spellStart"/>
      <w:r w:rsidR="00B1376A" w:rsidRPr="00B1376A">
        <w:rPr>
          <w:rFonts w:ascii="Times New Roman" w:hAnsi="Times New Roman" w:cs="Times New Roman"/>
          <w:i/>
          <w:iCs/>
          <w:sz w:val="28"/>
          <w:szCs w:val="28"/>
        </w:rPr>
        <w:t>enrichment</w:t>
      </w:r>
      <w:proofErr w:type="spellEnd"/>
      <w:r w:rsidR="00B1376A" w:rsidRPr="00F61F2D">
        <w:rPr>
          <w:rFonts w:ascii="Times New Roman" w:hAnsi="Times New Roman" w:cs="Times New Roman"/>
          <w:sz w:val="28"/>
          <w:szCs w:val="28"/>
        </w:rPr>
        <w:t>”</w:t>
      </w:r>
      <w:r w:rsidR="008C01EE" w:rsidRPr="00F61F2D">
        <w:rPr>
          <w:rFonts w:ascii="Times New Roman" w:hAnsi="Times New Roman" w:cs="Times New Roman"/>
          <w:sz w:val="28"/>
          <w:szCs w:val="28"/>
        </w:rPr>
        <w:t>,</w:t>
      </w:r>
      <w:r w:rsidR="008C01EE">
        <w:rPr>
          <w:rFonts w:ascii="Times New Roman" w:hAnsi="Times New Roman" w:cs="Times New Roman"/>
          <w:i/>
          <w:iCs/>
          <w:sz w:val="28"/>
          <w:szCs w:val="28"/>
        </w:rPr>
        <w:t xml:space="preserve"> </w:t>
      </w:r>
      <w:r w:rsidR="008C01EE" w:rsidRPr="008C01EE">
        <w:rPr>
          <w:rFonts w:ascii="Times New Roman" w:hAnsi="Times New Roman" w:cs="Times New Roman"/>
          <w:sz w:val="28"/>
          <w:szCs w:val="28"/>
        </w:rPr>
        <w:t xml:space="preserve">creazione </w:t>
      </w:r>
      <w:r w:rsidR="008C01EE">
        <w:rPr>
          <w:rFonts w:ascii="Times New Roman" w:hAnsi="Times New Roman" w:cs="Times New Roman"/>
          <w:sz w:val="28"/>
          <w:szCs w:val="28"/>
        </w:rPr>
        <w:t>di profili sempre più specifici e dettagliati “</w:t>
      </w:r>
      <w:r w:rsidR="008C01EE" w:rsidRPr="00F61F2D">
        <w:rPr>
          <w:rFonts w:ascii="Times New Roman" w:hAnsi="Times New Roman" w:cs="Times New Roman"/>
          <w:i/>
          <w:iCs/>
          <w:sz w:val="28"/>
          <w:szCs w:val="28"/>
        </w:rPr>
        <w:t xml:space="preserve">finger </w:t>
      </w:r>
      <w:proofErr w:type="spellStart"/>
      <w:r w:rsidR="008C01EE" w:rsidRPr="00F61F2D">
        <w:rPr>
          <w:rFonts w:ascii="Times New Roman" w:hAnsi="Times New Roman" w:cs="Times New Roman"/>
          <w:i/>
          <w:iCs/>
          <w:sz w:val="28"/>
          <w:szCs w:val="28"/>
        </w:rPr>
        <w:t>printing</w:t>
      </w:r>
      <w:proofErr w:type="spellEnd"/>
      <w:r w:rsidR="008C01EE">
        <w:rPr>
          <w:rFonts w:ascii="Times New Roman" w:hAnsi="Times New Roman" w:cs="Times New Roman"/>
          <w:sz w:val="28"/>
          <w:szCs w:val="28"/>
        </w:rPr>
        <w:t>”.</w:t>
      </w:r>
    </w:p>
    <w:p w14:paraId="303DA8F6" w14:textId="77777777" w:rsidR="0088413A" w:rsidRDefault="0088413A" w:rsidP="00A600DD">
      <w:pPr>
        <w:tabs>
          <w:tab w:val="left" w:pos="8364"/>
        </w:tabs>
        <w:spacing w:after="0"/>
        <w:jc w:val="both"/>
        <w:rPr>
          <w:rFonts w:ascii="Times New Roman" w:hAnsi="Times New Roman" w:cs="Times New Roman"/>
          <w:sz w:val="28"/>
          <w:szCs w:val="28"/>
        </w:rPr>
      </w:pPr>
    </w:p>
    <w:p w14:paraId="67277AA6" w14:textId="77777777" w:rsidR="0088413A" w:rsidRDefault="00577490"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È</w:t>
      </w:r>
      <w:r w:rsidR="008C01EE">
        <w:rPr>
          <w:rFonts w:ascii="Times New Roman" w:hAnsi="Times New Roman" w:cs="Times New Roman"/>
          <w:sz w:val="28"/>
          <w:szCs w:val="28"/>
        </w:rPr>
        <w:t xml:space="preserve"> significativo ricordare</w:t>
      </w:r>
      <w:r w:rsidR="0088413A">
        <w:rPr>
          <w:rFonts w:ascii="Times New Roman" w:hAnsi="Times New Roman" w:cs="Times New Roman"/>
          <w:sz w:val="28"/>
          <w:szCs w:val="28"/>
        </w:rPr>
        <w:t>,</w:t>
      </w:r>
      <w:r w:rsidR="008C01EE">
        <w:rPr>
          <w:rFonts w:ascii="Times New Roman" w:hAnsi="Times New Roman" w:cs="Times New Roman"/>
          <w:sz w:val="28"/>
          <w:szCs w:val="28"/>
        </w:rPr>
        <w:t xml:space="preserve"> a</w:t>
      </w:r>
      <w:r w:rsidR="0088413A">
        <w:rPr>
          <w:rFonts w:ascii="Times New Roman" w:hAnsi="Times New Roman" w:cs="Times New Roman"/>
          <w:sz w:val="28"/>
          <w:szCs w:val="28"/>
        </w:rPr>
        <w:t>l</w:t>
      </w:r>
      <w:r w:rsidR="008C01EE">
        <w:rPr>
          <w:rFonts w:ascii="Times New Roman" w:hAnsi="Times New Roman" w:cs="Times New Roman"/>
          <w:sz w:val="28"/>
          <w:szCs w:val="28"/>
        </w:rPr>
        <w:t xml:space="preserve"> riguardo</w:t>
      </w:r>
      <w:r w:rsidR="0088413A">
        <w:rPr>
          <w:rFonts w:ascii="Times New Roman" w:hAnsi="Times New Roman" w:cs="Times New Roman"/>
          <w:sz w:val="28"/>
          <w:szCs w:val="28"/>
        </w:rPr>
        <w:t>,</w:t>
      </w:r>
      <w:r w:rsidR="008C01EE">
        <w:rPr>
          <w:rFonts w:ascii="Times New Roman" w:hAnsi="Times New Roman" w:cs="Times New Roman"/>
          <w:sz w:val="28"/>
          <w:szCs w:val="28"/>
        </w:rPr>
        <w:t xml:space="preserve"> che le nuove Linee Guida del </w:t>
      </w:r>
      <w:r>
        <w:rPr>
          <w:rFonts w:ascii="Times New Roman" w:hAnsi="Times New Roman" w:cs="Times New Roman"/>
          <w:sz w:val="28"/>
          <w:szCs w:val="28"/>
        </w:rPr>
        <w:t>garante sui</w:t>
      </w:r>
      <w:r w:rsidR="008C01EE">
        <w:rPr>
          <w:rFonts w:ascii="Times New Roman" w:hAnsi="Times New Roman" w:cs="Times New Roman"/>
          <w:sz w:val="28"/>
          <w:szCs w:val="28"/>
        </w:rPr>
        <w:t xml:space="preserve"> </w:t>
      </w:r>
      <w:r w:rsidR="008C01EE" w:rsidRPr="0088413A">
        <w:rPr>
          <w:rFonts w:ascii="Times New Roman" w:hAnsi="Times New Roman" w:cs="Times New Roman"/>
          <w:i/>
          <w:iCs/>
          <w:sz w:val="28"/>
          <w:szCs w:val="28"/>
        </w:rPr>
        <w:t>Cookies</w:t>
      </w:r>
      <w:r w:rsidR="008C01EE">
        <w:rPr>
          <w:rFonts w:ascii="Times New Roman" w:hAnsi="Times New Roman" w:cs="Times New Roman"/>
          <w:sz w:val="28"/>
          <w:szCs w:val="28"/>
        </w:rPr>
        <w:t xml:space="preserve">, distinguendo tra </w:t>
      </w:r>
      <w:r w:rsidR="008C01EE" w:rsidRPr="0088413A">
        <w:rPr>
          <w:rFonts w:ascii="Times New Roman" w:hAnsi="Times New Roman" w:cs="Times New Roman"/>
          <w:i/>
          <w:iCs/>
          <w:sz w:val="28"/>
          <w:szCs w:val="28"/>
        </w:rPr>
        <w:t>cookie</w:t>
      </w:r>
      <w:r w:rsidR="0088413A" w:rsidRPr="0088413A">
        <w:rPr>
          <w:rFonts w:ascii="Times New Roman" w:hAnsi="Times New Roman" w:cs="Times New Roman"/>
          <w:i/>
          <w:iCs/>
          <w:sz w:val="28"/>
          <w:szCs w:val="28"/>
        </w:rPr>
        <w:t>s</w:t>
      </w:r>
      <w:r w:rsidR="008C01EE">
        <w:rPr>
          <w:rFonts w:ascii="Times New Roman" w:hAnsi="Times New Roman" w:cs="Times New Roman"/>
          <w:sz w:val="28"/>
          <w:szCs w:val="28"/>
        </w:rPr>
        <w:t xml:space="preserve"> tecnici e </w:t>
      </w:r>
      <w:r w:rsidR="008C01EE" w:rsidRPr="0088413A">
        <w:rPr>
          <w:rFonts w:ascii="Times New Roman" w:hAnsi="Times New Roman" w:cs="Times New Roman"/>
          <w:i/>
          <w:iCs/>
          <w:sz w:val="28"/>
          <w:szCs w:val="28"/>
        </w:rPr>
        <w:t>cookies</w:t>
      </w:r>
      <w:r w:rsidR="008C01EE">
        <w:rPr>
          <w:rFonts w:ascii="Times New Roman" w:hAnsi="Times New Roman" w:cs="Times New Roman"/>
          <w:sz w:val="28"/>
          <w:szCs w:val="28"/>
        </w:rPr>
        <w:t xml:space="preserve"> di </w:t>
      </w:r>
      <w:proofErr w:type="spellStart"/>
      <w:r w:rsidR="008C01EE">
        <w:rPr>
          <w:rFonts w:ascii="Times New Roman" w:hAnsi="Times New Roman" w:cs="Times New Roman"/>
          <w:sz w:val="28"/>
          <w:szCs w:val="28"/>
        </w:rPr>
        <w:t>profilazione</w:t>
      </w:r>
      <w:proofErr w:type="spellEnd"/>
      <w:r w:rsidR="008C01EE">
        <w:rPr>
          <w:rFonts w:ascii="Times New Roman" w:hAnsi="Times New Roman" w:cs="Times New Roman"/>
          <w:sz w:val="28"/>
          <w:szCs w:val="28"/>
        </w:rPr>
        <w:t xml:space="preserve"> </w:t>
      </w:r>
      <w:proofErr w:type="spellStart"/>
      <w:r w:rsidR="008C01EE" w:rsidRPr="008C01EE">
        <w:rPr>
          <w:rFonts w:ascii="Times New Roman" w:hAnsi="Times New Roman" w:cs="Times New Roman"/>
          <w:i/>
          <w:iCs/>
          <w:sz w:val="28"/>
          <w:szCs w:val="28"/>
        </w:rPr>
        <w:t>analytics</w:t>
      </w:r>
      <w:proofErr w:type="spellEnd"/>
      <w:r w:rsidR="008C01EE">
        <w:rPr>
          <w:rFonts w:ascii="Times New Roman" w:hAnsi="Times New Roman" w:cs="Times New Roman"/>
          <w:sz w:val="28"/>
          <w:szCs w:val="28"/>
        </w:rPr>
        <w:t xml:space="preserve"> (per i quali occorre il consenso </w:t>
      </w:r>
      <w:r>
        <w:rPr>
          <w:rFonts w:ascii="Times New Roman" w:hAnsi="Times New Roman" w:cs="Times New Roman"/>
          <w:sz w:val="28"/>
          <w:szCs w:val="28"/>
        </w:rPr>
        <w:t>informato, ai</w:t>
      </w:r>
      <w:r w:rsidR="008C01EE">
        <w:rPr>
          <w:rFonts w:ascii="Times New Roman" w:hAnsi="Times New Roman" w:cs="Times New Roman"/>
          <w:sz w:val="28"/>
          <w:szCs w:val="28"/>
        </w:rPr>
        <w:t xml:space="preserve"> sensi dell’art.</w:t>
      </w:r>
      <w:r>
        <w:rPr>
          <w:rFonts w:ascii="Times New Roman" w:hAnsi="Times New Roman" w:cs="Times New Roman"/>
          <w:sz w:val="28"/>
          <w:szCs w:val="28"/>
        </w:rPr>
        <w:t xml:space="preserve"> </w:t>
      </w:r>
      <w:r w:rsidR="008C01EE">
        <w:rPr>
          <w:rFonts w:ascii="Times New Roman" w:hAnsi="Times New Roman" w:cs="Times New Roman"/>
          <w:sz w:val="28"/>
          <w:szCs w:val="28"/>
        </w:rPr>
        <w:t>122 del GDPR), ha vietato il c</w:t>
      </w:r>
      <w:r w:rsidR="00F61F2D">
        <w:rPr>
          <w:rFonts w:ascii="Times New Roman" w:hAnsi="Times New Roman" w:cs="Times New Roman"/>
          <w:sz w:val="28"/>
          <w:szCs w:val="28"/>
        </w:rPr>
        <w:t>.</w:t>
      </w:r>
      <w:r w:rsidR="008C01EE">
        <w:rPr>
          <w:rFonts w:ascii="Times New Roman" w:hAnsi="Times New Roman" w:cs="Times New Roman"/>
          <w:sz w:val="28"/>
          <w:szCs w:val="28"/>
        </w:rPr>
        <w:t>d</w:t>
      </w:r>
      <w:r w:rsidR="00F61F2D">
        <w:rPr>
          <w:rFonts w:ascii="Times New Roman" w:hAnsi="Times New Roman" w:cs="Times New Roman"/>
          <w:sz w:val="28"/>
          <w:szCs w:val="28"/>
        </w:rPr>
        <w:t>.</w:t>
      </w:r>
      <w:r w:rsidR="008C01EE">
        <w:rPr>
          <w:rFonts w:ascii="Times New Roman" w:hAnsi="Times New Roman" w:cs="Times New Roman"/>
          <w:sz w:val="28"/>
          <w:szCs w:val="28"/>
        </w:rPr>
        <w:t xml:space="preserve"> </w:t>
      </w:r>
      <w:r w:rsidR="008C01EE" w:rsidRPr="008C01EE">
        <w:rPr>
          <w:rFonts w:ascii="Times New Roman" w:hAnsi="Times New Roman" w:cs="Times New Roman"/>
          <w:i/>
          <w:iCs/>
          <w:sz w:val="28"/>
          <w:szCs w:val="28"/>
        </w:rPr>
        <w:t xml:space="preserve">scrolling </w:t>
      </w:r>
      <w:r w:rsidR="008C01EE">
        <w:rPr>
          <w:rFonts w:ascii="Times New Roman" w:hAnsi="Times New Roman" w:cs="Times New Roman"/>
          <w:sz w:val="28"/>
          <w:szCs w:val="28"/>
        </w:rPr>
        <w:t>e il c</w:t>
      </w:r>
      <w:r w:rsidR="00F61F2D">
        <w:rPr>
          <w:rFonts w:ascii="Times New Roman" w:hAnsi="Times New Roman" w:cs="Times New Roman"/>
          <w:sz w:val="28"/>
          <w:szCs w:val="28"/>
        </w:rPr>
        <w:t>.</w:t>
      </w:r>
      <w:r w:rsidR="008C01EE">
        <w:rPr>
          <w:rFonts w:ascii="Times New Roman" w:hAnsi="Times New Roman" w:cs="Times New Roman"/>
          <w:sz w:val="28"/>
          <w:szCs w:val="28"/>
        </w:rPr>
        <w:t>d</w:t>
      </w:r>
      <w:r w:rsidR="00F61F2D">
        <w:rPr>
          <w:rFonts w:ascii="Times New Roman" w:hAnsi="Times New Roman" w:cs="Times New Roman"/>
          <w:sz w:val="28"/>
          <w:szCs w:val="28"/>
        </w:rPr>
        <w:t>.</w:t>
      </w:r>
      <w:r w:rsidR="008C01EE">
        <w:rPr>
          <w:rFonts w:ascii="Times New Roman" w:hAnsi="Times New Roman" w:cs="Times New Roman"/>
          <w:sz w:val="28"/>
          <w:szCs w:val="28"/>
        </w:rPr>
        <w:t xml:space="preserve"> </w:t>
      </w:r>
      <w:r w:rsidR="008C01EE" w:rsidRPr="008C01EE">
        <w:rPr>
          <w:rFonts w:ascii="Times New Roman" w:hAnsi="Times New Roman" w:cs="Times New Roman"/>
          <w:i/>
          <w:iCs/>
          <w:sz w:val="28"/>
          <w:szCs w:val="28"/>
        </w:rPr>
        <w:t xml:space="preserve">Cookie </w:t>
      </w:r>
      <w:proofErr w:type="spellStart"/>
      <w:r w:rsidRPr="008C01EE">
        <w:rPr>
          <w:rFonts w:ascii="Times New Roman" w:hAnsi="Times New Roman" w:cs="Times New Roman"/>
          <w:i/>
          <w:iCs/>
          <w:sz w:val="28"/>
          <w:szCs w:val="28"/>
        </w:rPr>
        <w:t>wall</w:t>
      </w:r>
      <w:proofErr w:type="spellEnd"/>
      <w:r>
        <w:rPr>
          <w:rFonts w:ascii="Times New Roman" w:hAnsi="Times New Roman" w:cs="Times New Roman"/>
          <w:sz w:val="28"/>
          <w:szCs w:val="28"/>
        </w:rPr>
        <w:t>,</w:t>
      </w:r>
      <w:r w:rsidR="008C01EE">
        <w:rPr>
          <w:rFonts w:ascii="Times New Roman" w:hAnsi="Times New Roman" w:cs="Times New Roman"/>
          <w:sz w:val="28"/>
          <w:szCs w:val="28"/>
        </w:rPr>
        <w:t xml:space="preserve"> ossia il sistema basato sul </w:t>
      </w:r>
      <w:r w:rsidR="008C01EE" w:rsidRPr="0088413A">
        <w:rPr>
          <w:rFonts w:ascii="Times New Roman" w:hAnsi="Times New Roman" w:cs="Times New Roman"/>
          <w:sz w:val="28"/>
          <w:szCs w:val="28"/>
        </w:rPr>
        <w:t>c</w:t>
      </w:r>
      <w:r w:rsidR="00F61F2D" w:rsidRPr="0088413A">
        <w:rPr>
          <w:rFonts w:ascii="Times New Roman" w:hAnsi="Times New Roman" w:cs="Times New Roman"/>
          <w:sz w:val="28"/>
          <w:szCs w:val="28"/>
        </w:rPr>
        <w:t>.</w:t>
      </w:r>
      <w:r w:rsidR="008C01EE" w:rsidRPr="0088413A">
        <w:rPr>
          <w:rFonts w:ascii="Times New Roman" w:hAnsi="Times New Roman" w:cs="Times New Roman"/>
          <w:sz w:val="28"/>
          <w:szCs w:val="28"/>
        </w:rPr>
        <w:t>d</w:t>
      </w:r>
      <w:r w:rsidR="00F61F2D" w:rsidRPr="0088413A">
        <w:rPr>
          <w:rFonts w:ascii="Times New Roman" w:hAnsi="Times New Roman" w:cs="Times New Roman"/>
          <w:sz w:val="28"/>
          <w:szCs w:val="28"/>
        </w:rPr>
        <w:t>.</w:t>
      </w:r>
      <w:r w:rsidR="008C01EE" w:rsidRPr="008C01EE">
        <w:rPr>
          <w:rFonts w:ascii="Times New Roman" w:hAnsi="Times New Roman" w:cs="Times New Roman"/>
          <w:i/>
          <w:iCs/>
          <w:sz w:val="28"/>
          <w:szCs w:val="28"/>
        </w:rPr>
        <w:t xml:space="preserve"> </w:t>
      </w:r>
      <w:r w:rsidR="0088413A">
        <w:rPr>
          <w:rFonts w:ascii="Times New Roman" w:hAnsi="Times New Roman" w:cs="Times New Roman"/>
          <w:i/>
          <w:iCs/>
          <w:sz w:val="28"/>
          <w:szCs w:val="28"/>
        </w:rPr>
        <w:t>“</w:t>
      </w:r>
      <w:r w:rsidR="008C01EE" w:rsidRPr="008C01EE">
        <w:rPr>
          <w:rFonts w:ascii="Times New Roman" w:hAnsi="Times New Roman" w:cs="Times New Roman"/>
          <w:i/>
          <w:iCs/>
          <w:sz w:val="28"/>
          <w:szCs w:val="28"/>
        </w:rPr>
        <w:t xml:space="preserve">take </w:t>
      </w:r>
      <w:proofErr w:type="spellStart"/>
      <w:r w:rsidR="008C01EE" w:rsidRPr="008C01EE">
        <w:rPr>
          <w:rFonts w:ascii="Times New Roman" w:hAnsi="Times New Roman" w:cs="Times New Roman"/>
          <w:i/>
          <w:iCs/>
          <w:sz w:val="28"/>
          <w:szCs w:val="28"/>
        </w:rPr>
        <w:t>it</w:t>
      </w:r>
      <w:proofErr w:type="spellEnd"/>
      <w:r w:rsidR="008C01EE" w:rsidRPr="008C01EE">
        <w:rPr>
          <w:rFonts w:ascii="Times New Roman" w:hAnsi="Times New Roman" w:cs="Times New Roman"/>
          <w:i/>
          <w:iCs/>
          <w:sz w:val="28"/>
          <w:szCs w:val="28"/>
        </w:rPr>
        <w:t xml:space="preserve"> or </w:t>
      </w:r>
      <w:proofErr w:type="spellStart"/>
      <w:r w:rsidR="008C01EE" w:rsidRPr="008C01EE">
        <w:rPr>
          <w:rFonts w:ascii="Times New Roman" w:hAnsi="Times New Roman" w:cs="Times New Roman"/>
          <w:i/>
          <w:iCs/>
          <w:sz w:val="28"/>
          <w:szCs w:val="28"/>
        </w:rPr>
        <w:t>leave</w:t>
      </w:r>
      <w:proofErr w:type="spellEnd"/>
      <w:r w:rsidR="008C01EE" w:rsidRPr="008C01EE">
        <w:rPr>
          <w:rFonts w:ascii="Times New Roman" w:hAnsi="Times New Roman" w:cs="Times New Roman"/>
          <w:i/>
          <w:iCs/>
          <w:sz w:val="28"/>
          <w:szCs w:val="28"/>
        </w:rPr>
        <w:t xml:space="preserve"> </w:t>
      </w:r>
      <w:proofErr w:type="spellStart"/>
      <w:r w:rsidR="008C01EE" w:rsidRPr="008C01EE">
        <w:rPr>
          <w:rFonts w:ascii="Times New Roman" w:hAnsi="Times New Roman" w:cs="Times New Roman"/>
          <w:i/>
          <w:iCs/>
          <w:sz w:val="28"/>
          <w:szCs w:val="28"/>
        </w:rPr>
        <w:t>it</w:t>
      </w:r>
      <w:proofErr w:type="spellEnd"/>
      <w:r w:rsidR="008C01EE" w:rsidRPr="0088413A">
        <w:rPr>
          <w:rFonts w:ascii="Times New Roman" w:hAnsi="Times New Roman" w:cs="Times New Roman"/>
          <w:sz w:val="28"/>
          <w:szCs w:val="28"/>
        </w:rPr>
        <w:t>”</w:t>
      </w:r>
      <w:r w:rsidR="0088413A" w:rsidRPr="0088413A">
        <w:rPr>
          <w:rFonts w:ascii="Times New Roman" w:hAnsi="Times New Roman" w:cs="Times New Roman"/>
          <w:sz w:val="28"/>
          <w:szCs w:val="28"/>
        </w:rPr>
        <w:t>:</w:t>
      </w:r>
      <w:r w:rsidR="0088413A">
        <w:rPr>
          <w:rFonts w:ascii="Times New Roman" w:hAnsi="Times New Roman" w:cs="Times New Roman"/>
          <w:i/>
          <w:iCs/>
          <w:sz w:val="28"/>
          <w:szCs w:val="28"/>
        </w:rPr>
        <w:t xml:space="preserve"> </w:t>
      </w:r>
      <w:r w:rsidR="008C01EE" w:rsidRPr="008C01EE">
        <w:rPr>
          <w:rFonts w:ascii="Times New Roman" w:hAnsi="Times New Roman" w:cs="Times New Roman"/>
          <w:sz w:val="28"/>
          <w:szCs w:val="28"/>
        </w:rPr>
        <w:t>l’</w:t>
      </w:r>
      <w:r w:rsidR="008C01EE">
        <w:rPr>
          <w:rFonts w:ascii="Times New Roman" w:hAnsi="Times New Roman" w:cs="Times New Roman"/>
          <w:sz w:val="28"/>
          <w:szCs w:val="28"/>
        </w:rPr>
        <w:t>utente è obbligato a fornire il proprio consenso, pena l’impossibilità di accedere al sito.</w:t>
      </w:r>
      <w:r w:rsidR="007F7ADF">
        <w:rPr>
          <w:rFonts w:ascii="Times New Roman" w:hAnsi="Times New Roman" w:cs="Times New Roman"/>
          <w:sz w:val="28"/>
          <w:szCs w:val="28"/>
        </w:rPr>
        <w:t xml:space="preserve"> </w:t>
      </w:r>
    </w:p>
    <w:p w14:paraId="3B9EABAA" w14:textId="77777777" w:rsidR="0088413A" w:rsidRDefault="007F7ADF"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Se quelli appena descritti sono alcuni dei provvedimenti limitativi dell’applicazione della tecnologia in violazioni dei diritti e delle libertà fondamentali dell’uomo, occorre considerare che l’intelligenza artificiale può andare ben </w:t>
      </w:r>
      <w:r w:rsidR="00577490">
        <w:rPr>
          <w:rFonts w:ascii="Times New Roman" w:hAnsi="Times New Roman" w:cs="Times New Roman"/>
          <w:sz w:val="28"/>
          <w:szCs w:val="28"/>
        </w:rPr>
        <w:t>oltre,</w:t>
      </w:r>
      <w:r>
        <w:rPr>
          <w:rFonts w:ascii="Times New Roman" w:hAnsi="Times New Roman" w:cs="Times New Roman"/>
          <w:sz w:val="28"/>
          <w:szCs w:val="28"/>
        </w:rPr>
        <w:t xml:space="preserve"> in quanto, come ha osservato Rita </w:t>
      </w:r>
      <w:proofErr w:type="spellStart"/>
      <w:r>
        <w:rPr>
          <w:rFonts w:ascii="Times New Roman" w:hAnsi="Times New Roman" w:cs="Times New Roman"/>
          <w:sz w:val="28"/>
          <w:szCs w:val="28"/>
        </w:rPr>
        <w:t>Cucchiara</w:t>
      </w:r>
      <w:proofErr w:type="spellEnd"/>
      <w:r>
        <w:rPr>
          <w:rFonts w:ascii="Times New Roman" w:hAnsi="Times New Roman" w:cs="Times New Roman"/>
          <w:sz w:val="28"/>
          <w:szCs w:val="28"/>
        </w:rPr>
        <w:t xml:space="preserve">, una delle massime scienziate di </w:t>
      </w:r>
      <w:r w:rsidR="00577490">
        <w:rPr>
          <w:rFonts w:ascii="Times New Roman" w:hAnsi="Times New Roman" w:cs="Times New Roman"/>
          <w:sz w:val="28"/>
          <w:szCs w:val="28"/>
        </w:rPr>
        <w:t>IA,</w:t>
      </w:r>
      <w:r>
        <w:rPr>
          <w:rFonts w:ascii="Times New Roman" w:hAnsi="Times New Roman" w:cs="Times New Roman"/>
          <w:sz w:val="28"/>
          <w:szCs w:val="28"/>
        </w:rPr>
        <w:t xml:space="preserve"> tale tipo di tecnologia è di tipo “generativo”, creando un’integrazione tra mondo reale e mondo digitale di cui è difficile individuare il lim</w:t>
      </w:r>
      <w:r w:rsidR="00D302DA">
        <w:rPr>
          <w:rFonts w:ascii="Times New Roman" w:hAnsi="Times New Roman" w:cs="Times New Roman"/>
          <w:sz w:val="28"/>
          <w:szCs w:val="28"/>
        </w:rPr>
        <w:t>i</w:t>
      </w:r>
      <w:r>
        <w:rPr>
          <w:rFonts w:ascii="Times New Roman" w:hAnsi="Times New Roman" w:cs="Times New Roman"/>
          <w:sz w:val="28"/>
          <w:szCs w:val="28"/>
        </w:rPr>
        <w:t xml:space="preserve">te. </w:t>
      </w:r>
    </w:p>
    <w:p w14:paraId="302CB527" w14:textId="77777777" w:rsidR="0088413A" w:rsidRDefault="007F7ADF"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Si è coniato così il termine di “</w:t>
      </w:r>
      <w:r w:rsidRPr="007F7ADF">
        <w:rPr>
          <w:rFonts w:ascii="Times New Roman" w:hAnsi="Times New Roman" w:cs="Times New Roman"/>
          <w:i/>
          <w:iCs/>
          <w:sz w:val="28"/>
          <w:szCs w:val="28"/>
        </w:rPr>
        <w:t>giurimetria</w:t>
      </w:r>
      <w:r w:rsidRPr="0088413A">
        <w:rPr>
          <w:rFonts w:ascii="Times New Roman" w:hAnsi="Times New Roman" w:cs="Times New Roman"/>
          <w:sz w:val="28"/>
          <w:szCs w:val="28"/>
        </w:rPr>
        <w:t xml:space="preserve">”, </w:t>
      </w:r>
      <w:r>
        <w:rPr>
          <w:rFonts w:ascii="Times New Roman" w:hAnsi="Times New Roman" w:cs="Times New Roman"/>
          <w:sz w:val="28"/>
          <w:szCs w:val="28"/>
        </w:rPr>
        <w:t xml:space="preserve">strumentalità della tecnologia basata sul principio di precauzione e proporzionalità: libertà non solo di manifestare il pensiero, ma di formare autonomamente il nostro pensiero, nuova sfida della sovranità degli Stati da parte dei giganti del web, il passaggio dal territorio al </w:t>
      </w:r>
      <w:proofErr w:type="spellStart"/>
      <w:r w:rsidRPr="0088413A">
        <w:rPr>
          <w:rFonts w:ascii="Times New Roman" w:hAnsi="Times New Roman" w:cs="Times New Roman"/>
          <w:i/>
          <w:iCs/>
          <w:sz w:val="28"/>
          <w:szCs w:val="28"/>
        </w:rPr>
        <w:t>cloud</w:t>
      </w:r>
      <w:proofErr w:type="spellEnd"/>
      <w:r>
        <w:rPr>
          <w:rFonts w:ascii="Times New Roman" w:hAnsi="Times New Roman" w:cs="Times New Roman"/>
          <w:sz w:val="28"/>
          <w:szCs w:val="28"/>
        </w:rPr>
        <w:t xml:space="preserve">, dalla legge ai protocolli informatici, la dimensione </w:t>
      </w:r>
      <w:proofErr w:type="spellStart"/>
      <w:r w:rsidRPr="007F7ADF">
        <w:rPr>
          <w:rFonts w:ascii="Times New Roman" w:hAnsi="Times New Roman" w:cs="Times New Roman"/>
          <w:i/>
          <w:iCs/>
          <w:sz w:val="28"/>
          <w:szCs w:val="28"/>
        </w:rPr>
        <w:t>onlife</w:t>
      </w:r>
      <w:proofErr w:type="spellEnd"/>
      <w:r>
        <w:rPr>
          <w:rFonts w:ascii="Times New Roman" w:hAnsi="Times New Roman" w:cs="Times New Roman"/>
          <w:i/>
          <w:iCs/>
          <w:sz w:val="28"/>
          <w:szCs w:val="28"/>
        </w:rPr>
        <w:t xml:space="preserve"> </w:t>
      </w:r>
      <w:r w:rsidRPr="007F7ADF">
        <w:rPr>
          <w:rFonts w:ascii="Times New Roman" w:hAnsi="Times New Roman" w:cs="Times New Roman"/>
          <w:sz w:val="28"/>
          <w:szCs w:val="28"/>
        </w:rPr>
        <w:t xml:space="preserve">di Floridi </w:t>
      </w:r>
      <w:r>
        <w:rPr>
          <w:rFonts w:ascii="Times New Roman" w:hAnsi="Times New Roman" w:cs="Times New Roman"/>
          <w:sz w:val="28"/>
          <w:szCs w:val="28"/>
        </w:rPr>
        <w:t xml:space="preserve">che investe l’umanità in tutte le sue manifestazioni. </w:t>
      </w:r>
    </w:p>
    <w:p w14:paraId="16412DF0" w14:textId="77777777" w:rsidR="0088413A" w:rsidRDefault="007F7ADF"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Occorre considerare la relazione </w:t>
      </w:r>
      <w:r w:rsidR="00D302DA">
        <w:rPr>
          <w:rFonts w:ascii="Times New Roman" w:hAnsi="Times New Roman" w:cs="Times New Roman"/>
          <w:sz w:val="28"/>
          <w:szCs w:val="28"/>
        </w:rPr>
        <w:t xml:space="preserve">tra IA e tutela della dignità della persona umana. </w:t>
      </w:r>
    </w:p>
    <w:p w14:paraId="16C73E4E" w14:textId="77777777" w:rsidR="001F0D56" w:rsidRDefault="00D302DA"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L’IA potrebbe essere utilizzata per il c</w:t>
      </w:r>
      <w:r w:rsidR="000940FC">
        <w:rPr>
          <w:rFonts w:ascii="Times New Roman" w:hAnsi="Times New Roman" w:cs="Times New Roman"/>
          <w:sz w:val="28"/>
          <w:szCs w:val="28"/>
        </w:rPr>
        <w:t>.</w:t>
      </w:r>
      <w:r>
        <w:rPr>
          <w:rFonts w:ascii="Times New Roman" w:hAnsi="Times New Roman" w:cs="Times New Roman"/>
          <w:sz w:val="28"/>
          <w:szCs w:val="28"/>
        </w:rPr>
        <w:t>d</w:t>
      </w:r>
      <w:r w:rsidR="000940F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D302DA">
        <w:rPr>
          <w:rFonts w:ascii="Times New Roman" w:hAnsi="Times New Roman" w:cs="Times New Roman"/>
          <w:i/>
          <w:iCs/>
          <w:sz w:val="28"/>
          <w:szCs w:val="28"/>
        </w:rPr>
        <w:t>enha</w:t>
      </w:r>
      <w:r w:rsidR="000940FC">
        <w:rPr>
          <w:rFonts w:ascii="Times New Roman" w:hAnsi="Times New Roman" w:cs="Times New Roman"/>
          <w:i/>
          <w:iCs/>
          <w:sz w:val="28"/>
          <w:szCs w:val="28"/>
        </w:rPr>
        <w:t>n</w:t>
      </w:r>
      <w:r w:rsidRPr="00D302DA">
        <w:rPr>
          <w:rFonts w:ascii="Times New Roman" w:hAnsi="Times New Roman" w:cs="Times New Roman"/>
          <w:i/>
          <w:iCs/>
          <w:sz w:val="28"/>
          <w:szCs w:val="28"/>
        </w:rPr>
        <w:t>cement</w:t>
      </w:r>
      <w:proofErr w:type="spellEnd"/>
      <w:r w:rsidRPr="00D302DA">
        <w:rPr>
          <w:rFonts w:ascii="Times New Roman" w:hAnsi="Times New Roman" w:cs="Times New Roman"/>
          <w:i/>
          <w:iCs/>
          <w:sz w:val="28"/>
          <w:szCs w:val="28"/>
        </w:rPr>
        <w:t xml:space="preserve"> umano</w:t>
      </w:r>
      <w:r>
        <w:rPr>
          <w:rFonts w:ascii="Times New Roman" w:hAnsi="Times New Roman" w:cs="Times New Roman"/>
          <w:i/>
          <w:iCs/>
          <w:sz w:val="28"/>
          <w:szCs w:val="28"/>
        </w:rPr>
        <w:t xml:space="preserve">, </w:t>
      </w:r>
      <w:r w:rsidRPr="00D302DA">
        <w:rPr>
          <w:rFonts w:ascii="Times New Roman" w:hAnsi="Times New Roman" w:cs="Times New Roman"/>
          <w:sz w:val="28"/>
          <w:szCs w:val="28"/>
        </w:rPr>
        <w:t>che,</w:t>
      </w:r>
      <w:r>
        <w:rPr>
          <w:rFonts w:ascii="Times New Roman" w:hAnsi="Times New Roman" w:cs="Times New Roman"/>
          <w:i/>
          <w:iCs/>
          <w:sz w:val="28"/>
          <w:szCs w:val="28"/>
        </w:rPr>
        <w:t xml:space="preserve"> </w:t>
      </w:r>
      <w:r>
        <w:rPr>
          <w:rFonts w:ascii="Times New Roman" w:hAnsi="Times New Roman" w:cs="Times New Roman"/>
          <w:sz w:val="28"/>
          <w:szCs w:val="28"/>
        </w:rPr>
        <w:t>utilissimo nel campo medico per prevenire malattie neurodegenerative, potrebbe</w:t>
      </w:r>
      <w:r w:rsidR="0088413A">
        <w:rPr>
          <w:rFonts w:ascii="Times New Roman" w:hAnsi="Times New Roman" w:cs="Times New Roman"/>
          <w:sz w:val="28"/>
          <w:szCs w:val="28"/>
        </w:rPr>
        <w:t>,</w:t>
      </w:r>
      <w:r>
        <w:rPr>
          <w:rFonts w:ascii="Times New Roman" w:hAnsi="Times New Roman" w:cs="Times New Roman"/>
          <w:sz w:val="28"/>
          <w:szCs w:val="28"/>
        </w:rPr>
        <w:t xml:space="preserve"> al di fuori di tali applicazioni terapeutiche, mettere </w:t>
      </w:r>
      <w:r w:rsidR="000940FC">
        <w:rPr>
          <w:rFonts w:ascii="Times New Roman" w:hAnsi="Times New Roman" w:cs="Times New Roman"/>
          <w:sz w:val="28"/>
          <w:szCs w:val="28"/>
        </w:rPr>
        <w:t>i</w:t>
      </w:r>
      <w:r>
        <w:rPr>
          <w:rFonts w:ascii="Times New Roman" w:hAnsi="Times New Roman" w:cs="Times New Roman"/>
          <w:sz w:val="28"/>
          <w:szCs w:val="28"/>
        </w:rPr>
        <w:t xml:space="preserve">n crisi il principio di uguaglianza sostanziale. Verrebbe ad affermarsi il diritto o la ricerca della </w:t>
      </w:r>
      <w:proofErr w:type="spellStart"/>
      <w:r w:rsidR="00577490" w:rsidRPr="00D302DA">
        <w:rPr>
          <w:rFonts w:ascii="Times New Roman" w:hAnsi="Times New Roman" w:cs="Times New Roman"/>
          <w:i/>
          <w:iCs/>
          <w:sz w:val="28"/>
          <w:szCs w:val="28"/>
        </w:rPr>
        <w:t>happ</w:t>
      </w:r>
      <w:r w:rsidR="000940FC">
        <w:rPr>
          <w:rFonts w:ascii="Times New Roman" w:hAnsi="Times New Roman" w:cs="Times New Roman"/>
          <w:i/>
          <w:iCs/>
          <w:sz w:val="28"/>
          <w:szCs w:val="28"/>
        </w:rPr>
        <w:t>i</w:t>
      </w:r>
      <w:r w:rsidR="00577490" w:rsidRPr="00D302DA">
        <w:rPr>
          <w:rFonts w:ascii="Times New Roman" w:hAnsi="Times New Roman" w:cs="Times New Roman"/>
          <w:i/>
          <w:iCs/>
          <w:sz w:val="28"/>
          <w:szCs w:val="28"/>
        </w:rPr>
        <w:t>ness</w:t>
      </w:r>
      <w:proofErr w:type="spellEnd"/>
      <w:r w:rsidR="00577490" w:rsidRPr="00D302DA">
        <w:rPr>
          <w:rFonts w:ascii="Times New Roman" w:hAnsi="Times New Roman" w:cs="Times New Roman"/>
          <w:i/>
          <w:iCs/>
          <w:sz w:val="28"/>
          <w:szCs w:val="28"/>
        </w:rPr>
        <w:t>,</w:t>
      </w:r>
      <w:r>
        <w:rPr>
          <w:rFonts w:ascii="Times New Roman" w:hAnsi="Times New Roman" w:cs="Times New Roman"/>
          <w:sz w:val="28"/>
          <w:szCs w:val="28"/>
        </w:rPr>
        <w:t xml:space="preserve"> prevista dalla Dichiarazione di Indipendenza americana e nell’ambito dell’accertamento della responsabilità non vi sarebbe più scansione tra disposizione della norma, accertamento e irrogazione della sanzione. </w:t>
      </w:r>
    </w:p>
    <w:p w14:paraId="2BBD8292" w14:textId="5E023C11" w:rsidR="00577A0B" w:rsidRDefault="00D302DA" w:rsidP="00A600D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Tutto allora dipende dall’individuazione della responsabilità che può discendere dalla macchina, </w:t>
      </w:r>
      <w:proofErr w:type="spellStart"/>
      <w:r w:rsidRPr="00D302DA">
        <w:rPr>
          <w:rFonts w:ascii="Times New Roman" w:hAnsi="Times New Roman" w:cs="Times New Roman"/>
          <w:i/>
          <w:iCs/>
          <w:sz w:val="28"/>
          <w:szCs w:val="28"/>
        </w:rPr>
        <w:t>rectius</w:t>
      </w:r>
      <w:proofErr w:type="spellEnd"/>
      <w:r>
        <w:rPr>
          <w:rFonts w:ascii="Times New Roman" w:hAnsi="Times New Roman" w:cs="Times New Roman"/>
          <w:sz w:val="28"/>
          <w:szCs w:val="28"/>
        </w:rPr>
        <w:t xml:space="preserve"> dall’applicazione dell’algoritmo: occorre perimetrare il centro di imputazione della responsabilità umana</w:t>
      </w:r>
      <w:r w:rsidR="00577490">
        <w:rPr>
          <w:rStyle w:val="Rimandonotaapidipagina"/>
          <w:rFonts w:ascii="Times New Roman" w:hAnsi="Times New Roman" w:cs="Times New Roman"/>
          <w:sz w:val="28"/>
          <w:szCs w:val="28"/>
        </w:rPr>
        <w:footnoteReference w:id="76"/>
      </w:r>
      <w:r>
        <w:rPr>
          <w:rFonts w:ascii="Times New Roman" w:hAnsi="Times New Roman" w:cs="Times New Roman"/>
          <w:sz w:val="28"/>
          <w:szCs w:val="28"/>
        </w:rPr>
        <w:t>.</w:t>
      </w:r>
    </w:p>
    <w:p w14:paraId="515EDE12" w14:textId="4C55455C" w:rsidR="0080054E" w:rsidRPr="00D302DA" w:rsidRDefault="0080054E"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t>In tale ottica</w:t>
      </w:r>
      <w:r w:rsidR="000940FC">
        <w:rPr>
          <w:rFonts w:ascii="Times New Roman" w:hAnsi="Times New Roman" w:cs="Times New Roman"/>
          <w:sz w:val="28"/>
          <w:szCs w:val="28"/>
        </w:rPr>
        <w:t>,</w:t>
      </w:r>
      <w:r>
        <w:rPr>
          <w:rFonts w:ascii="Times New Roman" w:hAnsi="Times New Roman" w:cs="Times New Roman"/>
          <w:sz w:val="28"/>
          <w:szCs w:val="28"/>
        </w:rPr>
        <w:t xml:space="preserve"> autorevoli Autori</w:t>
      </w:r>
      <w:r w:rsidR="00577490">
        <w:rPr>
          <w:rStyle w:val="Rimandonotaapidipagina"/>
          <w:rFonts w:ascii="Times New Roman" w:hAnsi="Times New Roman" w:cs="Times New Roman"/>
          <w:sz w:val="28"/>
          <w:szCs w:val="28"/>
        </w:rPr>
        <w:footnoteReference w:id="77"/>
      </w:r>
      <w:r w:rsidR="00577490">
        <w:rPr>
          <w:rFonts w:ascii="Times New Roman" w:hAnsi="Times New Roman" w:cs="Times New Roman"/>
          <w:sz w:val="28"/>
          <w:szCs w:val="28"/>
        </w:rPr>
        <w:t xml:space="preserve"> </w:t>
      </w:r>
      <w:r>
        <w:rPr>
          <w:rFonts w:ascii="Times New Roman" w:hAnsi="Times New Roman" w:cs="Times New Roman"/>
          <w:sz w:val="28"/>
          <w:szCs w:val="28"/>
        </w:rPr>
        <w:t>pongono la necessità di una visione antropocentrica che non sia riduttivamente antro</w:t>
      </w:r>
      <w:r w:rsidR="00B33B9D">
        <w:rPr>
          <w:rFonts w:ascii="Times New Roman" w:hAnsi="Times New Roman" w:cs="Times New Roman"/>
          <w:sz w:val="28"/>
          <w:szCs w:val="28"/>
        </w:rPr>
        <w:t>po</w:t>
      </w:r>
      <w:r>
        <w:rPr>
          <w:rFonts w:ascii="Times New Roman" w:hAnsi="Times New Roman" w:cs="Times New Roman"/>
          <w:sz w:val="28"/>
          <w:szCs w:val="28"/>
        </w:rPr>
        <w:t>morfa. Come governare l’IA significa delineare il sistema di difesa dei diritti</w:t>
      </w:r>
      <w:r w:rsidR="00EC67AB">
        <w:rPr>
          <w:rStyle w:val="Rimandonotaapidipagina"/>
          <w:rFonts w:ascii="Times New Roman" w:hAnsi="Times New Roman" w:cs="Times New Roman"/>
          <w:sz w:val="28"/>
          <w:szCs w:val="28"/>
        </w:rPr>
        <w:footnoteReference w:id="78"/>
      </w:r>
      <w:r>
        <w:rPr>
          <w:rFonts w:ascii="Times New Roman" w:hAnsi="Times New Roman" w:cs="Times New Roman"/>
          <w:sz w:val="28"/>
          <w:szCs w:val="28"/>
        </w:rPr>
        <w:t>.</w:t>
      </w:r>
      <w:r w:rsidR="001A070F">
        <w:rPr>
          <w:rFonts w:ascii="Times New Roman" w:hAnsi="Times New Roman" w:cs="Times New Roman"/>
          <w:sz w:val="28"/>
          <w:szCs w:val="28"/>
        </w:rPr>
        <w:t xml:space="preserve"> A tal proposito</w:t>
      </w:r>
      <w:r w:rsidR="001F0D56">
        <w:rPr>
          <w:rFonts w:ascii="Times New Roman" w:hAnsi="Times New Roman" w:cs="Times New Roman"/>
          <w:sz w:val="28"/>
          <w:szCs w:val="28"/>
        </w:rPr>
        <w:t>,</w:t>
      </w:r>
      <w:r w:rsidR="001A070F">
        <w:rPr>
          <w:rFonts w:ascii="Times New Roman" w:hAnsi="Times New Roman" w:cs="Times New Roman"/>
          <w:sz w:val="28"/>
          <w:szCs w:val="28"/>
        </w:rPr>
        <w:t xml:space="preserve"> occorre precisare </w:t>
      </w:r>
      <w:r w:rsidR="001A070F" w:rsidRPr="00CE7580">
        <w:rPr>
          <w:rFonts w:ascii="Times New Roman" w:hAnsi="Times New Roman" w:cs="Times New Roman"/>
          <w:sz w:val="28"/>
          <w:szCs w:val="28"/>
        </w:rPr>
        <w:t>che l’IA ragiona per inferenza e non per causalità, ha capacità sintattica, ma non semantica.</w:t>
      </w:r>
    </w:p>
    <w:p w14:paraId="3FA0985A" w14:textId="77777777" w:rsidR="001F0D56" w:rsidRDefault="001A070F" w:rsidP="00774481">
      <w:pPr>
        <w:tabs>
          <w:tab w:val="left" w:pos="8364"/>
        </w:tabs>
        <w:jc w:val="both"/>
        <w:rPr>
          <w:rFonts w:ascii="Times New Roman" w:hAnsi="Times New Roman" w:cs="Times New Roman"/>
          <w:sz w:val="28"/>
          <w:szCs w:val="28"/>
        </w:rPr>
      </w:pPr>
      <w:r w:rsidRPr="001A070F">
        <w:rPr>
          <w:rFonts w:ascii="Times New Roman" w:hAnsi="Times New Roman" w:cs="Times New Roman"/>
          <w:sz w:val="28"/>
          <w:szCs w:val="28"/>
        </w:rPr>
        <w:lastRenderedPageBreak/>
        <w:t>Sulla base di tale considerazione</w:t>
      </w:r>
      <w:r w:rsidR="001F0D56">
        <w:rPr>
          <w:rFonts w:ascii="Times New Roman" w:hAnsi="Times New Roman" w:cs="Times New Roman"/>
          <w:sz w:val="28"/>
          <w:szCs w:val="28"/>
        </w:rPr>
        <w:t>,</w:t>
      </w:r>
      <w:r w:rsidRPr="001A070F">
        <w:rPr>
          <w:rFonts w:ascii="Times New Roman" w:hAnsi="Times New Roman" w:cs="Times New Roman"/>
          <w:sz w:val="28"/>
          <w:szCs w:val="28"/>
        </w:rPr>
        <w:t xml:space="preserve"> </w:t>
      </w:r>
      <w:r>
        <w:rPr>
          <w:rFonts w:ascii="Times New Roman" w:hAnsi="Times New Roman" w:cs="Times New Roman"/>
          <w:sz w:val="28"/>
          <w:szCs w:val="28"/>
        </w:rPr>
        <w:t>autorevoli civilistici hanno giustamente osservato che la nuova proposta di regolamento sull’intelligenza artificiale contiene più disposizioni amministrative</w:t>
      </w:r>
      <w:r w:rsidR="007F3D2C">
        <w:rPr>
          <w:rFonts w:ascii="Times New Roman" w:hAnsi="Times New Roman" w:cs="Times New Roman"/>
          <w:sz w:val="28"/>
          <w:szCs w:val="28"/>
        </w:rPr>
        <w:t xml:space="preserve"> che norme di diritto civile: contrariamente alla Risoluzione del Parlamento europeo del 2017</w:t>
      </w:r>
      <w:r w:rsidR="003F3E47">
        <w:rPr>
          <w:rFonts w:ascii="Times New Roman" w:hAnsi="Times New Roman" w:cs="Times New Roman"/>
          <w:sz w:val="28"/>
          <w:szCs w:val="28"/>
        </w:rPr>
        <w:t>,</w:t>
      </w:r>
      <w:r w:rsidR="007F3D2C">
        <w:rPr>
          <w:rFonts w:ascii="Times New Roman" w:hAnsi="Times New Roman" w:cs="Times New Roman"/>
          <w:sz w:val="28"/>
          <w:szCs w:val="28"/>
        </w:rPr>
        <w:t xml:space="preserve"> non spinge per inserire norme sui contratti e sulla responsabilità, introduce principi generali, </w:t>
      </w:r>
      <w:r w:rsidR="007F3D2C" w:rsidRPr="007F3D2C">
        <w:rPr>
          <w:rFonts w:ascii="Times New Roman" w:hAnsi="Times New Roman" w:cs="Times New Roman"/>
          <w:i/>
          <w:iCs/>
          <w:sz w:val="28"/>
          <w:szCs w:val="28"/>
        </w:rPr>
        <w:t xml:space="preserve">general </w:t>
      </w:r>
      <w:proofErr w:type="spellStart"/>
      <w:r w:rsidR="007F3D2C" w:rsidRPr="007F3D2C">
        <w:rPr>
          <w:rFonts w:ascii="Times New Roman" w:hAnsi="Times New Roman" w:cs="Times New Roman"/>
          <w:i/>
          <w:iCs/>
          <w:sz w:val="28"/>
          <w:szCs w:val="28"/>
        </w:rPr>
        <w:t>clauses</w:t>
      </w:r>
      <w:proofErr w:type="spellEnd"/>
      <w:r w:rsidR="007F3D2C">
        <w:rPr>
          <w:rFonts w:ascii="Times New Roman" w:hAnsi="Times New Roman" w:cs="Times New Roman"/>
          <w:i/>
          <w:iCs/>
          <w:sz w:val="28"/>
          <w:szCs w:val="28"/>
        </w:rPr>
        <w:t xml:space="preserve">, model </w:t>
      </w:r>
      <w:proofErr w:type="spellStart"/>
      <w:r w:rsidR="007F3D2C">
        <w:rPr>
          <w:rFonts w:ascii="Times New Roman" w:hAnsi="Times New Roman" w:cs="Times New Roman"/>
          <w:i/>
          <w:iCs/>
          <w:sz w:val="28"/>
          <w:szCs w:val="28"/>
        </w:rPr>
        <w:t>rules</w:t>
      </w:r>
      <w:proofErr w:type="spellEnd"/>
      <w:r w:rsidR="007F3D2C">
        <w:rPr>
          <w:rFonts w:ascii="Times New Roman" w:hAnsi="Times New Roman" w:cs="Times New Roman"/>
          <w:i/>
          <w:iCs/>
          <w:sz w:val="28"/>
          <w:szCs w:val="28"/>
        </w:rPr>
        <w:t xml:space="preserve">, </w:t>
      </w:r>
      <w:r w:rsidR="007F3D2C" w:rsidRPr="007F3D2C">
        <w:rPr>
          <w:rFonts w:ascii="Times New Roman" w:hAnsi="Times New Roman" w:cs="Times New Roman"/>
          <w:sz w:val="28"/>
          <w:szCs w:val="28"/>
        </w:rPr>
        <w:t>lasciando molto spazio</w:t>
      </w:r>
      <w:r w:rsidR="007F3D2C">
        <w:rPr>
          <w:rFonts w:ascii="Times New Roman" w:hAnsi="Times New Roman" w:cs="Times New Roman"/>
          <w:sz w:val="28"/>
          <w:szCs w:val="28"/>
        </w:rPr>
        <w:t xml:space="preserve"> più all’evoluzione interpretativa che all’integrazione normativa. </w:t>
      </w:r>
    </w:p>
    <w:p w14:paraId="5CFCB937" w14:textId="77777777" w:rsidR="00DA2E4E" w:rsidRDefault="007F3D2C" w:rsidP="00DA2E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Questo perché l’evoluzione tecnologica è talmente veloce, che una normativa ad alto contenuto precettivo può costituire un elemento inadeguato ad un’effettiva regolazione. Qualche autorevole civilista ha osservato che alcune norme del nostro </w:t>
      </w:r>
      <w:proofErr w:type="gramStart"/>
      <w:r>
        <w:rPr>
          <w:rFonts w:ascii="Times New Roman" w:hAnsi="Times New Roman" w:cs="Times New Roman"/>
          <w:sz w:val="28"/>
          <w:szCs w:val="28"/>
        </w:rPr>
        <w:t>codice civile</w:t>
      </w:r>
      <w:proofErr w:type="gramEnd"/>
      <w:r>
        <w:rPr>
          <w:rFonts w:ascii="Times New Roman" w:hAnsi="Times New Roman" w:cs="Times New Roman"/>
          <w:sz w:val="28"/>
          <w:szCs w:val="28"/>
        </w:rPr>
        <w:t xml:space="preserve"> possono essere ancora utili per regolare alcuni profili applicativi dell’IA. Si pensi ai diritti della persona in relazione allo </w:t>
      </w:r>
      <w:r w:rsidRPr="007F3D2C">
        <w:rPr>
          <w:rFonts w:ascii="Times New Roman" w:hAnsi="Times New Roman" w:cs="Times New Roman"/>
          <w:i/>
          <w:iCs/>
          <w:sz w:val="28"/>
          <w:szCs w:val="28"/>
        </w:rPr>
        <w:t xml:space="preserve">human </w:t>
      </w:r>
      <w:proofErr w:type="spellStart"/>
      <w:r w:rsidRPr="007F3D2C">
        <w:rPr>
          <w:rFonts w:ascii="Times New Roman" w:hAnsi="Times New Roman" w:cs="Times New Roman"/>
          <w:i/>
          <w:iCs/>
          <w:sz w:val="28"/>
          <w:szCs w:val="28"/>
        </w:rPr>
        <w:t>en</w:t>
      </w:r>
      <w:r w:rsidR="003F3E47">
        <w:rPr>
          <w:rFonts w:ascii="Times New Roman" w:hAnsi="Times New Roman" w:cs="Times New Roman"/>
          <w:i/>
          <w:iCs/>
          <w:sz w:val="28"/>
          <w:szCs w:val="28"/>
        </w:rPr>
        <w:t>h</w:t>
      </w:r>
      <w:r w:rsidRPr="007F3D2C">
        <w:rPr>
          <w:rFonts w:ascii="Times New Roman" w:hAnsi="Times New Roman" w:cs="Times New Roman"/>
          <w:i/>
          <w:iCs/>
          <w:sz w:val="28"/>
          <w:szCs w:val="28"/>
        </w:rPr>
        <w:t>ancement</w:t>
      </w:r>
      <w:proofErr w:type="spellEnd"/>
      <w:r>
        <w:rPr>
          <w:rFonts w:ascii="Times New Roman" w:hAnsi="Times New Roman" w:cs="Times New Roman"/>
          <w:i/>
          <w:iCs/>
          <w:sz w:val="28"/>
          <w:szCs w:val="28"/>
        </w:rPr>
        <w:t xml:space="preserve"> </w:t>
      </w:r>
      <w:r w:rsidRPr="003F3E47">
        <w:rPr>
          <w:rFonts w:ascii="Times New Roman" w:hAnsi="Times New Roman" w:cs="Times New Roman"/>
          <w:sz w:val="28"/>
          <w:szCs w:val="28"/>
        </w:rPr>
        <w:t>e ai c</w:t>
      </w:r>
      <w:r w:rsidR="003F3E47" w:rsidRPr="003F3E47">
        <w:rPr>
          <w:rFonts w:ascii="Times New Roman" w:hAnsi="Times New Roman" w:cs="Times New Roman"/>
          <w:sz w:val="28"/>
          <w:szCs w:val="28"/>
        </w:rPr>
        <w:t>.</w:t>
      </w:r>
      <w:r w:rsidRPr="003F3E47">
        <w:rPr>
          <w:rFonts w:ascii="Times New Roman" w:hAnsi="Times New Roman" w:cs="Times New Roman"/>
          <w:sz w:val="28"/>
          <w:szCs w:val="28"/>
        </w:rPr>
        <w:t>d</w:t>
      </w:r>
      <w:r w:rsidR="003F3E47" w:rsidRPr="003F3E47">
        <w:rPr>
          <w:rFonts w:ascii="Times New Roman" w:hAnsi="Times New Roman" w:cs="Times New Roman"/>
          <w:sz w:val="28"/>
          <w:szCs w:val="28"/>
        </w:rPr>
        <w:t>.</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neurodiritti</w:t>
      </w:r>
      <w:proofErr w:type="spellEnd"/>
      <w:r w:rsidRPr="007F3D2C">
        <w:rPr>
          <w:rFonts w:ascii="Times New Roman" w:hAnsi="Times New Roman" w:cs="Times New Roman"/>
          <w:sz w:val="28"/>
          <w:szCs w:val="28"/>
        </w:rPr>
        <w:t xml:space="preserve">, ossia </w:t>
      </w:r>
      <w:r>
        <w:rPr>
          <w:rFonts w:ascii="Times New Roman" w:hAnsi="Times New Roman" w:cs="Times New Roman"/>
          <w:sz w:val="28"/>
          <w:szCs w:val="28"/>
        </w:rPr>
        <w:t xml:space="preserve">alla possibilità di inserire nel cervello dei </w:t>
      </w:r>
      <w:proofErr w:type="spellStart"/>
      <w:r>
        <w:rPr>
          <w:rFonts w:ascii="Times New Roman" w:hAnsi="Times New Roman" w:cs="Times New Roman"/>
          <w:sz w:val="28"/>
          <w:szCs w:val="28"/>
        </w:rPr>
        <w:t>microchips</w:t>
      </w:r>
      <w:proofErr w:type="spellEnd"/>
      <w:r>
        <w:rPr>
          <w:rFonts w:ascii="Times New Roman" w:hAnsi="Times New Roman" w:cs="Times New Roman"/>
          <w:sz w:val="28"/>
          <w:szCs w:val="28"/>
        </w:rPr>
        <w:t xml:space="preserve"> che potenziano le </w:t>
      </w:r>
      <w:r w:rsidR="00EA2AAB">
        <w:rPr>
          <w:rFonts w:ascii="Times New Roman" w:hAnsi="Times New Roman" w:cs="Times New Roman"/>
          <w:sz w:val="28"/>
          <w:szCs w:val="28"/>
        </w:rPr>
        <w:t>nostre</w:t>
      </w:r>
      <w:r>
        <w:rPr>
          <w:rFonts w:ascii="Times New Roman" w:hAnsi="Times New Roman" w:cs="Times New Roman"/>
          <w:sz w:val="28"/>
          <w:szCs w:val="28"/>
        </w:rPr>
        <w:t xml:space="preserve"> capacità cerebrali. </w:t>
      </w:r>
    </w:p>
    <w:p w14:paraId="57FA04F7" w14:textId="77777777" w:rsidR="00DA2E4E" w:rsidRDefault="007F3D2C" w:rsidP="00DA2E4E">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In questo caso</w:t>
      </w:r>
      <w:r w:rsidR="003F3E47">
        <w:rPr>
          <w:rFonts w:ascii="Times New Roman" w:hAnsi="Times New Roman" w:cs="Times New Roman"/>
          <w:sz w:val="28"/>
          <w:szCs w:val="28"/>
        </w:rPr>
        <w:t>,</w:t>
      </w:r>
      <w:r>
        <w:rPr>
          <w:rFonts w:ascii="Times New Roman" w:hAnsi="Times New Roman" w:cs="Times New Roman"/>
          <w:sz w:val="28"/>
          <w:szCs w:val="28"/>
        </w:rPr>
        <w:t xml:space="preserve"> potrebbe venire in nostro aiuto l’art. 5 c</w:t>
      </w:r>
      <w:r w:rsidR="00BC510B">
        <w:rPr>
          <w:rFonts w:ascii="Times New Roman" w:hAnsi="Times New Roman" w:cs="Times New Roman"/>
          <w:sz w:val="28"/>
          <w:szCs w:val="28"/>
        </w:rPr>
        <w:t>.</w:t>
      </w:r>
      <w:r>
        <w:rPr>
          <w:rFonts w:ascii="Times New Roman" w:hAnsi="Times New Roman" w:cs="Times New Roman"/>
          <w:sz w:val="28"/>
          <w:szCs w:val="28"/>
        </w:rPr>
        <w:t>c</w:t>
      </w:r>
      <w:r w:rsidR="00BC510B">
        <w:rPr>
          <w:rFonts w:ascii="Times New Roman" w:hAnsi="Times New Roman" w:cs="Times New Roman"/>
          <w:sz w:val="28"/>
          <w:szCs w:val="28"/>
        </w:rPr>
        <w:t>.</w:t>
      </w:r>
      <w:r>
        <w:rPr>
          <w:rFonts w:ascii="Times New Roman" w:hAnsi="Times New Roman" w:cs="Times New Roman"/>
          <w:sz w:val="28"/>
          <w:szCs w:val="28"/>
        </w:rPr>
        <w:t xml:space="preserve"> </w:t>
      </w:r>
      <w:r w:rsidR="00BD3A65">
        <w:rPr>
          <w:rFonts w:ascii="Times New Roman" w:hAnsi="Times New Roman" w:cs="Times New Roman"/>
          <w:sz w:val="28"/>
          <w:szCs w:val="28"/>
        </w:rPr>
        <w:t>rubricato “</w:t>
      </w:r>
      <w:r w:rsidR="00BD3A65" w:rsidRPr="00BD3A65">
        <w:rPr>
          <w:rFonts w:ascii="Times New Roman" w:hAnsi="Times New Roman" w:cs="Times New Roman"/>
          <w:i/>
          <w:iCs/>
          <w:sz w:val="28"/>
          <w:szCs w:val="28"/>
        </w:rPr>
        <w:t>Atti di disposizioni del proprio corpo”</w:t>
      </w:r>
      <w:r w:rsidR="00EA2AAB">
        <w:rPr>
          <w:rFonts w:ascii="Times New Roman" w:hAnsi="Times New Roman" w:cs="Times New Roman"/>
          <w:i/>
          <w:iCs/>
          <w:sz w:val="28"/>
          <w:szCs w:val="28"/>
        </w:rPr>
        <w:t xml:space="preserve"> </w:t>
      </w:r>
      <w:r w:rsidR="00EA2AAB" w:rsidRPr="00EA2AAB">
        <w:rPr>
          <w:rFonts w:ascii="Times New Roman" w:hAnsi="Times New Roman" w:cs="Times New Roman"/>
          <w:sz w:val="28"/>
          <w:szCs w:val="28"/>
        </w:rPr>
        <w:t>secondo il quale</w:t>
      </w:r>
      <w:r w:rsidR="00EA2AAB">
        <w:rPr>
          <w:rFonts w:ascii="Times New Roman" w:hAnsi="Times New Roman" w:cs="Times New Roman"/>
          <w:sz w:val="28"/>
          <w:szCs w:val="28"/>
        </w:rPr>
        <w:t xml:space="preserve">: </w:t>
      </w:r>
      <w:r w:rsidR="003F3E47">
        <w:rPr>
          <w:rFonts w:ascii="Times New Roman" w:hAnsi="Times New Roman" w:cs="Times New Roman"/>
          <w:sz w:val="28"/>
          <w:szCs w:val="28"/>
        </w:rPr>
        <w:t>«</w:t>
      </w:r>
      <w:r w:rsidR="00EA2AAB" w:rsidRPr="00EA2AAB">
        <w:rPr>
          <w:rFonts w:ascii="Times New Roman" w:hAnsi="Times New Roman" w:cs="Times New Roman"/>
          <w:i/>
          <w:iCs/>
          <w:sz w:val="28"/>
          <w:szCs w:val="28"/>
        </w:rPr>
        <w:t xml:space="preserve">Gli atti di disposizione del proprio corpo </w:t>
      </w:r>
      <w:r w:rsidR="00EA2AAB">
        <w:rPr>
          <w:rFonts w:ascii="Times New Roman" w:hAnsi="Times New Roman" w:cs="Times New Roman"/>
          <w:i/>
          <w:iCs/>
          <w:sz w:val="28"/>
          <w:szCs w:val="28"/>
        </w:rPr>
        <w:t>sono vietati quando cagionino una diminuzione permanente dell’integrità fisica o quando siano altrimenti contrari alla legge, all’ordine pubblico o al buon costume</w:t>
      </w:r>
      <w:r w:rsidR="003F3E47">
        <w:rPr>
          <w:rFonts w:ascii="Times New Roman" w:hAnsi="Times New Roman" w:cs="Times New Roman"/>
          <w:i/>
          <w:iCs/>
          <w:sz w:val="28"/>
          <w:szCs w:val="28"/>
        </w:rPr>
        <w:t>»</w:t>
      </w:r>
      <w:r w:rsidR="00EA2AAB">
        <w:rPr>
          <w:rFonts w:ascii="Times New Roman" w:hAnsi="Times New Roman" w:cs="Times New Roman"/>
          <w:i/>
          <w:iCs/>
          <w:sz w:val="28"/>
          <w:szCs w:val="28"/>
        </w:rPr>
        <w:t xml:space="preserve">. </w:t>
      </w:r>
    </w:p>
    <w:p w14:paraId="4E85AF70" w14:textId="77777777" w:rsidR="00DA2E4E" w:rsidRDefault="00EA2AAB" w:rsidP="00DA2E4E">
      <w:pPr>
        <w:tabs>
          <w:tab w:val="left" w:pos="8364"/>
        </w:tabs>
        <w:spacing w:after="0"/>
        <w:jc w:val="both"/>
        <w:rPr>
          <w:rFonts w:ascii="Times New Roman" w:hAnsi="Times New Roman" w:cs="Times New Roman"/>
          <w:sz w:val="28"/>
          <w:szCs w:val="28"/>
        </w:rPr>
      </w:pPr>
      <w:r w:rsidRPr="00EA2AAB">
        <w:rPr>
          <w:rFonts w:ascii="Times New Roman" w:hAnsi="Times New Roman" w:cs="Times New Roman"/>
          <w:sz w:val="28"/>
          <w:szCs w:val="28"/>
        </w:rPr>
        <w:t xml:space="preserve">Occorre valutare se il </w:t>
      </w:r>
      <w:r w:rsidRPr="00EA2AAB">
        <w:rPr>
          <w:rFonts w:ascii="Times New Roman" w:hAnsi="Times New Roman" w:cs="Times New Roman"/>
          <w:i/>
          <w:iCs/>
          <w:sz w:val="28"/>
          <w:szCs w:val="28"/>
        </w:rPr>
        <w:t xml:space="preserve">brain </w:t>
      </w:r>
      <w:proofErr w:type="spellStart"/>
      <w:r w:rsidRPr="00EA2AAB">
        <w:rPr>
          <w:rFonts w:ascii="Times New Roman" w:hAnsi="Times New Roman" w:cs="Times New Roman"/>
          <w:i/>
          <w:iCs/>
          <w:sz w:val="28"/>
          <w:szCs w:val="28"/>
        </w:rPr>
        <w:t>en</w:t>
      </w:r>
      <w:r w:rsidR="003F3E47">
        <w:rPr>
          <w:rFonts w:ascii="Times New Roman" w:hAnsi="Times New Roman" w:cs="Times New Roman"/>
          <w:i/>
          <w:iCs/>
          <w:sz w:val="28"/>
          <w:szCs w:val="28"/>
        </w:rPr>
        <w:t>han</w:t>
      </w:r>
      <w:r w:rsidRPr="00EA2AAB">
        <w:rPr>
          <w:rFonts w:ascii="Times New Roman" w:hAnsi="Times New Roman" w:cs="Times New Roman"/>
          <w:i/>
          <w:iCs/>
          <w:sz w:val="28"/>
          <w:szCs w:val="28"/>
        </w:rPr>
        <w:t>cement</w:t>
      </w:r>
      <w:proofErr w:type="spellEnd"/>
      <w:r w:rsidRPr="00EA2AAB">
        <w:rPr>
          <w:rFonts w:ascii="Times New Roman" w:hAnsi="Times New Roman" w:cs="Times New Roman"/>
          <w:sz w:val="28"/>
          <w:szCs w:val="28"/>
        </w:rPr>
        <w:t xml:space="preserve"> possa costituire </w:t>
      </w:r>
      <w:r>
        <w:rPr>
          <w:rFonts w:ascii="Times New Roman" w:hAnsi="Times New Roman" w:cs="Times New Roman"/>
          <w:sz w:val="28"/>
          <w:szCs w:val="28"/>
        </w:rPr>
        <w:t xml:space="preserve">una </w:t>
      </w:r>
      <w:r w:rsidR="00BC510B">
        <w:rPr>
          <w:rFonts w:ascii="Times New Roman" w:hAnsi="Times New Roman" w:cs="Times New Roman"/>
          <w:sz w:val="28"/>
          <w:szCs w:val="28"/>
        </w:rPr>
        <w:t xml:space="preserve">modifica </w:t>
      </w:r>
      <w:r w:rsidR="003F3E47">
        <w:rPr>
          <w:rFonts w:ascii="Times New Roman" w:hAnsi="Times New Roman" w:cs="Times New Roman"/>
          <w:sz w:val="28"/>
          <w:szCs w:val="28"/>
        </w:rPr>
        <w:t>permanente</w:t>
      </w:r>
      <w:r>
        <w:rPr>
          <w:rFonts w:ascii="Times New Roman" w:hAnsi="Times New Roman" w:cs="Times New Roman"/>
          <w:sz w:val="28"/>
          <w:szCs w:val="28"/>
        </w:rPr>
        <w:t xml:space="preserve"> della propria integrità fisica </w:t>
      </w:r>
      <w:r w:rsidR="00423A21">
        <w:rPr>
          <w:rFonts w:ascii="Times New Roman" w:hAnsi="Times New Roman" w:cs="Times New Roman"/>
          <w:sz w:val="28"/>
          <w:szCs w:val="28"/>
        </w:rPr>
        <w:t>e valutare</w:t>
      </w:r>
      <w:r>
        <w:rPr>
          <w:rFonts w:ascii="Times New Roman" w:hAnsi="Times New Roman" w:cs="Times New Roman"/>
          <w:sz w:val="28"/>
          <w:szCs w:val="28"/>
        </w:rPr>
        <w:t xml:space="preserve"> la liceità del suo scopo, certamente ammissibile in campo medico per la cura di malattie neurodegenerative. </w:t>
      </w:r>
    </w:p>
    <w:p w14:paraId="47F74CBD" w14:textId="77777777" w:rsidR="00DA2E4E" w:rsidRDefault="00EA2AAB" w:rsidP="00DA2E4E">
      <w:pPr>
        <w:tabs>
          <w:tab w:val="left" w:pos="8364"/>
        </w:tabs>
        <w:spacing w:after="0"/>
        <w:jc w:val="both"/>
        <w:rPr>
          <w:rFonts w:ascii="Times New Roman" w:hAnsi="Times New Roman" w:cs="Times New Roman"/>
          <w:sz w:val="28"/>
          <w:szCs w:val="28"/>
        </w:rPr>
      </w:pPr>
      <w:r w:rsidRPr="00EA2AAB">
        <w:rPr>
          <w:rFonts w:ascii="Times New Roman" w:hAnsi="Times New Roman" w:cs="Times New Roman"/>
          <w:i/>
          <w:iCs/>
          <w:sz w:val="28"/>
          <w:szCs w:val="28"/>
        </w:rPr>
        <w:t>L’</w:t>
      </w:r>
      <w:proofErr w:type="spellStart"/>
      <w:r w:rsidRPr="00EA2AAB">
        <w:rPr>
          <w:rFonts w:ascii="Times New Roman" w:hAnsi="Times New Roman" w:cs="Times New Roman"/>
          <w:i/>
          <w:iCs/>
          <w:sz w:val="28"/>
          <w:szCs w:val="28"/>
        </w:rPr>
        <w:t>habeas</w:t>
      </w:r>
      <w:proofErr w:type="spellEnd"/>
      <w:r w:rsidRPr="00EA2AAB">
        <w:rPr>
          <w:rFonts w:ascii="Times New Roman" w:hAnsi="Times New Roman" w:cs="Times New Roman"/>
          <w:i/>
          <w:iCs/>
          <w:sz w:val="28"/>
          <w:szCs w:val="28"/>
        </w:rPr>
        <w:t xml:space="preserve"> corpus</w:t>
      </w:r>
      <w:r>
        <w:rPr>
          <w:rFonts w:ascii="Times New Roman" w:hAnsi="Times New Roman" w:cs="Times New Roman"/>
          <w:sz w:val="28"/>
          <w:szCs w:val="28"/>
        </w:rPr>
        <w:t xml:space="preserve"> diviene allora </w:t>
      </w:r>
      <w:proofErr w:type="spellStart"/>
      <w:r w:rsidRPr="00EA2AAB">
        <w:rPr>
          <w:rFonts w:ascii="Times New Roman" w:hAnsi="Times New Roman" w:cs="Times New Roman"/>
          <w:i/>
          <w:iCs/>
          <w:sz w:val="28"/>
          <w:szCs w:val="28"/>
        </w:rPr>
        <w:t>habeas</w:t>
      </w:r>
      <w:proofErr w:type="spellEnd"/>
      <w:r w:rsidRPr="00EA2AAB">
        <w:rPr>
          <w:rFonts w:ascii="Times New Roman" w:hAnsi="Times New Roman" w:cs="Times New Roman"/>
          <w:i/>
          <w:iCs/>
          <w:sz w:val="28"/>
          <w:szCs w:val="28"/>
        </w:rPr>
        <w:t xml:space="preserve"> </w:t>
      </w:r>
      <w:proofErr w:type="spellStart"/>
      <w:r w:rsidRPr="00EA2AAB">
        <w:rPr>
          <w:rFonts w:ascii="Times New Roman" w:hAnsi="Times New Roman" w:cs="Times New Roman"/>
          <w:i/>
          <w:iCs/>
          <w:sz w:val="28"/>
          <w:szCs w:val="28"/>
        </w:rPr>
        <w:t>mentem</w:t>
      </w:r>
      <w:proofErr w:type="spellEnd"/>
      <w:r>
        <w:rPr>
          <w:rFonts w:ascii="Times New Roman" w:hAnsi="Times New Roman" w:cs="Times New Roman"/>
          <w:sz w:val="28"/>
          <w:szCs w:val="28"/>
        </w:rPr>
        <w:t xml:space="preserve">. </w:t>
      </w:r>
    </w:p>
    <w:p w14:paraId="5B9382D0" w14:textId="77777777" w:rsidR="00DA2E4E" w:rsidRDefault="00DA2E4E" w:rsidP="00DA2E4E">
      <w:pPr>
        <w:tabs>
          <w:tab w:val="left" w:pos="8364"/>
        </w:tabs>
        <w:spacing w:after="0"/>
        <w:jc w:val="both"/>
        <w:rPr>
          <w:rFonts w:ascii="Times New Roman" w:hAnsi="Times New Roman" w:cs="Times New Roman"/>
          <w:sz w:val="28"/>
          <w:szCs w:val="28"/>
        </w:rPr>
      </w:pPr>
    </w:p>
    <w:p w14:paraId="128AFCEE" w14:textId="77777777" w:rsidR="00DA2E4E" w:rsidRDefault="00EA2AAB" w:rsidP="00DA2E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Se spostiamo l’analisi sul diritto dei contratti, non si può non rilevare che oggi le macchine contrattano tra loro</w:t>
      </w:r>
      <w:r w:rsidR="00963D86">
        <w:rPr>
          <w:rFonts w:ascii="Times New Roman" w:hAnsi="Times New Roman" w:cs="Times New Roman"/>
          <w:sz w:val="28"/>
          <w:szCs w:val="28"/>
        </w:rPr>
        <w:t xml:space="preserve">, sono </w:t>
      </w:r>
      <w:proofErr w:type="spellStart"/>
      <w:r w:rsidR="00963D86" w:rsidRPr="00963D86">
        <w:rPr>
          <w:rFonts w:ascii="Times New Roman" w:hAnsi="Times New Roman" w:cs="Times New Roman"/>
          <w:i/>
          <w:iCs/>
          <w:sz w:val="28"/>
          <w:szCs w:val="28"/>
        </w:rPr>
        <w:t>nuncius</w:t>
      </w:r>
      <w:proofErr w:type="spellEnd"/>
      <w:r w:rsidR="00963D86" w:rsidRPr="00963D86">
        <w:rPr>
          <w:rFonts w:ascii="Times New Roman" w:hAnsi="Times New Roman" w:cs="Times New Roman"/>
          <w:i/>
          <w:iCs/>
          <w:sz w:val="28"/>
          <w:szCs w:val="28"/>
        </w:rPr>
        <w:t xml:space="preserve"> </w:t>
      </w:r>
      <w:r w:rsidR="00963D86">
        <w:rPr>
          <w:rFonts w:ascii="Times New Roman" w:hAnsi="Times New Roman" w:cs="Times New Roman"/>
          <w:sz w:val="28"/>
          <w:szCs w:val="28"/>
        </w:rPr>
        <w:t>e rappresentanti, ma delineare una soggettività giuridica della macchina</w:t>
      </w:r>
      <w:r w:rsidR="00DA2E4E">
        <w:rPr>
          <w:rFonts w:ascii="Times New Roman" w:hAnsi="Times New Roman" w:cs="Times New Roman"/>
          <w:sz w:val="28"/>
          <w:szCs w:val="28"/>
        </w:rPr>
        <w:t>,</w:t>
      </w:r>
      <w:r w:rsidR="00963D86">
        <w:rPr>
          <w:rFonts w:ascii="Times New Roman" w:hAnsi="Times New Roman" w:cs="Times New Roman"/>
          <w:sz w:val="28"/>
          <w:szCs w:val="28"/>
        </w:rPr>
        <w:t xml:space="preserve"> come ha fatto la Risoluzione del parlamento Europeo del 2017</w:t>
      </w:r>
      <w:r w:rsidR="00DA2E4E">
        <w:rPr>
          <w:rFonts w:ascii="Times New Roman" w:hAnsi="Times New Roman" w:cs="Times New Roman"/>
          <w:sz w:val="28"/>
          <w:szCs w:val="28"/>
        </w:rPr>
        <w:t>,</w:t>
      </w:r>
      <w:r w:rsidR="00963D86">
        <w:rPr>
          <w:rFonts w:ascii="Times New Roman" w:hAnsi="Times New Roman" w:cs="Times New Roman"/>
          <w:sz w:val="28"/>
          <w:szCs w:val="28"/>
        </w:rPr>
        <w:t xml:space="preserve"> e una sua conseguente responsabilità civile</w:t>
      </w:r>
      <w:r w:rsidR="00DA2E4E">
        <w:rPr>
          <w:rFonts w:ascii="Times New Roman" w:hAnsi="Times New Roman" w:cs="Times New Roman"/>
          <w:sz w:val="28"/>
          <w:szCs w:val="28"/>
        </w:rPr>
        <w:t>,</w:t>
      </w:r>
      <w:r w:rsidR="00963D86">
        <w:rPr>
          <w:rFonts w:ascii="Times New Roman" w:hAnsi="Times New Roman" w:cs="Times New Roman"/>
          <w:sz w:val="28"/>
          <w:szCs w:val="28"/>
        </w:rPr>
        <w:t xml:space="preserve"> significa deresponsabilizzare gli utilizzatori, visto che l’</w:t>
      </w:r>
      <w:r w:rsidR="00963D86" w:rsidRPr="003F3E47">
        <w:rPr>
          <w:rFonts w:ascii="Times New Roman" w:hAnsi="Times New Roman" w:cs="Times New Roman"/>
          <w:i/>
          <w:iCs/>
          <w:sz w:val="28"/>
          <w:szCs w:val="28"/>
        </w:rPr>
        <w:t>input</w:t>
      </w:r>
      <w:r w:rsidR="00963D86">
        <w:rPr>
          <w:rFonts w:ascii="Times New Roman" w:hAnsi="Times New Roman" w:cs="Times New Roman"/>
          <w:sz w:val="28"/>
          <w:szCs w:val="28"/>
        </w:rPr>
        <w:t xml:space="preserve"> resta pur sempre umano. </w:t>
      </w:r>
    </w:p>
    <w:p w14:paraId="09D7858A" w14:textId="77777777" w:rsidR="00DA2E4E" w:rsidRDefault="00963D86" w:rsidP="00DA2E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La macchina </w:t>
      </w:r>
      <w:proofErr w:type="gramStart"/>
      <w:r>
        <w:rPr>
          <w:rFonts w:ascii="Times New Roman" w:hAnsi="Times New Roman" w:cs="Times New Roman"/>
          <w:sz w:val="28"/>
          <w:szCs w:val="28"/>
        </w:rPr>
        <w:t>potrebbe essere soggetto</w:t>
      </w:r>
      <w:proofErr w:type="gramEnd"/>
      <w:r>
        <w:rPr>
          <w:rFonts w:ascii="Times New Roman" w:hAnsi="Times New Roman" w:cs="Times New Roman"/>
          <w:sz w:val="28"/>
          <w:szCs w:val="28"/>
        </w:rPr>
        <w:t xml:space="preserve"> di tutela, non mera </w:t>
      </w:r>
      <w:r w:rsidRPr="00963D86">
        <w:rPr>
          <w:rFonts w:ascii="Times New Roman" w:hAnsi="Times New Roman" w:cs="Times New Roman"/>
          <w:i/>
          <w:iCs/>
          <w:sz w:val="28"/>
          <w:szCs w:val="28"/>
        </w:rPr>
        <w:t>res</w:t>
      </w:r>
      <w:r>
        <w:rPr>
          <w:rFonts w:ascii="Times New Roman" w:hAnsi="Times New Roman" w:cs="Times New Roman"/>
          <w:sz w:val="28"/>
          <w:szCs w:val="28"/>
        </w:rPr>
        <w:t xml:space="preserve">, quasi come l’animale che è essere senziente secondo la coscienza sociale: di qui il passaggio alla </w:t>
      </w:r>
      <w:r>
        <w:rPr>
          <w:rFonts w:ascii="Times New Roman" w:hAnsi="Times New Roman" w:cs="Times New Roman"/>
          <w:sz w:val="28"/>
          <w:szCs w:val="28"/>
        </w:rPr>
        <w:lastRenderedPageBreak/>
        <w:t>responsabilizzazione potrebbe avvenire secondo lo schema della responsabilità vicaria, o la responsabilità da prodotto o</w:t>
      </w:r>
      <w:r w:rsidR="00DA2E4E">
        <w:rPr>
          <w:rFonts w:ascii="Times New Roman" w:hAnsi="Times New Roman" w:cs="Times New Roman"/>
          <w:sz w:val="28"/>
          <w:szCs w:val="28"/>
        </w:rPr>
        <w:t>ppure,</w:t>
      </w:r>
      <w:r>
        <w:rPr>
          <w:rFonts w:ascii="Times New Roman" w:hAnsi="Times New Roman" w:cs="Times New Roman"/>
          <w:sz w:val="28"/>
          <w:szCs w:val="28"/>
        </w:rPr>
        <w:t xml:space="preserve"> per le forme di intelligenza artificiale ad alto rischio</w:t>
      </w:r>
      <w:r w:rsidR="00DA2E4E">
        <w:rPr>
          <w:rFonts w:ascii="Times New Roman" w:hAnsi="Times New Roman" w:cs="Times New Roman"/>
          <w:sz w:val="28"/>
          <w:szCs w:val="28"/>
        </w:rPr>
        <w:t>,</w:t>
      </w:r>
      <w:r>
        <w:rPr>
          <w:rFonts w:ascii="Times New Roman" w:hAnsi="Times New Roman" w:cs="Times New Roman"/>
          <w:sz w:val="28"/>
          <w:szCs w:val="28"/>
        </w:rPr>
        <w:t xml:space="preserve"> lo schema della responsabilità per attività pericolose ex art.</w:t>
      </w:r>
      <w:r w:rsidR="00423A21">
        <w:rPr>
          <w:rFonts w:ascii="Times New Roman" w:hAnsi="Times New Roman" w:cs="Times New Roman"/>
          <w:sz w:val="28"/>
          <w:szCs w:val="28"/>
        </w:rPr>
        <w:t xml:space="preserve"> </w:t>
      </w:r>
      <w:r>
        <w:rPr>
          <w:rFonts w:ascii="Times New Roman" w:hAnsi="Times New Roman" w:cs="Times New Roman"/>
          <w:sz w:val="28"/>
          <w:szCs w:val="28"/>
        </w:rPr>
        <w:t>2050 c</w:t>
      </w:r>
      <w:r w:rsidR="00423A21">
        <w:rPr>
          <w:rFonts w:ascii="Times New Roman" w:hAnsi="Times New Roman" w:cs="Times New Roman"/>
          <w:sz w:val="28"/>
          <w:szCs w:val="28"/>
        </w:rPr>
        <w:t>.</w:t>
      </w:r>
      <w:r>
        <w:rPr>
          <w:rFonts w:ascii="Times New Roman" w:hAnsi="Times New Roman" w:cs="Times New Roman"/>
          <w:sz w:val="28"/>
          <w:szCs w:val="28"/>
        </w:rPr>
        <w:t>c</w:t>
      </w:r>
      <w:r w:rsidR="00423A21">
        <w:rPr>
          <w:rFonts w:ascii="Times New Roman" w:hAnsi="Times New Roman" w:cs="Times New Roman"/>
          <w:sz w:val="28"/>
          <w:szCs w:val="28"/>
        </w:rPr>
        <w:t>.</w:t>
      </w:r>
      <w:r w:rsidR="00DA2E4E">
        <w:rPr>
          <w:rFonts w:ascii="Times New Roman" w:hAnsi="Times New Roman" w:cs="Times New Roman"/>
          <w:sz w:val="28"/>
          <w:szCs w:val="28"/>
        </w:rPr>
        <w:t>,</w:t>
      </w:r>
      <w:r>
        <w:rPr>
          <w:rFonts w:ascii="Times New Roman" w:hAnsi="Times New Roman" w:cs="Times New Roman"/>
          <w:sz w:val="28"/>
          <w:szCs w:val="28"/>
        </w:rPr>
        <w:t xml:space="preserve"> che potrebbe integrare la responsabilità da prodotto. </w:t>
      </w:r>
    </w:p>
    <w:p w14:paraId="7F7440EC" w14:textId="77777777" w:rsidR="00DA2E4E" w:rsidRDefault="00963D86" w:rsidP="00DA2E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 pensi alla dibattuta questione della responsabilità dell’autore dell’algoritmo con capacità di apprendimento </w:t>
      </w:r>
      <w:proofErr w:type="spellStart"/>
      <w:r>
        <w:rPr>
          <w:rFonts w:ascii="Times New Roman" w:hAnsi="Times New Roman" w:cs="Times New Roman"/>
          <w:sz w:val="28"/>
          <w:szCs w:val="28"/>
        </w:rPr>
        <w:t>autoevolutivo</w:t>
      </w:r>
      <w:proofErr w:type="spellEnd"/>
      <w:r>
        <w:rPr>
          <w:rFonts w:ascii="Times New Roman" w:hAnsi="Times New Roman" w:cs="Times New Roman"/>
          <w:sz w:val="28"/>
          <w:szCs w:val="28"/>
        </w:rPr>
        <w:t xml:space="preserve">: se sono autore di un componente del </w:t>
      </w:r>
      <w:r w:rsidR="00423A21" w:rsidRPr="00DA2E4E">
        <w:rPr>
          <w:rFonts w:ascii="Times New Roman" w:hAnsi="Times New Roman" w:cs="Times New Roman"/>
          <w:i/>
          <w:iCs/>
          <w:sz w:val="28"/>
          <w:szCs w:val="28"/>
        </w:rPr>
        <w:t>software</w:t>
      </w:r>
      <w:r w:rsidR="00423A21">
        <w:rPr>
          <w:rFonts w:ascii="Times New Roman" w:hAnsi="Times New Roman" w:cs="Times New Roman"/>
          <w:sz w:val="28"/>
          <w:szCs w:val="28"/>
        </w:rPr>
        <w:t>,</w:t>
      </w:r>
      <w:r>
        <w:rPr>
          <w:rFonts w:ascii="Times New Roman" w:hAnsi="Times New Roman" w:cs="Times New Roman"/>
          <w:sz w:val="28"/>
          <w:szCs w:val="28"/>
        </w:rPr>
        <w:t xml:space="preserve"> ne risponderò come produttore di un componente. Ma se il software uscito dalla catena di produzione, viene educato male, </w:t>
      </w:r>
      <w:r w:rsidR="00423A21">
        <w:rPr>
          <w:rFonts w:ascii="Times New Roman" w:hAnsi="Times New Roman" w:cs="Times New Roman"/>
          <w:sz w:val="28"/>
          <w:szCs w:val="28"/>
        </w:rPr>
        <w:t>vengono in</w:t>
      </w:r>
      <w:r>
        <w:rPr>
          <w:rFonts w:ascii="Times New Roman" w:hAnsi="Times New Roman" w:cs="Times New Roman"/>
          <w:sz w:val="28"/>
          <w:szCs w:val="28"/>
        </w:rPr>
        <w:t xml:space="preserve"> rilievo l’a</w:t>
      </w:r>
      <w:r w:rsidR="00253DF3">
        <w:rPr>
          <w:rFonts w:ascii="Times New Roman" w:hAnsi="Times New Roman" w:cs="Times New Roman"/>
          <w:sz w:val="28"/>
          <w:szCs w:val="28"/>
        </w:rPr>
        <w:t>rt.</w:t>
      </w:r>
      <w:r w:rsidR="00423A21">
        <w:rPr>
          <w:rFonts w:ascii="Times New Roman" w:hAnsi="Times New Roman" w:cs="Times New Roman"/>
          <w:sz w:val="28"/>
          <w:szCs w:val="28"/>
        </w:rPr>
        <w:t xml:space="preserve"> </w:t>
      </w:r>
      <w:r w:rsidR="00253DF3">
        <w:rPr>
          <w:rFonts w:ascii="Times New Roman" w:hAnsi="Times New Roman" w:cs="Times New Roman"/>
          <w:sz w:val="28"/>
          <w:szCs w:val="28"/>
        </w:rPr>
        <w:t>2043 c</w:t>
      </w:r>
      <w:r w:rsidR="00423A21">
        <w:rPr>
          <w:rFonts w:ascii="Times New Roman" w:hAnsi="Times New Roman" w:cs="Times New Roman"/>
          <w:sz w:val="28"/>
          <w:szCs w:val="28"/>
        </w:rPr>
        <w:t>.</w:t>
      </w:r>
      <w:r w:rsidR="00253DF3">
        <w:rPr>
          <w:rFonts w:ascii="Times New Roman" w:hAnsi="Times New Roman" w:cs="Times New Roman"/>
          <w:sz w:val="28"/>
          <w:szCs w:val="28"/>
        </w:rPr>
        <w:t>c</w:t>
      </w:r>
      <w:r w:rsidR="00423A21">
        <w:rPr>
          <w:rFonts w:ascii="Times New Roman" w:hAnsi="Times New Roman" w:cs="Times New Roman"/>
          <w:sz w:val="28"/>
          <w:szCs w:val="28"/>
        </w:rPr>
        <w:t>.</w:t>
      </w:r>
      <w:r w:rsidR="00253DF3">
        <w:rPr>
          <w:rFonts w:ascii="Times New Roman" w:hAnsi="Times New Roman" w:cs="Times New Roman"/>
          <w:sz w:val="28"/>
          <w:szCs w:val="28"/>
        </w:rPr>
        <w:t xml:space="preserve"> e l’art.</w:t>
      </w:r>
      <w:r w:rsidR="00423A21">
        <w:rPr>
          <w:rFonts w:ascii="Times New Roman" w:hAnsi="Times New Roman" w:cs="Times New Roman"/>
          <w:sz w:val="28"/>
          <w:szCs w:val="28"/>
        </w:rPr>
        <w:t xml:space="preserve"> </w:t>
      </w:r>
      <w:r w:rsidR="00253DF3">
        <w:rPr>
          <w:rFonts w:ascii="Times New Roman" w:hAnsi="Times New Roman" w:cs="Times New Roman"/>
          <w:sz w:val="28"/>
          <w:szCs w:val="28"/>
        </w:rPr>
        <w:t>2051 c</w:t>
      </w:r>
      <w:r w:rsidR="00423A21">
        <w:rPr>
          <w:rFonts w:ascii="Times New Roman" w:hAnsi="Times New Roman" w:cs="Times New Roman"/>
          <w:sz w:val="28"/>
          <w:szCs w:val="28"/>
        </w:rPr>
        <w:t>.</w:t>
      </w:r>
      <w:r w:rsidR="00253DF3">
        <w:rPr>
          <w:rFonts w:ascii="Times New Roman" w:hAnsi="Times New Roman" w:cs="Times New Roman"/>
          <w:sz w:val="28"/>
          <w:szCs w:val="28"/>
        </w:rPr>
        <w:t>c</w:t>
      </w:r>
      <w:r w:rsidR="00423A21">
        <w:rPr>
          <w:rFonts w:ascii="Times New Roman" w:hAnsi="Times New Roman" w:cs="Times New Roman"/>
          <w:sz w:val="28"/>
          <w:szCs w:val="28"/>
        </w:rPr>
        <w:t>.</w:t>
      </w:r>
      <w:r w:rsidR="00253DF3">
        <w:rPr>
          <w:rFonts w:ascii="Times New Roman" w:hAnsi="Times New Roman" w:cs="Times New Roman"/>
          <w:sz w:val="28"/>
          <w:szCs w:val="28"/>
        </w:rPr>
        <w:t xml:space="preserve"> da cosa inanimata, viene meno la responsabilità del produttore e si delinea la responsabilità dell’utilizzatore </w:t>
      </w:r>
      <w:proofErr w:type="gramStart"/>
      <w:r w:rsidR="00253DF3">
        <w:rPr>
          <w:rFonts w:ascii="Times New Roman" w:hAnsi="Times New Roman" w:cs="Times New Roman"/>
          <w:sz w:val="28"/>
          <w:szCs w:val="28"/>
        </w:rPr>
        <w:t>ed</w:t>
      </w:r>
      <w:proofErr w:type="gramEnd"/>
      <w:r w:rsidR="00253DF3">
        <w:rPr>
          <w:rFonts w:ascii="Times New Roman" w:hAnsi="Times New Roman" w:cs="Times New Roman"/>
          <w:sz w:val="28"/>
          <w:szCs w:val="28"/>
        </w:rPr>
        <w:t xml:space="preserve"> educatore dell’algoritmo, perché “l’utilizzatore lo ha educato male”. </w:t>
      </w:r>
    </w:p>
    <w:p w14:paraId="40C8EFDA" w14:textId="2C2AC27F" w:rsidR="00253DF3" w:rsidRDefault="00253DF3" w:rsidP="00DA2E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Occorre considerare un’altra evenienza: se il produttore non ha inserito nel processo di produzione dell’algoritmo un “codice sorgente” che può bloccare una cattiva educazione dell’algoritmo, la sua responsabilità non viene meno,</w:t>
      </w:r>
      <w:r w:rsidR="00186FBD">
        <w:rPr>
          <w:rFonts w:ascii="Times New Roman" w:hAnsi="Times New Roman" w:cs="Times New Roman"/>
          <w:sz w:val="28"/>
          <w:szCs w:val="28"/>
        </w:rPr>
        <w:t xml:space="preserve"> </w:t>
      </w:r>
      <w:r>
        <w:rPr>
          <w:rFonts w:ascii="Times New Roman" w:hAnsi="Times New Roman" w:cs="Times New Roman"/>
          <w:sz w:val="28"/>
          <w:szCs w:val="28"/>
        </w:rPr>
        <w:t xml:space="preserve">ma si associa a quella dell’educatore stesso, volendo seguire le note leggi di Asimov. </w:t>
      </w:r>
    </w:p>
    <w:p w14:paraId="1BC21E28" w14:textId="77777777" w:rsidR="00DA2E4E" w:rsidRDefault="00253DF3" w:rsidP="00DA2E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Il </w:t>
      </w:r>
      <w:proofErr w:type="gramStart"/>
      <w:r>
        <w:rPr>
          <w:rFonts w:ascii="Times New Roman" w:hAnsi="Times New Roman" w:cs="Times New Roman"/>
          <w:sz w:val="28"/>
          <w:szCs w:val="28"/>
        </w:rPr>
        <w:t>codice civile</w:t>
      </w:r>
      <w:proofErr w:type="gramEnd"/>
      <w:r>
        <w:rPr>
          <w:rFonts w:ascii="Times New Roman" w:hAnsi="Times New Roman" w:cs="Times New Roman"/>
          <w:sz w:val="28"/>
          <w:szCs w:val="28"/>
        </w:rPr>
        <w:t xml:space="preserve"> ha governato l’intelligenza umana, può governare l’intelligenza artificiale?</w:t>
      </w:r>
      <w:r w:rsidR="0044372C">
        <w:rPr>
          <w:rFonts w:ascii="Times New Roman" w:hAnsi="Times New Roman" w:cs="Times New Roman"/>
          <w:sz w:val="28"/>
          <w:szCs w:val="28"/>
        </w:rPr>
        <w:t xml:space="preserve"> Il problema appare molto complesso</w:t>
      </w:r>
      <w:r w:rsidR="00DA2E4E">
        <w:rPr>
          <w:rFonts w:ascii="Times New Roman" w:hAnsi="Times New Roman" w:cs="Times New Roman"/>
          <w:sz w:val="28"/>
          <w:szCs w:val="28"/>
        </w:rPr>
        <w:t>,</w:t>
      </w:r>
      <w:r w:rsidR="0044372C">
        <w:rPr>
          <w:rFonts w:ascii="Times New Roman" w:hAnsi="Times New Roman" w:cs="Times New Roman"/>
          <w:sz w:val="28"/>
          <w:szCs w:val="28"/>
        </w:rPr>
        <w:t xml:space="preserve"> se solo si pensa che in molte società quotate l’algoritmo sta entrando nel consiglio di </w:t>
      </w:r>
      <w:r w:rsidR="00423A21">
        <w:rPr>
          <w:rFonts w:ascii="Times New Roman" w:hAnsi="Times New Roman" w:cs="Times New Roman"/>
          <w:sz w:val="28"/>
          <w:szCs w:val="28"/>
        </w:rPr>
        <w:t>amministrazione:</w:t>
      </w:r>
      <w:r w:rsidR="0044372C">
        <w:rPr>
          <w:rFonts w:ascii="Times New Roman" w:hAnsi="Times New Roman" w:cs="Times New Roman"/>
          <w:sz w:val="28"/>
          <w:szCs w:val="28"/>
        </w:rPr>
        <w:t xml:space="preserve"> se vi è un componente robotizzato come dovrebbe funzionare tale organo deliberativo? </w:t>
      </w:r>
    </w:p>
    <w:p w14:paraId="2B5FEC1B" w14:textId="77777777" w:rsidR="00CF039B" w:rsidRDefault="0044372C" w:rsidP="00DA2E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Se addirittura l’algoritmo </w:t>
      </w:r>
      <w:r w:rsidR="00CF039B">
        <w:rPr>
          <w:rFonts w:ascii="Times New Roman" w:hAnsi="Times New Roman" w:cs="Times New Roman"/>
          <w:sz w:val="28"/>
          <w:szCs w:val="28"/>
        </w:rPr>
        <w:t>sostituisse</w:t>
      </w:r>
      <w:r>
        <w:rPr>
          <w:rFonts w:ascii="Times New Roman" w:hAnsi="Times New Roman" w:cs="Times New Roman"/>
          <w:sz w:val="28"/>
          <w:szCs w:val="28"/>
        </w:rPr>
        <w:t xml:space="preserve"> l’amministratore unico, verrebbe meno la </w:t>
      </w:r>
      <w:proofErr w:type="spellStart"/>
      <w:r w:rsidR="00423A21">
        <w:rPr>
          <w:rFonts w:ascii="Times New Roman" w:hAnsi="Times New Roman" w:cs="Times New Roman"/>
          <w:sz w:val="28"/>
          <w:szCs w:val="28"/>
        </w:rPr>
        <w:t>pluripersonalità</w:t>
      </w:r>
      <w:proofErr w:type="spellEnd"/>
      <w:r w:rsidR="00DA2E4E">
        <w:rPr>
          <w:rFonts w:ascii="Times New Roman" w:hAnsi="Times New Roman" w:cs="Times New Roman"/>
          <w:sz w:val="28"/>
          <w:szCs w:val="28"/>
        </w:rPr>
        <w:t>:</w:t>
      </w:r>
      <w:r>
        <w:rPr>
          <w:rFonts w:ascii="Times New Roman" w:hAnsi="Times New Roman" w:cs="Times New Roman"/>
          <w:sz w:val="28"/>
          <w:szCs w:val="28"/>
        </w:rPr>
        <w:t xml:space="preserve"> il tema della personalità sarebbe impostat</w:t>
      </w:r>
      <w:r w:rsidR="00CF039B">
        <w:rPr>
          <w:rFonts w:ascii="Times New Roman" w:hAnsi="Times New Roman" w:cs="Times New Roman"/>
          <w:sz w:val="28"/>
          <w:szCs w:val="28"/>
        </w:rPr>
        <w:t>o</w:t>
      </w:r>
      <w:r>
        <w:rPr>
          <w:rFonts w:ascii="Times New Roman" w:hAnsi="Times New Roman" w:cs="Times New Roman"/>
          <w:sz w:val="28"/>
          <w:szCs w:val="28"/>
        </w:rPr>
        <w:t xml:space="preserve"> in maniera diversa e sarebbe da configurare in via esclusiva all’inventore dell’algoritmo in caso di </w:t>
      </w:r>
      <w:r w:rsidRPr="0044372C">
        <w:rPr>
          <w:rFonts w:ascii="Times New Roman" w:hAnsi="Times New Roman" w:cs="Times New Roman"/>
          <w:i/>
          <w:iCs/>
          <w:sz w:val="28"/>
          <w:szCs w:val="28"/>
        </w:rPr>
        <w:t>self-</w:t>
      </w:r>
      <w:proofErr w:type="spellStart"/>
      <w:r w:rsidRPr="0044372C">
        <w:rPr>
          <w:rFonts w:ascii="Times New Roman" w:hAnsi="Times New Roman" w:cs="Times New Roman"/>
          <w:i/>
          <w:iCs/>
          <w:sz w:val="28"/>
          <w:szCs w:val="28"/>
        </w:rPr>
        <w:t>driving</w:t>
      </w:r>
      <w:proofErr w:type="spellEnd"/>
      <w:r w:rsidRPr="0044372C">
        <w:rPr>
          <w:rFonts w:ascii="Times New Roman" w:hAnsi="Times New Roman" w:cs="Times New Roman"/>
          <w:i/>
          <w:iCs/>
          <w:sz w:val="28"/>
          <w:szCs w:val="28"/>
        </w:rPr>
        <w:t xml:space="preserve"> society</w:t>
      </w:r>
      <w:r w:rsidR="00CF039B">
        <w:rPr>
          <w:rFonts w:ascii="Times New Roman" w:hAnsi="Times New Roman" w:cs="Times New Roman"/>
          <w:i/>
          <w:iCs/>
          <w:sz w:val="28"/>
          <w:szCs w:val="28"/>
        </w:rPr>
        <w:t xml:space="preserve">. </w:t>
      </w:r>
      <w:r w:rsidR="00CF039B" w:rsidRPr="00CF039B">
        <w:rPr>
          <w:rFonts w:ascii="Times New Roman" w:hAnsi="Times New Roman" w:cs="Times New Roman"/>
          <w:sz w:val="28"/>
          <w:szCs w:val="28"/>
        </w:rPr>
        <w:t>I</w:t>
      </w:r>
      <w:r w:rsidRPr="00CF039B">
        <w:rPr>
          <w:rFonts w:ascii="Times New Roman" w:hAnsi="Times New Roman" w:cs="Times New Roman"/>
          <w:sz w:val="28"/>
          <w:szCs w:val="28"/>
        </w:rPr>
        <w:t>n</w:t>
      </w:r>
      <w:r>
        <w:rPr>
          <w:rFonts w:ascii="Times New Roman" w:hAnsi="Times New Roman" w:cs="Times New Roman"/>
          <w:sz w:val="28"/>
          <w:szCs w:val="28"/>
        </w:rPr>
        <w:t xml:space="preserve"> altri termini</w:t>
      </w:r>
      <w:r w:rsidR="00CF039B">
        <w:rPr>
          <w:rFonts w:ascii="Times New Roman" w:hAnsi="Times New Roman" w:cs="Times New Roman"/>
          <w:sz w:val="28"/>
          <w:szCs w:val="28"/>
        </w:rPr>
        <w:t>,</w:t>
      </w:r>
      <w:r>
        <w:rPr>
          <w:rFonts w:ascii="Times New Roman" w:hAnsi="Times New Roman" w:cs="Times New Roman"/>
          <w:sz w:val="28"/>
          <w:szCs w:val="28"/>
        </w:rPr>
        <w:t xml:space="preserve"> chi controlla l’algoritmo controlla la società. </w:t>
      </w:r>
    </w:p>
    <w:p w14:paraId="6ED2F1BD" w14:textId="77777777" w:rsidR="00CF039B" w:rsidRDefault="0044372C" w:rsidP="00DA2E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distinzione del CDA in esecutivo e non esecutivo (</w:t>
      </w:r>
      <w:r w:rsidRPr="0044372C">
        <w:rPr>
          <w:rFonts w:ascii="Times New Roman" w:hAnsi="Times New Roman" w:cs="Times New Roman"/>
          <w:i/>
          <w:iCs/>
          <w:sz w:val="28"/>
          <w:szCs w:val="28"/>
        </w:rPr>
        <w:t xml:space="preserve">monitor </w:t>
      </w:r>
      <w:proofErr w:type="spellStart"/>
      <w:r w:rsidRPr="0044372C">
        <w:rPr>
          <w:rFonts w:ascii="Times New Roman" w:hAnsi="Times New Roman" w:cs="Times New Roman"/>
          <w:i/>
          <w:iCs/>
          <w:sz w:val="28"/>
          <w:szCs w:val="28"/>
        </w:rPr>
        <w:t>board</w:t>
      </w:r>
      <w:proofErr w:type="spellEnd"/>
      <w:r w:rsidRPr="0044372C">
        <w:rPr>
          <w:rFonts w:ascii="Times New Roman" w:hAnsi="Times New Roman" w:cs="Times New Roman"/>
          <w:i/>
          <w:iCs/>
          <w:sz w:val="28"/>
          <w:szCs w:val="28"/>
        </w:rPr>
        <w:t>)</w:t>
      </w:r>
      <w:r w:rsidR="00CF039B">
        <w:rPr>
          <w:rFonts w:ascii="Times New Roman" w:hAnsi="Times New Roman" w:cs="Times New Roman"/>
          <w:i/>
          <w:iCs/>
          <w:sz w:val="28"/>
          <w:szCs w:val="28"/>
        </w:rPr>
        <w:t>,</w:t>
      </w:r>
      <w:r>
        <w:rPr>
          <w:rFonts w:ascii="Times New Roman" w:hAnsi="Times New Roman" w:cs="Times New Roman"/>
          <w:sz w:val="28"/>
          <w:szCs w:val="28"/>
        </w:rPr>
        <w:t xml:space="preserve"> richiederebbe una nuova concezione dell’organo di amministrazione</w:t>
      </w:r>
      <w:r w:rsidR="00CF039B">
        <w:rPr>
          <w:rFonts w:ascii="Times New Roman" w:hAnsi="Times New Roman" w:cs="Times New Roman"/>
          <w:sz w:val="28"/>
          <w:szCs w:val="28"/>
        </w:rPr>
        <w:t>,</w:t>
      </w:r>
      <w:r w:rsidR="00C86A02">
        <w:rPr>
          <w:rFonts w:ascii="Times New Roman" w:hAnsi="Times New Roman" w:cs="Times New Roman"/>
          <w:sz w:val="28"/>
          <w:szCs w:val="28"/>
        </w:rPr>
        <w:t xml:space="preserve"> attraverso la previsione </w:t>
      </w:r>
      <w:r w:rsidR="00C86A02" w:rsidRPr="00C86A02">
        <w:rPr>
          <w:rFonts w:ascii="Times New Roman" w:hAnsi="Times New Roman" w:cs="Times New Roman"/>
          <w:sz w:val="28"/>
          <w:szCs w:val="28"/>
        </w:rPr>
        <w:t>dell</w:t>
      </w:r>
      <w:r w:rsidR="00C86A02" w:rsidRPr="00C86A02">
        <w:rPr>
          <w:rFonts w:ascii="Times New Roman" w:hAnsi="Times New Roman" w:cs="Times New Roman"/>
          <w:i/>
          <w:iCs/>
          <w:sz w:val="28"/>
          <w:szCs w:val="28"/>
        </w:rPr>
        <w:t>’</w:t>
      </w:r>
      <w:proofErr w:type="spellStart"/>
      <w:r w:rsidR="00C86A02" w:rsidRPr="00C86A02">
        <w:rPr>
          <w:rFonts w:ascii="Times New Roman" w:hAnsi="Times New Roman" w:cs="Times New Roman"/>
          <w:i/>
          <w:iCs/>
          <w:sz w:val="28"/>
          <w:szCs w:val="28"/>
        </w:rPr>
        <w:t>alghoritmus</w:t>
      </w:r>
      <w:proofErr w:type="spellEnd"/>
      <w:r w:rsidR="00C86A02" w:rsidRPr="00C86A02">
        <w:rPr>
          <w:rFonts w:ascii="Times New Roman" w:hAnsi="Times New Roman" w:cs="Times New Roman"/>
          <w:i/>
          <w:iCs/>
          <w:sz w:val="28"/>
          <w:szCs w:val="28"/>
        </w:rPr>
        <w:t xml:space="preserve"> </w:t>
      </w:r>
      <w:proofErr w:type="spellStart"/>
      <w:r w:rsidR="00C86A02" w:rsidRPr="00C86A02">
        <w:rPr>
          <w:rFonts w:ascii="Times New Roman" w:hAnsi="Times New Roman" w:cs="Times New Roman"/>
          <w:i/>
          <w:iCs/>
          <w:sz w:val="28"/>
          <w:szCs w:val="28"/>
        </w:rPr>
        <w:t>officer</w:t>
      </w:r>
      <w:proofErr w:type="spellEnd"/>
      <w:r w:rsidR="00C86A02">
        <w:rPr>
          <w:rFonts w:ascii="Times New Roman" w:hAnsi="Times New Roman" w:cs="Times New Roman"/>
          <w:i/>
          <w:iCs/>
          <w:sz w:val="28"/>
          <w:szCs w:val="28"/>
        </w:rPr>
        <w:t xml:space="preserve"> </w:t>
      </w:r>
      <w:r w:rsidR="00C86A02" w:rsidRPr="00CF039B">
        <w:rPr>
          <w:rFonts w:ascii="Times New Roman" w:hAnsi="Times New Roman" w:cs="Times New Roman"/>
          <w:sz w:val="28"/>
          <w:szCs w:val="28"/>
        </w:rPr>
        <w:t xml:space="preserve">e </w:t>
      </w:r>
      <w:proofErr w:type="spellStart"/>
      <w:r w:rsidR="00C86A02">
        <w:rPr>
          <w:rFonts w:ascii="Times New Roman" w:hAnsi="Times New Roman" w:cs="Times New Roman"/>
          <w:i/>
          <w:iCs/>
          <w:sz w:val="28"/>
          <w:szCs w:val="28"/>
        </w:rPr>
        <w:t>alghoritmus</w:t>
      </w:r>
      <w:proofErr w:type="spellEnd"/>
      <w:r w:rsidR="00C86A02">
        <w:rPr>
          <w:rFonts w:ascii="Times New Roman" w:hAnsi="Times New Roman" w:cs="Times New Roman"/>
          <w:i/>
          <w:iCs/>
          <w:sz w:val="28"/>
          <w:szCs w:val="28"/>
        </w:rPr>
        <w:t xml:space="preserve"> </w:t>
      </w:r>
      <w:proofErr w:type="spellStart"/>
      <w:r w:rsidR="00C86A02">
        <w:rPr>
          <w:rFonts w:ascii="Times New Roman" w:hAnsi="Times New Roman" w:cs="Times New Roman"/>
          <w:i/>
          <w:iCs/>
          <w:sz w:val="28"/>
          <w:szCs w:val="28"/>
        </w:rPr>
        <w:t>compliance</w:t>
      </w:r>
      <w:proofErr w:type="spellEnd"/>
      <w:r w:rsidR="00C86A02">
        <w:rPr>
          <w:rFonts w:ascii="Times New Roman" w:hAnsi="Times New Roman" w:cs="Times New Roman"/>
          <w:i/>
          <w:iCs/>
          <w:sz w:val="28"/>
          <w:szCs w:val="28"/>
        </w:rPr>
        <w:t xml:space="preserve">, </w:t>
      </w:r>
      <w:r w:rsidR="00C86A02" w:rsidRPr="00C86A02">
        <w:rPr>
          <w:rFonts w:ascii="Times New Roman" w:hAnsi="Times New Roman" w:cs="Times New Roman"/>
          <w:sz w:val="28"/>
          <w:szCs w:val="28"/>
        </w:rPr>
        <w:t>un</w:t>
      </w:r>
      <w:r w:rsidR="00C86A02">
        <w:rPr>
          <w:rFonts w:ascii="Times New Roman" w:hAnsi="Times New Roman" w:cs="Times New Roman"/>
          <w:i/>
          <w:iCs/>
          <w:sz w:val="28"/>
          <w:szCs w:val="28"/>
        </w:rPr>
        <w:t xml:space="preserve"> robot </w:t>
      </w:r>
      <w:proofErr w:type="spellStart"/>
      <w:r w:rsidR="00C86A02">
        <w:rPr>
          <w:rFonts w:ascii="Times New Roman" w:hAnsi="Times New Roman" w:cs="Times New Roman"/>
          <w:i/>
          <w:iCs/>
          <w:sz w:val="28"/>
          <w:szCs w:val="28"/>
        </w:rPr>
        <w:t>board</w:t>
      </w:r>
      <w:proofErr w:type="spellEnd"/>
      <w:r w:rsidR="00C86A02">
        <w:rPr>
          <w:rFonts w:ascii="Times New Roman" w:hAnsi="Times New Roman" w:cs="Times New Roman"/>
          <w:i/>
          <w:iCs/>
          <w:sz w:val="28"/>
          <w:szCs w:val="28"/>
        </w:rPr>
        <w:t xml:space="preserve">, </w:t>
      </w:r>
      <w:r w:rsidR="00C86A02" w:rsidRPr="00C86A02">
        <w:rPr>
          <w:rFonts w:ascii="Times New Roman" w:hAnsi="Times New Roman" w:cs="Times New Roman"/>
          <w:sz w:val="28"/>
          <w:szCs w:val="28"/>
        </w:rPr>
        <w:t>un</w:t>
      </w:r>
      <w:r w:rsidR="00C86A02">
        <w:rPr>
          <w:rFonts w:ascii="Times New Roman" w:hAnsi="Times New Roman" w:cs="Times New Roman"/>
          <w:i/>
          <w:iCs/>
          <w:sz w:val="28"/>
          <w:szCs w:val="28"/>
        </w:rPr>
        <w:t xml:space="preserve"> CDA automatizzato </w:t>
      </w:r>
      <w:r w:rsidR="00C86A02" w:rsidRPr="00C86A02">
        <w:rPr>
          <w:rFonts w:ascii="Times New Roman" w:hAnsi="Times New Roman" w:cs="Times New Roman"/>
          <w:sz w:val="28"/>
          <w:szCs w:val="28"/>
        </w:rPr>
        <w:t xml:space="preserve">che </w:t>
      </w:r>
      <w:r w:rsidR="00C86A02">
        <w:rPr>
          <w:rFonts w:ascii="Times New Roman" w:hAnsi="Times New Roman" w:cs="Times New Roman"/>
          <w:sz w:val="28"/>
          <w:szCs w:val="28"/>
        </w:rPr>
        <w:t>metterebbe in discussione il rapporto tra controllante e controllato</w:t>
      </w:r>
      <w:r w:rsidR="003F3E47">
        <w:rPr>
          <w:rFonts w:ascii="Times New Roman" w:hAnsi="Times New Roman" w:cs="Times New Roman"/>
          <w:sz w:val="28"/>
          <w:szCs w:val="28"/>
        </w:rPr>
        <w:t>,</w:t>
      </w:r>
      <w:r w:rsidR="00C86A02">
        <w:rPr>
          <w:rFonts w:ascii="Times New Roman" w:hAnsi="Times New Roman" w:cs="Times New Roman"/>
          <w:sz w:val="28"/>
          <w:szCs w:val="28"/>
        </w:rPr>
        <w:t xml:space="preserve"> ben oltre il concetto di controllo societario ex art.</w:t>
      </w:r>
      <w:r w:rsidR="00423A21">
        <w:rPr>
          <w:rFonts w:ascii="Times New Roman" w:hAnsi="Times New Roman" w:cs="Times New Roman"/>
          <w:sz w:val="28"/>
          <w:szCs w:val="28"/>
        </w:rPr>
        <w:t xml:space="preserve"> </w:t>
      </w:r>
      <w:r w:rsidR="00C86A02">
        <w:rPr>
          <w:rFonts w:ascii="Times New Roman" w:hAnsi="Times New Roman" w:cs="Times New Roman"/>
          <w:sz w:val="28"/>
          <w:szCs w:val="28"/>
        </w:rPr>
        <w:t>2359 c</w:t>
      </w:r>
      <w:r w:rsidR="00423A21">
        <w:rPr>
          <w:rFonts w:ascii="Times New Roman" w:hAnsi="Times New Roman" w:cs="Times New Roman"/>
          <w:sz w:val="28"/>
          <w:szCs w:val="28"/>
        </w:rPr>
        <w:t>.</w:t>
      </w:r>
      <w:r w:rsidR="00C86A02">
        <w:rPr>
          <w:rFonts w:ascii="Times New Roman" w:hAnsi="Times New Roman" w:cs="Times New Roman"/>
          <w:sz w:val="28"/>
          <w:szCs w:val="28"/>
        </w:rPr>
        <w:t>c.</w:t>
      </w:r>
      <w:r w:rsidR="00847D6C">
        <w:rPr>
          <w:rFonts w:ascii="Times New Roman" w:hAnsi="Times New Roman" w:cs="Times New Roman"/>
          <w:sz w:val="28"/>
          <w:szCs w:val="28"/>
        </w:rPr>
        <w:t xml:space="preserve"> </w:t>
      </w:r>
    </w:p>
    <w:p w14:paraId="68FDAE6A" w14:textId="2D90CEEE" w:rsidR="001C2097" w:rsidRDefault="00847D6C" w:rsidP="00DA2E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L’algoritmo diventa manager con </w:t>
      </w:r>
      <w:r w:rsidRPr="003F3E47">
        <w:rPr>
          <w:rFonts w:ascii="Times New Roman" w:hAnsi="Times New Roman" w:cs="Times New Roman"/>
          <w:i/>
          <w:iCs/>
          <w:sz w:val="28"/>
          <w:szCs w:val="28"/>
        </w:rPr>
        <w:t xml:space="preserve">soft </w:t>
      </w:r>
      <w:proofErr w:type="spellStart"/>
      <w:r w:rsidRPr="003F3E47">
        <w:rPr>
          <w:rFonts w:ascii="Times New Roman" w:hAnsi="Times New Roman" w:cs="Times New Roman"/>
          <w:i/>
          <w:iCs/>
          <w:sz w:val="28"/>
          <w:szCs w:val="28"/>
        </w:rPr>
        <w:t>skills</w:t>
      </w:r>
      <w:proofErr w:type="spellEnd"/>
      <w:r>
        <w:rPr>
          <w:rFonts w:ascii="Times New Roman" w:hAnsi="Times New Roman" w:cs="Times New Roman"/>
          <w:sz w:val="28"/>
          <w:szCs w:val="28"/>
        </w:rPr>
        <w:t xml:space="preserve"> e capacità di </w:t>
      </w:r>
      <w:proofErr w:type="spellStart"/>
      <w:r w:rsidRPr="00847D6C">
        <w:rPr>
          <w:rFonts w:ascii="Times New Roman" w:hAnsi="Times New Roman" w:cs="Times New Roman"/>
          <w:i/>
          <w:iCs/>
          <w:sz w:val="28"/>
          <w:szCs w:val="28"/>
        </w:rPr>
        <w:t>problem</w:t>
      </w:r>
      <w:proofErr w:type="spellEnd"/>
      <w:r w:rsidRPr="00847D6C">
        <w:rPr>
          <w:rFonts w:ascii="Times New Roman" w:hAnsi="Times New Roman" w:cs="Times New Roman"/>
          <w:i/>
          <w:iCs/>
          <w:sz w:val="28"/>
          <w:szCs w:val="28"/>
        </w:rPr>
        <w:t xml:space="preserve"> </w:t>
      </w:r>
      <w:proofErr w:type="spellStart"/>
      <w:r w:rsidRPr="00847D6C">
        <w:rPr>
          <w:rFonts w:ascii="Times New Roman" w:hAnsi="Times New Roman" w:cs="Times New Roman"/>
          <w:i/>
          <w:iCs/>
          <w:sz w:val="28"/>
          <w:szCs w:val="28"/>
        </w:rPr>
        <w:t>solving</w:t>
      </w:r>
      <w:proofErr w:type="spellEnd"/>
      <w:r>
        <w:rPr>
          <w:rFonts w:ascii="Times New Roman" w:hAnsi="Times New Roman" w:cs="Times New Roman"/>
          <w:sz w:val="28"/>
          <w:szCs w:val="28"/>
        </w:rPr>
        <w:t xml:space="preserve"> basata anche sull’intuizione e non solo sulla razionalità.</w:t>
      </w:r>
    </w:p>
    <w:p w14:paraId="275F5043" w14:textId="77777777" w:rsidR="00CF039B" w:rsidRDefault="00CF039B" w:rsidP="00DA2E4E">
      <w:pPr>
        <w:tabs>
          <w:tab w:val="left" w:pos="8364"/>
        </w:tabs>
        <w:spacing w:after="0"/>
        <w:jc w:val="both"/>
        <w:rPr>
          <w:rFonts w:ascii="Times New Roman" w:hAnsi="Times New Roman" w:cs="Times New Roman"/>
          <w:sz w:val="28"/>
          <w:szCs w:val="28"/>
        </w:rPr>
      </w:pPr>
    </w:p>
    <w:p w14:paraId="4CF4DEFB" w14:textId="1B946D80" w:rsidR="00CF039B" w:rsidRDefault="00C86A02" w:rsidP="00DA2E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Ecco che allora il discorso sulla tecnica è un discorso sul potere, sulla libertà e, quindi, sulla democrazia. “</w:t>
      </w:r>
      <w:r w:rsidRPr="00C86A02">
        <w:rPr>
          <w:rFonts w:ascii="Times New Roman" w:hAnsi="Times New Roman" w:cs="Times New Roman"/>
          <w:i/>
          <w:iCs/>
          <w:sz w:val="28"/>
          <w:szCs w:val="28"/>
        </w:rPr>
        <w:t>Agire e non subire la tecnologia</w:t>
      </w:r>
      <w:r>
        <w:rPr>
          <w:rFonts w:ascii="Times New Roman" w:hAnsi="Times New Roman" w:cs="Times New Roman"/>
          <w:sz w:val="28"/>
          <w:szCs w:val="28"/>
        </w:rPr>
        <w:t>”</w:t>
      </w:r>
      <w:r w:rsidR="002D7286">
        <w:rPr>
          <w:rFonts w:ascii="Times New Roman" w:hAnsi="Times New Roman" w:cs="Times New Roman"/>
          <w:sz w:val="28"/>
          <w:szCs w:val="28"/>
        </w:rPr>
        <w:t xml:space="preserve"> (espressione utilizzata dal Garante per la Privacy, il </w:t>
      </w:r>
      <w:r w:rsidR="005811C1">
        <w:rPr>
          <w:rFonts w:ascii="Times New Roman" w:hAnsi="Times New Roman" w:cs="Times New Roman"/>
          <w:sz w:val="28"/>
          <w:szCs w:val="28"/>
        </w:rPr>
        <w:t>P</w:t>
      </w:r>
      <w:r w:rsidR="002D7286">
        <w:rPr>
          <w:rFonts w:ascii="Times New Roman" w:hAnsi="Times New Roman" w:cs="Times New Roman"/>
          <w:sz w:val="28"/>
          <w:szCs w:val="28"/>
        </w:rPr>
        <w:t>rof</w:t>
      </w:r>
      <w:r w:rsidR="005811C1">
        <w:rPr>
          <w:rFonts w:ascii="Times New Roman" w:hAnsi="Times New Roman" w:cs="Times New Roman"/>
          <w:sz w:val="28"/>
          <w:szCs w:val="28"/>
        </w:rPr>
        <w:t xml:space="preserve">essore </w:t>
      </w:r>
      <w:r w:rsidR="002D7286">
        <w:rPr>
          <w:rFonts w:ascii="Times New Roman" w:hAnsi="Times New Roman" w:cs="Times New Roman"/>
          <w:sz w:val="28"/>
          <w:szCs w:val="28"/>
        </w:rPr>
        <w:t>P</w:t>
      </w:r>
      <w:r w:rsidR="005811C1">
        <w:rPr>
          <w:rFonts w:ascii="Times New Roman" w:hAnsi="Times New Roman" w:cs="Times New Roman"/>
          <w:sz w:val="28"/>
          <w:szCs w:val="28"/>
        </w:rPr>
        <w:t xml:space="preserve">. </w:t>
      </w:r>
      <w:proofErr w:type="spellStart"/>
      <w:r w:rsidR="002D7286">
        <w:rPr>
          <w:rFonts w:ascii="Times New Roman" w:hAnsi="Times New Roman" w:cs="Times New Roman"/>
          <w:sz w:val="28"/>
          <w:szCs w:val="28"/>
        </w:rPr>
        <w:t>Stanzione</w:t>
      </w:r>
      <w:proofErr w:type="spellEnd"/>
      <w:r w:rsidR="002D7286">
        <w:rPr>
          <w:rFonts w:ascii="Times New Roman" w:hAnsi="Times New Roman" w:cs="Times New Roman"/>
          <w:sz w:val="28"/>
          <w:szCs w:val="28"/>
        </w:rPr>
        <w:t>)</w:t>
      </w:r>
      <w:r>
        <w:rPr>
          <w:rFonts w:ascii="Times New Roman" w:hAnsi="Times New Roman" w:cs="Times New Roman"/>
          <w:sz w:val="28"/>
          <w:szCs w:val="28"/>
        </w:rPr>
        <w:t xml:space="preserve"> significa intendere lo studio dell’IA sia come “oggetto di produzione” sia come “strumento di regolazione”. </w:t>
      </w:r>
    </w:p>
    <w:p w14:paraId="5271471D" w14:textId="77777777" w:rsidR="00CF039B" w:rsidRDefault="00C86A02" w:rsidP="00DA2E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Ogni ora</w:t>
      </w:r>
      <w:r w:rsidR="003F3E47">
        <w:rPr>
          <w:rFonts w:ascii="Times New Roman" w:hAnsi="Times New Roman" w:cs="Times New Roman"/>
          <w:sz w:val="28"/>
          <w:szCs w:val="28"/>
        </w:rPr>
        <w:t>,</w:t>
      </w:r>
      <w:r>
        <w:rPr>
          <w:rFonts w:ascii="Times New Roman" w:hAnsi="Times New Roman" w:cs="Times New Roman"/>
          <w:sz w:val="28"/>
          <w:szCs w:val="28"/>
        </w:rPr>
        <w:t xml:space="preserve"> su </w:t>
      </w:r>
      <w:proofErr w:type="spellStart"/>
      <w:r>
        <w:rPr>
          <w:rFonts w:ascii="Times New Roman" w:hAnsi="Times New Roman" w:cs="Times New Roman"/>
          <w:sz w:val="28"/>
          <w:szCs w:val="28"/>
        </w:rPr>
        <w:t>Facebook</w:t>
      </w:r>
      <w:proofErr w:type="spellEnd"/>
      <w:r w:rsidR="003F3E47">
        <w:rPr>
          <w:rFonts w:ascii="Times New Roman" w:hAnsi="Times New Roman" w:cs="Times New Roman"/>
          <w:sz w:val="28"/>
          <w:szCs w:val="28"/>
        </w:rPr>
        <w:t>,</w:t>
      </w:r>
      <w:r>
        <w:rPr>
          <w:rFonts w:ascii="Times New Roman" w:hAnsi="Times New Roman" w:cs="Times New Roman"/>
          <w:sz w:val="28"/>
          <w:szCs w:val="28"/>
        </w:rPr>
        <w:t xml:space="preserve"> si registrano 400 milioni di </w:t>
      </w:r>
      <w:proofErr w:type="spellStart"/>
      <w:r w:rsidRPr="003F3E47">
        <w:rPr>
          <w:rFonts w:ascii="Times New Roman" w:hAnsi="Times New Roman" w:cs="Times New Roman"/>
          <w:i/>
          <w:iCs/>
          <w:sz w:val="28"/>
          <w:szCs w:val="28"/>
        </w:rPr>
        <w:t>twitter</w:t>
      </w:r>
      <w:proofErr w:type="spellEnd"/>
      <w:r>
        <w:rPr>
          <w:rFonts w:ascii="Times New Roman" w:hAnsi="Times New Roman" w:cs="Times New Roman"/>
          <w:sz w:val="28"/>
          <w:szCs w:val="28"/>
        </w:rPr>
        <w:t xml:space="preserve">, 24 milioni di miliardi di dati vengono processati ogni giorno, determinando un flusso di informazioni non governabili. </w:t>
      </w:r>
    </w:p>
    <w:p w14:paraId="32EBD507" w14:textId="77777777" w:rsidR="00CF039B" w:rsidRDefault="00C86A02" w:rsidP="00DA2E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 pensi al noto caso </w:t>
      </w:r>
      <w:proofErr w:type="spellStart"/>
      <w:r w:rsidRPr="00C86A02">
        <w:rPr>
          <w:rFonts w:ascii="Times New Roman" w:hAnsi="Times New Roman" w:cs="Times New Roman"/>
          <w:i/>
          <w:iCs/>
          <w:sz w:val="28"/>
          <w:szCs w:val="28"/>
        </w:rPr>
        <w:t>Gamestop</w:t>
      </w:r>
      <w:proofErr w:type="spellEnd"/>
      <w:r w:rsidR="00CF039B">
        <w:rPr>
          <w:rFonts w:ascii="Times New Roman" w:hAnsi="Times New Roman" w:cs="Times New Roman"/>
          <w:i/>
          <w:iCs/>
          <w:sz w:val="28"/>
          <w:szCs w:val="28"/>
        </w:rPr>
        <w:t>,</w:t>
      </w:r>
      <w:r w:rsidR="009278ED">
        <w:rPr>
          <w:rFonts w:ascii="Times New Roman" w:hAnsi="Times New Roman" w:cs="Times New Roman"/>
          <w:sz w:val="28"/>
          <w:szCs w:val="28"/>
        </w:rPr>
        <w:t xml:space="preserve"> che ha posto il delicato tema dell’IA nella vigilanza dei mercati, </w:t>
      </w:r>
      <w:proofErr w:type="spellStart"/>
      <w:r w:rsidR="009278ED" w:rsidRPr="003F3E47">
        <w:rPr>
          <w:rFonts w:ascii="Times New Roman" w:hAnsi="Times New Roman" w:cs="Times New Roman"/>
          <w:i/>
          <w:iCs/>
          <w:sz w:val="28"/>
          <w:szCs w:val="28"/>
        </w:rPr>
        <w:t>hitech</w:t>
      </w:r>
      <w:proofErr w:type="spellEnd"/>
      <w:r w:rsidR="009278ED">
        <w:rPr>
          <w:rFonts w:ascii="Times New Roman" w:hAnsi="Times New Roman" w:cs="Times New Roman"/>
          <w:sz w:val="28"/>
          <w:szCs w:val="28"/>
        </w:rPr>
        <w:t xml:space="preserve"> e finanza e la necessaria azione degli organi di </w:t>
      </w:r>
      <w:r w:rsidR="00423A21">
        <w:rPr>
          <w:rFonts w:ascii="Times New Roman" w:hAnsi="Times New Roman" w:cs="Times New Roman"/>
          <w:sz w:val="28"/>
          <w:szCs w:val="28"/>
        </w:rPr>
        <w:t>controllo.</w:t>
      </w:r>
      <w:r w:rsidR="009278ED">
        <w:rPr>
          <w:rFonts w:ascii="Times New Roman" w:hAnsi="Times New Roman" w:cs="Times New Roman"/>
          <w:sz w:val="28"/>
          <w:szCs w:val="28"/>
        </w:rPr>
        <w:t xml:space="preserve"> </w:t>
      </w:r>
    </w:p>
    <w:p w14:paraId="55BA5110" w14:textId="77777777" w:rsidR="00CF039B" w:rsidRDefault="009278ED" w:rsidP="00DA2E4E">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lastRenderedPageBreak/>
        <w:t>Come è noto</w:t>
      </w:r>
      <w:r w:rsidR="00CF039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Gamestop</w:t>
      </w:r>
      <w:proofErr w:type="spellEnd"/>
      <w:r>
        <w:rPr>
          <w:rFonts w:ascii="Times New Roman" w:hAnsi="Times New Roman" w:cs="Times New Roman"/>
          <w:sz w:val="28"/>
          <w:szCs w:val="28"/>
        </w:rPr>
        <w:t xml:space="preserve"> gestisce negozi di videogiochi americani che</w:t>
      </w:r>
      <w:r w:rsidR="00CF039B">
        <w:rPr>
          <w:rFonts w:ascii="Times New Roman" w:hAnsi="Times New Roman" w:cs="Times New Roman"/>
          <w:sz w:val="28"/>
          <w:szCs w:val="28"/>
        </w:rPr>
        <w:t>,</w:t>
      </w:r>
      <w:r>
        <w:rPr>
          <w:rFonts w:ascii="Times New Roman" w:hAnsi="Times New Roman" w:cs="Times New Roman"/>
          <w:sz w:val="28"/>
          <w:szCs w:val="28"/>
        </w:rPr>
        <w:t xml:space="preserve"> durante il periodo del </w:t>
      </w:r>
      <w:proofErr w:type="spellStart"/>
      <w:r>
        <w:rPr>
          <w:rFonts w:ascii="Times New Roman" w:hAnsi="Times New Roman" w:cs="Times New Roman"/>
          <w:sz w:val="28"/>
          <w:szCs w:val="28"/>
        </w:rPr>
        <w:t>lockdown</w:t>
      </w:r>
      <w:proofErr w:type="spellEnd"/>
      <w:r w:rsidR="00CF039B">
        <w:rPr>
          <w:rFonts w:ascii="Times New Roman" w:hAnsi="Times New Roman" w:cs="Times New Roman"/>
          <w:sz w:val="28"/>
          <w:szCs w:val="28"/>
        </w:rPr>
        <w:t>,</w:t>
      </w:r>
      <w:r>
        <w:rPr>
          <w:rFonts w:ascii="Times New Roman" w:hAnsi="Times New Roman" w:cs="Times New Roman"/>
          <w:sz w:val="28"/>
          <w:szCs w:val="28"/>
        </w:rPr>
        <w:t xml:space="preserve"> è entrato in una profonda crisi. Pertanto, aveva lanciato</w:t>
      </w:r>
      <w:r w:rsidR="00B53F7B">
        <w:rPr>
          <w:rFonts w:ascii="Times New Roman" w:hAnsi="Times New Roman" w:cs="Times New Roman"/>
          <w:sz w:val="28"/>
          <w:szCs w:val="28"/>
        </w:rPr>
        <w:t xml:space="preserve"> nell’ambito Sec borsa </w:t>
      </w:r>
      <w:r w:rsidR="00423A21">
        <w:rPr>
          <w:rFonts w:ascii="Times New Roman" w:hAnsi="Times New Roman" w:cs="Times New Roman"/>
          <w:sz w:val="28"/>
          <w:szCs w:val="28"/>
        </w:rPr>
        <w:t>americana una</w:t>
      </w:r>
      <w:r>
        <w:rPr>
          <w:rFonts w:ascii="Times New Roman" w:hAnsi="Times New Roman" w:cs="Times New Roman"/>
          <w:sz w:val="28"/>
          <w:szCs w:val="28"/>
        </w:rPr>
        <w:t xml:space="preserve"> nuova campagna di acquisti su </w:t>
      </w:r>
      <w:r w:rsidRPr="009278ED">
        <w:rPr>
          <w:rFonts w:ascii="Times New Roman" w:hAnsi="Times New Roman" w:cs="Times New Roman"/>
          <w:i/>
          <w:iCs/>
          <w:sz w:val="28"/>
          <w:szCs w:val="28"/>
        </w:rPr>
        <w:t>e-commerce</w:t>
      </w:r>
      <w:r>
        <w:rPr>
          <w:rFonts w:ascii="Times New Roman" w:hAnsi="Times New Roman" w:cs="Times New Roman"/>
          <w:i/>
          <w:iCs/>
          <w:sz w:val="28"/>
          <w:szCs w:val="28"/>
        </w:rPr>
        <w:t xml:space="preserve">: </w:t>
      </w:r>
      <w:r w:rsidRPr="009278ED">
        <w:rPr>
          <w:rFonts w:ascii="Times New Roman" w:hAnsi="Times New Roman" w:cs="Times New Roman"/>
          <w:sz w:val="28"/>
          <w:szCs w:val="28"/>
        </w:rPr>
        <w:t xml:space="preserve">con </w:t>
      </w:r>
      <w:proofErr w:type="spellStart"/>
      <w:r w:rsidRPr="009278ED">
        <w:rPr>
          <w:rFonts w:ascii="Times New Roman" w:hAnsi="Times New Roman" w:cs="Times New Roman"/>
          <w:sz w:val="28"/>
          <w:szCs w:val="28"/>
        </w:rPr>
        <w:t>app</w:t>
      </w:r>
      <w:proofErr w:type="spellEnd"/>
      <w:r w:rsidRPr="009278ED">
        <w:rPr>
          <w:rFonts w:ascii="Times New Roman" w:hAnsi="Times New Roman" w:cs="Times New Roman"/>
          <w:sz w:val="28"/>
          <w:szCs w:val="28"/>
        </w:rPr>
        <w:t xml:space="preserve"> gratuite</w:t>
      </w:r>
      <w:r>
        <w:rPr>
          <w:rFonts w:ascii="Times New Roman" w:hAnsi="Times New Roman" w:cs="Times New Roman"/>
          <w:sz w:val="28"/>
          <w:szCs w:val="28"/>
        </w:rPr>
        <w:t xml:space="preserve"> (apparentemente gratuite, </w:t>
      </w:r>
      <w:r w:rsidR="003F3E47">
        <w:rPr>
          <w:rFonts w:ascii="Times New Roman" w:hAnsi="Times New Roman" w:cs="Times New Roman"/>
          <w:sz w:val="28"/>
          <w:szCs w:val="28"/>
        </w:rPr>
        <w:t>«</w:t>
      </w:r>
      <w:r w:rsidRPr="00B53F7B">
        <w:rPr>
          <w:rFonts w:ascii="Times New Roman" w:hAnsi="Times New Roman" w:cs="Times New Roman"/>
          <w:i/>
          <w:iCs/>
          <w:sz w:val="28"/>
          <w:szCs w:val="28"/>
        </w:rPr>
        <w:t>se è gratis il prezzo sei tu</w:t>
      </w:r>
      <w:r w:rsidR="003F3E47">
        <w:rPr>
          <w:rFonts w:ascii="Times New Roman" w:hAnsi="Times New Roman" w:cs="Times New Roman"/>
          <w:sz w:val="28"/>
          <w:szCs w:val="28"/>
        </w:rPr>
        <w:t>»</w:t>
      </w:r>
      <w:r>
        <w:rPr>
          <w:rFonts w:ascii="Times New Roman" w:hAnsi="Times New Roman" w:cs="Times New Roman"/>
          <w:sz w:val="28"/>
          <w:szCs w:val="28"/>
        </w:rPr>
        <w:t xml:space="preserve">) molti esponenti della </w:t>
      </w:r>
      <w:proofErr w:type="spellStart"/>
      <w:r w:rsidRPr="009278ED">
        <w:rPr>
          <w:rFonts w:ascii="Times New Roman" w:hAnsi="Times New Roman" w:cs="Times New Roman"/>
          <w:i/>
          <w:iCs/>
          <w:sz w:val="28"/>
          <w:szCs w:val="28"/>
        </w:rPr>
        <w:t>Zgeneration</w:t>
      </w:r>
      <w:proofErr w:type="spellEnd"/>
      <w:r w:rsidRPr="009278ED">
        <w:rPr>
          <w:rFonts w:ascii="Times New Roman" w:hAnsi="Times New Roman" w:cs="Times New Roman"/>
          <w:i/>
          <w:iCs/>
          <w:sz w:val="28"/>
          <w:szCs w:val="28"/>
        </w:rPr>
        <w:t xml:space="preserve"> e </w:t>
      </w:r>
      <w:proofErr w:type="spellStart"/>
      <w:r w:rsidRPr="009278ED">
        <w:rPr>
          <w:rFonts w:ascii="Times New Roman" w:hAnsi="Times New Roman" w:cs="Times New Roman"/>
          <w:i/>
          <w:iCs/>
          <w:sz w:val="28"/>
          <w:szCs w:val="28"/>
        </w:rPr>
        <w:t>Millenium</w:t>
      </w:r>
      <w:proofErr w:type="spellEnd"/>
      <w:r>
        <w:rPr>
          <w:rFonts w:ascii="Times New Roman" w:hAnsi="Times New Roman" w:cs="Times New Roman"/>
          <w:i/>
          <w:iCs/>
          <w:sz w:val="28"/>
          <w:szCs w:val="28"/>
        </w:rPr>
        <w:t xml:space="preserve"> </w:t>
      </w:r>
      <w:r w:rsidRPr="009278ED">
        <w:rPr>
          <w:rFonts w:ascii="Times New Roman" w:hAnsi="Times New Roman" w:cs="Times New Roman"/>
          <w:sz w:val="28"/>
          <w:szCs w:val="28"/>
        </w:rPr>
        <w:t>hanno acquistato</w:t>
      </w:r>
      <w:r>
        <w:rPr>
          <w:rFonts w:ascii="Times New Roman" w:hAnsi="Times New Roman" w:cs="Times New Roman"/>
          <w:sz w:val="28"/>
          <w:szCs w:val="28"/>
        </w:rPr>
        <w:t xml:space="preserve"> in maniera </w:t>
      </w:r>
      <w:r w:rsidR="00423A21">
        <w:rPr>
          <w:rFonts w:ascii="Times New Roman" w:hAnsi="Times New Roman" w:cs="Times New Roman"/>
          <w:sz w:val="28"/>
          <w:szCs w:val="28"/>
        </w:rPr>
        <w:t xml:space="preserve">massiva </w:t>
      </w:r>
      <w:r w:rsidR="00423A21" w:rsidRPr="009278ED">
        <w:rPr>
          <w:rFonts w:ascii="Times New Roman" w:hAnsi="Times New Roman" w:cs="Times New Roman"/>
          <w:sz w:val="28"/>
          <w:szCs w:val="28"/>
        </w:rPr>
        <w:t>titoli</w:t>
      </w:r>
      <w:r>
        <w:rPr>
          <w:rFonts w:ascii="Times New Roman" w:hAnsi="Times New Roman" w:cs="Times New Roman"/>
          <w:sz w:val="28"/>
          <w:szCs w:val="28"/>
        </w:rPr>
        <w:t xml:space="preserve"> che sono passati dal valore di 0 a 350 dollari (</w:t>
      </w:r>
      <w:proofErr w:type="spellStart"/>
      <w:r w:rsidRPr="00B53F7B">
        <w:rPr>
          <w:rFonts w:ascii="Times New Roman" w:hAnsi="Times New Roman" w:cs="Times New Roman"/>
          <w:i/>
          <w:iCs/>
          <w:sz w:val="28"/>
          <w:szCs w:val="28"/>
        </w:rPr>
        <w:t>millenium</w:t>
      </w:r>
      <w:proofErr w:type="spellEnd"/>
      <w:r w:rsidRPr="00B53F7B">
        <w:rPr>
          <w:rFonts w:ascii="Times New Roman" w:hAnsi="Times New Roman" w:cs="Times New Roman"/>
          <w:i/>
          <w:iCs/>
          <w:sz w:val="28"/>
          <w:szCs w:val="28"/>
        </w:rPr>
        <w:t xml:space="preserve"> </w:t>
      </w:r>
      <w:proofErr w:type="spellStart"/>
      <w:r w:rsidRPr="00B53F7B">
        <w:rPr>
          <w:rFonts w:ascii="Times New Roman" w:hAnsi="Times New Roman" w:cs="Times New Roman"/>
          <w:i/>
          <w:iCs/>
          <w:sz w:val="28"/>
          <w:szCs w:val="28"/>
        </w:rPr>
        <w:t>retails</w:t>
      </w:r>
      <w:proofErr w:type="spellEnd"/>
      <w:r>
        <w:rPr>
          <w:rFonts w:ascii="Times New Roman" w:hAnsi="Times New Roman" w:cs="Times New Roman"/>
          <w:sz w:val="28"/>
          <w:szCs w:val="28"/>
        </w:rPr>
        <w:t>)</w:t>
      </w:r>
      <w:r w:rsidR="00B53F7B">
        <w:rPr>
          <w:rFonts w:ascii="Times New Roman" w:hAnsi="Times New Roman" w:cs="Times New Roman"/>
          <w:sz w:val="28"/>
          <w:szCs w:val="28"/>
        </w:rPr>
        <w:t xml:space="preserve"> dando origine al c</w:t>
      </w:r>
      <w:r w:rsidR="00CF039B">
        <w:rPr>
          <w:rFonts w:ascii="Times New Roman" w:hAnsi="Times New Roman" w:cs="Times New Roman"/>
          <w:sz w:val="28"/>
          <w:szCs w:val="28"/>
        </w:rPr>
        <w:t>.</w:t>
      </w:r>
      <w:r w:rsidR="00B53F7B">
        <w:rPr>
          <w:rFonts w:ascii="Times New Roman" w:hAnsi="Times New Roman" w:cs="Times New Roman"/>
          <w:sz w:val="28"/>
          <w:szCs w:val="28"/>
        </w:rPr>
        <w:t>d</w:t>
      </w:r>
      <w:r w:rsidR="00CF039B">
        <w:rPr>
          <w:rFonts w:ascii="Times New Roman" w:hAnsi="Times New Roman" w:cs="Times New Roman"/>
          <w:sz w:val="28"/>
          <w:szCs w:val="28"/>
        </w:rPr>
        <w:t>.</w:t>
      </w:r>
      <w:r w:rsidR="00B53F7B">
        <w:rPr>
          <w:rFonts w:ascii="Times New Roman" w:hAnsi="Times New Roman" w:cs="Times New Roman"/>
          <w:sz w:val="28"/>
          <w:szCs w:val="28"/>
        </w:rPr>
        <w:t xml:space="preserve"> “</w:t>
      </w:r>
      <w:r w:rsidR="00B53F7B" w:rsidRPr="00B53F7B">
        <w:rPr>
          <w:rFonts w:ascii="Times New Roman" w:hAnsi="Times New Roman" w:cs="Times New Roman"/>
          <w:i/>
          <w:iCs/>
          <w:sz w:val="28"/>
          <w:szCs w:val="28"/>
        </w:rPr>
        <w:t xml:space="preserve">trading no </w:t>
      </w:r>
      <w:proofErr w:type="spellStart"/>
      <w:r w:rsidR="00B53F7B" w:rsidRPr="00B53F7B">
        <w:rPr>
          <w:rFonts w:ascii="Times New Roman" w:hAnsi="Times New Roman" w:cs="Times New Roman"/>
          <w:i/>
          <w:iCs/>
          <w:sz w:val="28"/>
          <w:szCs w:val="28"/>
        </w:rPr>
        <w:t>fee</w:t>
      </w:r>
      <w:proofErr w:type="spellEnd"/>
      <w:r w:rsidR="00B53F7B" w:rsidRPr="00CF039B">
        <w:rPr>
          <w:rFonts w:ascii="Times New Roman" w:hAnsi="Times New Roman" w:cs="Times New Roman"/>
          <w:sz w:val="28"/>
          <w:szCs w:val="28"/>
        </w:rPr>
        <w:t>”,</w:t>
      </w:r>
      <w:r w:rsidR="00B53F7B" w:rsidRPr="00B53F7B">
        <w:rPr>
          <w:rFonts w:ascii="Times New Roman" w:hAnsi="Times New Roman" w:cs="Times New Roman"/>
          <w:i/>
          <w:iCs/>
          <w:sz w:val="28"/>
          <w:szCs w:val="28"/>
        </w:rPr>
        <w:t xml:space="preserve"> “trading </w:t>
      </w:r>
      <w:proofErr w:type="spellStart"/>
      <w:r w:rsidR="00B53F7B" w:rsidRPr="00B53F7B">
        <w:rPr>
          <w:rFonts w:ascii="Times New Roman" w:hAnsi="Times New Roman" w:cs="Times New Roman"/>
          <w:i/>
          <w:iCs/>
          <w:sz w:val="28"/>
          <w:szCs w:val="28"/>
        </w:rPr>
        <w:t>gamification</w:t>
      </w:r>
      <w:proofErr w:type="spellEnd"/>
      <w:r w:rsidR="00B53F7B" w:rsidRPr="00CF039B">
        <w:rPr>
          <w:rFonts w:ascii="Times New Roman" w:hAnsi="Times New Roman" w:cs="Times New Roman"/>
          <w:sz w:val="28"/>
          <w:szCs w:val="28"/>
        </w:rPr>
        <w:t>”</w:t>
      </w:r>
      <w:r w:rsidR="00CF039B">
        <w:rPr>
          <w:rFonts w:ascii="Times New Roman" w:hAnsi="Times New Roman" w:cs="Times New Roman"/>
          <w:sz w:val="28"/>
          <w:szCs w:val="28"/>
        </w:rPr>
        <w:t>,</w:t>
      </w:r>
      <w:r w:rsidR="00B53F7B" w:rsidRPr="00CF039B">
        <w:rPr>
          <w:rFonts w:ascii="Times New Roman" w:hAnsi="Times New Roman" w:cs="Times New Roman"/>
          <w:sz w:val="28"/>
          <w:szCs w:val="28"/>
        </w:rPr>
        <w:t xml:space="preserve"> </w:t>
      </w:r>
      <w:r w:rsidR="00B53F7B" w:rsidRPr="00B53F7B">
        <w:rPr>
          <w:rFonts w:ascii="Times New Roman" w:hAnsi="Times New Roman" w:cs="Times New Roman"/>
          <w:sz w:val="28"/>
          <w:szCs w:val="28"/>
        </w:rPr>
        <w:t xml:space="preserve">che ha rappresentato anche </w:t>
      </w:r>
      <w:r w:rsidR="00B53F7B">
        <w:rPr>
          <w:rFonts w:ascii="Times New Roman" w:hAnsi="Times New Roman" w:cs="Times New Roman"/>
          <w:sz w:val="28"/>
          <w:szCs w:val="28"/>
        </w:rPr>
        <w:t xml:space="preserve">la reazione della </w:t>
      </w:r>
      <w:proofErr w:type="spellStart"/>
      <w:r w:rsidR="00B53F7B" w:rsidRPr="00B53F7B">
        <w:rPr>
          <w:rFonts w:ascii="Times New Roman" w:hAnsi="Times New Roman" w:cs="Times New Roman"/>
          <w:i/>
          <w:iCs/>
          <w:sz w:val="28"/>
          <w:szCs w:val="28"/>
        </w:rPr>
        <w:t>Zgeneration</w:t>
      </w:r>
      <w:proofErr w:type="spellEnd"/>
      <w:r w:rsidR="00B53F7B" w:rsidRPr="00B53F7B">
        <w:rPr>
          <w:rFonts w:ascii="Times New Roman" w:hAnsi="Times New Roman" w:cs="Times New Roman"/>
          <w:i/>
          <w:iCs/>
          <w:sz w:val="28"/>
          <w:szCs w:val="28"/>
        </w:rPr>
        <w:t xml:space="preserve"> </w:t>
      </w:r>
      <w:proofErr w:type="spellStart"/>
      <w:r w:rsidR="00B53F7B" w:rsidRPr="00B53F7B">
        <w:rPr>
          <w:rFonts w:ascii="Times New Roman" w:hAnsi="Times New Roman" w:cs="Times New Roman"/>
          <w:i/>
          <w:iCs/>
          <w:sz w:val="28"/>
          <w:szCs w:val="28"/>
        </w:rPr>
        <w:t>millenium</w:t>
      </w:r>
      <w:proofErr w:type="spellEnd"/>
      <w:r w:rsidR="00B53F7B" w:rsidRPr="00B53F7B">
        <w:rPr>
          <w:rFonts w:ascii="Times New Roman" w:hAnsi="Times New Roman" w:cs="Times New Roman"/>
          <w:i/>
          <w:iCs/>
          <w:sz w:val="28"/>
          <w:szCs w:val="28"/>
        </w:rPr>
        <w:t xml:space="preserve"> vs “Establishment”</w:t>
      </w:r>
      <w:r w:rsidR="00B53F7B">
        <w:rPr>
          <w:rFonts w:ascii="Times New Roman" w:hAnsi="Times New Roman" w:cs="Times New Roman"/>
          <w:i/>
          <w:iCs/>
          <w:sz w:val="28"/>
          <w:szCs w:val="28"/>
        </w:rPr>
        <w:t xml:space="preserve">. </w:t>
      </w:r>
    </w:p>
    <w:p w14:paraId="2253D98D" w14:textId="77777777" w:rsidR="00CF039B" w:rsidRDefault="00B53F7B" w:rsidP="00DA2E4E">
      <w:pPr>
        <w:tabs>
          <w:tab w:val="left" w:pos="8364"/>
        </w:tabs>
        <w:spacing w:after="0"/>
        <w:jc w:val="both"/>
        <w:rPr>
          <w:rFonts w:ascii="Times New Roman" w:hAnsi="Times New Roman" w:cs="Times New Roman"/>
          <w:sz w:val="28"/>
          <w:szCs w:val="28"/>
        </w:rPr>
      </w:pPr>
      <w:r w:rsidRPr="00B53F7B">
        <w:rPr>
          <w:rFonts w:ascii="Times New Roman" w:hAnsi="Times New Roman" w:cs="Times New Roman"/>
          <w:sz w:val="28"/>
          <w:szCs w:val="28"/>
        </w:rPr>
        <w:t>Ma il vero vincitore di tale</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wolf-herding</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effect</w:t>
      </w:r>
      <w:proofErr w:type="spellEnd"/>
      <w:r>
        <w:rPr>
          <w:rFonts w:ascii="Times New Roman" w:hAnsi="Times New Roman" w:cs="Times New Roman"/>
          <w:i/>
          <w:iCs/>
          <w:sz w:val="28"/>
          <w:szCs w:val="28"/>
        </w:rPr>
        <w:t xml:space="preserve"> </w:t>
      </w:r>
      <w:r>
        <w:rPr>
          <w:rFonts w:ascii="Times New Roman" w:hAnsi="Times New Roman" w:cs="Times New Roman"/>
          <w:sz w:val="28"/>
          <w:szCs w:val="28"/>
        </w:rPr>
        <w:t xml:space="preserve">è </w:t>
      </w:r>
      <w:r w:rsidR="00423A21">
        <w:rPr>
          <w:rFonts w:ascii="Times New Roman" w:hAnsi="Times New Roman" w:cs="Times New Roman"/>
          <w:sz w:val="28"/>
          <w:szCs w:val="28"/>
        </w:rPr>
        <w:t>stata</w:t>
      </w:r>
      <w:r w:rsidR="003F3E47">
        <w:rPr>
          <w:rFonts w:ascii="Times New Roman" w:hAnsi="Times New Roman" w:cs="Times New Roman"/>
          <w:sz w:val="28"/>
          <w:szCs w:val="28"/>
        </w:rPr>
        <w:t>,</w:t>
      </w:r>
      <w:r w:rsidR="00423A21">
        <w:rPr>
          <w:rFonts w:ascii="Times New Roman" w:hAnsi="Times New Roman" w:cs="Times New Roman"/>
          <w:sz w:val="28"/>
          <w:szCs w:val="28"/>
        </w:rPr>
        <w:t xml:space="preserve"> in</w:t>
      </w:r>
      <w:r>
        <w:rPr>
          <w:rFonts w:ascii="Times New Roman" w:hAnsi="Times New Roman" w:cs="Times New Roman"/>
          <w:sz w:val="28"/>
          <w:szCs w:val="28"/>
        </w:rPr>
        <w:t xml:space="preserve"> realtà</w:t>
      </w:r>
      <w:r w:rsidR="003F3E47">
        <w:rPr>
          <w:rFonts w:ascii="Times New Roman" w:hAnsi="Times New Roman" w:cs="Times New Roman"/>
          <w:sz w:val="28"/>
          <w:szCs w:val="28"/>
        </w:rPr>
        <w:t>,</w:t>
      </w:r>
      <w:r>
        <w:rPr>
          <w:rFonts w:ascii="Times New Roman" w:hAnsi="Times New Roman" w:cs="Times New Roman"/>
          <w:sz w:val="28"/>
          <w:szCs w:val="28"/>
        </w:rPr>
        <w:t xml:space="preserve"> la piattaforma di negoziazione che ha guadagnato tantissimo</w:t>
      </w:r>
      <w:r w:rsidR="00CF039B">
        <w:rPr>
          <w:rFonts w:ascii="Times New Roman" w:hAnsi="Times New Roman" w:cs="Times New Roman"/>
          <w:sz w:val="28"/>
          <w:szCs w:val="28"/>
        </w:rPr>
        <w:t>,</w:t>
      </w:r>
      <w:r>
        <w:rPr>
          <w:rFonts w:ascii="Times New Roman" w:hAnsi="Times New Roman" w:cs="Times New Roman"/>
          <w:sz w:val="28"/>
          <w:szCs w:val="28"/>
        </w:rPr>
        <w:t xml:space="preserve"> eludendo i controlli delle autorità di vigilanza. Tale episodio ha messo in luce la carenza di un “</w:t>
      </w:r>
      <w:proofErr w:type="spellStart"/>
      <w:r w:rsidRPr="00B53F7B">
        <w:rPr>
          <w:rFonts w:ascii="Times New Roman" w:hAnsi="Times New Roman" w:cs="Times New Roman"/>
          <w:i/>
          <w:iCs/>
          <w:sz w:val="28"/>
          <w:szCs w:val="28"/>
        </w:rPr>
        <w:t>deep</w:t>
      </w:r>
      <w:proofErr w:type="spellEnd"/>
      <w:r w:rsidRPr="00B53F7B">
        <w:rPr>
          <w:rFonts w:ascii="Times New Roman" w:hAnsi="Times New Roman" w:cs="Times New Roman"/>
          <w:i/>
          <w:iCs/>
          <w:sz w:val="28"/>
          <w:szCs w:val="28"/>
        </w:rPr>
        <w:t xml:space="preserve"> </w:t>
      </w:r>
      <w:proofErr w:type="spellStart"/>
      <w:r w:rsidRPr="00B53F7B">
        <w:rPr>
          <w:rFonts w:ascii="Times New Roman" w:hAnsi="Times New Roman" w:cs="Times New Roman"/>
          <w:i/>
          <w:iCs/>
          <w:sz w:val="28"/>
          <w:szCs w:val="28"/>
        </w:rPr>
        <w:t>learnig</w:t>
      </w:r>
      <w:proofErr w:type="spellEnd"/>
      <w:r w:rsidRPr="00B53F7B">
        <w:rPr>
          <w:rFonts w:ascii="Times New Roman" w:hAnsi="Times New Roman" w:cs="Times New Roman"/>
          <w:i/>
          <w:iCs/>
          <w:sz w:val="28"/>
          <w:szCs w:val="28"/>
        </w:rPr>
        <w:t xml:space="preserve"> </w:t>
      </w:r>
      <w:proofErr w:type="spellStart"/>
      <w:r w:rsidRPr="00B53F7B">
        <w:rPr>
          <w:rFonts w:ascii="Times New Roman" w:hAnsi="Times New Roman" w:cs="Times New Roman"/>
          <w:i/>
          <w:iCs/>
          <w:sz w:val="28"/>
          <w:szCs w:val="28"/>
        </w:rPr>
        <w:t>financial</w:t>
      </w:r>
      <w:proofErr w:type="spellEnd"/>
      <w:r w:rsidRPr="00B53F7B">
        <w:rPr>
          <w:rFonts w:ascii="Times New Roman" w:hAnsi="Times New Roman" w:cs="Times New Roman"/>
          <w:i/>
          <w:iCs/>
          <w:sz w:val="28"/>
          <w:szCs w:val="28"/>
        </w:rPr>
        <w:t xml:space="preserve"> data science</w:t>
      </w:r>
      <w:r w:rsidRPr="00CF039B">
        <w:rPr>
          <w:rFonts w:ascii="Times New Roman" w:hAnsi="Times New Roman" w:cs="Times New Roman"/>
          <w:sz w:val="28"/>
          <w:szCs w:val="28"/>
        </w:rPr>
        <w:t xml:space="preserve">” </w:t>
      </w:r>
      <w:r>
        <w:rPr>
          <w:rFonts w:ascii="Times New Roman" w:hAnsi="Times New Roman" w:cs="Times New Roman"/>
          <w:sz w:val="28"/>
          <w:szCs w:val="28"/>
        </w:rPr>
        <w:t xml:space="preserve">in grado di bloccare simili fenomeni manipolativi e speculativi. </w:t>
      </w:r>
    </w:p>
    <w:p w14:paraId="674512A4" w14:textId="05CDAD00" w:rsidR="00C86A02" w:rsidRDefault="00B53F7B" w:rsidP="00DA2E4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Si profilano,</w:t>
      </w:r>
      <w:r w:rsidR="00F2256A">
        <w:rPr>
          <w:rFonts w:ascii="Times New Roman" w:hAnsi="Times New Roman" w:cs="Times New Roman"/>
          <w:sz w:val="28"/>
          <w:szCs w:val="28"/>
        </w:rPr>
        <w:t xml:space="preserve"> </w:t>
      </w:r>
      <w:r>
        <w:rPr>
          <w:rFonts w:ascii="Times New Roman" w:hAnsi="Times New Roman" w:cs="Times New Roman"/>
          <w:sz w:val="28"/>
          <w:szCs w:val="28"/>
        </w:rPr>
        <w:t xml:space="preserve">dunque, ipotesi di </w:t>
      </w:r>
      <w:proofErr w:type="spellStart"/>
      <w:r w:rsidRPr="00B53F7B">
        <w:rPr>
          <w:rFonts w:ascii="Times New Roman" w:hAnsi="Times New Roman" w:cs="Times New Roman"/>
          <w:i/>
          <w:iCs/>
          <w:sz w:val="28"/>
          <w:szCs w:val="28"/>
        </w:rPr>
        <w:t>overconfidence</w:t>
      </w:r>
      <w:proofErr w:type="spellEnd"/>
      <w:r>
        <w:rPr>
          <w:rFonts w:ascii="Times New Roman" w:hAnsi="Times New Roman" w:cs="Times New Roman"/>
          <w:sz w:val="28"/>
          <w:szCs w:val="28"/>
        </w:rPr>
        <w:t xml:space="preserve"> in relazione ai dati strutturali quantitativi e qualitativi</w:t>
      </w:r>
      <w:r w:rsidR="00CF039B">
        <w:rPr>
          <w:rFonts w:ascii="Times New Roman" w:hAnsi="Times New Roman" w:cs="Times New Roman"/>
          <w:sz w:val="28"/>
          <w:szCs w:val="28"/>
        </w:rPr>
        <w:t>,</w:t>
      </w:r>
      <w:r>
        <w:rPr>
          <w:rFonts w:ascii="Times New Roman" w:hAnsi="Times New Roman" w:cs="Times New Roman"/>
          <w:sz w:val="28"/>
          <w:szCs w:val="28"/>
        </w:rPr>
        <w:t xml:space="preserve"> che impongono un dovere di “</w:t>
      </w:r>
      <w:proofErr w:type="spellStart"/>
      <w:r w:rsidRPr="00B53F7B">
        <w:rPr>
          <w:rFonts w:ascii="Times New Roman" w:hAnsi="Times New Roman" w:cs="Times New Roman"/>
          <w:i/>
          <w:iCs/>
          <w:sz w:val="28"/>
          <w:szCs w:val="28"/>
        </w:rPr>
        <w:t>inspection</w:t>
      </w:r>
      <w:proofErr w:type="spellEnd"/>
      <w:r w:rsidRPr="00B53F7B">
        <w:rPr>
          <w:rFonts w:ascii="Times New Roman" w:hAnsi="Times New Roman" w:cs="Times New Roman"/>
          <w:i/>
          <w:iCs/>
          <w:sz w:val="28"/>
          <w:szCs w:val="28"/>
        </w:rPr>
        <w:t xml:space="preserve"> and </w:t>
      </w:r>
      <w:proofErr w:type="spellStart"/>
      <w:r w:rsidRPr="00B53F7B">
        <w:rPr>
          <w:rFonts w:ascii="Times New Roman" w:hAnsi="Times New Roman" w:cs="Times New Roman"/>
          <w:i/>
          <w:iCs/>
          <w:sz w:val="28"/>
          <w:szCs w:val="28"/>
        </w:rPr>
        <w:t>detection</w:t>
      </w:r>
      <w:proofErr w:type="spellEnd"/>
      <w:r w:rsidRPr="00CF039B">
        <w:rPr>
          <w:rFonts w:ascii="Times New Roman" w:hAnsi="Times New Roman" w:cs="Times New Roman"/>
          <w:sz w:val="28"/>
          <w:szCs w:val="28"/>
        </w:rPr>
        <w:t>”</w:t>
      </w:r>
      <w:r w:rsidR="00F2256A">
        <w:rPr>
          <w:rFonts w:ascii="Times New Roman" w:hAnsi="Times New Roman" w:cs="Times New Roman"/>
          <w:i/>
          <w:iCs/>
          <w:sz w:val="28"/>
          <w:szCs w:val="28"/>
        </w:rPr>
        <w:t xml:space="preserve">, </w:t>
      </w:r>
      <w:r w:rsidR="00F2256A" w:rsidRPr="00CF039B">
        <w:rPr>
          <w:rFonts w:ascii="Times New Roman" w:hAnsi="Times New Roman" w:cs="Times New Roman"/>
          <w:sz w:val="28"/>
          <w:szCs w:val="28"/>
        </w:rPr>
        <w:t>(</w:t>
      </w:r>
      <w:r w:rsidR="00F2256A" w:rsidRPr="00F2256A">
        <w:rPr>
          <w:rFonts w:ascii="Times New Roman" w:hAnsi="Times New Roman" w:cs="Times New Roman"/>
          <w:sz w:val="28"/>
          <w:szCs w:val="28"/>
        </w:rPr>
        <w:t>ossia l’individuazione e il blocco dell’iniziatore di un’att</w:t>
      </w:r>
      <w:r w:rsidR="00F2256A">
        <w:rPr>
          <w:rFonts w:ascii="Times New Roman" w:hAnsi="Times New Roman" w:cs="Times New Roman"/>
          <w:sz w:val="28"/>
          <w:szCs w:val="28"/>
        </w:rPr>
        <w:t>i</w:t>
      </w:r>
      <w:r w:rsidR="00F2256A" w:rsidRPr="00F2256A">
        <w:rPr>
          <w:rFonts w:ascii="Times New Roman" w:hAnsi="Times New Roman" w:cs="Times New Roman"/>
          <w:sz w:val="28"/>
          <w:szCs w:val="28"/>
        </w:rPr>
        <w:t xml:space="preserve">vità speculativa che utilizzi i </w:t>
      </w:r>
      <w:r w:rsidR="00F2256A" w:rsidRPr="00CF039B">
        <w:rPr>
          <w:rFonts w:ascii="Times New Roman" w:hAnsi="Times New Roman" w:cs="Times New Roman"/>
          <w:i/>
          <w:iCs/>
          <w:sz w:val="28"/>
          <w:szCs w:val="28"/>
        </w:rPr>
        <w:t>social media</w:t>
      </w:r>
      <w:r w:rsidR="00F2256A" w:rsidRPr="00F2256A">
        <w:rPr>
          <w:rFonts w:ascii="Times New Roman" w:hAnsi="Times New Roman" w:cs="Times New Roman"/>
          <w:sz w:val="28"/>
          <w:szCs w:val="28"/>
        </w:rPr>
        <w:t xml:space="preserve"> per controllare il mercato</w:t>
      </w:r>
      <w:r w:rsidR="00F2256A" w:rsidRPr="00CF039B">
        <w:rPr>
          <w:rFonts w:ascii="Times New Roman" w:hAnsi="Times New Roman" w:cs="Times New Roman"/>
          <w:sz w:val="28"/>
          <w:szCs w:val="28"/>
        </w:rPr>
        <w:t>),</w:t>
      </w:r>
      <w:r w:rsidR="00F2256A">
        <w:rPr>
          <w:rFonts w:ascii="Times New Roman" w:hAnsi="Times New Roman" w:cs="Times New Roman"/>
          <w:i/>
          <w:iCs/>
          <w:sz w:val="28"/>
          <w:szCs w:val="28"/>
        </w:rPr>
        <w:t xml:space="preserve"> </w:t>
      </w:r>
      <w:r w:rsidR="00F2256A" w:rsidRPr="00F2256A">
        <w:rPr>
          <w:rFonts w:ascii="Times New Roman" w:hAnsi="Times New Roman" w:cs="Times New Roman"/>
          <w:sz w:val="28"/>
          <w:szCs w:val="28"/>
        </w:rPr>
        <w:t>adottando una strategia con approccio modulare ed incrementale.</w:t>
      </w:r>
    </w:p>
    <w:p w14:paraId="736C2D04" w14:textId="77777777" w:rsidR="00CF039B" w:rsidRDefault="009B407E"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t>Viene in rilievo la necessità della definizione di standard minimi di qualità e sicurezza dei sistemi di intelligenza artificiale</w:t>
      </w:r>
      <w:r w:rsidR="00CF039B">
        <w:rPr>
          <w:rFonts w:ascii="Times New Roman" w:hAnsi="Times New Roman" w:cs="Times New Roman"/>
          <w:sz w:val="28"/>
          <w:szCs w:val="28"/>
        </w:rPr>
        <w:t>,</w:t>
      </w:r>
      <w:r>
        <w:rPr>
          <w:rFonts w:ascii="Times New Roman" w:hAnsi="Times New Roman" w:cs="Times New Roman"/>
          <w:sz w:val="28"/>
          <w:szCs w:val="28"/>
        </w:rPr>
        <w:t xml:space="preserve"> volto a creare un vero e proprio “ecosistema” di fiducia che copra l’intero processo di produzione e di evoluzione dell’algoritmo.</w:t>
      </w:r>
      <w:r w:rsidR="00E27805">
        <w:rPr>
          <w:rFonts w:ascii="Times New Roman" w:hAnsi="Times New Roman" w:cs="Times New Roman"/>
          <w:sz w:val="28"/>
          <w:szCs w:val="28"/>
        </w:rPr>
        <w:t xml:space="preserve"> </w:t>
      </w:r>
    </w:p>
    <w:p w14:paraId="47107726" w14:textId="77777777" w:rsidR="00CF039B" w:rsidRDefault="00E27805" w:rsidP="00CF039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Il Centro di Intelligenza artificiale della Stanford </w:t>
      </w:r>
      <w:proofErr w:type="spellStart"/>
      <w:r>
        <w:rPr>
          <w:rFonts w:ascii="Times New Roman" w:hAnsi="Times New Roman" w:cs="Times New Roman"/>
          <w:sz w:val="28"/>
          <w:szCs w:val="28"/>
        </w:rPr>
        <w:t>University</w:t>
      </w:r>
      <w:proofErr w:type="spellEnd"/>
      <w:r>
        <w:rPr>
          <w:rFonts w:ascii="Times New Roman" w:hAnsi="Times New Roman" w:cs="Times New Roman"/>
          <w:sz w:val="28"/>
          <w:szCs w:val="28"/>
        </w:rPr>
        <w:t xml:space="preserve"> ha redatto un </w:t>
      </w:r>
      <w:r w:rsidRPr="00C83A8B">
        <w:rPr>
          <w:rFonts w:ascii="Times New Roman" w:hAnsi="Times New Roman" w:cs="Times New Roman"/>
          <w:i/>
          <w:iCs/>
          <w:sz w:val="28"/>
          <w:szCs w:val="28"/>
        </w:rPr>
        <w:t>report</w:t>
      </w:r>
      <w:r>
        <w:rPr>
          <w:rFonts w:ascii="Times New Roman" w:hAnsi="Times New Roman" w:cs="Times New Roman"/>
          <w:sz w:val="28"/>
          <w:szCs w:val="28"/>
        </w:rPr>
        <w:t xml:space="preserve"> in base al quale risulta che nel 2020 sono stati investiti 68 miliardi di </w:t>
      </w:r>
      <w:r w:rsidR="00423A21">
        <w:rPr>
          <w:rFonts w:ascii="Times New Roman" w:hAnsi="Times New Roman" w:cs="Times New Roman"/>
          <w:sz w:val="28"/>
          <w:szCs w:val="28"/>
        </w:rPr>
        <w:t>dollari,</w:t>
      </w:r>
      <w:r>
        <w:rPr>
          <w:rFonts w:ascii="Times New Roman" w:hAnsi="Times New Roman" w:cs="Times New Roman"/>
          <w:sz w:val="28"/>
          <w:szCs w:val="28"/>
        </w:rPr>
        <w:t xml:space="preserve"> investimenti aumentati del 40% rispetto al 2019. </w:t>
      </w:r>
    </w:p>
    <w:p w14:paraId="004438CF" w14:textId="1421A512" w:rsidR="00CF039B" w:rsidRDefault="00E27805" w:rsidP="00CF039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Nel contesto globale</w:t>
      </w:r>
      <w:r w:rsidR="00C83A8B">
        <w:rPr>
          <w:rFonts w:ascii="Times New Roman" w:hAnsi="Times New Roman" w:cs="Times New Roman"/>
          <w:sz w:val="28"/>
          <w:szCs w:val="28"/>
        </w:rPr>
        <w:t>,</w:t>
      </w:r>
      <w:r>
        <w:rPr>
          <w:rFonts w:ascii="Times New Roman" w:hAnsi="Times New Roman" w:cs="Times New Roman"/>
          <w:sz w:val="28"/>
          <w:szCs w:val="28"/>
        </w:rPr>
        <w:t xml:space="preserve"> è evidente che la Cina voglia diventare una super-potenza dell’IA</w:t>
      </w:r>
      <w:r w:rsidR="00C83A8B">
        <w:rPr>
          <w:rStyle w:val="Rimandonotaapidipagina"/>
          <w:rFonts w:ascii="Times New Roman" w:hAnsi="Times New Roman" w:cs="Times New Roman"/>
          <w:sz w:val="28"/>
          <w:szCs w:val="28"/>
        </w:rPr>
        <w:footnoteReference w:id="79"/>
      </w:r>
      <w:r>
        <w:rPr>
          <w:rFonts w:ascii="Times New Roman" w:hAnsi="Times New Roman" w:cs="Times New Roman"/>
          <w:sz w:val="28"/>
          <w:szCs w:val="28"/>
        </w:rPr>
        <w:t xml:space="preserve"> e che tenda verso </w:t>
      </w:r>
      <w:r w:rsidRPr="00CF039B">
        <w:rPr>
          <w:rFonts w:ascii="Times New Roman" w:hAnsi="Times New Roman" w:cs="Times New Roman"/>
          <w:i/>
          <w:iCs/>
          <w:sz w:val="28"/>
          <w:szCs w:val="28"/>
        </w:rPr>
        <w:t>player</w:t>
      </w:r>
      <w:r>
        <w:rPr>
          <w:rFonts w:ascii="Times New Roman" w:hAnsi="Times New Roman" w:cs="Times New Roman"/>
          <w:sz w:val="28"/>
          <w:szCs w:val="28"/>
        </w:rPr>
        <w:t xml:space="preserve"> resistenti e competitivi. </w:t>
      </w:r>
    </w:p>
    <w:p w14:paraId="69E5CE82" w14:textId="4D4C396F" w:rsidR="00CF039B" w:rsidRDefault="00E27805" w:rsidP="00CF039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Se spostiamo l’analisi sui modelli di </w:t>
      </w:r>
      <w:proofErr w:type="spellStart"/>
      <w:r w:rsidRPr="00E27805">
        <w:rPr>
          <w:rFonts w:ascii="Times New Roman" w:hAnsi="Times New Roman" w:cs="Times New Roman"/>
          <w:i/>
          <w:iCs/>
          <w:sz w:val="28"/>
          <w:szCs w:val="28"/>
        </w:rPr>
        <w:t>governance</w:t>
      </w:r>
      <w:proofErr w:type="spellEnd"/>
      <w:r w:rsidRPr="00E27805">
        <w:rPr>
          <w:rFonts w:ascii="Times New Roman" w:hAnsi="Times New Roman" w:cs="Times New Roman"/>
          <w:i/>
          <w:iCs/>
          <w:sz w:val="28"/>
          <w:szCs w:val="28"/>
        </w:rPr>
        <w:t xml:space="preserve"> </w:t>
      </w:r>
      <w:r>
        <w:rPr>
          <w:rFonts w:ascii="Times New Roman" w:hAnsi="Times New Roman" w:cs="Times New Roman"/>
          <w:sz w:val="28"/>
          <w:szCs w:val="28"/>
        </w:rPr>
        <w:t xml:space="preserve">attualmente esistenti in materia di </w:t>
      </w:r>
      <w:r w:rsidR="00423A21">
        <w:rPr>
          <w:rFonts w:ascii="Times New Roman" w:hAnsi="Times New Roman" w:cs="Times New Roman"/>
          <w:sz w:val="28"/>
          <w:szCs w:val="28"/>
        </w:rPr>
        <w:t>IA,</w:t>
      </w:r>
      <w:r>
        <w:rPr>
          <w:rFonts w:ascii="Times New Roman" w:hAnsi="Times New Roman" w:cs="Times New Roman"/>
          <w:sz w:val="28"/>
          <w:szCs w:val="28"/>
        </w:rPr>
        <w:t xml:space="preserve"> osserviamo che negli USA non vi è una legge federale sulla IA e trattamento dei </w:t>
      </w:r>
      <w:r w:rsidR="00423A21">
        <w:rPr>
          <w:rFonts w:ascii="Times New Roman" w:hAnsi="Times New Roman" w:cs="Times New Roman"/>
          <w:sz w:val="28"/>
          <w:szCs w:val="28"/>
        </w:rPr>
        <w:t>dati (</w:t>
      </w:r>
      <w:r>
        <w:rPr>
          <w:rFonts w:ascii="Times New Roman" w:hAnsi="Times New Roman" w:cs="Times New Roman"/>
          <w:sz w:val="28"/>
          <w:szCs w:val="28"/>
        </w:rPr>
        <w:t xml:space="preserve">vi sono atti normativi in alcuni Stati come </w:t>
      </w:r>
      <w:r w:rsidRPr="00E27805">
        <w:rPr>
          <w:rFonts w:ascii="Times New Roman" w:hAnsi="Times New Roman" w:cs="Times New Roman"/>
          <w:i/>
          <w:iCs/>
          <w:sz w:val="28"/>
          <w:szCs w:val="28"/>
        </w:rPr>
        <w:t xml:space="preserve">California Consumer </w:t>
      </w:r>
      <w:proofErr w:type="spellStart"/>
      <w:r w:rsidRPr="00E27805">
        <w:rPr>
          <w:rFonts w:ascii="Times New Roman" w:hAnsi="Times New Roman" w:cs="Times New Roman"/>
          <w:i/>
          <w:iCs/>
          <w:sz w:val="28"/>
          <w:szCs w:val="28"/>
        </w:rPr>
        <w:t>Act</w:t>
      </w:r>
      <w:proofErr w:type="spellEnd"/>
      <w:r>
        <w:rPr>
          <w:rFonts w:ascii="Times New Roman" w:hAnsi="Times New Roman" w:cs="Times New Roman"/>
          <w:sz w:val="28"/>
          <w:szCs w:val="28"/>
        </w:rPr>
        <w:t xml:space="preserve"> che si ispira alla normativa europea). </w:t>
      </w:r>
    </w:p>
    <w:p w14:paraId="3E5D4194" w14:textId="796D1C5B" w:rsidR="00CF039B" w:rsidRDefault="00E27805" w:rsidP="00CF039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Cina vi è un forte controllo statale con sorveglianza digitale, c</w:t>
      </w:r>
      <w:r w:rsidR="00CF039B">
        <w:rPr>
          <w:rFonts w:ascii="Times New Roman" w:hAnsi="Times New Roman" w:cs="Times New Roman"/>
          <w:sz w:val="28"/>
          <w:szCs w:val="28"/>
        </w:rPr>
        <w:t>.</w:t>
      </w:r>
      <w:r>
        <w:rPr>
          <w:rFonts w:ascii="Times New Roman" w:hAnsi="Times New Roman" w:cs="Times New Roman"/>
          <w:sz w:val="28"/>
          <w:szCs w:val="28"/>
        </w:rPr>
        <w:t>d</w:t>
      </w:r>
      <w:r w:rsidR="00CF039B">
        <w:rPr>
          <w:rFonts w:ascii="Times New Roman" w:hAnsi="Times New Roman" w:cs="Times New Roman"/>
          <w:sz w:val="28"/>
          <w:szCs w:val="28"/>
        </w:rPr>
        <w:t>.</w:t>
      </w:r>
      <w:r>
        <w:rPr>
          <w:rFonts w:ascii="Times New Roman" w:hAnsi="Times New Roman" w:cs="Times New Roman"/>
          <w:sz w:val="28"/>
          <w:szCs w:val="28"/>
        </w:rPr>
        <w:t xml:space="preserve"> “</w:t>
      </w:r>
      <w:r w:rsidRPr="00E27805">
        <w:rPr>
          <w:rFonts w:ascii="Times New Roman" w:hAnsi="Times New Roman" w:cs="Times New Roman"/>
          <w:i/>
          <w:iCs/>
          <w:sz w:val="28"/>
          <w:szCs w:val="28"/>
        </w:rPr>
        <w:t xml:space="preserve">social </w:t>
      </w:r>
      <w:proofErr w:type="spellStart"/>
      <w:r w:rsidRPr="00E27805">
        <w:rPr>
          <w:rFonts w:ascii="Times New Roman" w:hAnsi="Times New Roman" w:cs="Times New Roman"/>
          <w:i/>
          <w:iCs/>
          <w:sz w:val="28"/>
          <w:szCs w:val="28"/>
        </w:rPr>
        <w:t>scoring</w:t>
      </w:r>
      <w:proofErr w:type="spellEnd"/>
      <w:r w:rsidRPr="00CF039B">
        <w:rPr>
          <w:rFonts w:ascii="Times New Roman" w:hAnsi="Times New Roman" w:cs="Times New Roman"/>
          <w:sz w:val="28"/>
          <w:szCs w:val="28"/>
        </w:rPr>
        <w:t>”</w:t>
      </w:r>
      <w:r w:rsidR="00CF039B">
        <w:rPr>
          <w:rFonts w:ascii="Times New Roman" w:hAnsi="Times New Roman" w:cs="Times New Roman"/>
          <w:i/>
          <w:iCs/>
          <w:sz w:val="28"/>
          <w:szCs w:val="28"/>
        </w:rPr>
        <w:t xml:space="preserve"> </w:t>
      </w:r>
      <w:r w:rsidRPr="00CF039B">
        <w:rPr>
          <w:rFonts w:ascii="Times New Roman" w:hAnsi="Times New Roman" w:cs="Times New Roman"/>
          <w:sz w:val="28"/>
          <w:szCs w:val="28"/>
        </w:rPr>
        <w:t xml:space="preserve">(punteggio sociale), </w:t>
      </w:r>
      <w:r w:rsidRPr="00E27805">
        <w:rPr>
          <w:rFonts w:ascii="Times New Roman" w:hAnsi="Times New Roman" w:cs="Times New Roman"/>
          <w:sz w:val="28"/>
          <w:szCs w:val="28"/>
        </w:rPr>
        <w:t xml:space="preserve">anche se </w:t>
      </w:r>
      <w:r>
        <w:rPr>
          <w:rFonts w:ascii="Times New Roman" w:hAnsi="Times New Roman" w:cs="Times New Roman"/>
          <w:sz w:val="28"/>
          <w:szCs w:val="28"/>
        </w:rPr>
        <w:t>si comincia a parlare di necessità e proporzionalità</w:t>
      </w:r>
      <w:r w:rsidR="00CF039B">
        <w:rPr>
          <w:rFonts w:ascii="Times New Roman" w:hAnsi="Times New Roman" w:cs="Times New Roman"/>
          <w:sz w:val="28"/>
          <w:szCs w:val="28"/>
        </w:rPr>
        <w:t>.</w:t>
      </w:r>
    </w:p>
    <w:p w14:paraId="6BF1047D" w14:textId="727A94F8" w:rsidR="00CF039B" w:rsidRDefault="00E27805" w:rsidP="00CF039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Europa</w:t>
      </w:r>
      <w:r w:rsidR="00CF039B">
        <w:rPr>
          <w:rFonts w:ascii="Times New Roman" w:hAnsi="Times New Roman" w:cs="Times New Roman"/>
          <w:sz w:val="28"/>
          <w:szCs w:val="28"/>
        </w:rPr>
        <w:t>,</w:t>
      </w:r>
      <w:r>
        <w:rPr>
          <w:rFonts w:ascii="Times New Roman" w:hAnsi="Times New Roman" w:cs="Times New Roman"/>
          <w:sz w:val="28"/>
          <w:szCs w:val="28"/>
        </w:rPr>
        <w:t xml:space="preserve"> abbiamo il Regolamento per la protezione dei dati personali, le varie proposte di regolamento </w:t>
      </w:r>
      <w:r w:rsidRPr="00A42A55">
        <w:rPr>
          <w:rFonts w:ascii="Times New Roman" w:hAnsi="Times New Roman" w:cs="Times New Roman"/>
          <w:i/>
          <w:iCs/>
          <w:sz w:val="28"/>
          <w:szCs w:val="28"/>
        </w:rPr>
        <w:t>Digital Service</w:t>
      </w:r>
      <w:r w:rsidR="00125AE2">
        <w:rPr>
          <w:rFonts w:ascii="Times New Roman" w:hAnsi="Times New Roman" w:cs="Times New Roman"/>
          <w:i/>
          <w:iCs/>
          <w:sz w:val="28"/>
          <w:szCs w:val="28"/>
        </w:rPr>
        <w:t>s</w:t>
      </w:r>
      <w:r w:rsidRPr="00A42A55">
        <w:rPr>
          <w:rFonts w:ascii="Times New Roman" w:hAnsi="Times New Roman" w:cs="Times New Roman"/>
          <w:i/>
          <w:iCs/>
          <w:sz w:val="28"/>
          <w:szCs w:val="28"/>
        </w:rPr>
        <w:t xml:space="preserve"> </w:t>
      </w:r>
      <w:proofErr w:type="spellStart"/>
      <w:r w:rsidRPr="00A42A55">
        <w:rPr>
          <w:rFonts w:ascii="Times New Roman" w:hAnsi="Times New Roman" w:cs="Times New Roman"/>
          <w:i/>
          <w:iCs/>
          <w:sz w:val="28"/>
          <w:szCs w:val="28"/>
        </w:rPr>
        <w:t>Act</w:t>
      </w:r>
      <w:proofErr w:type="spellEnd"/>
      <w:r w:rsidRPr="00A42A55">
        <w:rPr>
          <w:rFonts w:ascii="Times New Roman" w:hAnsi="Times New Roman" w:cs="Times New Roman"/>
          <w:i/>
          <w:iCs/>
          <w:sz w:val="28"/>
          <w:szCs w:val="28"/>
        </w:rPr>
        <w:t xml:space="preserve">, Data </w:t>
      </w:r>
      <w:proofErr w:type="spellStart"/>
      <w:r w:rsidRPr="00A42A55">
        <w:rPr>
          <w:rFonts w:ascii="Times New Roman" w:hAnsi="Times New Roman" w:cs="Times New Roman"/>
          <w:i/>
          <w:iCs/>
          <w:sz w:val="28"/>
          <w:szCs w:val="28"/>
        </w:rPr>
        <w:t>Governance</w:t>
      </w:r>
      <w:proofErr w:type="spellEnd"/>
      <w:r w:rsidRPr="00A42A55">
        <w:rPr>
          <w:rFonts w:ascii="Times New Roman" w:hAnsi="Times New Roman" w:cs="Times New Roman"/>
          <w:i/>
          <w:iCs/>
          <w:sz w:val="28"/>
          <w:szCs w:val="28"/>
        </w:rPr>
        <w:t xml:space="preserve"> </w:t>
      </w:r>
      <w:proofErr w:type="spellStart"/>
      <w:r w:rsidRPr="00A42A55">
        <w:rPr>
          <w:rFonts w:ascii="Times New Roman" w:hAnsi="Times New Roman" w:cs="Times New Roman"/>
          <w:i/>
          <w:iCs/>
          <w:sz w:val="28"/>
          <w:szCs w:val="28"/>
        </w:rPr>
        <w:t>Act</w:t>
      </w:r>
      <w:proofErr w:type="spellEnd"/>
      <w:r w:rsidR="00A42A55">
        <w:rPr>
          <w:rFonts w:ascii="Times New Roman" w:hAnsi="Times New Roman" w:cs="Times New Roman"/>
          <w:sz w:val="28"/>
          <w:szCs w:val="28"/>
        </w:rPr>
        <w:t xml:space="preserve">,  </w:t>
      </w:r>
      <w:r w:rsidR="00A42A55" w:rsidRPr="00A42A55">
        <w:rPr>
          <w:rFonts w:ascii="Times New Roman" w:hAnsi="Times New Roman" w:cs="Times New Roman"/>
          <w:i/>
          <w:iCs/>
          <w:sz w:val="28"/>
          <w:szCs w:val="28"/>
        </w:rPr>
        <w:t xml:space="preserve">Digital </w:t>
      </w:r>
      <w:proofErr w:type="spellStart"/>
      <w:r w:rsidR="009211B4" w:rsidRPr="00A42A55">
        <w:rPr>
          <w:rFonts w:ascii="Times New Roman" w:hAnsi="Times New Roman" w:cs="Times New Roman"/>
          <w:i/>
          <w:iCs/>
          <w:sz w:val="28"/>
          <w:szCs w:val="28"/>
        </w:rPr>
        <w:t>Market</w:t>
      </w:r>
      <w:r w:rsidR="009211B4">
        <w:rPr>
          <w:rFonts w:ascii="Times New Roman" w:hAnsi="Times New Roman" w:cs="Times New Roman"/>
          <w:i/>
          <w:iCs/>
          <w:sz w:val="28"/>
          <w:szCs w:val="28"/>
        </w:rPr>
        <w:t>s</w:t>
      </w:r>
      <w:proofErr w:type="spellEnd"/>
      <w:r w:rsidR="009211B4" w:rsidRPr="00A42A55">
        <w:rPr>
          <w:rFonts w:ascii="Times New Roman" w:hAnsi="Times New Roman" w:cs="Times New Roman"/>
          <w:i/>
          <w:iCs/>
          <w:sz w:val="28"/>
          <w:szCs w:val="28"/>
        </w:rPr>
        <w:t xml:space="preserve"> </w:t>
      </w:r>
      <w:proofErr w:type="spellStart"/>
      <w:r w:rsidR="00A42A55" w:rsidRPr="00A42A55">
        <w:rPr>
          <w:rFonts w:ascii="Times New Roman" w:hAnsi="Times New Roman" w:cs="Times New Roman"/>
          <w:i/>
          <w:iCs/>
          <w:sz w:val="28"/>
          <w:szCs w:val="28"/>
        </w:rPr>
        <w:t>Act</w:t>
      </w:r>
      <w:proofErr w:type="spellEnd"/>
      <w:r w:rsidR="00A42A55">
        <w:rPr>
          <w:rFonts w:ascii="Times New Roman" w:hAnsi="Times New Roman" w:cs="Times New Roman"/>
          <w:sz w:val="28"/>
          <w:szCs w:val="28"/>
        </w:rPr>
        <w:t xml:space="preserve">, la proposta di regolamento sulla intelligenza artificiale, basata sull’idea di una IA rappresentativa dell’umanità, idea di </w:t>
      </w:r>
      <w:r w:rsidR="00A42A55" w:rsidRPr="00CF039B">
        <w:rPr>
          <w:rFonts w:ascii="Times New Roman" w:hAnsi="Times New Roman" w:cs="Times New Roman"/>
          <w:i/>
          <w:iCs/>
          <w:sz w:val="28"/>
          <w:szCs w:val="28"/>
        </w:rPr>
        <w:t>Human Centre</w:t>
      </w:r>
      <w:r w:rsidR="00A42A55">
        <w:rPr>
          <w:rFonts w:ascii="Times New Roman" w:hAnsi="Times New Roman" w:cs="Times New Roman"/>
          <w:sz w:val="28"/>
          <w:szCs w:val="28"/>
        </w:rPr>
        <w:t xml:space="preserve"> che non ostacoli lo sviluppo tecnologico, ma che lo orienti in termini di un suo utilizzo etico al servizio dell’uomo, sostenibilità, di interoperabilità dei dati, di prevenzione dei monopoli, favorendo senz’altro le </w:t>
      </w:r>
      <w:r w:rsidR="00A42A55" w:rsidRPr="00C83A8B">
        <w:rPr>
          <w:rFonts w:ascii="Times New Roman" w:hAnsi="Times New Roman" w:cs="Times New Roman"/>
          <w:i/>
          <w:iCs/>
          <w:sz w:val="28"/>
          <w:szCs w:val="28"/>
        </w:rPr>
        <w:t>start-up</w:t>
      </w:r>
      <w:r w:rsidR="00A42A55">
        <w:rPr>
          <w:rFonts w:ascii="Times New Roman" w:hAnsi="Times New Roman" w:cs="Times New Roman"/>
          <w:sz w:val="28"/>
          <w:szCs w:val="28"/>
        </w:rPr>
        <w:t xml:space="preserve"> che saranno, secondo le più attuali previsioni, circa 250 entro il 2030.</w:t>
      </w:r>
      <w:r w:rsidR="00423A21">
        <w:rPr>
          <w:rFonts w:ascii="Times New Roman" w:hAnsi="Times New Roman" w:cs="Times New Roman"/>
          <w:sz w:val="28"/>
          <w:szCs w:val="28"/>
        </w:rPr>
        <w:t xml:space="preserve"> </w:t>
      </w:r>
    </w:p>
    <w:p w14:paraId="0932C9E8" w14:textId="77777777" w:rsidR="000E2974" w:rsidRDefault="00A42A55" w:rsidP="00CF039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L’utilizzo sempre più massiccio dell’intelligenza artificiale sta sviluppando studi approfonditi anche sul piano assicurativo</w:t>
      </w:r>
      <w:r w:rsidR="000E2974">
        <w:rPr>
          <w:rFonts w:ascii="Times New Roman" w:hAnsi="Times New Roman" w:cs="Times New Roman"/>
          <w:sz w:val="28"/>
          <w:szCs w:val="28"/>
        </w:rPr>
        <w:t>,</w:t>
      </w:r>
      <w:r>
        <w:rPr>
          <w:rFonts w:ascii="Times New Roman" w:hAnsi="Times New Roman" w:cs="Times New Roman"/>
          <w:sz w:val="28"/>
          <w:szCs w:val="28"/>
        </w:rPr>
        <w:t xml:space="preserve"> per individuare nella distribuzione dei rischi la c</w:t>
      </w:r>
      <w:r w:rsidR="009D774A">
        <w:rPr>
          <w:rFonts w:ascii="Times New Roman" w:hAnsi="Times New Roman" w:cs="Times New Roman"/>
          <w:sz w:val="28"/>
          <w:szCs w:val="28"/>
        </w:rPr>
        <w:t>.</w:t>
      </w:r>
      <w:r>
        <w:rPr>
          <w:rFonts w:ascii="Times New Roman" w:hAnsi="Times New Roman" w:cs="Times New Roman"/>
          <w:sz w:val="28"/>
          <w:szCs w:val="28"/>
        </w:rPr>
        <w:t>d</w:t>
      </w:r>
      <w:r w:rsidR="009D774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42A55">
        <w:rPr>
          <w:rFonts w:ascii="Times New Roman" w:hAnsi="Times New Roman" w:cs="Times New Roman"/>
          <w:i/>
          <w:iCs/>
          <w:sz w:val="28"/>
          <w:szCs w:val="28"/>
        </w:rPr>
        <w:t>liability</w:t>
      </w:r>
      <w:proofErr w:type="spellEnd"/>
      <w:r w:rsidRPr="00A42A55">
        <w:rPr>
          <w:rFonts w:ascii="Times New Roman" w:hAnsi="Times New Roman" w:cs="Times New Roman"/>
          <w:i/>
          <w:iCs/>
          <w:sz w:val="28"/>
          <w:szCs w:val="28"/>
        </w:rPr>
        <w:t xml:space="preserve"> gap.</w:t>
      </w:r>
      <w:r>
        <w:rPr>
          <w:rFonts w:ascii="Times New Roman" w:hAnsi="Times New Roman" w:cs="Times New Roman"/>
          <w:i/>
          <w:iCs/>
          <w:sz w:val="28"/>
          <w:szCs w:val="28"/>
        </w:rPr>
        <w:t xml:space="preserve"> </w:t>
      </w:r>
      <w:r w:rsidRPr="00A42A55">
        <w:rPr>
          <w:rFonts w:ascii="Times New Roman" w:hAnsi="Times New Roman" w:cs="Times New Roman"/>
          <w:sz w:val="28"/>
          <w:szCs w:val="28"/>
        </w:rPr>
        <w:t xml:space="preserve">Si è osservato </w:t>
      </w:r>
      <w:r>
        <w:rPr>
          <w:rFonts w:ascii="Times New Roman" w:hAnsi="Times New Roman" w:cs="Times New Roman"/>
          <w:sz w:val="28"/>
          <w:szCs w:val="28"/>
        </w:rPr>
        <w:t xml:space="preserve">che il cervello umano appartiene alla categoria del calcolatore, vi è </w:t>
      </w:r>
      <w:r w:rsidR="00863E2E">
        <w:rPr>
          <w:rFonts w:ascii="Times New Roman" w:hAnsi="Times New Roman" w:cs="Times New Roman"/>
          <w:sz w:val="28"/>
          <w:szCs w:val="28"/>
        </w:rPr>
        <w:t xml:space="preserve">una responsabilità di una entità pensante, pensiero autonomo e personalità elettronica. </w:t>
      </w:r>
    </w:p>
    <w:p w14:paraId="0D1D661F" w14:textId="77777777" w:rsidR="000E2974" w:rsidRDefault="00863E2E" w:rsidP="00CF039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L’IVASS non ha preteso</w:t>
      </w:r>
      <w:r w:rsidR="000E2974">
        <w:rPr>
          <w:rFonts w:ascii="Times New Roman" w:hAnsi="Times New Roman" w:cs="Times New Roman"/>
          <w:sz w:val="28"/>
          <w:szCs w:val="28"/>
        </w:rPr>
        <w:t>,</w:t>
      </w:r>
      <w:r>
        <w:rPr>
          <w:rFonts w:ascii="Times New Roman" w:hAnsi="Times New Roman" w:cs="Times New Roman"/>
          <w:sz w:val="28"/>
          <w:szCs w:val="28"/>
        </w:rPr>
        <w:t xml:space="preserve"> fino ad ora</w:t>
      </w:r>
      <w:r w:rsidR="000E2974">
        <w:rPr>
          <w:rFonts w:ascii="Times New Roman" w:hAnsi="Times New Roman" w:cs="Times New Roman"/>
          <w:sz w:val="28"/>
          <w:szCs w:val="28"/>
        </w:rPr>
        <w:t>,</w:t>
      </w:r>
      <w:r>
        <w:rPr>
          <w:rFonts w:ascii="Times New Roman" w:hAnsi="Times New Roman" w:cs="Times New Roman"/>
          <w:sz w:val="28"/>
          <w:szCs w:val="28"/>
        </w:rPr>
        <w:t xml:space="preserve"> di andare ad individuare una disciplina specifica che si traduca in maggiori oneri: devono essere gli stessi operatori che devono impegnarsi con il controllo interno, </w:t>
      </w:r>
      <w:r w:rsidRPr="00847D6C">
        <w:rPr>
          <w:rFonts w:ascii="Times New Roman" w:hAnsi="Times New Roman" w:cs="Times New Roman"/>
          <w:i/>
          <w:iCs/>
          <w:sz w:val="28"/>
          <w:szCs w:val="28"/>
        </w:rPr>
        <w:t xml:space="preserve">corporate </w:t>
      </w:r>
      <w:proofErr w:type="spellStart"/>
      <w:r w:rsidRPr="00847D6C">
        <w:rPr>
          <w:rFonts w:ascii="Times New Roman" w:hAnsi="Times New Roman" w:cs="Times New Roman"/>
          <w:i/>
          <w:iCs/>
          <w:sz w:val="28"/>
          <w:szCs w:val="28"/>
        </w:rPr>
        <w:t>governance</w:t>
      </w:r>
      <w:proofErr w:type="spellEnd"/>
      <w:r>
        <w:rPr>
          <w:rFonts w:ascii="Times New Roman" w:hAnsi="Times New Roman" w:cs="Times New Roman"/>
          <w:sz w:val="28"/>
          <w:szCs w:val="28"/>
        </w:rPr>
        <w:t xml:space="preserve"> al rispetto dei principi etici dell’IA. </w:t>
      </w:r>
    </w:p>
    <w:p w14:paraId="1C2FA6AD" w14:textId="77777777" w:rsidR="000E2974" w:rsidRDefault="00863E2E" w:rsidP="00CF039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 pensi anche al Codice di autodisciplina della Consob. Il mercato assicurativo </w:t>
      </w:r>
      <w:r w:rsidR="00D677C1">
        <w:rPr>
          <w:rFonts w:ascii="Times New Roman" w:hAnsi="Times New Roman" w:cs="Times New Roman"/>
          <w:sz w:val="28"/>
          <w:szCs w:val="28"/>
        </w:rPr>
        <w:t>utilizza l’IA per la personalizzazione dei contratti assicurativi e del premio giusto adeguato al livello di rischio</w:t>
      </w:r>
      <w:r w:rsidR="000E2974">
        <w:rPr>
          <w:rFonts w:ascii="Times New Roman" w:hAnsi="Times New Roman" w:cs="Times New Roman"/>
          <w:sz w:val="28"/>
          <w:szCs w:val="28"/>
        </w:rPr>
        <w:t>,</w:t>
      </w:r>
      <w:r w:rsidR="00D677C1">
        <w:rPr>
          <w:rFonts w:ascii="Times New Roman" w:hAnsi="Times New Roman" w:cs="Times New Roman"/>
          <w:sz w:val="28"/>
          <w:szCs w:val="28"/>
        </w:rPr>
        <w:t xml:space="preserve"> senza far venir meno il carattere di mutualità rispetto alla granularità del dato. Ecco che allora nell’ambito assicurativo si distinguono tre soggetti </w:t>
      </w:r>
      <w:r w:rsidR="00423A21">
        <w:rPr>
          <w:rFonts w:ascii="Times New Roman" w:hAnsi="Times New Roman" w:cs="Times New Roman"/>
          <w:sz w:val="28"/>
          <w:szCs w:val="28"/>
        </w:rPr>
        <w:t>con un’apposita</w:t>
      </w:r>
      <w:r w:rsidR="00D677C1">
        <w:rPr>
          <w:rFonts w:ascii="Times New Roman" w:hAnsi="Times New Roman" w:cs="Times New Roman"/>
          <w:sz w:val="28"/>
          <w:szCs w:val="28"/>
        </w:rPr>
        <w:t xml:space="preserve"> configurazione: 1) il soggetto produttore della parte meccanica;</w:t>
      </w:r>
      <w:r w:rsidR="00423A21">
        <w:rPr>
          <w:rFonts w:ascii="Times New Roman" w:hAnsi="Times New Roman" w:cs="Times New Roman"/>
          <w:sz w:val="28"/>
          <w:szCs w:val="28"/>
        </w:rPr>
        <w:t xml:space="preserve"> </w:t>
      </w:r>
      <w:r w:rsidR="00D677C1">
        <w:rPr>
          <w:rFonts w:ascii="Times New Roman" w:hAnsi="Times New Roman" w:cs="Times New Roman"/>
          <w:sz w:val="28"/>
          <w:szCs w:val="28"/>
        </w:rPr>
        <w:t xml:space="preserve">2) il codificatore del software; 3) l’ideatore dell’algoritmo. </w:t>
      </w:r>
    </w:p>
    <w:p w14:paraId="30ECFD2D" w14:textId="77777777" w:rsidR="000E2974" w:rsidRDefault="00D677C1" w:rsidP="00CF039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Sulla base di tale tripartizione</w:t>
      </w:r>
      <w:r w:rsidR="000E2974">
        <w:rPr>
          <w:rFonts w:ascii="Times New Roman" w:hAnsi="Times New Roman" w:cs="Times New Roman"/>
          <w:sz w:val="28"/>
          <w:szCs w:val="28"/>
        </w:rPr>
        <w:t>,</w:t>
      </w:r>
      <w:r>
        <w:rPr>
          <w:rFonts w:ascii="Times New Roman" w:hAnsi="Times New Roman" w:cs="Times New Roman"/>
          <w:sz w:val="28"/>
          <w:szCs w:val="28"/>
        </w:rPr>
        <w:t xml:space="preserve"> si analizza il problema dell’imputabilità giuridica</w:t>
      </w:r>
      <w:r w:rsidR="000E2974">
        <w:rPr>
          <w:rFonts w:ascii="Times New Roman" w:hAnsi="Times New Roman" w:cs="Times New Roman"/>
          <w:sz w:val="28"/>
          <w:szCs w:val="28"/>
        </w:rPr>
        <w:t>,</w:t>
      </w:r>
      <w:r>
        <w:rPr>
          <w:rFonts w:ascii="Times New Roman" w:hAnsi="Times New Roman" w:cs="Times New Roman"/>
          <w:sz w:val="28"/>
          <w:szCs w:val="28"/>
        </w:rPr>
        <w:t xml:space="preserve"> secondo l’analisi economica del diritto. </w:t>
      </w:r>
    </w:p>
    <w:p w14:paraId="7CC369EF" w14:textId="77777777" w:rsidR="000E2974" w:rsidRDefault="00D677C1" w:rsidP="00CF039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Per l’utente si fa riferimento all’art</w:t>
      </w:r>
      <w:r w:rsidR="007269D6">
        <w:rPr>
          <w:rFonts w:ascii="Times New Roman" w:hAnsi="Times New Roman" w:cs="Times New Roman"/>
          <w:sz w:val="28"/>
          <w:szCs w:val="28"/>
        </w:rPr>
        <w:t>.</w:t>
      </w:r>
      <w:r w:rsidR="00423A21">
        <w:rPr>
          <w:rFonts w:ascii="Times New Roman" w:hAnsi="Times New Roman" w:cs="Times New Roman"/>
          <w:sz w:val="28"/>
          <w:szCs w:val="28"/>
        </w:rPr>
        <w:t xml:space="preserve"> </w:t>
      </w:r>
      <w:r>
        <w:rPr>
          <w:rFonts w:ascii="Times New Roman" w:hAnsi="Times New Roman" w:cs="Times New Roman"/>
          <w:sz w:val="28"/>
          <w:szCs w:val="28"/>
        </w:rPr>
        <w:t xml:space="preserve">2051 </w:t>
      </w:r>
      <w:r w:rsidR="00423A21">
        <w:rPr>
          <w:rFonts w:ascii="Times New Roman" w:hAnsi="Times New Roman" w:cs="Times New Roman"/>
          <w:sz w:val="28"/>
          <w:szCs w:val="28"/>
        </w:rPr>
        <w:t>c.c.,</w:t>
      </w:r>
      <w:r>
        <w:rPr>
          <w:rFonts w:ascii="Times New Roman" w:hAnsi="Times New Roman" w:cs="Times New Roman"/>
          <w:sz w:val="28"/>
          <w:szCs w:val="28"/>
        </w:rPr>
        <w:t xml:space="preserve"> responsabilità per le cose in custodia, mentre si richiama l’art.</w:t>
      </w:r>
      <w:r w:rsidR="00423A21">
        <w:rPr>
          <w:rFonts w:ascii="Times New Roman" w:hAnsi="Times New Roman" w:cs="Times New Roman"/>
          <w:sz w:val="28"/>
          <w:szCs w:val="28"/>
        </w:rPr>
        <w:t xml:space="preserve"> </w:t>
      </w:r>
      <w:r>
        <w:rPr>
          <w:rFonts w:ascii="Times New Roman" w:hAnsi="Times New Roman" w:cs="Times New Roman"/>
          <w:sz w:val="28"/>
          <w:szCs w:val="28"/>
        </w:rPr>
        <w:t>2050 c</w:t>
      </w:r>
      <w:r w:rsidR="00423A21">
        <w:rPr>
          <w:rFonts w:ascii="Times New Roman" w:hAnsi="Times New Roman" w:cs="Times New Roman"/>
          <w:sz w:val="28"/>
          <w:szCs w:val="28"/>
        </w:rPr>
        <w:t>.</w:t>
      </w:r>
      <w:r>
        <w:rPr>
          <w:rFonts w:ascii="Times New Roman" w:hAnsi="Times New Roman" w:cs="Times New Roman"/>
          <w:sz w:val="28"/>
          <w:szCs w:val="28"/>
        </w:rPr>
        <w:t>c</w:t>
      </w:r>
      <w:r w:rsidR="00423A21">
        <w:rPr>
          <w:rFonts w:ascii="Times New Roman" w:hAnsi="Times New Roman" w:cs="Times New Roman"/>
          <w:sz w:val="28"/>
          <w:szCs w:val="28"/>
        </w:rPr>
        <w:t>.</w:t>
      </w:r>
      <w:r>
        <w:rPr>
          <w:rFonts w:ascii="Times New Roman" w:hAnsi="Times New Roman" w:cs="Times New Roman"/>
          <w:sz w:val="28"/>
          <w:szCs w:val="28"/>
        </w:rPr>
        <w:t>, responsabilità per attività pericolose, per l’operatore economico che sostituisce l’uomo con IA</w:t>
      </w:r>
      <w:r w:rsidR="00444B38">
        <w:rPr>
          <w:rFonts w:ascii="Times New Roman" w:hAnsi="Times New Roman" w:cs="Times New Roman"/>
          <w:sz w:val="28"/>
          <w:szCs w:val="28"/>
        </w:rPr>
        <w:t xml:space="preserve">, ma in tal caso il soggetto danneggiato si trova in una posizione di maggior </w:t>
      </w:r>
      <w:r w:rsidR="00423A21">
        <w:rPr>
          <w:rFonts w:ascii="Times New Roman" w:hAnsi="Times New Roman" w:cs="Times New Roman"/>
          <w:sz w:val="28"/>
          <w:szCs w:val="28"/>
        </w:rPr>
        <w:t>svantaggio,</w:t>
      </w:r>
      <w:r w:rsidR="00444B38">
        <w:rPr>
          <w:rFonts w:ascii="Times New Roman" w:hAnsi="Times New Roman" w:cs="Times New Roman"/>
          <w:sz w:val="28"/>
          <w:szCs w:val="28"/>
        </w:rPr>
        <w:t xml:space="preserve"> perché l’operatore può provare di aver adottato tutte le misure idonee ad evitare il danno. </w:t>
      </w:r>
    </w:p>
    <w:p w14:paraId="02D86542" w14:textId="77777777" w:rsidR="000E2974" w:rsidRDefault="00444B38" w:rsidP="00CF039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Calzante è il riferimento anche all’art. 2049 c</w:t>
      </w:r>
      <w:r w:rsidR="00423A21">
        <w:rPr>
          <w:rFonts w:ascii="Times New Roman" w:hAnsi="Times New Roman" w:cs="Times New Roman"/>
          <w:sz w:val="28"/>
          <w:szCs w:val="28"/>
        </w:rPr>
        <w:t>.</w:t>
      </w:r>
      <w:r>
        <w:rPr>
          <w:rFonts w:ascii="Times New Roman" w:hAnsi="Times New Roman" w:cs="Times New Roman"/>
          <w:sz w:val="28"/>
          <w:szCs w:val="28"/>
        </w:rPr>
        <w:t>c</w:t>
      </w:r>
      <w:r w:rsidR="00423A21">
        <w:rPr>
          <w:rFonts w:ascii="Times New Roman" w:hAnsi="Times New Roman" w:cs="Times New Roman"/>
          <w:sz w:val="28"/>
          <w:szCs w:val="28"/>
        </w:rPr>
        <w:t>.</w:t>
      </w:r>
      <w:r w:rsidR="000E2974">
        <w:rPr>
          <w:rFonts w:ascii="Times New Roman" w:hAnsi="Times New Roman" w:cs="Times New Roman"/>
          <w:sz w:val="28"/>
          <w:szCs w:val="28"/>
        </w:rPr>
        <w:t xml:space="preserve">, </w:t>
      </w:r>
      <w:r>
        <w:rPr>
          <w:rFonts w:ascii="Times New Roman" w:hAnsi="Times New Roman" w:cs="Times New Roman"/>
          <w:sz w:val="28"/>
          <w:szCs w:val="28"/>
        </w:rPr>
        <w:t xml:space="preserve">responsabilità indiretta che non ammette prova contraria e che si basa sul nesso di “occasionalità necessaria”. </w:t>
      </w:r>
    </w:p>
    <w:p w14:paraId="7D0421C1" w14:textId="04922A37" w:rsidR="000E2974" w:rsidRDefault="00444B38" w:rsidP="00CF039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Si è discusso se</w:t>
      </w:r>
      <w:r w:rsidR="000E2974">
        <w:rPr>
          <w:rFonts w:ascii="Times New Roman" w:hAnsi="Times New Roman" w:cs="Times New Roman"/>
          <w:sz w:val="28"/>
          <w:szCs w:val="28"/>
        </w:rPr>
        <w:t>,</w:t>
      </w:r>
      <w:r>
        <w:rPr>
          <w:rFonts w:ascii="Times New Roman" w:hAnsi="Times New Roman" w:cs="Times New Roman"/>
          <w:sz w:val="28"/>
          <w:szCs w:val="28"/>
        </w:rPr>
        <w:t xml:space="preserve"> per l’ideatore dell’algoritmo</w:t>
      </w:r>
      <w:r w:rsidR="000E2974">
        <w:rPr>
          <w:rFonts w:ascii="Times New Roman" w:hAnsi="Times New Roman" w:cs="Times New Roman"/>
          <w:sz w:val="28"/>
          <w:szCs w:val="28"/>
        </w:rPr>
        <w:t>,</w:t>
      </w:r>
      <w:r>
        <w:rPr>
          <w:rFonts w:ascii="Times New Roman" w:hAnsi="Times New Roman" w:cs="Times New Roman"/>
          <w:sz w:val="28"/>
          <w:szCs w:val="28"/>
        </w:rPr>
        <w:t xml:space="preserve"> possa farsi riferimento alla responsabilità del produttore: il limite di applicabilità è dato, come sopra già, esposto dalla capacità </w:t>
      </w:r>
      <w:proofErr w:type="spellStart"/>
      <w:r>
        <w:rPr>
          <w:rFonts w:ascii="Times New Roman" w:hAnsi="Times New Roman" w:cs="Times New Roman"/>
          <w:sz w:val="28"/>
          <w:szCs w:val="28"/>
        </w:rPr>
        <w:t>autoevolutiva</w:t>
      </w:r>
      <w:proofErr w:type="spellEnd"/>
      <w:r>
        <w:rPr>
          <w:rFonts w:ascii="Times New Roman" w:hAnsi="Times New Roman" w:cs="Times New Roman"/>
          <w:sz w:val="28"/>
          <w:szCs w:val="28"/>
        </w:rPr>
        <w:t xml:space="preserve"> dell’algoritmo nei sistemi di </w:t>
      </w:r>
      <w:proofErr w:type="spellStart"/>
      <w:r w:rsidRPr="007269D6">
        <w:rPr>
          <w:rFonts w:ascii="Times New Roman" w:hAnsi="Times New Roman" w:cs="Times New Roman"/>
          <w:i/>
          <w:iCs/>
          <w:sz w:val="28"/>
          <w:szCs w:val="28"/>
        </w:rPr>
        <w:t>deep</w:t>
      </w:r>
      <w:proofErr w:type="spellEnd"/>
      <w:r w:rsidRPr="007269D6">
        <w:rPr>
          <w:rFonts w:ascii="Times New Roman" w:hAnsi="Times New Roman" w:cs="Times New Roman"/>
          <w:i/>
          <w:iCs/>
          <w:sz w:val="28"/>
          <w:szCs w:val="28"/>
        </w:rPr>
        <w:t xml:space="preserve"> </w:t>
      </w:r>
      <w:proofErr w:type="spellStart"/>
      <w:r w:rsidRPr="007269D6">
        <w:rPr>
          <w:rFonts w:ascii="Times New Roman" w:hAnsi="Times New Roman" w:cs="Times New Roman"/>
          <w:i/>
          <w:iCs/>
          <w:sz w:val="28"/>
          <w:szCs w:val="28"/>
        </w:rPr>
        <w:t>learning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autoevoluzione</w:t>
      </w:r>
      <w:proofErr w:type="spellEnd"/>
      <w:r>
        <w:rPr>
          <w:rFonts w:ascii="Times New Roman" w:hAnsi="Times New Roman" w:cs="Times New Roman"/>
          <w:sz w:val="28"/>
          <w:szCs w:val="28"/>
        </w:rPr>
        <w:t xml:space="preserve"> che può prescindere totalmente dalla volontà dell’ideatore. </w:t>
      </w:r>
    </w:p>
    <w:p w14:paraId="766A1FE6" w14:textId="77777777" w:rsidR="000E2974" w:rsidRDefault="000E2974" w:rsidP="00CF039B">
      <w:pPr>
        <w:tabs>
          <w:tab w:val="left" w:pos="8364"/>
        </w:tabs>
        <w:spacing w:after="0"/>
        <w:jc w:val="both"/>
        <w:rPr>
          <w:rFonts w:ascii="Times New Roman" w:hAnsi="Times New Roman" w:cs="Times New Roman"/>
          <w:sz w:val="28"/>
          <w:szCs w:val="28"/>
        </w:rPr>
      </w:pPr>
    </w:p>
    <w:p w14:paraId="76B55F59" w14:textId="77777777" w:rsidR="000E2974" w:rsidRDefault="00444B38" w:rsidP="00CF039B">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Nell’ambito del diritto uniforme è stata lungimirante la Risoluzione del parlamento Europeo dell’ottobre 2020</w:t>
      </w:r>
      <w:r w:rsidR="000E2974">
        <w:rPr>
          <w:rFonts w:ascii="Times New Roman" w:hAnsi="Times New Roman" w:cs="Times New Roman"/>
          <w:sz w:val="28"/>
          <w:szCs w:val="28"/>
        </w:rPr>
        <w:t>,</w:t>
      </w:r>
      <w:r>
        <w:rPr>
          <w:rFonts w:ascii="Times New Roman" w:hAnsi="Times New Roman" w:cs="Times New Roman"/>
          <w:sz w:val="28"/>
          <w:szCs w:val="28"/>
        </w:rPr>
        <w:t xml:space="preserve"> che invitava la Commissione </w:t>
      </w:r>
      <w:proofErr w:type="gramStart"/>
      <w:r>
        <w:rPr>
          <w:rFonts w:ascii="Times New Roman" w:hAnsi="Times New Roman" w:cs="Times New Roman"/>
          <w:sz w:val="28"/>
          <w:szCs w:val="28"/>
        </w:rPr>
        <w:t>ad</w:t>
      </w:r>
      <w:proofErr w:type="gramEnd"/>
      <w:r>
        <w:rPr>
          <w:rFonts w:ascii="Times New Roman" w:hAnsi="Times New Roman" w:cs="Times New Roman"/>
          <w:sz w:val="28"/>
          <w:szCs w:val="28"/>
        </w:rPr>
        <w:t xml:space="preserve"> adottare un regolamento che uniformi la disciplina dell’onere della prova a carico del produttore di un </w:t>
      </w:r>
      <w:r w:rsidRPr="000E2974">
        <w:rPr>
          <w:rFonts w:ascii="Times New Roman" w:hAnsi="Times New Roman" w:cs="Times New Roman"/>
          <w:i/>
          <w:iCs/>
          <w:sz w:val="28"/>
          <w:szCs w:val="28"/>
        </w:rPr>
        <w:t>software</w:t>
      </w:r>
      <w:r>
        <w:rPr>
          <w:rFonts w:ascii="Times New Roman" w:hAnsi="Times New Roman" w:cs="Times New Roman"/>
          <w:sz w:val="28"/>
          <w:szCs w:val="28"/>
        </w:rPr>
        <w:t xml:space="preserve"> </w:t>
      </w:r>
      <w:r w:rsidRPr="00444B38">
        <w:rPr>
          <w:rFonts w:ascii="Times New Roman" w:hAnsi="Times New Roman" w:cs="Times New Roman"/>
          <w:i/>
          <w:iCs/>
          <w:sz w:val="28"/>
          <w:szCs w:val="28"/>
        </w:rPr>
        <w:t>stand/alone</w:t>
      </w:r>
      <w:r>
        <w:rPr>
          <w:rFonts w:ascii="Times New Roman" w:hAnsi="Times New Roman" w:cs="Times New Roman"/>
          <w:sz w:val="28"/>
          <w:szCs w:val="28"/>
        </w:rPr>
        <w:t xml:space="preserve"> o anche come componente di un’entità materiale ed immateriale. </w:t>
      </w:r>
    </w:p>
    <w:p w14:paraId="22E520F8" w14:textId="5D079DF1" w:rsidR="0087032D" w:rsidRDefault="00444B38" w:rsidP="00CF039B">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Si è giunti così ad un doppio binario: a) responsabilità oggettiva per attività ad alto rischio salvo prova contraria: b) responsabilità aggravata per colpa presunta con prova contraria dell’operatore (ad esempio, se il sistema è stato utilizzato a sua insaputa</w:t>
      </w:r>
      <w:r w:rsidR="0087032D">
        <w:rPr>
          <w:rFonts w:ascii="Times New Roman" w:hAnsi="Times New Roman" w:cs="Times New Roman"/>
          <w:sz w:val="28"/>
          <w:szCs w:val="28"/>
        </w:rPr>
        <w:t>). Appare ovvio</w:t>
      </w:r>
      <w:r w:rsidR="000E2974">
        <w:rPr>
          <w:rFonts w:ascii="Times New Roman" w:hAnsi="Times New Roman" w:cs="Times New Roman"/>
          <w:sz w:val="28"/>
          <w:szCs w:val="28"/>
        </w:rPr>
        <w:t>,</w:t>
      </w:r>
      <w:r w:rsidR="0087032D">
        <w:rPr>
          <w:rFonts w:ascii="Times New Roman" w:hAnsi="Times New Roman" w:cs="Times New Roman"/>
          <w:sz w:val="28"/>
          <w:szCs w:val="28"/>
        </w:rPr>
        <w:t xml:space="preserve"> in tale contesto</w:t>
      </w:r>
      <w:r w:rsidR="000E2974">
        <w:rPr>
          <w:rFonts w:ascii="Times New Roman" w:hAnsi="Times New Roman" w:cs="Times New Roman"/>
          <w:sz w:val="28"/>
          <w:szCs w:val="28"/>
        </w:rPr>
        <w:t>,</w:t>
      </w:r>
      <w:r w:rsidR="0087032D">
        <w:rPr>
          <w:rFonts w:ascii="Times New Roman" w:hAnsi="Times New Roman" w:cs="Times New Roman"/>
          <w:sz w:val="28"/>
          <w:szCs w:val="28"/>
        </w:rPr>
        <w:t xml:space="preserve"> che l’operatore </w:t>
      </w:r>
      <w:r w:rsidR="0087032D" w:rsidRPr="0087032D">
        <w:rPr>
          <w:rFonts w:ascii="Times New Roman" w:hAnsi="Times New Roman" w:cs="Times New Roman"/>
          <w:i/>
          <w:iCs/>
          <w:sz w:val="28"/>
          <w:szCs w:val="28"/>
        </w:rPr>
        <w:t>back-end o front-end</w:t>
      </w:r>
      <w:r w:rsidR="0087032D">
        <w:rPr>
          <w:rFonts w:ascii="Times New Roman" w:hAnsi="Times New Roman" w:cs="Times New Roman"/>
          <w:sz w:val="28"/>
          <w:szCs w:val="28"/>
        </w:rPr>
        <w:t xml:space="preserve"> richieda una copertura assicurativa obbligatoria. In un sistema tecnologico in continua evoluzione</w:t>
      </w:r>
      <w:r w:rsidR="000E2974">
        <w:rPr>
          <w:rFonts w:ascii="Times New Roman" w:hAnsi="Times New Roman" w:cs="Times New Roman"/>
          <w:sz w:val="28"/>
          <w:szCs w:val="28"/>
        </w:rPr>
        <w:t>,</w:t>
      </w:r>
      <w:r w:rsidR="0087032D">
        <w:rPr>
          <w:rFonts w:ascii="Times New Roman" w:hAnsi="Times New Roman" w:cs="Times New Roman"/>
          <w:sz w:val="28"/>
          <w:szCs w:val="28"/>
        </w:rPr>
        <w:t xml:space="preserve"> le tecniche di assicurazione richiedono a loro volta un continuo adattamento con un abbassamento dei costi di accesso, con un </w:t>
      </w:r>
      <w:proofErr w:type="spellStart"/>
      <w:r w:rsidR="0087032D" w:rsidRPr="000E2974">
        <w:rPr>
          <w:rFonts w:ascii="Times New Roman" w:hAnsi="Times New Roman" w:cs="Times New Roman"/>
          <w:i/>
          <w:iCs/>
          <w:sz w:val="28"/>
          <w:szCs w:val="28"/>
        </w:rPr>
        <w:t>cloud</w:t>
      </w:r>
      <w:proofErr w:type="spellEnd"/>
      <w:r w:rsidR="0087032D">
        <w:rPr>
          <w:rFonts w:ascii="Times New Roman" w:hAnsi="Times New Roman" w:cs="Times New Roman"/>
          <w:sz w:val="28"/>
          <w:szCs w:val="28"/>
        </w:rPr>
        <w:t xml:space="preserve"> che abbia un elevato potere di calcolo computazionale, </w:t>
      </w:r>
      <w:r w:rsidR="0087032D" w:rsidRPr="0087032D">
        <w:rPr>
          <w:rFonts w:ascii="Times New Roman" w:hAnsi="Times New Roman" w:cs="Times New Roman"/>
          <w:i/>
          <w:iCs/>
          <w:sz w:val="28"/>
          <w:szCs w:val="28"/>
        </w:rPr>
        <w:t>open source.</w:t>
      </w:r>
    </w:p>
    <w:p w14:paraId="0F7276FC" w14:textId="77777777" w:rsidR="000E2974" w:rsidRDefault="0087032D" w:rsidP="00774481">
      <w:pPr>
        <w:tabs>
          <w:tab w:val="left" w:pos="8364"/>
        </w:tabs>
        <w:jc w:val="both"/>
        <w:rPr>
          <w:rFonts w:ascii="Times New Roman" w:hAnsi="Times New Roman" w:cs="Times New Roman"/>
          <w:sz w:val="28"/>
          <w:szCs w:val="28"/>
        </w:rPr>
      </w:pPr>
      <w:r w:rsidRPr="0087032D">
        <w:rPr>
          <w:rFonts w:ascii="Times New Roman" w:hAnsi="Times New Roman" w:cs="Times New Roman"/>
          <w:sz w:val="28"/>
          <w:szCs w:val="28"/>
        </w:rPr>
        <w:t xml:space="preserve">Se quella appena </w:t>
      </w:r>
      <w:r>
        <w:rPr>
          <w:rFonts w:ascii="Times New Roman" w:hAnsi="Times New Roman" w:cs="Times New Roman"/>
          <w:sz w:val="28"/>
          <w:szCs w:val="28"/>
        </w:rPr>
        <w:t xml:space="preserve">descritta è la situazione attuale nel campo assicurativo, maggiore complessità applicativa presenta il campo </w:t>
      </w:r>
      <w:r w:rsidR="00423A21">
        <w:rPr>
          <w:rFonts w:ascii="Times New Roman" w:hAnsi="Times New Roman" w:cs="Times New Roman"/>
          <w:sz w:val="28"/>
          <w:szCs w:val="28"/>
        </w:rPr>
        <w:t>medico,</w:t>
      </w:r>
      <w:r>
        <w:rPr>
          <w:rFonts w:ascii="Times New Roman" w:hAnsi="Times New Roman" w:cs="Times New Roman"/>
          <w:sz w:val="28"/>
          <w:szCs w:val="28"/>
        </w:rPr>
        <w:t xml:space="preserve"> la c</w:t>
      </w:r>
      <w:r w:rsidR="009D774A">
        <w:rPr>
          <w:rFonts w:ascii="Times New Roman" w:hAnsi="Times New Roman" w:cs="Times New Roman"/>
          <w:sz w:val="28"/>
          <w:szCs w:val="28"/>
        </w:rPr>
        <w:t>.</w:t>
      </w:r>
      <w:r>
        <w:rPr>
          <w:rFonts w:ascii="Times New Roman" w:hAnsi="Times New Roman" w:cs="Times New Roman"/>
          <w:sz w:val="28"/>
          <w:szCs w:val="28"/>
        </w:rPr>
        <w:t>d</w:t>
      </w:r>
      <w:r w:rsidR="009D774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01E42">
        <w:rPr>
          <w:rFonts w:ascii="Times New Roman" w:hAnsi="Times New Roman" w:cs="Times New Roman"/>
          <w:i/>
          <w:iCs/>
          <w:sz w:val="28"/>
          <w:szCs w:val="28"/>
        </w:rPr>
        <w:t>Med</w:t>
      </w:r>
      <w:proofErr w:type="spellEnd"/>
      <w:r w:rsidRPr="00801E42">
        <w:rPr>
          <w:rFonts w:ascii="Times New Roman" w:hAnsi="Times New Roman" w:cs="Times New Roman"/>
          <w:i/>
          <w:iCs/>
          <w:sz w:val="28"/>
          <w:szCs w:val="28"/>
        </w:rPr>
        <w:t xml:space="preserve"> </w:t>
      </w:r>
      <w:proofErr w:type="spellStart"/>
      <w:r w:rsidRPr="00801E42">
        <w:rPr>
          <w:rFonts w:ascii="Times New Roman" w:hAnsi="Times New Roman" w:cs="Times New Roman"/>
          <w:i/>
          <w:iCs/>
          <w:sz w:val="28"/>
          <w:szCs w:val="28"/>
        </w:rPr>
        <w:t>tech</w:t>
      </w:r>
      <w:proofErr w:type="spellEnd"/>
      <w:r w:rsidRPr="00801E42">
        <w:rPr>
          <w:rFonts w:ascii="Times New Roman" w:hAnsi="Times New Roman" w:cs="Times New Roman"/>
          <w:i/>
          <w:iCs/>
          <w:sz w:val="28"/>
          <w:szCs w:val="28"/>
        </w:rPr>
        <w:t xml:space="preserve"> IA</w:t>
      </w:r>
      <w:r w:rsidR="00EB1B5B">
        <w:rPr>
          <w:rStyle w:val="Rimandonotaapidipagina"/>
          <w:rFonts w:ascii="Times New Roman" w:hAnsi="Times New Roman" w:cs="Times New Roman"/>
          <w:sz w:val="28"/>
          <w:szCs w:val="28"/>
        </w:rPr>
        <w:footnoteReference w:id="80"/>
      </w:r>
      <w:r>
        <w:rPr>
          <w:rFonts w:ascii="Times New Roman" w:hAnsi="Times New Roman" w:cs="Times New Roman"/>
          <w:sz w:val="28"/>
          <w:szCs w:val="28"/>
        </w:rPr>
        <w:t xml:space="preserve">. </w:t>
      </w:r>
    </w:p>
    <w:p w14:paraId="254621A6" w14:textId="77777777" w:rsidR="000E2974" w:rsidRDefault="0087032D"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Si è calcolato che l’applicazione dell’IA nel campo terapeutico potrebbe salvare circa 400.000 vite all’anno, con un risparmio di 200 miliardi di euro ed ulteriore risparmio </w:t>
      </w:r>
      <w:r w:rsidR="00AC6050">
        <w:rPr>
          <w:rFonts w:ascii="Times New Roman" w:hAnsi="Times New Roman" w:cs="Times New Roman"/>
          <w:sz w:val="28"/>
          <w:szCs w:val="28"/>
        </w:rPr>
        <w:t xml:space="preserve">di 2000 ore lavorative in ambito sanitario. Occorre precisare che i </w:t>
      </w:r>
      <w:r w:rsidR="00AC6050" w:rsidRPr="000E2974">
        <w:rPr>
          <w:rFonts w:ascii="Times New Roman" w:hAnsi="Times New Roman" w:cs="Times New Roman"/>
          <w:i/>
          <w:iCs/>
          <w:sz w:val="28"/>
          <w:szCs w:val="28"/>
        </w:rPr>
        <w:t>software</w:t>
      </w:r>
      <w:r w:rsidR="00AC6050">
        <w:rPr>
          <w:rFonts w:ascii="Times New Roman" w:hAnsi="Times New Roman" w:cs="Times New Roman"/>
          <w:sz w:val="28"/>
          <w:szCs w:val="28"/>
        </w:rPr>
        <w:t xml:space="preserve"> utilizzati nel campo medico sono dei veri e propri dispositivi medici, tutte le </w:t>
      </w:r>
      <w:proofErr w:type="spellStart"/>
      <w:r w:rsidR="00AC6050">
        <w:rPr>
          <w:rFonts w:ascii="Times New Roman" w:hAnsi="Times New Roman" w:cs="Times New Roman"/>
          <w:sz w:val="28"/>
          <w:szCs w:val="28"/>
        </w:rPr>
        <w:t>app</w:t>
      </w:r>
      <w:proofErr w:type="spellEnd"/>
      <w:r w:rsidR="00AC6050">
        <w:rPr>
          <w:rFonts w:ascii="Times New Roman" w:hAnsi="Times New Roman" w:cs="Times New Roman"/>
          <w:sz w:val="28"/>
          <w:szCs w:val="28"/>
        </w:rPr>
        <w:t xml:space="preserve"> sono dispositivi medici con classificazione di rischio (classe 1 e classe 2) sottoposte alla specifica disciplina eurounitaria dei dispositivi medici del 2021</w:t>
      </w:r>
      <w:r w:rsidR="001C6F9A">
        <w:rPr>
          <w:rStyle w:val="Rimandonotaapidipagina"/>
          <w:rFonts w:ascii="Times New Roman" w:hAnsi="Times New Roman" w:cs="Times New Roman"/>
          <w:sz w:val="28"/>
          <w:szCs w:val="28"/>
        </w:rPr>
        <w:footnoteReference w:id="81"/>
      </w:r>
      <w:r w:rsidR="00AC6050">
        <w:rPr>
          <w:rFonts w:ascii="Times New Roman" w:hAnsi="Times New Roman" w:cs="Times New Roman"/>
          <w:sz w:val="28"/>
          <w:szCs w:val="28"/>
        </w:rPr>
        <w:t xml:space="preserve">. </w:t>
      </w:r>
    </w:p>
    <w:p w14:paraId="7AA67671" w14:textId="29917450" w:rsidR="009B407E" w:rsidRPr="00CE7580" w:rsidRDefault="00AC6050"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Il Libro bianco sull’intelligenza artificiale fa espressamente riferimento al campo medico, basti pensare che tutta l’industria </w:t>
      </w:r>
      <w:proofErr w:type="spellStart"/>
      <w:r w:rsidRPr="000E2974">
        <w:rPr>
          <w:rFonts w:ascii="Times New Roman" w:hAnsi="Times New Roman" w:cs="Times New Roman"/>
          <w:i/>
          <w:iCs/>
          <w:sz w:val="28"/>
          <w:szCs w:val="28"/>
        </w:rPr>
        <w:t>Med</w:t>
      </w:r>
      <w:proofErr w:type="spellEnd"/>
      <w:r w:rsidRPr="000E2974">
        <w:rPr>
          <w:rFonts w:ascii="Times New Roman" w:hAnsi="Times New Roman" w:cs="Times New Roman"/>
          <w:i/>
          <w:iCs/>
          <w:sz w:val="28"/>
          <w:szCs w:val="28"/>
        </w:rPr>
        <w:t xml:space="preserve"> </w:t>
      </w:r>
      <w:proofErr w:type="spellStart"/>
      <w:r w:rsidRPr="000E2974">
        <w:rPr>
          <w:rFonts w:ascii="Times New Roman" w:hAnsi="Times New Roman" w:cs="Times New Roman"/>
          <w:i/>
          <w:iCs/>
          <w:sz w:val="28"/>
          <w:szCs w:val="28"/>
        </w:rPr>
        <w:t>tech</w:t>
      </w:r>
      <w:proofErr w:type="spellEnd"/>
      <w:r>
        <w:rPr>
          <w:rFonts w:ascii="Times New Roman" w:hAnsi="Times New Roman" w:cs="Times New Roman"/>
          <w:sz w:val="28"/>
          <w:szCs w:val="28"/>
        </w:rPr>
        <w:t xml:space="preserve"> rappresenta un giro di affari di 120 miliardi di euro. Vi sono </w:t>
      </w:r>
      <w:proofErr w:type="spellStart"/>
      <w:r w:rsidRPr="002A6E65">
        <w:rPr>
          <w:rFonts w:ascii="Times New Roman" w:hAnsi="Times New Roman" w:cs="Times New Roman"/>
          <w:i/>
          <w:iCs/>
          <w:sz w:val="28"/>
          <w:szCs w:val="28"/>
        </w:rPr>
        <w:t>smartphone</w:t>
      </w:r>
      <w:proofErr w:type="spellEnd"/>
      <w:r>
        <w:rPr>
          <w:rFonts w:ascii="Times New Roman" w:hAnsi="Times New Roman" w:cs="Times New Roman"/>
          <w:sz w:val="28"/>
          <w:szCs w:val="28"/>
        </w:rPr>
        <w:t xml:space="preserve"> capaci di calcolare il battito </w:t>
      </w:r>
      <w:r w:rsidR="00FC50BA">
        <w:rPr>
          <w:rFonts w:ascii="Times New Roman" w:hAnsi="Times New Roman" w:cs="Times New Roman"/>
          <w:sz w:val="28"/>
          <w:szCs w:val="28"/>
        </w:rPr>
        <w:t>cardiaco,</w:t>
      </w:r>
      <w:r>
        <w:rPr>
          <w:rFonts w:ascii="Times New Roman" w:hAnsi="Times New Roman" w:cs="Times New Roman"/>
          <w:sz w:val="28"/>
          <w:szCs w:val="28"/>
        </w:rPr>
        <w:t xml:space="preserve"> segnalare l’aritmia al medico curante, attivare gli </w:t>
      </w:r>
      <w:proofErr w:type="spellStart"/>
      <w:r w:rsidRPr="00AC6050">
        <w:rPr>
          <w:rFonts w:ascii="Times New Roman" w:hAnsi="Times New Roman" w:cs="Times New Roman"/>
          <w:i/>
          <w:iCs/>
          <w:sz w:val="28"/>
          <w:szCs w:val="28"/>
        </w:rPr>
        <w:t>allert</w:t>
      </w:r>
      <w:proofErr w:type="spellEnd"/>
      <w:r w:rsidRPr="00AC6050">
        <w:rPr>
          <w:rFonts w:ascii="Times New Roman" w:hAnsi="Times New Roman" w:cs="Times New Roman"/>
          <w:i/>
          <w:iCs/>
          <w:sz w:val="28"/>
          <w:szCs w:val="28"/>
        </w:rPr>
        <w:t xml:space="preserve"> </w:t>
      </w:r>
      <w:r>
        <w:rPr>
          <w:rFonts w:ascii="Times New Roman" w:hAnsi="Times New Roman" w:cs="Times New Roman"/>
          <w:sz w:val="28"/>
          <w:szCs w:val="28"/>
        </w:rPr>
        <w:t xml:space="preserve">per la fibrillazione atriale, essendo un valido aiuto anche per </w:t>
      </w:r>
      <w:r w:rsidRPr="00CE7580">
        <w:rPr>
          <w:rFonts w:ascii="Times New Roman" w:hAnsi="Times New Roman" w:cs="Times New Roman"/>
          <w:sz w:val="28"/>
          <w:szCs w:val="28"/>
        </w:rPr>
        <w:t>la diagnosi precoce</w:t>
      </w:r>
      <w:r w:rsidR="002A6E65">
        <w:rPr>
          <w:rStyle w:val="Rimandonotaapidipagina"/>
          <w:rFonts w:ascii="Times New Roman" w:hAnsi="Times New Roman" w:cs="Times New Roman"/>
          <w:sz w:val="28"/>
          <w:szCs w:val="28"/>
        </w:rPr>
        <w:footnoteReference w:id="82"/>
      </w:r>
      <w:r w:rsidRPr="00CE7580">
        <w:rPr>
          <w:rFonts w:ascii="Times New Roman" w:hAnsi="Times New Roman" w:cs="Times New Roman"/>
          <w:sz w:val="28"/>
          <w:szCs w:val="28"/>
        </w:rPr>
        <w:t>.</w:t>
      </w:r>
    </w:p>
    <w:p w14:paraId="64C42FDA" w14:textId="60634406" w:rsidR="00AC6050" w:rsidRPr="00CE7580" w:rsidRDefault="00AC6050" w:rsidP="002A6E65">
      <w:pPr>
        <w:tabs>
          <w:tab w:val="left" w:pos="8364"/>
        </w:tabs>
        <w:spacing w:after="0"/>
        <w:jc w:val="both"/>
        <w:rPr>
          <w:rFonts w:ascii="Times New Roman" w:hAnsi="Times New Roman" w:cs="Times New Roman"/>
          <w:sz w:val="28"/>
          <w:szCs w:val="28"/>
        </w:rPr>
      </w:pPr>
      <w:r w:rsidRPr="00CE7580">
        <w:rPr>
          <w:rFonts w:ascii="Times New Roman" w:hAnsi="Times New Roman" w:cs="Times New Roman"/>
          <w:sz w:val="28"/>
          <w:szCs w:val="28"/>
        </w:rPr>
        <w:lastRenderedPageBreak/>
        <w:t xml:space="preserve">Ma cosa succede se le funzionalità del </w:t>
      </w:r>
      <w:r w:rsidRPr="002A6E65">
        <w:rPr>
          <w:rFonts w:ascii="Times New Roman" w:hAnsi="Times New Roman" w:cs="Times New Roman"/>
          <w:i/>
          <w:iCs/>
          <w:sz w:val="28"/>
          <w:szCs w:val="28"/>
        </w:rPr>
        <w:t>software</w:t>
      </w:r>
      <w:r w:rsidRPr="00CE7580">
        <w:rPr>
          <w:rFonts w:ascii="Times New Roman" w:hAnsi="Times New Roman" w:cs="Times New Roman"/>
          <w:sz w:val="28"/>
          <w:szCs w:val="28"/>
        </w:rPr>
        <w:t xml:space="preserve"> cambiano con </w:t>
      </w:r>
      <w:r w:rsidRPr="00CE7580">
        <w:rPr>
          <w:rFonts w:ascii="Times New Roman" w:hAnsi="Times New Roman" w:cs="Times New Roman"/>
          <w:i/>
          <w:iCs/>
          <w:sz w:val="28"/>
          <w:szCs w:val="28"/>
        </w:rPr>
        <w:t xml:space="preserve">machine </w:t>
      </w:r>
      <w:proofErr w:type="spellStart"/>
      <w:r w:rsidR="00FC50BA" w:rsidRPr="00CE7580">
        <w:rPr>
          <w:rFonts w:ascii="Times New Roman" w:hAnsi="Times New Roman" w:cs="Times New Roman"/>
          <w:i/>
          <w:iCs/>
          <w:sz w:val="28"/>
          <w:szCs w:val="28"/>
        </w:rPr>
        <w:t>learning</w:t>
      </w:r>
      <w:proofErr w:type="spellEnd"/>
      <w:r w:rsidR="00FC50BA" w:rsidRPr="00CE7580">
        <w:rPr>
          <w:rFonts w:ascii="Times New Roman" w:hAnsi="Times New Roman" w:cs="Times New Roman"/>
          <w:i/>
          <w:iCs/>
          <w:sz w:val="28"/>
          <w:szCs w:val="28"/>
        </w:rPr>
        <w:t xml:space="preserve">, </w:t>
      </w:r>
      <w:r w:rsidR="00FC50BA" w:rsidRPr="002A6E65">
        <w:rPr>
          <w:rFonts w:ascii="Times New Roman" w:hAnsi="Times New Roman" w:cs="Times New Roman"/>
          <w:sz w:val="28"/>
          <w:szCs w:val="28"/>
        </w:rPr>
        <w:t>assumendo</w:t>
      </w:r>
      <w:r w:rsidRPr="00CE7580">
        <w:rPr>
          <w:rFonts w:ascii="Times New Roman" w:hAnsi="Times New Roman" w:cs="Times New Roman"/>
          <w:sz w:val="28"/>
          <w:szCs w:val="28"/>
        </w:rPr>
        <w:t xml:space="preserve"> delle caratteristiche diverse da quelle per le quali ha ricevuto il marchio CE? In questo caso è in gioco la stessa salute del paziente.</w:t>
      </w:r>
    </w:p>
    <w:p w14:paraId="388BFEBE" w14:textId="1D282EA0" w:rsidR="00AC6050" w:rsidRDefault="00AC6050" w:rsidP="002A6E65">
      <w:pPr>
        <w:tabs>
          <w:tab w:val="left" w:pos="8364"/>
        </w:tabs>
        <w:spacing w:after="0"/>
        <w:jc w:val="both"/>
        <w:rPr>
          <w:rFonts w:ascii="Times New Roman" w:hAnsi="Times New Roman" w:cs="Times New Roman"/>
          <w:sz w:val="28"/>
          <w:szCs w:val="28"/>
        </w:rPr>
      </w:pPr>
      <w:r w:rsidRPr="00AC6050">
        <w:rPr>
          <w:rFonts w:ascii="Times New Roman" w:hAnsi="Times New Roman" w:cs="Times New Roman"/>
          <w:sz w:val="28"/>
          <w:szCs w:val="28"/>
        </w:rPr>
        <w:t xml:space="preserve">La </w:t>
      </w:r>
      <w:proofErr w:type="spellStart"/>
      <w:r w:rsidRPr="002A6E65">
        <w:rPr>
          <w:rFonts w:ascii="Times New Roman" w:hAnsi="Times New Roman" w:cs="Times New Roman"/>
          <w:i/>
          <w:iCs/>
          <w:sz w:val="28"/>
          <w:szCs w:val="28"/>
        </w:rPr>
        <w:t>Food</w:t>
      </w:r>
      <w:proofErr w:type="spellEnd"/>
      <w:r w:rsidRPr="002A6E65">
        <w:rPr>
          <w:rFonts w:ascii="Times New Roman" w:hAnsi="Times New Roman" w:cs="Times New Roman"/>
          <w:i/>
          <w:iCs/>
          <w:sz w:val="28"/>
          <w:szCs w:val="28"/>
        </w:rPr>
        <w:t xml:space="preserve"> and </w:t>
      </w:r>
      <w:proofErr w:type="spellStart"/>
      <w:r w:rsidRPr="002A6E65">
        <w:rPr>
          <w:rFonts w:ascii="Times New Roman" w:hAnsi="Times New Roman" w:cs="Times New Roman"/>
          <w:i/>
          <w:iCs/>
          <w:sz w:val="28"/>
          <w:szCs w:val="28"/>
        </w:rPr>
        <w:t>Drug</w:t>
      </w:r>
      <w:proofErr w:type="spellEnd"/>
      <w:r w:rsidRPr="002A6E65">
        <w:rPr>
          <w:rFonts w:ascii="Times New Roman" w:hAnsi="Times New Roman" w:cs="Times New Roman"/>
          <w:i/>
          <w:iCs/>
          <w:sz w:val="28"/>
          <w:szCs w:val="28"/>
        </w:rPr>
        <w:t xml:space="preserve"> Administration</w:t>
      </w:r>
      <w:r w:rsidRPr="00AC6050">
        <w:rPr>
          <w:rFonts w:ascii="Times New Roman" w:hAnsi="Times New Roman" w:cs="Times New Roman"/>
          <w:sz w:val="28"/>
          <w:szCs w:val="28"/>
        </w:rPr>
        <w:t xml:space="preserve"> si</w:t>
      </w:r>
      <w:r w:rsidR="009058D7">
        <w:rPr>
          <w:rFonts w:ascii="Times New Roman" w:hAnsi="Times New Roman" w:cs="Times New Roman"/>
          <w:sz w:val="28"/>
          <w:szCs w:val="28"/>
        </w:rPr>
        <w:t xml:space="preserve"> s</w:t>
      </w:r>
      <w:r w:rsidRPr="00AC6050">
        <w:rPr>
          <w:rFonts w:ascii="Times New Roman" w:hAnsi="Times New Roman" w:cs="Times New Roman"/>
          <w:sz w:val="28"/>
          <w:szCs w:val="28"/>
        </w:rPr>
        <w:t>ta concentrando non solo sul ri</w:t>
      </w:r>
      <w:r>
        <w:rPr>
          <w:rFonts w:ascii="Times New Roman" w:hAnsi="Times New Roman" w:cs="Times New Roman"/>
          <w:sz w:val="28"/>
          <w:szCs w:val="28"/>
        </w:rPr>
        <w:t xml:space="preserve">schio, ma anche su un protocollo </w:t>
      </w:r>
      <w:r w:rsidR="009058D7">
        <w:rPr>
          <w:rFonts w:ascii="Times New Roman" w:hAnsi="Times New Roman" w:cs="Times New Roman"/>
          <w:sz w:val="28"/>
          <w:szCs w:val="28"/>
        </w:rPr>
        <w:t>di modifica dell’algoritmo “</w:t>
      </w:r>
      <w:proofErr w:type="spellStart"/>
      <w:r w:rsidR="009058D7" w:rsidRPr="008F2C70">
        <w:rPr>
          <w:rFonts w:ascii="Times New Roman" w:hAnsi="Times New Roman" w:cs="Times New Roman"/>
          <w:i/>
          <w:iCs/>
          <w:sz w:val="28"/>
          <w:szCs w:val="28"/>
        </w:rPr>
        <w:t>effort</w:t>
      </w:r>
      <w:proofErr w:type="spellEnd"/>
      <w:r w:rsidR="009058D7" w:rsidRPr="008F2C70">
        <w:rPr>
          <w:rFonts w:ascii="Times New Roman" w:hAnsi="Times New Roman" w:cs="Times New Roman"/>
          <w:i/>
          <w:iCs/>
          <w:sz w:val="28"/>
          <w:szCs w:val="28"/>
        </w:rPr>
        <w:t xml:space="preserve"> </w:t>
      </w:r>
      <w:proofErr w:type="spellStart"/>
      <w:r w:rsidR="009058D7" w:rsidRPr="008F2C70">
        <w:rPr>
          <w:rFonts w:ascii="Times New Roman" w:hAnsi="Times New Roman" w:cs="Times New Roman"/>
          <w:i/>
          <w:iCs/>
          <w:sz w:val="28"/>
          <w:szCs w:val="28"/>
        </w:rPr>
        <w:t>change</w:t>
      </w:r>
      <w:proofErr w:type="spellEnd"/>
      <w:r w:rsidR="009058D7">
        <w:rPr>
          <w:rFonts w:ascii="Times New Roman" w:hAnsi="Times New Roman" w:cs="Times New Roman"/>
          <w:sz w:val="28"/>
          <w:szCs w:val="28"/>
        </w:rPr>
        <w:t>”</w:t>
      </w:r>
      <w:r w:rsidR="002A6E65">
        <w:rPr>
          <w:rFonts w:ascii="Times New Roman" w:hAnsi="Times New Roman" w:cs="Times New Roman"/>
          <w:sz w:val="28"/>
          <w:szCs w:val="28"/>
        </w:rPr>
        <w:t>,</w:t>
      </w:r>
      <w:r w:rsidR="009058D7">
        <w:rPr>
          <w:rFonts w:ascii="Times New Roman" w:hAnsi="Times New Roman" w:cs="Times New Roman"/>
          <w:sz w:val="28"/>
          <w:szCs w:val="28"/>
        </w:rPr>
        <w:t xml:space="preserve"> che non blocchi l’evoluzione dell’algoritmo e l’innovazione </w:t>
      </w:r>
      <w:r w:rsidR="00FC50BA">
        <w:rPr>
          <w:rFonts w:ascii="Times New Roman" w:hAnsi="Times New Roman" w:cs="Times New Roman"/>
          <w:sz w:val="28"/>
          <w:szCs w:val="28"/>
        </w:rPr>
        <w:t>tecnologica,</w:t>
      </w:r>
      <w:r w:rsidR="009058D7">
        <w:rPr>
          <w:rFonts w:ascii="Times New Roman" w:hAnsi="Times New Roman" w:cs="Times New Roman"/>
          <w:sz w:val="28"/>
          <w:szCs w:val="28"/>
        </w:rPr>
        <w:t xml:space="preserve"> ma che salvaguardi la salute del paziente. Dal 26 maggio 2021 è entrato in vigore il nuovo regolamento sui dispositivi medici</w:t>
      </w:r>
      <w:r w:rsidR="00FC50BA">
        <w:rPr>
          <w:rStyle w:val="Rimandonotaapidipagina"/>
          <w:rFonts w:ascii="Times New Roman" w:hAnsi="Times New Roman" w:cs="Times New Roman"/>
          <w:sz w:val="28"/>
          <w:szCs w:val="28"/>
        </w:rPr>
        <w:footnoteReference w:id="83"/>
      </w:r>
      <w:r w:rsidR="002A6E65">
        <w:rPr>
          <w:rFonts w:ascii="Times New Roman" w:hAnsi="Times New Roman" w:cs="Times New Roman"/>
          <w:sz w:val="28"/>
          <w:szCs w:val="28"/>
        </w:rPr>
        <w:t>,</w:t>
      </w:r>
      <w:r w:rsidR="00FC50BA">
        <w:rPr>
          <w:rFonts w:ascii="Times New Roman" w:hAnsi="Times New Roman" w:cs="Times New Roman"/>
          <w:sz w:val="28"/>
          <w:szCs w:val="28"/>
        </w:rPr>
        <w:t xml:space="preserve"> </w:t>
      </w:r>
      <w:r w:rsidR="009058D7">
        <w:rPr>
          <w:rFonts w:ascii="Times New Roman" w:hAnsi="Times New Roman" w:cs="Times New Roman"/>
          <w:sz w:val="28"/>
          <w:szCs w:val="28"/>
        </w:rPr>
        <w:t xml:space="preserve">con analisi rischio/beneficio in ambito sanitario. </w:t>
      </w:r>
      <w:r w:rsidR="00847D6C">
        <w:rPr>
          <w:rFonts w:ascii="Times New Roman" w:hAnsi="Times New Roman" w:cs="Times New Roman"/>
          <w:sz w:val="28"/>
          <w:szCs w:val="28"/>
        </w:rPr>
        <w:t>A tal riguardo</w:t>
      </w:r>
      <w:r w:rsidR="009D774A">
        <w:rPr>
          <w:rFonts w:ascii="Times New Roman" w:hAnsi="Times New Roman" w:cs="Times New Roman"/>
          <w:sz w:val="28"/>
          <w:szCs w:val="28"/>
        </w:rPr>
        <w:t>,</w:t>
      </w:r>
      <w:r w:rsidR="00847D6C">
        <w:rPr>
          <w:rFonts w:ascii="Times New Roman" w:hAnsi="Times New Roman" w:cs="Times New Roman"/>
          <w:sz w:val="28"/>
          <w:szCs w:val="28"/>
        </w:rPr>
        <w:t xml:space="preserve"> occorre precisare che la tutela della salute in senso ampio deve intendersi anche come </w:t>
      </w:r>
      <w:r w:rsidR="00FC50BA">
        <w:rPr>
          <w:rFonts w:ascii="Times New Roman" w:hAnsi="Times New Roman" w:cs="Times New Roman"/>
          <w:sz w:val="28"/>
          <w:szCs w:val="28"/>
        </w:rPr>
        <w:t>protezione</w:t>
      </w:r>
      <w:r w:rsidR="00041E46">
        <w:rPr>
          <w:rFonts w:ascii="Times New Roman" w:hAnsi="Times New Roman" w:cs="Times New Roman"/>
          <w:sz w:val="28"/>
          <w:szCs w:val="28"/>
        </w:rPr>
        <w:t xml:space="preserve">: negli ultimi anni, in tutto il mondo, medici e ricercatori hanno </w:t>
      </w:r>
      <w:r w:rsidR="00847D6C">
        <w:rPr>
          <w:rFonts w:ascii="Times New Roman" w:hAnsi="Times New Roman" w:cs="Times New Roman"/>
          <w:sz w:val="28"/>
          <w:szCs w:val="28"/>
        </w:rPr>
        <w:t>e delle reti neuronali utilizzate dagli algoritmi per modellizzare il comportamento umano attraverso dati strutturati e processati per il c</w:t>
      </w:r>
      <w:r w:rsidR="009D774A">
        <w:rPr>
          <w:rFonts w:ascii="Times New Roman" w:hAnsi="Times New Roman" w:cs="Times New Roman"/>
          <w:sz w:val="28"/>
          <w:szCs w:val="28"/>
        </w:rPr>
        <w:t>.</w:t>
      </w:r>
      <w:r w:rsidR="00847D6C">
        <w:rPr>
          <w:rFonts w:ascii="Times New Roman" w:hAnsi="Times New Roman" w:cs="Times New Roman"/>
          <w:sz w:val="28"/>
          <w:szCs w:val="28"/>
        </w:rPr>
        <w:t>d</w:t>
      </w:r>
      <w:r w:rsidR="009D774A">
        <w:rPr>
          <w:rFonts w:ascii="Times New Roman" w:hAnsi="Times New Roman" w:cs="Times New Roman"/>
          <w:sz w:val="28"/>
          <w:szCs w:val="28"/>
        </w:rPr>
        <w:t>.</w:t>
      </w:r>
      <w:r w:rsidR="00847D6C">
        <w:rPr>
          <w:rFonts w:ascii="Times New Roman" w:hAnsi="Times New Roman" w:cs="Times New Roman"/>
          <w:sz w:val="28"/>
          <w:szCs w:val="28"/>
        </w:rPr>
        <w:t xml:space="preserve"> </w:t>
      </w:r>
      <w:proofErr w:type="spellStart"/>
      <w:r w:rsidR="00847D6C" w:rsidRPr="00847D6C">
        <w:rPr>
          <w:rFonts w:ascii="Times New Roman" w:hAnsi="Times New Roman" w:cs="Times New Roman"/>
          <w:i/>
          <w:iCs/>
          <w:sz w:val="28"/>
          <w:szCs w:val="28"/>
        </w:rPr>
        <w:t>customer</w:t>
      </w:r>
      <w:proofErr w:type="spellEnd"/>
      <w:r w:rsidR="00847D6C" w:rsidRPr="00847D6C">
        <w:rPr>
          <w:rFonts w:ascii="Times New Roman" w:hAnsi="Times New Roman" w:cs="Times New Roman"/>
          <w:i/>
          <w:iCs/>
          <w:sz w:val="28"/>
          <w:szCs w:val="28"/>
        </w:rPr>
        <w:t xml:space="preserve"> </w:t>
      </w:r>
      <w:proofErr w:type="spellStart"/>
      <w:r w:rsidR="00847D6C" w:rsidRPr="00847D6C">
        <w:rPr>
          <w:rFonts w:ascii="Times New Roman" w:hAnsi="Times New Roman" w:cs="Times New Roman"/>
          <w:i/>
          <w:iCs/>
          <w:sz w:val="28"/>
          <w:szCs w:val="28"/>
        </w:rPr>
        <w:t>journey</w:t>
      </w:r>
      <w:proofErr w:type="spellEnd"/>
      <w:r w:rsidR="00847D6C">
        <w:rPr>
          <w:rFonts w:ascii="Times New Roman" w:hAnsi="Times New Roman" w:cs="Times New Roman"/>
          <w:sz w:val="28"/>
          <w:szCs w:val="28"/>
        </w:rPr>
        <w:t>.</w:t>
      </w:r>
    </w:p>
    <w:p w14:paraId="5BD7BC69" w14:textId="77777777" w:rsidR="00CB4276" w:rsidRDefault="00A829AE" w:rsidP="002A6E6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una serie di articoli dell’</w:t>
      </w:r>
      <w:proofErr w:type="spellStart"/>
      <w:r w:rsidRPr="00A829AE">
        <w:rPr>
          <w:rFonts w:ascii="Times New Roman" w:hAnsi="Times New Roman" w:cs="Times New Roman"/>
          <w:i/>
          <w:iCs/>
          <w:sz w:val="28"/>
          <w:szCs w:val="28"/>
        </w:rPr>
        <w:t>Economist</w:t>
      </w:r>
      <w:proofErr w:type="spellEnd"/>
      <w:r w:rsidR="00FD7D9F">
        <w:rPr>
          <w:rFonts w:ascii="Times New Roman" w:hAnsi="Times New Roman" w:cs="Times New Roman"/>
          <w:i/>
          <w:iCs/>
          <w:sz w:val="28"/>
          <w:szCs w:val="28"/>
        </w:rPr>
        <w:t>,</w:t>
      </w:r>
      <w:r w:rsidRPr="00A829AE">
        <w:rPr>
          <w:rFonts w:ascii="Times New Roman" w:hAnsi="Times New Roman" w:cs="Times New Roman"/>
          <w:i/>
          <w:iCs/>
          <w:sz w:val="28"/>
          <w:szCs w:val="28"/>
        </w:rPr>
        <w:t xml:space="preserve"> </w:t>
      </w:r>
      <w:r w:rsidRPr="00A829AE">
        <w:rPr>
          <w:rFonts w:ascii="Times New Roman" w:hAnsi="Times New Roman" w:cs="Times New Roman"/>
          <w:sz w:val="28"/>
          <w:szCs w:val="28"/>
        </w:rPr>
        <w:t xml:space="preserve">che </w:t>
      </w:r>
      <w:r>
        <w:rPr>
          <w:rFonts w:ascii="Times New Roman" w:hAnsi="Times New Roman" w:cs="Times New Roman"/>
          <w:sz w:val="28"/>
          <w:szCs w:val="28"/>
        </w:rPr>
        <w:t>provano a immaginare come sarà il futuro, intitolata “</w:t>
      </w:r>
      <w:proofErr w:type="spellStart"/>
      <w:r w:rsidRPr="00A829AE">
        <w:rPr>
          <w:rFonts w:ascii="Times New Roman" w:hAnsi="Times New Roman" w:cs="Times New Roman"/>
          <w:i/>
          <w:iCs/>
          <w:sz w:val="28"/>
          <w:szCs w:val="28"/>
        </w:rPr>
        <w:t>What</w:t>
      </w:r>
      <w:proofErr w:type="spellEnd"/>
      <w:r w:rsidRPr="00A829AE">
        <w:rPr>
          <w:rFonts w:ascii="Times New Roman" w:hAnsi="Times New Roman" w:cs="Times New Roman"/>
          <w:i/>
          <w:iCs/>
          <w:sz w:val="28"/>
          <w:szCs w:val="28"/>
        </w:rPr>
        <w:t xml:space="preserve"> </w:t>
      </w:r>
      <w:proofErr w:type="spellStart"/>
      <w:r w:rsidRPr="00A829AE">
        <w:rPr>
          <w:rFonts w:ascii="Times New Roman" w:hAnsi="Times New Roman" w:cs="Times New Roman"/>
          <w:i/>
          <w:iCs/>
          <w:sz w:val="28"/>
          <w:szCs w:val="28"/>
        </w:rPr>
        <w:t>if</w:t>
      </w:r>
      <w:proofErr w:type="spellEnd"/>
      <w:r w:rsidRPr="00A829AE">
        <w:rPr>
          <w:rFonts w:ascii="Times New Roman" w:hAnsi="Times New Roman" w:cs="Times New Roman"/>
          <w:i/>
          <w:iCs/>
          <w:sz w:val="28"/>
          <w:szCs w:val="28"/>
        </w:rPr>
        <w:t>”</w:t>
      </w:r>
      <w:r>
        <w:rPr>
          <w:rFonts w:ascii="Times New Roman" w:hAnsi="Times New Roman" w:cs="Times New Roman"/>
          <w:i/>
          <w:iCs/>
          <w:sz w:val="28"/>
          <w:szCs w:val="28"/>
        </w:rPr>
        <w:t xml:space="preserve">, </w:t>
      </w:r>
      <w:r w:rsidRPr="00A829AE">
        <w:rPr>
          <w:rFonts w:ascii="Times New Roman" w:hAnsi="Times New Roman" w:cs="Times New Roman"/>
          <w:sz w:val="28"/>
          <w:szCs w:val="28"/>
        </w:rPr>
        <w:t xml:space="preserve">l’immaginaria </w:t>
      </w:r>
      <w:r>
        <w:rPr>
          <w:rFonts w:ascii="Times New Roman" w:hAnsi="Times New Roman" w:cs="Times New Roman"/>
          <w:sz w:val="28"/>
          <w:szCs w:val="28"/>
        </w:rPr>
        <w:t xml:space="preserve">vincitrice del premio </w:t>
      </w:r>
      <w:r w:rsidR="00FD7D9F">
        <w:rPr>
          <w:rFonts w:ascii="Times New Roman" w:hAnsi="Times New Roman" w:cs="Times New Roman"/>
          <w:sz w:val="28"/>
          <w:szCs w:val="28"/>
        </w:rPr>
        <w:t>Nobel</w:t>
      </w:r>
      <w:r>
        <w:rPr>
          <w:rFonts w:ascii="Times New Roman" w:hAnsi="Times New Roman" w:cs="Times New Roman"/>
          <w:sz w:val="28"/>
          <w:szCs w:val="28"/>
        </w:rPr>
        <w:t xml:space="preserve"> per la medicina del 2036 </w:t>
      </w:r>
      <w:r w:rsidRPr="00FD7D9F">
        <w:rPr>
          <w:rFonts w:ascii="Times New Roman" w:hAnsi="Times New Roman" w:cs="Times New Roman"/>
          <w:sz w:val="28"/>
          <w:szCs w:val="28"/>
        </w:rPr>
        <w:t xml:space="preserve">è </w:t>
      </w:r>
      <w:proofErr w:type="spellStart"/>
      <w:r w:rsidRPr="00FD7D9F">
        <w:rPr>
          <w:rFonts w:ascii="Times New Roman" w:hAnsi="Times New Roman" w:cs="Times New Roman"/>
          <w:i/>
          <w:iCs/>
          <w:sz w:val="28"/>
          <w:szCs w:val="28"/>
        </w:rPr>
        <w:t>Yulya</w:t>
      </w:r>
      <w:proofErr w:type="spellEnd"/>
      <w:r w:rsidRPr="00FD7D9F">
        <w:rPr>
          <w:rFonts w:ascii="Times New Roman" w:hAnsi="Times New Roman" w:cs="Times New Roman"/>
          <w:sz w:val="28"/>
          <w:szCs w:val="28"/>
        </w:rPr>
        <w:t>,</w:t>
      </w:r>
      <w:r>
        <w:rPr>
          <w:rFonts w:ascii="Times New Roman" w:hAnsi="Times New Roman" w:cs="Times New Roman"/>
          <w:b/>
          <w:bCs/>
          <w:sz w:val="28"/>
          <w:szCs w:val="28"/>
        </w:rPr>
        <w:t xml:space="preserve"> </w:t>
      </w:r>
      <w:r w:rsidRPr="00A829AE">
        <w:rPr>
          <w:rFonts w:ascii="Times New Roman" w:hAnsi="Times New Roman" w:cs="Times New Roman"/>
          <w:sz w:val="28"/>
          <w:szCs w:val="28"/>
        </w:rPr>
        <w:t>un’intelligenza art</w:t>
      </w:r>
      <w:r>
        <w:rPr>
          <w:rFonts w:ascii="Times New Roman" w:hAnsi="Times New Roman" w:cs="Times New Roman"/>
          <w:sz w:val="28"/>
          <w:szCs w:val="28"/>
        </w:rPr>
        <w:t>ificiale che ha salvato 4 milioni di vite grazie al superamento del problema dell’antibiotico-resistenza, il fenomeno per cui molti batteri resistono all’attività degli antibiotici rendendoli inefficaci. Nello scenario immaginato dall’</w:t>
      </w:r>
      <w:proofErr w:type="spellStart"/>
      <w:r w:rsidRPr="00FD7D9F">
        <w:rPr>
          <w:rFonts w:ascii="Times New Roman" w:hAnsi="Times New Roman" w:cs="Times New Roman"/>
          <w:i/>
          <w:iCs/>
          <w:sz w:val="28"/>
          <w:szCs w:val="28"/>
        </w:rPr>
        <w:t>Economist</w:t>
      </w:r>
      <w:proofErr w:type="spellEnd"/>
      <w:r>
        <w:rPr>
          <w:rFonts w:ascii="Times New Roman" w:hAnsi="Times New Roman" w:cs="Times New Roman"/>
          <w:sz w:val="28"/>
          <w:szCs w:val="28"/>
        </w:rPr>
        <w:t xml:space="preserve">, nel 2034 per errore viene consentito a </w:t>
      </w:r>
      <w:proofErr w:type="spellStart"/>
      <w:r w:rsidRPr="00FD7D9F">
        <w:rPr>
          <w:rFonts w:ascii="Times New Roman" w:hAnsi="Times New Roman" w:cs="Times New Roman"/>
          <w:i/>
          <w:iCs/>
          <w:sz w:val="28"/>
          <w:szCs w:val="28"/>
        </w:rPr>
        <w:t>Yulya</w:t>
      </w:r>
      <w:proofErr w:type="spellEnd"/>
      <w:r w:rsidR="009D774A">
        <w:rPr>
          <w:rFonts w:ascii="Times New Roman" w:hAnsi="Times New Roman" w:cs="Times New Roman"/>
          <w:sz w:val="28"/>
          <w:szCs w:val="28"/>
        </w:rPr>
        <w:t xml:space="preserve"> – </w:t>
      </w:r>
      <w:r>
        <w:rPr>
          <w:rFonts w:ascii="Times New Roman" w:hAnsi="Times New Roman" w:cs="Times New Roman"/>
          <w:sz w:val="28"/>
          <w:szCs w:val="28"/>
        </w:rPr>
        <w:t>progettata per sviluppare nuove cure contri i tumori</w:t>
      </w:r>
      <w:r w:rsidR="009D774A">
        <w:rPr>
          <w:rFonts w:ascii="Times New Roman" w:hAnsi="Times New Roman" w:cs="Times New Roman"/>
          <w:sz w:val="28"/>
          <w:szCs w:val="28"/>
        </w:rPr>
        <w:t xml:space="preserve"> – </w:t>
      </w:r>
      <w:r>
        <w:rPr>
          <w:rFonts w:ascii="Times New Roman" w:hAnsi="Times New Roman" w:cs="Times New Roman"/>
          <w:sz w:val="28"/>
          <w:szCs w:val="28"/>
        </w:rPr>
        <w:t xml:space="preserve">di accedere a un enorme </w:t>
      </w:r>
      <w:r w:rsidRPr="00FD7D9F">
        <w:rPr>
          <w:rFonts w:ascii="Times New Roman" w:hAnsi="Times New Roman" w:cs="Times New Roman"/>
          <w:i/>
          <w:iCs/>
          <w:sz w:val="28"/>
          <w:szCs w:val="28"/>
        </w:rPr>
        <w:t>database</w:t>
      </w:r>
      <w:r>
        <w:rPr>
          <w:rFonts w:ascii="Times New Roman" w:hAnsi="Times New Roman" w:cs="Times New Roman"/>
          <w:sz w:val="28"/>
          <w:szCs w:val="28"/>
        </w:rPr>
        <w:t xml:space="preserve"> di studi sui farmaci. In questo modo</w:t>
      </w:r>
      <w:r w:rsidR="009D774A">
        <w:rPr>
          <w:rFonts w:ascii="Times New Roman" w:hAnsi="Times New Roman" w:cs="Times New Roman"/>
          <w:sz w:val="28"/>
          <w:szCs w:val="28"/>
        </w:rPr>
        <w:t>,</w:t>
      </w:r>
      <w:r>
        <w:rPr>
          <w:rFonts w:ascii="Times New Roman" w:hAnsi="Times New Roman" w:cs="Times New Roman"/>
          <w:sz w:val="28"/>
          <w:szCs w:val="28"/>
        </w:rPr>
        <w:t xml:space="preserve"> riesce a migliorare le proprie conoscenze sull’antibiotico-resistenza, trovando nuove combinazioni di farmaci e risol</w:t>
      </w:r>
      <w:r w:rsidR="00041E46">
        <w:rPr>
          <w:rFonts w:ascii="Times New Roman" w:hAnsi="Times New Roman" w:cs="Times New Roman"/>
          <w:sz w:val="28"/>
          <w:szCs w:val="28"/>
        </w:rPr>
        <w:t xml:space="preserve">vendo così un problema considerato attualmente dalle autorità sanitarie una grave minaccia. </w:t>
      </w:r>
      <w:r w:rsidR="009D774A">
        <w:rPr>
          <w:rFonts w:ascii="Times New Roman" w:hAnsi="Times New Roman" w:cs="Times New Roman"/>
          <w:sz w:val="28"/>
          <w:szCs w:val="28"/>
        </w:rPr>
        <w:t>È</w:t>
      </w:r>
      <w:r w:rsidR="00041E46">
        <w:rPr>
          <w:rFonts w:ascii="Times New Roman" w:hAnsi="Times New Roman" w:cs="Times New Roman"/>
          <w:sz w:val="28"/>
          <w:szCs w:val="28"/>
        </w:rPr>
        <w:t xml:space="preserve"> una storia inventata ovviamente </w:t>
      </w:r>
      <w:r w:rsidR="00FC50BA">
        <w:rPr>
          <w:rFonts w:ascii="Times New Roman" w:hAnsi="Times New Roman" w:cs="Times New Roman"/>
          <w:sz w:val="28"/>
          <w:szCs w:val="28"/>
        </w:rPr>
        <w:t>che, però</w:t>
      </w:r>
      <w:r w:rsidR="00041E46">
        <w:rPr>
          <w:rFonts w:ascii="Times New Roman" w:hAnsi="Times New Roman" w:cs="Times New Roman"/>
          <w:sz w:val="28"/>
          <w:szCs w:val="28"/>
        </w:rPr>
        <w:t xml:space="preserve">, prova a ipotizzare cosa succederà in futuro sulla base delle evidenze scientifiche al momento disponibili. </w:t>
      </w:r>
    </w:p>
    <w:p w14:paraId="26AE6511" w14:textId="1059B093" w:rsidR="00FD7D9F" w:rsidRDefault="00041E46" w:rsidP="002A6E6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Non è una suggestione insensata pensare che in futuro l’intelligenza artificiale possa curare le persone o aiutare a prevedere le malattie: negli ultimi anni, in tutto il mondo, medici e ricercatori hanno collaborato e discusso su come sfruttare una risorsa tecnologica così potente</w:t>
      </w:r>
      <w:r w:rsidR="00CB4276">
        <w:rPr>
          <w:rStyle w:val="Rimandonotaapidipagina"/>
          <w:rFonts w:ascii="Times New Roman" w:hAnsi="Times New Roman" w:cs="Times New Roman"/>
          <w:sz w:val="28"/>
          <w:szCs w:val="28"/>
        </w:rPr>
        <w:footnoteReference w:id="84"/>
      </w:r>
      <w:r>
        <w:rPr>
          <w:rFonts w:ascii="Times New Roman" w:hAnsi="Times New Roman" w:cs="Times New Roman"/>
          <w:sz w:val="28"/>
          <w:szCs w:val="28"/>
        </w:rPr>
        <w:t xml:space="preserve">. </w:t>
      </w:r>
    </w:p>
    <w:p w14:paraId="34A2DE27" w14:textId="1A5E173E" w:rsidR="00A829AE" w:rsidRDefault="00041E46" w:rsidP="002A6E65">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Ne hanno anche valutato i limiti, i possibili effetti distorsivi e gli errori, che anche in ambito sanitario dipendono da come viene strutturata questa tecnologia e di quanti e quali dati si serve.</w:t>
      </w:r>
    </w:p>
    <w:p w14:paraId="2B52A166" w14:textId="17D42BF7" w:rsidR="00091C61" w:rsidRDefault="00041E46"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t>“</w:t>
      </w:r>
      <w:r w:rsidRPr="00041E46">
        <w:rPr>
          <w:rFonts w:ascii="Times New Roman" w:hAnsi="Times New Roman" w:cs="Times New Roman"/>
          <w:i/>
          <w:iCs/>
          <w:sz w:val="28"/>
          <w:szCs w:val="28"/>
        </w:rPr>
        <w:t>L’intelligenza artificiale</w:t>
      </w:r>
      <w:r>
        <w:rPr>
          <w:rFonts w:ascii="Times New Roman" w:hAnsi="Times New Roman" w:cs="Times New Roman"/>
          <w:sz w:val="28"/>
          <w:szCs w:val="28"/>
        </w:rPr>
        <w:t xml:space="preserve"> </w:t>
      </w:r>
      <w:r w:rsidRPr="00041E46">
        <w:rPr>
          <w:rFonts w:ascii="Times New Roman" w:hAnsi="Times New Roman" w:cs="Times New Roman"/>
          <w:i/>
          <w:iCs/>
          <w:sz w:val="28"/>
          <w:szCs w:val="28"/>
        </w:rPr>
        <w:t>può</w:t>
      </w:r>
      <w:r>
        <w:rPr>
          <w:rFonts w:ascii="Times New Roman" w:hAnsi="Times New Roman" w:cs="Times New Roman"/>
          <w:i/>
          <w:iCs/>
          <w:sz w:val="28"/>
          <w:szCs w:val="28"/>
        </w:rPr>
        <w:t xml:space="preserve"> migliorare l’assistenza sanitaria e la medicina in tutto il mondo, ma solo se l’etica e i diritti umani vengono messi al centro della sua progettazione, implementazione ed utilizzo</w:t>
      </w:r>
      <w:r w:rsidRPr="00FD7D9F">
        <w:rPr>
          <w:rFonts w:ascii="Times New Roman" w:hAnsi="Times New Roman" w:cs="Times New Roman"/>
          <w:sz w:val="28"/>
          <w:szCs w:val="28"/>
        </w:rPr>
        <w:t>”,</w:t>
      </w:r>
      <w:r>
        <w:rPr>
          <w:rFonts w:ascii="Times New Roman" w:hAnsi="Times New Roman" w:cs="Times New Roman"/>
          <w:i/>
          <w:iCs/>
          <w:sz w:val="28"/>
          <w:szCs w:val="28"/>
        </w:rPr>
        <w:t xml:space="preserve"> </w:t>
      </w:r>
      <w:r w:rsidRPr="00041E46">
        <w:rPr>
          <w:rFonts w:ascii="Times New Roman" w:hAnsi="Times New Roman" w:cs="Times New Roman"/>
          <w:sz w:val="28"/>
          <w:szCs w:val="28"/>
        </w:rPr>
        <w:t>si legge</w:t>
      </w:r>
      <w:r>
        <w:rPr>
          <w:rFonts w:ascii="Times New Roman" w:hAnsi="Times New Roman" w:cs="Times New Roman"/>
          <w:sz w:val="28"/>
          <w:szCs w:val="28"/>
        </w:rPr>
        <w:t xml:space="preserve"> nel report “</w:t>
      </w:r>
      <w:r w:rsidRPr="00041E46">
        <w:rPr>
          <w:rFonts w:ascii="Times New Roman" w:hAnsi="Times New Roman" w:cs="Times New Roman"/>
          <w:i/>
          <w:iCs/>
          <w:sz w:val="28"/>
          <w:szCs w:val="28"/>
        </w:rPr>
        <w:t xml:space="preserve">Etica e </w:t>
      </w:r>
      <w:proofErr w:type="spellStart"/>
      <w:r w:rsidRPr="00041E46">
        <w:rPr>
          <w:rFonts w:ascii="Times New Roman" w:hAnsi="Times New Roman" w:cs="Times New Roman"/>
          <w:i/>
          <w:iCs/>
          <w:sz w:val="28"/>
          <w:szCs w:val="28"/>
        </w:rPr>
        <w:t>governance</w:t>
      </w:r>
      <w:proofErr w:type="spellEnd"/>
      <w:r w:rsidRPr="00041E46">
        <w:rPr>
          <w:rFonts w:ascii="Times New Roman" w:hAnsi="Times New Roman" w:cs="Times New Roman"/>
          <w:i/>
          <w:iCs/>
          <w:sz w:val="28"/>
          <w:szCs w:val="28"/>
        </w:rPr>
        <w:t xml:space="preserve"> dell’intelligenza artificiale per la salute”</w:t>
      </w:r>
      <w:r>
        <w:rPr>
          <w:rFonts w:ascii="Times New Roman" w:hAnsi="Times New Roman" w:cs="Times New Roman"/>
          <w:sz w:val="28"/>
          <w:szCs w:val="28"/>
        </w:rPr>
        <w:t xml:space="preserve">, pubblicato a fine giugno dall’Organizzazione mondiale della Sanità (OMS) e risultato di una </w:t>
      </w:r>
      <w:r w:rsidR="00091C61">
        <w:rPr>
          <w:rFonts w:ascii="Times New Roman" w:hAnsi="Times New Roman" w:cs="Times New Roman"/>
          <w:sz w:val="28"/>
          <w:szCs w:val="28"/>
        </w:rPr>
        <w:t>consultazione tra esperti durata due anni. Nonostante sia spesso percepita con un’accezione fantascientifica o distopica, l’intelligenza artificiale viene già utilizzata in molte discipline della medicina come strumento di supporto per migliorare il giudizio e in generale il lavoro dei medici. I principali settori di applicazione sono la diagnostica, lo sviluppo di nuovi farmaci e vaccini, la riabilitazione e la telemedicina</w:t>
      </w:r>
      <w:r w:rsidR="00B74FFC">
        <w:rPr>
          <w:rStyle w:val="Rimandonotaapidipagina"/>
          <w:rFonts w:ascii="Times New Roman" w:hAnsi="Times New Roman" w:cs="Times New Roman"/>
          <w:sz w:val="28"/>
          <w:szCs w:val="28"/>
        </w:rPr>
        <w:footnoteReference w:id="85"/>
      </w:r>
      <w:r w:rsidR="00091C61">
        <w:rPr>
          <w:rFonts w:ascii="Times New Roman" w:hAnsi="Times New Roman" w:cs="Times New Roman"/>
          <w:sz w:val="28"/>
          <w:szCs w:val="28"/>
        </w:rPr>
        <w:t xml:space="preserve">. </w:t>
      </w:r>
      <w:r w:rsidR="00FC50BA">
        <w:rPr>
          <w:rFonts w:ascii="Times New Roman" w:hAnsi="Times New Roman" w:cs="Times New Roman"/>
          <w:sz w:val="28"/>
          <w:szCs w:val="28"/>
        </w:rPr>
        <w:t>È</w:t>
      </w:r>
      <w:r w:rsidR="00091C61">
        <w:rPr>
          <w:rFonts w:ascii="Times New Roman" w:hAnsi="Times New Roman" w:cs="Times New Roman"/>
          <w:sz w:val="28"/>
          <w:szCs w:val="28"/>
        </w:rPr>
        <w:t xml:space="preserve"> utile nell’analizzare le immagini per diagnosi radiologiche in oncologia, soprattutto per radiografie toraciche, colonscopie, mammografie, TAC cerebrali; viene usata anche per esami non radiologici, in dermatologia, e in oculistica, e aiuta ad accorciare i tempi di analisi (sequenziamento) dell’RNA e del DNA.</w:t>
      </w:r>
      <w:r w:rsidR="00FD7D9F">
        <w:rPr>
          <w:rFonts w:ascii="Times New Roman" w:hAnsi="Times New Roman" w:cs="Times New Roman"/>
          <w:sz w:val="28"/>
          <w:szCs w:val="28"/>
        </w:rPr>
        <w:t xml:space="preserve"> </w:t>
      </w:r>
      <w:r w:rsidR="00091C61">
        <w:rPr>
          <w:rFonts w:ascii="Times New Roman" w:hAnsi="Times New Roman" w:cs="Times New Roman"/>
          <w:sz w:val="28"/>
          <w:szCs w:val="28"/>
        </w:rPr>
        <w:t xml:space="preserve">I possibili sviluppi sono </w:t>
      </w:r>
      <w:r w:rsidR="00FC50BA">
        <w:rPr>
          <w:rFonts w:ascii="Times New Roman" w:hAnsi="Times New Roman" w:cs="Times New Roman"/>
          <w:sz w:val="28"/>
          <w:szCs w:val="28"/>
        </w:rPr>
        <w:t>tantissimi:</w:t>
      </w:r>
      <w:r w:rsidR="00091C61">
        <w:rPr>
          <w:rFonts w:ascii="Times New Roman" w:hAnsi="Times New Roman" w:cs="Times New Roman"/>
          <w:sz w:val="28"/>
          <w:szCs w:val="28"/>
        </w:rPr>
        <w:t xml:space="preserve"> potrebbe consentire ai medici di individuare precocemente eventi di una certa gravità come l’ictus, il tumore al seno, le malattie coronariche, le polmoniti e il diabete. Anche in caso di malattia conclamata, l’intelligenza artificiale potrebbe essere utilizzata per integrare le cartelle cliniche dei pazienti durante lo studio di una cura o avere informazioni più dettagliate prima di prendere decisioni terapeutiche delicate come un ricovero o un’operazione chirurgica.</w:t>
      </w:r>
    </w:p>
    <w:p w14:paraId="0A8517A6" w14:textId="65BA564C" w:rsidR="00F503D5" w:rsidRDefault="00091C61" w:rsidP="00FD7D9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tecnologia può anche migliorare la comunicazione tra le strutture sanitarie, i medici di famiglia e i pazienti e attraverso controlli costanti aiutare le</w:t>
      </w:r>
      <w:r w:rsidR="00B957B4">
        <w:rPr>
          <w:rFonts w:ascii="Times New Roman" w:hAnsi="Times New Roman" w:cs="Times New Roman"/>
          <w:sz w:val="28"/>
          <w:szCs w:val="28"/>
        </w:rPr>
        <w:t xml:space="preserve"> persone malate ad avere più consapevolezza e controllo delle proprie condizioni di salute, di come e quando assumere farmaci, di quanto sia importante avere un’alimentazione sana e fare regolare attività fisica. Lo sviluppo dell’intelligenza artificiale in medicina è legato all’aumento </w:t>
      </w:r>
      <w:r w:rsidR="00B957B4">
        <w:rPr>
          <w:rFonts w:ascii="Times New Roman" w:hAnsi="Times New Roman" w:cs="Times New Roman"/>
          <w:sz w:val="28"/>
          <w:szCs w:val="28"/>
        </w:rPr>
        <w:lastRenderedPageBreak/>
        <w:t xml:space="preserve">significativo dei </w:t>
      </w:r>
      <w:r w:rsidR="00FC50BA">
        <w:rPr>
          <w:rFonts w:ascii="Times New Roman" w:hAnsi="Times New Roman" w:cs="Times New Roman"/>
          <w:sz w:val="28"/>
          <w:szCs w:val="28"/>
        </w:rPr>
        <w:t>dati:</w:t>
      </w:r>
      <w:r w:rsidR="00B957B4">
        <w:rPr>
          <w:rFonts w:ascii="Times New Roman" w:hAnsi="Times New Roman" w:cs="Times New Roman"/>
          <w:sz w:val="28"/>
          <w:szCs w:val="28"/>
        </w:rPr>
        <w:t xml:space="preserve"> in ogni momento della giornata tutte le persone ne producono una notevole quantità, e sempre più dettagliati. Un esempio banale e immediato è l’</w:t>
      </w:r>
      <w:proofErr w:type="spellStart"/>
      <w:r w:rsidR="00B957B4">
        <w:rPr>
          <w:rFonts w:ascii="Times New Roman" w:hAnsi="Times New Roman" w:cs="Times New Roman"/>
          <w:sz w:val="28"/>
          <w:szCs w:val="28"/>
        </w:rPr>
        <w:t>app</w:t>
      </w:r>
      <w:proofErr w:type="spellEnd"/>
      <w:r w:rsidR="00B957B4">
        <w:rPr>
          <w:rFonts w:ascii="Times New Roman" w:hAnsi="Times New Roman" w:cs="Times New Roman"/>
          <w:sz w:val="28"/>
          <w:szCs w:val="28"/>
        </w:rPr>
        <w:t xml:space="preserve"> Salute presente su </w:t>
      </w:r>
      <w:proofErr w:type="spellStart"/>
      <w:r w:rsidR="00B957B4">
        <w:rPr>
          <w:rFonts w:ascii="Times New Roman" w:hAnsi="Times New Roman" w:cs="Times New Roman"/>
          <w:sz w:val="28"/>
          <w:szCs w:val="28"/>
        </w:rPr>
        <w:t>Ios</w:t>
      </w:r>
      <w:proofErr w:type="spellEnd"/>
      <w:r w:rsidR="00B957B4">
        <w:rPr>
          <w:rFonts w:ascii="Times New Roman" w:hAnsi="Times New Roman" w:cs="Times New Roman"/>
          <w:sz w:val="28"/>
          <w:szCs w:val="28"/>
        </w:rPr>
        <w:t xml:space="preserve">, il sistema operativo degli </w:t>
      </w:r>
      <w:proofErr w:type="spellStart"/>
      <w:r w:rsidR="00B957B4">
        <w:rPr>
          <w:rFonts w:ascii="Times New Roman" w:hAnsi="Times New Roman" w:cs="Times New Roman"/>
          <w:sz w:val="28"/>
          <w:szCs w:val="28"/>
        </w:rPr>
        <w:t>iPhone</w:t>
      </w:r>
      <w:proofErr w:type="spellEnd"/>
      <w:r w:rsidR="00B957B4">
        <w:rPr>
          <w:rFonts w:ascii="Times New Roman" w:hAnsi="Times New Roman" w:cs="Times New Roman"/>
          <w:sz w:val="28"/>
          <w:szCs w:val="28"/>
        </w:rPr>
        <w:t xml:space="preserve">, che conta i passi fatti in un giorno e osserva il battito del cuore, se collegata a un dispositivo come uno </w:t>
      </w:r>
      <w:proofErr w:type="spellStart"/>
      <w:r w:rsidR="00B957B4" w:rsidRPr="00FD7D9F">
        <w:rPr>
          <w:rFonts w:ascii="Times New Roman" w:hAnsi="Times New Roman" w:cs="Times New Roman"/>
          <w:i/>
          <w:iCs/>
          <w:sz w:val="28"/>
          <w:szCs w:val="28"/>
        </w:rPr>
        <w:t>smartwatch</w:t>
      </w:r>
      <w:proofErr w:type="spellEnd"/>
      <w:r w:rsidR="00B957B4">
        <w:rPr>
          <w:rFonts w:ascii="Times New Roman" w:hAnsi="Times New Roman" w:cs="Times New Roman"/>
          <w:sz w:val="28"/>
          <w:szCs w:val="28"/>
        </w:rPr>
        <w:t xml:space="preserve">. Anche quando ci si sottopone a un esame in ospedale vengono raccolti dati in diverse forme: possono essere semplici, come la rilevazione della pressione arteriosa, o complessi come una TAC di ultima generazione, tecnica di indagine approfondita che consente di ricostruire un’immagine tridimensionale degli organi. I dati alimentano diversi sistemi di analisi che si basano su algoritmi e sono essenziali per far sì che l’intelligenza artificiale sia davvero intelligente. Uno dei sistemi di analisi più utilizzati è il </w:t>
      </w:r>
      <w:r w:rsidR="00B957B4" w:rsidRPr="00B957B4">
        <w:rPr>
          <w:rFonts w:ascii="Times New Roman" w:hAnsi="Times New Roman" w:cs="Times New Roman"/>
          <w:i/>
          <w:iCs/>
          <w:sz w:val="28"/>
          <w:szCs w:val="28"/>
        </w:rPr>
        <w:t xml:space="preserve">machine </w:t>
      </w:r>
      <w:proofErr w:type="spellStart"/>
      <w:r w:rsidR="00FC50BA" w:rsidRPr="00B957B4">
        <w:rPr>
          <w:rFonts w:ascii="Times New Roman" w:hAnsi="Times New Roman" w:cs="Times New Roman"/>
          <w:i/>
          <w:iCs/>
          <w:sz w:val="28"/>
          <w:szCs w:val="28"/>
        </w:rPr>
        <w:t>learning</w:t>
      </w:r>
      <w:proofErr w:type="spellEnd"/>
      <w:r w:rsidR="00FC50BA">
        <w:rPr>
          <w:rFonts w:ascii="Times New Roman" w:hAnsi="Times New Roman" w:cs="Times New Roman"/>
          <w:sz w:val="28"/>
          <w:szCs w:val="28"/>
        </w:rPr>
        <w:t xml:space="preserve"> che</w:t>
      </w:r>
      <w:r w:rsidR="000F7605">
        <w:rPr>
          <w:rFonts w:ascii="Times New Roman" w:hAnsi="Times New Roman" w:cs="Times New Roman"/>
          <w:sz w:val="28"/>
          <w:szCs w:val="28"/>
        </w:rPr>
        <w:t xml:space="preserve"> consiste nello studio e nella costruzione di algoritmi che permettano ai computer di imparare a eseguire un compito preciso come riconoscere un’immagine o fare previsioni attendibili, a partire da un insieme di dati forniti dagli sviluppatori. L’algoritmo non impara cosa è un cane sulla base delle sue caratteristiche</w:t>
      </w:r>
      <w:r w:rsidR="009D774A">
        <w:rPr>
          <w:rFonts w:ascii="Times New Roman" w:hAnsi="Times New Roman" w:cs="Times New Roman"/>
          <w:sz w:val="28"/>
          <w:szCs w:val="28"/>
        </w:rPr>
        <w:t xml:space="preserve"> – </w:t>
      </w:r>
      <w:r w:rsidR="000F7605">
        <w:rPr>
          <w:rFonts w:ascii="Times New Roman" w:hAnsi="Times New Roman" w:cs="Times New Roman"/>
          <w:sz w:val="28"/>
          <w:szCs w:val="28"/>
        </w:rPr>
        <w:t xml:space="preserve">ha quattro zampe, due occhi, può </w:t>
      </w:r>
      <w:r w:rsidR="00967E59">
        <w:rPr>
          <w:rFonts w:ascii="Times New Roman" w:hAnsi="Times New Roman" w:cs="Times New Roman"/>
          <w:sz w:val="28"/>
          <w:szCs w:val="28"/>
        </w:rPr>
        <w:t>avere orecchie di una certa grandezza e il naso di una certa forma</w:t>
      </w:r>
      <w:r w:rsidR="009D774A">
        <w:rPr>
          <w:rFonts w:ascii="Times New Roman" w:hAnsi="Times New Roman" w:cs="Times New Roman"/>
          <w:sz w:val="28"/>
          <w:szCs w:val="28"/>
        </w:rPr>
        <w:t xml:space="preserve"> – </w:t>
      </w:r>
      <w:r w:rsidR="00967E59">
        <w:rPr>
          <w:rFonts w:ascii="Times New Roman" w:hAnsi="Times New Roman" w:cs="Times New Roman"/>
          <w:sz w:val="28"/>
          <w:szCs w:val="28"/>
        </w:rPr>
        <w:t>ma riesce a identificarlo dopo aver imparato come è fatto osservando migliaia di foto che gli sviluppatori hanno categorizzato come immagini di cani</w:t>
      </w:r>
      <w:r w:rsidR="00F503D5">
        <w:rPr>
          <w:rFonts w:ascii="Times New Roman" w:hAnsi="Times New Roman" w:cs="Times New Roman"/>
          <w:sz w:val="28"/>
          <w:szCs w:val="28"/>
        </w:rPr>
        <w:t xml:space="preserve">. Capire come funziona il </w:t>
      </w:r>
      <w:r w:rsidR="00F503D5" w:rsidRPr="00F503D5">
        <w:rPr>
          <w:rFonts w:ascii="Times New Roman" w:hAnsi="Times New Roman" w:cs="Times New Roman"/>
          <w:i/>
          <w:iCs/>
          <w:sz w:val="28"/>
          <w:szCs w:val="28"/>
        </w:rPr>
        <w:t xml:space="preserve">machine </w:t>
      </w:r>
      <w:proofErr w:type="spellStart"/>
      <w:r w:rsidR="00F503D5" w:rsidRPr="00F503D5">
        <w:rPr>
          <w:rFonts w:ascii="Times New Roman" w:hAnsi="Times New Roman" w:cs="Times New Roman"/>
          <w:i/>
          <w:iCs/>
          <w:sz w:val="28"/>
          <w:szCs w:val="28"/>
        </w:rPr>
        <w:t>learning</w:t>
      </w:r>
      <w:proofErr w:type="spellEnd"/>
      <w:r w:rsidR="00F503D5">
        <w:rPr>
          <w:rFonts w:ascii="Times New Roman" w:hAnsi="Times New Roman" w:cs="Times New Roman"/>
          <w:sz w:val="28"/>
          <w:szCs w:val="28"/>
        </w:rPr>
        <w:t xml:space="preserve"> è importante per comprendere le potenzialità dell’intelligenza artificiale in medicina, anche se fino a pochi anni fa erano una risorsa poco o mal utilizzata.</w:t>
      </w:r>
    </w:p>
    <w:p w14:paraId="725A5F4A" w14:textId="69616AD7" w:rsidR="00F503D5" w:rsidRDefault="00F503D5" w:rsidP="00FD7D9F">
      <w:pPr>
        <w:tabs>
          <w:tab w:val="left" w:pos="8364"/>
        </w:tabs>
        <w:spacing w:after="0"/>
        <w:jc w:val="both"/>
        <w:rPr>
          <w:rFonts w:ascii="Times New Roman" w:hAnsi="Times New Roman" w:cs="Times New Roman"/>
          <w:sz w:val="28"/>
          <w:szCs w:val="28"/>
        </w:rPr>
      </w:pPr>
      <w:r w:rsidRPr="00F503D5">
        <w:rPr>
          <w:rFonts w:ascii="Times New Roman" w:hAnsi="Times New Roman" w:cs="Times New Roman"/>
          <w:sz w:val="28"/>
          <w:szCs w:val="28"/>
        </w:rPr>
        <w:t xml:space="preserve">Giuseppe Sollazzo è </w:t>
      </w:r>
      <w:r w:rsidR="00FD7D9F">
        <w:rPr>
          <w:rFonts w:ascii="Times New Roman" w:hAnsi="Times New Roman" w:cs="Times New Roman"/>
          <w:sz w:val="28"/>
          <w:szCs w:val="28"/>
        </w:rPr>
        <w:t>l’</w:t>
      </w:r>
      <w:r w:rsidRPr="00F503D5">
        <w:rPr>
          <w:rFonts w:ascii="Times New Roman" w:hAnsi="Times New Roman" w:cs="Times New Roman"/>
          <w:sz w:val="28"/>
          <w:szCs w:val="28"/>
        </w:rPr>
        <w:t>“</w:t>
      </w:r>
      <w:r w:rsidRPr="00F503D5">
        <w:rPr>
          <w:rFonts w:ascii="Times New Roman" w:hAnsi="Times New Roman" w:cs="Times New Roman"/>
          <w:i/>
          <w:iCs/>
          <w:sz w:val="28"/>
          <w:szCs w:val="28"/>
        </w:rPr>
        <w:t xml:space="preserve">Head of </w:t>
      </w:r>
      <w:proofErr w:type="spellStart"/>
      <w:r w:rsidRPr="00F503D5">
        <w:rPr>
          <w:rFonts w:ascii="Times New Roman" w:hAnsi="Times New Roman" w:cs="Times New Roman"/>
          <w:i/>
          <w:iCs/>
          <w:sz w:val="28"/>
          <w:szCs w:val="28"/>
        </w:rPr>
        <w:t>Artificial</w:t>
      </w:r>
      <w:proofErr w:type="spellEnd"/>
      <w:r w:rsidRPr="00F503D5">
        <w:rPr>
          <w:rFonts w:ascii="Times New Roman" w:hAnsi="Times New Roman" w:cs="Times New Roman"/>
          <w:i/>
          <w:iCs/>
          <w:sz w:val="28"/>
          <w:szCs w:val="28"/>
        </w:rPr>
        <w:t xml:space="preserve"> Intelligence </w:t>
      </w:r>
      <w:proofErr w:type="spellStart"/>
      <w:r w:rsidRPr="00F503D5">
        <w:rPr>
          <w:rFonts w:ascii="Times New Roman" w:hAnsi="Times New Roman" w:cs="Times New Roman"/>
          <w:i/>
          <w:iCs/>
          <w:sz w:val="28"/>
          <w:szCs w:val="28"/>
        </w:rPr>
        <w:t>Skunkworks</w:t>
      </w:r>
      <w:proofErr w:type="spellEnd"/>
      <w:r w:rsidRPr="00F503D5">
        <w:rPr>
          <w:rFonts w:ascii="Times New Roman" w:hAnsi="Times New Roman" w:cs="Times New Roman"/>
          <w:i/>
          <w:iCs/>
          <w:sz w:val="28"/>
          <w:szCs w:val="28"/>
        </w:rPr>
        <w:t xml:space="preserve"> and </w:t>
      </w:r>
      <w:proofErr w:type="spellStart"/>
      <w:r w:rsidRPr="00F503D5">
        <w:rPr>
          <w:rFonts w:ascii="Times New Roman" w:hAnsi="Times New Roman" w:cs="Times New Roman"/>
          <w:i/>
          <w:iCs/>
          <w:sz w:val="28"/>
          <w:szCs w:val="28"/>
        </w:rPr>
        <w:t>deployment</w:t>
      </w:r>
      <w:proofErr w:type="spellEnd"/>
      <w:r w:rsidRPr="00F503D5">
        <w:rPr>
          <w:rFonts w:ascii="Times New Roman" w:hAnsi="Times New Roman" w:cs="Times New Roman"/>
          <w:i/>
          <w:iCs/>
          <w:sz w:val="28"/>
          <w:szCs w:val="28"/>
        </w:rPr>
        <w:t>”</w:t>
      </w:r>
      <w:r w:rsidRPr="00F503D5">
        <w:rPr>
          <w:rFonts w:ascii="Times New Roman" w:hAnsi="Times New Roman" w:cs="Times New Roman"/>
          <w:sz w:val="28"/>
          <w:szCs w:val="28"/>
        </w:rPr>
        <w:t xml:space="preserve"> del Servizio sanitari</w:t>
      </w:r>
      <w:r w:rsidR="00FD7D9F">
        <w:rPr>
          <w:rFonts w:ascii="Times New Roman" w:hAnsi="Times New Roman" w:cs="Times New Roman"/>
          <w:sz w:val="28"/>
          <w:szCs w:val="28"/>
        </w:rPr>
        <w:t>o</w:t>
      </w:r>
      <w:r w:rsidRPr="00F503D5">
        <w:rPr>
          <w:rFonts w:ascii="Times New Roman" w:hAnsi="Times New Roman" w:cs="Times New Roman"/>
          <w:sz w:val="28"/>
          <w:szCs w:val="28"/>
        </w:rPr>
        <w:t xml:space="preserve"> ingl</w:t>
      </w:r>
      <w:r>
        <w:rPr>
          <w:rFonts w:ascii="Times New Roman" w:hAnsi="Times New Roman" w:cs="Times New Roman"/>
          <w:sz w:val="28"/>
          <w:szCs w:val="28"/>
        </w:rPr>
        <w:t>ese. Significa che è a capo di una squadra di analisti dei dati che ha il compito di capire come usare l’intelligenza artificiale nel sistema sanitario e negli ospedali. L’ambito più promettente riguarda l’analisi delle immagini. L’intelligenza artificiale può osservare la TAC,</w:t>
      </w:r>
      <w:r w:rsidR="00FC50BA">
        <w:rPr>
          <w:rFonts w:ascii="Times New Roman" w:hAnsi="Times New Roman" w:cs="Times New Roman"/>
          <w:sz w:val="28"/>
          <w:szCs w:val="28"/>
        </w:rPr>
        <w:t xml:space="preserve"> </w:t>
      </w:r>
      <w:r>
        <w:rPr>
          <w:rFonts w:ascii="Times New Roman" w:hAnsi="Times New Roman" w:cs="Times New Roman"/>
          <w:sz w:val="28"/>
          <w:szCs w:val="28"/>
        </w:rPr>
        <w:t xml:space="preserve">un’immagine tridimensionale, per capire come una malattia evolve nel tempo e, quindi, se le condizioni di una persona migliorano o peggiorano. Un medico riesce a capirlo guardando la TAC grazie agli studi e all’esperienza: attraverso il </w:t>
      </w:r>
      <w:r w:rsidRPr="00637CF1">
        <w:rPr>
          <w:rFonts w:ascii="Times New Roman" w:hAnsi="Times New Roman" w:cs="Times New Roman"/>
          <w:i/>
          <w:iCs/>
          <w:sz w:val="28"/>
          <w:szCs w:val="28"/>
        </w:rPr>
        <w:t xml:space="preserve">machine </w:t>
      </w:r>
      <w:proofErr w:type="spellStart"/>
      <w:r w:rsidRPr="00637CF1">
        <w:rPr>
          <w:rFonts w:ascii="Times New Roman" w:hAnsi="Times New Roman" w:cs="Times New Roman"/>
          <w:i/>
          <w:iCs/>
          <w:sz w:val="28"/>
          <w:szCs w:val="28"/>
        </w:rPr>
        <w:t>learning</w:t>
      </w:r>
      <w:proofErr w:type="spellEnd"/>
      <w:r w:rsidR="00637CF1">
        <w:rPr>
          <w:rFonts w:ascii="Times New Roman" w:hAnsi="Times New Roman" w:cs="Times New Roman"/>
          <w:i/>
          <w:iCs/>
          <w:sz w:val="28"/>
          <w:szCs w:val="28"/>
        </w:rPr>
        <w:t xml:space="preserve">, </w:t>
      </w:r>
      <w:r w:rsidR="00637CF1">
        <w:rPr>
          <w:rFonts w:ascii="Times New Roman" w:hAnsi="Times New Roman" w:cs="Times New Roman"/>
          <w:sz w:val="28"/>
          <w:szCs w:val="28"/>
        </w:rPr>
        <w:t xml:space="preserve">un’intelligenza artificiale può analizzare le stesse immagini più rapidamente, con una maggiore possibilità di individuare lesioni minuscole. E aiutare il medico a prendere decisioni. C’è un modo per prevedere come si evolvono malattie come il glaucoma (una malattia cronica e progressiva che colpisce il nervo ottico) prima che le condizioni diventino più gravi? </w:t>
      </w:r>
      <w:r w:rsidR="00FC50BA">
        <w:rPr>
          <w:rFonts w:ascii="Times New Roman" w:hAnsi="Times New Roman" w:cs="Times New Roman"/>
          <w:sz w:val="28"/>
          <w:szCs w:val="28"/>
        </w:rPr>
        <w:t>È</w:t>
      </w:r>
      <w:r w:rsidR="00637CF1">
        <w:rPr>
          <w:rFonts w:ascii="Times New Roman" w:hAnsi="Times New Roman" w:cs="Times New Roman"/>
          <w:sz w:val="28"/>
          <w:szCs w:val="28"/>
        </w:rPr>
        <w:t xml:space="preserve"> una delle domande a cui l’intelligenza artificiale può dare una risposta attraverso l’analisi di milioni di immagini.</w:t>
      </w:r>
    </w:p>
    <w:p w14:paraId="594C98AA" w14:textId="77777777" w:rsidR="00FD7D9F" w:rsidRDefault="00FD7D9F" w:rsidP="00FD7D9F">
      <w:pPr>
        <w:tabs>
          <w:tab w:val="left" w:pos="8364"/>
        </w:tabs>
        <w:spacing w:after="0"/>
        <w:jc w:val="both"/>
        <w:rPr>
          <w:rFonts w:ascii="Times New Roman" w:hAnsi="Times New Roman" w:cs="Times New Roman"/>
          <w:sz w:val="28"/>
          <w:szCs w:val="28"/>
        </w:rPr>
      </w:pPr>
    </w:p>
    <w:p w14:paraId="457269F7" w14:textId="3BE8AFB8" w:rsidR="00637CF1" w:rsidRDefault="00637CF1"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Uno dei problemi più rilevanti è la mancanza di dati dettagliati per studiare modelli che siano validi per tutte le persone. Rimediare alla scarsità di dati è complesso, anche perché i dati sanitari sono dati sensibili e non possono essere raccolti e gestiti con </w:t>
      </w:r>
      <w:r>
        <w:rPr>
          <w:rFonts w:ascii="Times New Roman" w:hAnsi="Times New Roman" w:cs="Times New Roman"/>
          <w:sz w:val="28"/>
          <w:szCs w:val="28"/>
        </w:rPr>
        <w:lastRenderedPageBreak/>
        <w:t xml:space="preserve">leggerezza. Servono accortezze e tutele per evitare abusi come l’uso improprio da parte delle </w:t>
      </w:r>
      <w:r w:rsidR="00FC50BA">
        <w:rPr>
          <w:rFonts w:ascii="Times New Roman" w:hAnsi="Times New Roman" w:cs="Times New Roman"/>
          <w:sz w:val="28"/>
          <w:szCs w:val="28"/>
        </w:rPr>
        <w:t>aziende</w:t>
      </w:r>
      <w:r w:rsidR="00FC50BA">
        <w:rPr>
          <w:rStyle w:val="Rimandonotaapidipagina"/>
          <w:rFonts w:ascii="Times New Roman" w:hAnsi="Times New Roman" w:cs="Times New Roman"/>
          <w:sz w:val="28"/>
          <w:szCs w:val="28"/>
        </w:rPr>
        <w:footnoteReference w:id="86"/>
      </w:r>
      <w:r w:rsidR="00FC50BA">
        <w:rPr>
          <w:rFonts w:ascii="Times New Roman" w:hAnsi="Times New Roman" w:cs="Times New Roman"/>
          <w:sz w:val="28"/>
          <w:szCs w:val="28"/>
        </w:rPr>
        <w:t>.</w:t>
      </w:r>
    </w:p>
    <w:p w14:paraId="2EFCF58B" w14:textId="3B106EFE" w:rsidR="004355C1" w:rsidRDefault="004355C1" w:rsidP="00FD7D9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Da qualche anno</w:t>
      </w:r>
      <w:r w:rsidR="00FD7D9F">
        <w:rPr>
          <w:rFonts w:ascii="Times New Roman" w:hAnsi="Times New Roman" w:cs="Times New Roman"/>
          <w:sz w:val="28"/>
          <w:szCs w:val="28"/>
        </w:rPr>
        <w:t>,</w:t>
      </w:r>
      <w:r>
        <w:rPr>
          <w:rFonts w:ascii="Times New Roman" w:hAnsi="Times New Roman" w:cs="Times New Roman"/>
          <w:sz w:val="28"/>
          <w:szCs w:val="28"/>
        </w:rPr>
        <w:t xml:space="preserve"> anche in Italia</w:t>
      </w:r>
      <w:r w:rsidR="00FD7D9F">
        <w:rPr>
          <w:rFonts w:ascii="Times New Roman" w:hAnsi="Times New Roman" w:cs="Times New Roman"/>
          <w:sz w:val="28"/>
          <w:szCs w:val="28"/>
        </w:rPr>
        <w:t>,</w:t>
      </w:r>
      <w:r>
        <w:rPr>
          <w:rFonts w:ascii="Times New Roman" w:hAnsi="Times New Roman" w:cs="Times New Roman"/>
          <w:sz w:val="28"/>
          <w:szCs w:val="28"/>
        </w:rPr>
        <w:t xml:space="preserve"> esperti di sanità e di intelligenza artificiale si confrontano e studiano possibili applicazioni in sanità.</w:t>
      </w:r>
    </w:p>
    <w:p w14:paraId="4197C5A4" w14:textId="552D1BBC" w:rsidR="004355C1" w:rsidRDefault="004355C1" w:rsidP="00FD7D9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Uno degli esempi più rilevanti è la “cartella clinica del cittadino”</w:t>
      </w:r>
      <w:r w:rsidR="002C1BE2">
        <w:rPr>
          <w:rFonts w:ascii="Times New Roman" w:hAnsi="Times New Roman" w:cs="Times New Roman"/>
          <w:sz w:val="28"/>
          <w:szCs w:val="28"/>
        </w:rPr>
        <w:t>,</w:t>
      </w:r>
      <w:r>
        <w:rPr>
          <w:rFonts w:ascii="Times New Roman" w:hAnsi="Times New Roman" w:cs="Times New Roman"/>
          <w:sz w:val="28"/>
          <w:szCs w:val="28"/>
        </w:rPr>
        <w:t xml:space="preserve"> attivata nel 2012 dalla provincia autonoma di Trento. </w:t>
      </w:r>
      <w:r w:rsidR="008A6DC9">
        <w:rPr>
          <w:rFonts w:ascii="Times New Roman" w:hAnsi="Times New Roman" w:cs="Times New Roman"/>
          <w:sz w:val="28"/>
          <w:szCs w:val="28"/>
        </w:rPr>
        <w:t>È</w:t>
      </w:r>
      <w:r>
        <w:rPr>
          <w:rFonts w:ascii="Times New Roman" w:hAnsi="Times New Roman" w:cs="Times New Roman"/>
          <w:sz w:val="28"/>
          <w:szCs w:val="28"/>
        </w:rPr>
        <w:t xml:space="preserve"> un fascicolo sanitario elettronico che non archivia e analizza solo i dati raccolti in ospedale, come i risultati degli esami, ma anche quelli prodotti ogni giorno dal paziente. Una persona diabetica, per esempio, inserisce ogni giorno i valori della glicemia, il tipo di pasto consumato e a che ora ha mangiato.</w:t>
      </w:r>
    </w:p>
    <w:p w14:paraId="62367163" w14:textId="77777777" w:rsidR="002C1BE2" w:rsidRDefault="004355C1" w:rsidP="00FD7D9F">
      <w:pPr>
        <w:tabs>
          <w:tab w:val="left" w:pos="8364"/>
        </w:tabs>
        <w:spacing w:after="0"/>
        <w:jc w:val="both"/>
        <w:rPr>
          <w:rFonts w:ascii="Times New Roman" w:hAnsi="Times New Roman" w:cs="Times New Roman"/>
          <w:sz w:val="28"/>
          <w:szCs w:val="28"/>
        </w:rPr>
      </w:pPr>
      <w:r w:rsidRPr="004355C1">
        <w:rPr>
          <w:rFonts w:ascii="Times New Roman" w:hAnsi="Times New Roman" w:cs="Times New Roman"/>
          <w:i/>
          <w:iCs/>
          <w:sz w:val="28"/>
          <w:szCs w:val="28"/>
        </w:rPr>
        <w:t>“L’intelligenza artificiale non sostituisce il medico</w:t>
      </w:r>
      <w:r>
        <w:rPr>
          <w:rFonts w:ascii="Times New Roman" w:hAnsi="Times New Roman" w:cs="Times New Roman"/>
          <w:i/>
          <w:iCs/>
          <w:sz w:val="28"/>
          <w:szCs w:val="28"/>
        </w:rPr>
        <w:t xml:space="preserve">: il medico usa l’intelligenza artificiale per controllare le condizioni di salute del paziente in modo più approfondito e prescrivere cure personalizzate”, </w:t>
      </w:r>
      <w:r w:rsidRPr="004355C1">
        <w:rPr>
          <w:rFonts w:ascii="Times New Roman" w:hAnsi="Times New Roman" w:cs="Times New Roman"/>
          <w:sz w:val="28"/>
          <w:szCs w:val="28"/>
        </w:rPr>
        <w:t xml:space="preserve">spiega </w:t>
      </w:r>
      <w:r>
        <w:rPr>
          <w:rFonts w:ascii="Times New Roman" w:hAnsi="Times New Roman" w:cs="Times New Roman"/>
          <w:sz w:val="28"/>
          <w:szCs w:val="28"/>
        </w:rPr>
        <w:t xml:space="preserve">Paolo Traverso, direttore del Dipartimento Strategia e Sviluppo della Fondazione Bruno Kessler di Trento, che ha collaborato allo sviluppo della cartella clinica del cittadino e tra i più qualificati esperti italiani di intelligenza artificiale. </w:t>
      </w:r>
      <w:r w:rsidRPr="008F7ADC">
        <w:rPr>
          <w:rFonts w:ascii="Times New Roman" w:hAnsi="Times New Roman" w:cs="Times New Roman"/>
          <w:sz w:val="28"/>
          <w:szCs w:val="28"/>
        </w:rPr>
        <w:t>L’</w:t>
      </w:r>
      <w:proofErr w:type="spellStart"/>
      <w:r w:rsidRPr="008F7ADC">
        <w:rPr>
          <w:rFonts w:ascii="Times New Roman" w:hAnsi="Times New Roman" w:cs="Times New Roman"/>
          <w:sz w:val="28"/>
          <w:szCs w:val="28"/>
        </w:rPr>
        <w:t>app</w:t>
      </w:r>
      <w:proofErr w:type="spellEnd"/>
      <w:r w:rsidRPr="008F7ADC">
        <w:rPr>
          <w:rFonts w:ascii="Times New Roman" w:hAnsi="Times New Roman" w:cs="Times New Roman"/>
          <w:sz w:val="28"/>
          <w:szCs w:val="28"/>
        </w:rPr>
        <w:t xml:space="preserve"> della cartella clinica del cittadino interagisce con le persone e i medici, e aiuta a comprendere meglio come sta un paziente e come si evolvono le sue condizioni nel tempo. </w:t>
      </w:r>
    </w:p>
    <w:p w14:paraId="2D4EBD49" w14:textId="77777777" w:rsidR="002C1BE2" w:rsidRDefault="004355C1" w:rsidP="00FD7D9F">
      <w:pPr>
        <w:tabs>
          <w:tab w:val="left" w:pos="8364"/>
        </w:tabs>
        <w:spacing w:after="0"/>
        <w:jc w:val="both"/>
        <w:rPr>
          <w:rFonts w:ascii="Times New Roman" w:hAnsi="Times New Roman" w:cs="Times New Roman"/>
          <w:sz w:val="28"/>
          <w:szCs w:val="28"/>
        </w:rPr>
      </w:pPr>
      <w:r w:rsidRPr="008F7ADC">
        <w:rPr>
          <w:rFonts w:ascii="Times New Roman" w:hAnsi="Times New Roman" w:cs="Times New Roman"/>
          <w:sz w:val="28"/>
          <w:szCs w:val="28"/>
        </w:rPr>
        <w:t>I medici portano la conoscenza, l’</w:t>
      </w:r>
      <w:proofErr w:type="spellStart"/>
      <w:r w:rsidRPr="008F7ADC">
        <w:rPr>
          <w:rFonts w:ascii="Times New Roman" w:hAnsi="Times New Roman" w:cs="Times New Roman"/>
          <w:sz w:val="28"/>
          <w:szCs w:val="28"/>
        </w:rPr>
        <w:t>app</w:t>
      </w:r>
      <w:proofErr w:type="spellEnd"/>
      <w:r w:rsidRPr="008F7ADC">
        <w:rPr>
          <w:rFonts w:ascii="Times New Roman" w:hAnsi="Times New Roman" w:cs="Times New Roman"/>
          <w:sz w:val="28"/>
          <w:szCs w:val="28"/>
        </w:rPr>
        <w:t xml:space="preserve"> consente di osservare meglio</w:t>
      </w:r>
      <w:r w:rsidR="008F7ADC" w:rsidRPr="008F7ADC">
        <w:rPr>
          <w:rFonts w:ascii="Times New Roman" w:hAnsi="Times New Roman" w:cs="Times New Roman"/>
          <w:sz w:val="28"/>
          <w:szCs w:val="28"/>
        </w:rPr>
        <w:t xml:space="preserve"> la realtà: così si affinano i modelli di cura</w:t>
      </w:r>
      <w:r w:rsidR="008F7ADC">
        <w:rPr>
          <w:rFonts w:ascii="Times New Roman" w:hAnsi="Times New Roman" w:cs="Times New Roman"/>
          <w:sz w:val="28"/>
          <w:szCs w:val="28"/>
        </w:rPr>
        <w:t xml:space="preserve">. </w:t>
      </w:r>
    </w:p>
    <w:p w14:paraId="117FFA07" w14:textId="43B4B279" w:rsidR="004355C1" w:rsidRPr="002C1BE2" w:rsidRDefault="008F7ADC" w:rsidP="00FD7D9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Al momento</w:t>
      </w:r>
      <w:r w:rsidR="002C1BE2">
        <w:rPr>
          <w:rFonts w:ascii="Times New Roman" w:hAnsi="Times New Roman" w:cs="Times New Roman"/>
          <w:sz w:val="28"/>
          <w:szCs w:val="28"/>
        </w:rPr>
        <w:t>,</w:t>
      </w:r>
      <w:r>
        <w:rPr>
          <w:rFonts w:ascii="Times New Roman" w:hAnsi="Times New Roman" w:cs="Times New Roman"/>
          <w:sz w:val="28"/>
          <w:szCs w:val="28"/>
        </w:rPr>
        <w:t xml:space="preserve"> la piattaforma è utilizzata da oltre 140 mila persone nella provincia autonoma di Trento e la fondazione </w:t>
      </w:r>
      <w:r w:rsidRPr="00880B0F">
        <w:rPr>
          <w:rFonts w:ascii="Times New Roman" w:hAnsi="Times New Roman" w:cs="Times New Roman"/>
          <w:i/>
          <w:iCs/>
          <w:sz w:val="28"/>
          <w:szCs w:val="28"/>
        </w:rPr>
        <w:t>Bruno Kessler</w:t>
      </w:r>
      <w:r>
        <w:rPr>
          <w:rFonts w:ascii="Times New Roman" w:hAnsi="Times New Roman" w:cs="Times New Roman"/>
          <w:sz w:val="28"/>
          <w:szCs w:val="28"/>
        </w:rPr>
        <w:t xml:space="preserve"> ha stretto accordi anche con </w:t>
      </w:r>
      <w:r w:rsidR="002C1BE2">
        <w:rPr>
          <w:rFonts w:ascii="Times New Roman" w:hAnsi="Times New Roman" w:cs="Times New Roman"/>
          <w:sz w:val="28"/>
          <w:szCs w:val="28"/>
        </w:rPr>
        <w:t>Emilia-Romagna</w:t>
      </w:r>
      <w:r>
        <w:rPr>
          <w:rFonts w:ascii="Times New Roman" w:hAnsi="Times New Roman" w:cs="Times New Roman"/>
          <w:sz w:val="28"/>
          <w:szCs w:val="28"/>
        </w:rPr>
        <w:t xml:space="preserve">, Umbria, </w:t>
      </w:r>
      <w:r w:rsidR="0026078B">
        <w:rPr>
          <w:rFonts w:ascii="Times New Roman" w:hAnsi="Times New Roman" w:cs="Times New Roman"/>
          <w:sz w:val="28"/>
          <w:szCs w:val="28"/>
        </w:rPr>
        <w:t>Friuli-Venezia Giulia</w:t>
      </w:r>
      <w:r>
        <w:rPr>
          <w:rFonts w:ascii="Times New Roman" w:hAnsi="Times New Roman" w:cs="Times New Roman"/>
          <w:sz w:val="28"/>
          <w:szCs w:val="28"/>
        </w:rPr>
        <w:t xml:space="preserve"> e in ospedali come il </w:t>
      </w:r>
      <w:r w:rsidR="0026078B" w:rsidRPr="00880B0F">
        <w:rPr>
          <w:rFonts w:ascii="Times New Roman" w:hAnsi="Times New Roman" w:cs="Times New Roman"/>
          <w:i/>
          <w:iCs/>
          <w:sz w:val="28"/>
          <w:szCs w:val="28"/>
        </w:rPr>
        <w:t>Fatebenefratelli</w:t>
      </w:r>
      <w:r>
        <w:rPr>
          <w:rFonts w:ascii="Times New Roman" w:hAnsi="Times New Roman" w:cs="Times New Roman"/>
          <w:sz w:val="28"/>
          <w:szCs w:val="28"/>
        </w:rPr>
        <w:t xml:space="preserve"> per cui è stata messa a punto </w:t>
      </w:r>
      <w:proofErr w:type="spellStart"/>
      <w:r>
        <w:rPr>
          <w:rFonts w:ascii="Times New Roman" w:hAnsi="Times New Roman" w:cs="Times New Roman"/>
          <w:sz w:val="28"/>
          <w:szCs w:val="28"/>
        </w:rPr>
        <w:t>Mumapp</w:t>
      </w:r>
      <w:proofErr w:type="spellEnd"/>
      <w:r>
        <w:rPr>
          <w:rFonts w:ascii="Times New Roman" w:hAnsi="Times New Roman" w:cs="Times New Roman"/>
          <w:sz w:val="28"/>
          <w:szCs w:val="28"/>
        </w:rPr>
        <w:t>, un’</w:t>
      </w:r>
      <w:proofErr w:type="spellStart"/>
      <w:r>
        <w:rPr>
          <w:rFonts w:ascii="Times New Roman" w:hAnsi="Times New Roman" w:cs="Times New Roman"/>
          <w:sz w:val="28"/>
          <w:szCs w:val="28"/>
        </w:rPr>
        <w:t>app</w:t>
      </w:r>
      <w:proofErr w:type="spellEnd"/>
      <w:r>
        <w:rPr>
          <w:rFonts w:ascii="Times New Roman" w:hAnsi="Times New Roman" w:cs="Times New Roman"/>
          <w:sz w:val="28"/>
          <w:szCs w:val="28"/>
        </w:rPr>
        <w:t xml:space="preserve"> per seguire le fasi dello sviluppo dei neonati nei primi mille giorni di vita. A tutti i progetti lavorano esperti di intelligenza artificiale e giuristi, perché il tema della protezione dei dati e del consenso informato è essenziale, utilizzando il metodo “</w:t>
      </w:r>
      <w:r w:rsidRPr="002C1BE2">
        <w:rPr>
          <w:rFonts w:ascii="Times New Roman" w:hAnsi="Times New Roman" w:cs="Times New Roman"/>
          <w:i/>
          <w:iCs/>
          <w:sz w:val="28"/>
          <w:szCs w:val="28"/>
        </w:rPr>
        <w:t>privacy by design</w:t>
      </w:r>
      <w:r w:rsidR="008A6DC9" w:rsidRPr="002C1BE2">
        <w:rPr>
          <w:rFonts w:ascii="Times New Roman" w:hAnsi="Times New Roman" w:cs="Times New Roman"/>
          <w:sz w:val="28"/>
          <w:szCs w:val="28"/>
        </w:rPr>
        <w:t>”</w:t>
      </w:r>
      <w:r w:rsidRPr="002C1BE2">
        <w:rPr>
          <w:rFonts w:ascii="Times New Roman" w:hAnsi="Times New Roman" w:cs="Times New Roman"/>
          <w:sz w:val="28"/>
          <w:szCs w:val="28"/>
        </w:rPr>
        <w:t>, un approccio che considera la privacy come centrale nello sviluppo.</w:t>
      </w:r>
    </w:p>
    <w:p w14:paraId="473E5770" w14:textId="77777777" w:rsidR="002C1BE2" w:rsidRDefault="008F7ADC" w:rsidP="002C1BE2">
      <w:pPr>
        <w:tabs>
          <w:tab w:val="left" w:pos="8364"/>
        </w:tabs>
        <w:spacing w:after="0"/>
        <w:jc w:val="both"/>
        <w:rPr>
          <w:rFonts w:ascii="Times New Roman" w:hAnsi="Times New Roman" w:cs="Times New Roman"/>
          <w:sz w:val="28"/>
          <w:szCs w:val="28"/>
        </w:rPr>
      </w:pPr>
      <w:r w:rsidRPr="008F7ADC">
        <w:rPr>
          <w:rFonts w:ascii="Times New Roman" w:hAnsi="Times New Roman" w:cs="Times New Roman"/>
          <w:sz w:val="28"/>
          <w:szCs w:val="28"/>
        </w:rPr>
        <w:t xml:space="preserve">Nel </w:t>
      </w:r>
      <w:r>
        <w:rPr>
          <w:rFonts w:ascii="Times New Roman" w:hAnsi="Times New Roman" w:cs="Times New Roman"/>
          <w:sz w:val="28"/>
          <w:szCs w:val="28"/>
        </w:rPr>
        <w:t>report “</w:t>
      </w:r>
      <w:r w:rsidRPr="008F7ADC">
        <w:rPr>
          <w:rFonts w:ascii="Times New Roman" w:hAnsi="Times New Roman" w:cs="Times New Roman"/>
          <w:i/>
          <w:iCs/>
          <w:sz w:val="28"/>
          <w:szCs w:val="28"/>
        </w:rPr>
        <w:t xml:space="preserve">Etica e </w:t>
      </w:r>
      <w:proofErr w:type="spellStart"/>
      <w:r w:rsidRPr="008F7ADC">
        <w:rPr>
          <w:rFonts w:ascii="Times New Roman" w:hAnsi="Times New Roman" w:cs="Times New Roman"/>
          <w:i/>
          <w:iCs/>
          <w:sz w:val="28"/>
          <w:szCs w:val="28"/>
        </w:rPr>
        <w:t>governance</w:t>
      </w:r>
      <w:proofErr w:type="spellEnd"/>
      <w:r w:rsidRPr="008F7ADC">
        <w:rPr>
          <w:rFonts w:ascii="Times New Roman" w:hAnsi="Times New Roman" w:cs="Times New Roman"/>
          <w:i/>
          <w:iCs/>
          <w:sz w:val="28"/>
          <w:szCs w:val="28"/>
        </w:rPr>
        <w:t xml:space="preserve"> dell’intelligenza artificiale per la salute</w:t>
      </w:r>
      <w:r w:rsidRPr="009D774A">
        <w:rPr>
          <w:rFonts w:ascii="Times New Roman" w:hAnsi="Times New Roman" w:cs="Times New Roman"/>
          <w:sz w:val="28"/>
          <w:szCs w:val="28"/>
        </w:rPr>
        <w:t>”</w:t>
      </w:r>
      <w:r w:rsidR="008A6DC9" w:rsidRPr="00B41031">
        <w:rPr>
          <w:rStyle w:val="Rimandonotaapidipagina"/>
          <w:rFonts w:ascii="Times New Roman" w:hAnsi="Times New Roman" w:cs="Times New Roman"/>
          <w:sz w:val="28"/>
          <w:szCs w:val="28"/>
        </w:rPr>
        <w:footnoteReference w:id="87"/>
      </w:r>
      <w:r w:rsidR="008A6DC9">
        <w:rPr>
          <w:rFonts w:ascii="Times New Roman" w:hAnsi="Times New Roman" w:cs="Times New Roman"/>
          <w:i/>
          <w:iCs/>
          <w:sz w:val="28"/>
          <w:szCs w:val="28"/>
        </w:rPr>
        <w:t xml:space="preserve">, </w:t>
      </w:r>
      <w:r>
        <w:rPr>
          <w:rFonts w:ascii="Times New Roman" w:hAnsi="Times New Roman" w:cs="Times New Roman"/>
          <w:sz w:val="28"/>
          <w:szCs w:val="28"/>
        </w:rPr>
        <w:t xml:space="preserve">gli esperti dell’OMS hanno individuato sei principi per garantire che l’intelligenza artificiale per la cura </w:t>
      </w:r>
      <w:r w:rsidR="00B41031">
        <w:rPr>
          <w:rFonts w:ascii="Times New Roman" w:hAnsi="Times New Roman" w:cs="Times New Roman"/>
          <w:sz w:val="28"/>
          <w:szCs w:val="28"/>
        </w:rPr>
        <w:t>della persona</w:t>
      </w:r>
      <w:r>
        <w:rPr>
          <w:rFonts w:ascii="Times New Roman" w:hAnsi="Times New Roman" w:cs="Times New Roman"/>
          <w:sz w:val="28"/>
          <w:szCs w:val="28"/>
        </w:rPr>
        <w:t xml:space="preserve"> funzioni nell’interesse pubblico e nel rispetto della privacy. </w:t>
      </w:r>
    </w:p>
    <w:p w14:paraId="5A63D552" w14:textId="42FB9C28" w:rsidR="002C1BE2" w:rsidRDefault="008F7ADC" w:rsidP="002C1BE2">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Il primo è la protezione dell’autonomia umana: i medici devono mantenere il controllo dei sistemi sanitari e delle decisioni mediche. Un altro principio rilevante </w:t>
      </w:r>
      <w:r w:rsidR="00D12FF4">
        <w:rPr>
          <w:rFonts w:ascii="Times New Roman" w:hAnsi="Times New Roman" w:cs="Times New Roman"/>
          <w:sz w:val="28"/>
          <w:szCs w:val="28"/>
        </w:rPr>
        <w:t>è la necessità di garantire trasparenza attraverso la pubblicazione di tutte le informazioni sulla progettazione di un sistema di intelligenza artificiale. Le informazioni devono essere facilmente accessibili e stimolare un dibattito sull’uso corretto della tecnologia. Inoltre</w:t>
      </w:r>
      <w:r w:rsidR="00B01739">
        <w:rPr>
          <w:rFonts w:ascii="Times New Roman" w:hAnsi="Times New Roman" w:cs="Times New Roman"/>
          <w:sz w:val="28"/>
          <w:szCs w:val="28"/>
        </w:rPr>
        <w:t>,</w:t>
      </w:r>
      <w:r w:rsidR="00D12FF4">
        <w:rPr>
          <w:rFonts w:ascii="Times New Roman" w:hAnsi="Times New Roman" w:cs="Times New Roman"/>
          <w:sz w:val="28"/>
          <w:szCs w:val="28"/>
        </w:rPr>
        <w:t xml:space="preserve"> devono essere garantite </w:t>
      </w:r>
      <w:proofErr w:type="spellStart"/>
      <w:r w:rsidR="00D12FF4">
        <w:rPr>
          <w:rFonts w:ascii="Times New Roman" w:hAnsi="Times New Roman" w:cs="Times New Roman"/>
          <w:sz w:val="28"/>
          <w:szCs w:val="28"/>
        </w:rPr>
        <w:t>inclusività</w:t>
      </w:r>
      <w:proofErr w:type="spellEnd"/>
      <w:r w:rsidR="00D12FF4">
        <w:rPr>
          <w:rFonts w:ascii="Times New Roman" w:hAnsi="Times New Roman" w:cs="Times New Roman"/>
          <w:sz w:val="28"/>
          <w:szCs w:val="28"/>
        </w:rPr>
        <w:t xml:space="preserve"> ed equità. L’OMS spiega che l’intelligenza artificiale per la salute deve essere </w:t>
      </w:r>
      <w:r w:rsidR="009D774A">
        <w:rPr>
          <w:rFonts w:ascii="Times New Roman" w:hAnsi="Times New Roman" w:cs="Times New Roman"/>
          <w:sz w:val="28"/>
          <w:szCs w:val="28"/>
        </w:rPr>
        <w:t>«</w:t>
      </w:r>
      <w:r w:rsidR="00D12FF4" w:rsidRPr="00D12FF4">
        <w:rPr>
          <w:rFonts w:ascii="Times New Roman" w:hAnsi="Times New Roman" w:cs="Times New Roman"/>
          <w:i/>
          <w:iCs/>
          <w:sz w:val="28"/>
          <w:szCs w:val="28"/>
        </w:rPr>
        <w:t xml:space="preserve">progettata </w:t>
      </w:r>
      <w:r w:rsidR="00D12FF4">
        <w:rPr>
          <w:rFonts w:ascii="Times New Roman" w:hAnsi="Times New Roman" w:cs="Times New Roman"/>
          <w:i/>
          <w:iCs/>
          <w:sz w:val="28"/>
          <w:szCs w:val="28"/>
        </w:rPr>
        <w:t>per incoraggiare l’uso e l’accesso più equo possibile, indipendentemente da età,</w:t>
      </w:r>
      <w:r w:rsidR="001D5C48">
        <w:rPr>
          <w:rFonts w:ascii="Times New Roman" w:hAnsi="Times New Roman" w:cs="Times New Roman"/>
          <w:i/>
          <w:iCs/>
          <w:sz w:val="28"/>
          <w:szCs w:val="28"/>
        </w:rPr>
        <w:t xml:space="preserve"> </w:t>
      </w:r>
      <w:r w:rsidR="00D12FF4">
        <w:rPr>
          <w:rFonts w:ascii="Times New Roman" w:hAnsi="Times New Roman" w:cs="Times New Roman"/>
          <w:i/>
          <w:iCs/>
          <w:sz w:val="28"/>
          <w:szCs w:val="28"/>
        </w:rPr>
        <w:t>sesso,</w:t>
      </w:r>
      <w:r w:rsidR="001D5C48">
        <w:rPr>
          <w:rFonts w:ascii="Times New Roman" w:hAnsi="Times New Roman" w:cs="Times New Roman"/>
          <w:i/>
          <w:iCs/>
          <w:sz w:val="28"/>
          <w:szCs w:val="28"/>
        </w:rPr>
        <w:t xml:space="preserve"> </w:t>
      </w:r>
      <w:r w:rsidR="00D12FF4">
        <w:rPr>
          <w:rFonts w:ascii="Times New Roman" w:hAnsi="Times New Roman" w:cs="Times New Roman"/>
          <w:i/>
          <w:iCs/>
          <w:sz w:val="28"/>
          <w:szCs w:val="28"/>
        </w:rPr>
        <w:t>genere,</w:t>
      </w:r>
      <w:r w:rsidR="001D5C48">
        <w:rPr>
          <w:rFonts w:ascii="Times New Roman" w:hAnsi="Times New Roman" w:cs="Times New Roman"/>
          <w:i/>
          <w:iCs/>
          <w:sz w:val="28"/>
          <w:szCs w:val="28"/>
        </w:rPr>
        <w:t xml:space="preserve"> </w:t>
      </w:r>
      <w:r w:rsidR="00D12FF4">
        <w:rPr>
          <w:rFonts w:ascii="Times New Roman" w:hAnsi="Times New Roman" w:cs="Times New Roman"/>
          <w:i/>
          <w:iCs/>
          <w:sz w:val="28"/>
          <w:szCs w:val="28"/>
        </w:rPr>
        <w:t>reddito, razza, etnia,</w:t>
      </w:r>
      <w:r w:rsidR="00B41031">
        <w:rPr>
          <w:rFonts w:ascii="Times New Roman" w:hAnsi="Times New Roman" w:cs="Times New Roman"/>
          <w:i/>
          <w:iCs/>
          <w:sz w:val="28"/>
          <w:szCs w:val="28"/>
        </w:rPr>
        <w:t xml:space="preserve"> </w:t>
      </w:r>
      <w:r w:rsidR="00D12FF4">
        <w:rPr>
          <w:rFonts w:ascii="Times New Roman" w:hAnsi="Times New Roman" w:cs="Times New Roman"/>
          <w:i/>
          <w:iCs/>
          <w:sz w:val="28"/>
          <w:szCs w:val="28"/>
        </w:rPr>
        <w:t>orientamento sessuale, abilità o altre caratteristiche protette dai codici dei diritti umani</w:t>
      </w:r>
      <w:r w:rsidR="009D774A">
        <w:rPr>
          <w:rFonts w:ascii="Times New Roman" w:hAnsi="Times New Roman" w:cs="Times New Roman"/>
          <w:i/>
          <w:iCs/>
          <w:sz w:val="28"/>
          <w:szCs w:val="28"/>
        </w:rPr>
        <w:t>».</w:t>
      </w:r>
    </w:p>
    <w:p w14:paraId="0D76E887" w14:textId="752C0859" w:rsidR="00816F84" w:rsidRPr="00062584" w:rsidRDefault="00816F84" w:rsidP="00774481">
      <w:pPr>
        <w:tabs>
          <w:tab w:val="left" w:pos="8364"/>
        </w:tabs>
        <w:jc w:val="both"/>
        <w:rPr>
          <w:rFonts w:ascii="Times New Roman" w:hAnsi="Times New Roman" w:cs="Times New Roman"/>
          <w:sz w:val="28"/>
          <w:szCs w:val="28"/>
        </w:rPr>
      </w:pPr>
      <w:r>
        <w:rPr>
          <w:rFonts w:ascii="Times New Roman" w:hAnsi="Times New Roman" w:cs="Times New Roman"/>
          <w:sz w:val="28"/>
          <w:szCs w:val="28"/>
        </w:rPr>
        <w:lastRenderedPageBreak/>
        <w:t>In tale visione</w:t>
      </w:r>
      <w:r w:rsidR="002C1BE2">
        <w:rPr>
          <w:rFonts w:ascii="Times New Roman" w:hAnsi="Times New Roman" w:cs="Times New Roman"/>
          <w:sz w:val="28"/>
          <w:szCs w:val="28"/>
        </w:rPr>
        <w:t>,</w:t>
      </w:r>
      <w:r>
        <w:rPr>
          <w:rFonts w:ascii="Times New Roman" w:hAnsi="Times New Roman" w:cs="Times New Roman"/>
          <w:sz w:val="28"/>
          <w:szCs w:val="28"/>
        </w:rPr>
        <w:t xml:space="preserve"> si sta sviluppando la c</w:t>
      </w:r>
      <w:r w:rsidR="009D774A">
        <w:rPr>
          <w:rFonts w:ascii="Times New Roman" w:hAnsi="Times New Roman" w:cs="Times New Roman"/>
          <w:sz w:val="28"/>
          <w:szCs w:val="28"/>
        </w:rPr>
        <w:t>.</w:t>
      </w:r>
      <w:r>
        <w:rPr>
          <w:rFonts w:ascii="Times New Roman" w:hAnsi="Times New Roman" w:cs="Times New Roman"/>
          <w:sz w:val="28"/>
          <w:szCs w:val="28"/>
        </w:rPr>
        <w:t>d</w:t>
      </w:r>
      <w:r w:rsidR="009D774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2C1BE2">
        <w:rPr>
          <w:rFonts w:ascii="Times New Roman" w:hAnsi="Times New Roman" w:cs="Times New Roman"/>
          <w:i/>
          <w:iCs/>
          <w:sz w:val="28"/>
          <w:szCs w:val="28"/>
        </w:rPr>
        <w:t>Webscience</w:t>
      </w:r>
      <w:proofErr w:type="spellEnd"/>
      <w:r>
        <w:rPr>
          <w:rFonts w:ascii="Times New Roman" w:hAnsi="Times New Roman" w:cs="Times New Roman"/>
          <w:b/>
          <w:bCs/>
          <w:sz w:val="28"/>
          <w:szCs w:val="28"/>
        </w:rPr>
        <w:t xml:space="preserve">, </w:t>
      </w:r>
      <w:r w:rsidRPr="00816F84">
        <w:rPr>
          <w:rFonts w:ascii="Times New Roman" w:hAnsi="Times New Roman" w:cs="Times New Roman"/>
          <w:sz w:val="28"/>
          <w:szCs w:val="28"/>
        </w:rPr>
        <w:t>una</w:t>
      </w:r>
      <w:r>
        <w:rPr>
          <w:rFonts w:ascii="Times New Roman" w:hAnsi="Times New Roman" w:cs="Times New Roman"/>
          <w:b/>
          <w:bCs/>
          <w:sz w:val="28"/>
          <w:szCs w:val="28"/>
        </w:rPr>
        <w:t xml:space="preserve"> </w:t>
      </w:r>
      <w:r w:rsidRPr="00816F84">
        <w:rPr>
          <w:rFonts w:ascii="Times New Roman" w:hAnsi="Times New Roman" w:cs="Times New Roman"/>
          <w:sz w:val="28"/>
          <w:szCs w:val="28"/>
        </w:rPr>
        <w:t xml:space="preserve">nuova materia accademica </w:t>
      </w:r>
      <w:r>
        <w:rPr>
          <w:rFonts w:ascii="Times New Roman" w:hAnsi="Times New Roman" w:cs="Times New Roman"/>
          <w:sz w:val="28"/>
          <w:szCs w:val="28"/>
        </w:rPr>
        <w:t>multidisciplinare</w:t>
      </w:r>
      <w:r w:rsidR="002C1BE2">
        <w:rPr>
          <w:rFonts w:ascii="Times New Roman" w:hAnsi="Times New Roman" w:cs="Times New Roman"/>
          <w:sz w:val="28"/>
          <w:szCs w:val="28"/>
        </w:rPr>
        <w:t>,</w:t>
      </w:r>
      <w:r>
        <w:rPr>
          <w:rFonts w:ascii="Times New Roman" w:hAnsi="Times New Roman" w:cs="Times New Roman"/>
          <w:sz w:val="28"/>
          <w:szCs w:val="28"/>
        </w:rPr>
        <w:t xml:space="preserve"> che studia la tecnologia alla base del web, ma anche le relazioni tra uomo e web</w:t>
      </w:r>
      <w:r w:rsidR="009D774A">
        <w:rPr>
          <w:rFonts w:ascii="Times New Roman" w:hAnsi="Times New Roman" w:cs="Times New Roman"/>
          <w:sz w:val="28"/>
          <w:szCs w:val="28"/>
        </w:rPr>
        <w:t>,</w:t>
      </w:r>
      <w:r>
        <w:rPr>
          <w:rFonts w:ascii="Times New Roman" w:hAnsi="Times New Roman" w:cs="Times New Roman"/>
          <w:sz w:val="28"/>
          <w:szCs w:val="28"/>
        </w:rPr>
        <w:t xml:space="preserve"> delineando gli ecosistemi digitali</w:t>
      </w:r>
      <w:r w:rsidR="00851367">
        <w:rPr>
          <w:rFonts w:ascii="Times New Roman" w:hAnsi="Times New Roman" w:cs="Times New Roman"/>
          <w:sz w:val="28"/>
          <w:szCs w:val="28"/>
        </w:rPr>
        <w:t xml:space="preserve"> di internet</w:t>
      </w:r>
      <w:r>
        <w:rPr>
          <w:rFonts w:ascii="Times New Roman" w:hAnsi="Times New Roman" w:cs="Times New Roman"/>
          <w:sz w:val="28"/>
          <w:szCs w:val="28"/>
        </w:rPr>
        <w:t xml:space="preserve"> sulla base dell</w:t>
      </w:r>
      <w:r w:rsidR="00851367">
        <w:rPr>
          <w:rFonts w:ascii="Times New Roman" w:hAnsi="Times New Roman" w:cs="Times New Roman"/>
          <w:sz w:val="28"/>
          <w:szCs w:val="28"/>
        </w:rPr>
        <w:t xml:space="preserve">o </w:t>
      </w:r>
      <w:r w:rsidRPr="00851367">
        <w:rPr>
          <w:rFonts w:ascii="Times New Roman" w:hAnsi="Times New Roman" w:cs="Times New Roman"/>
          <w:i/>
          <w:iCs/>
          <w:sz w:val="28"/>
          <w:szCs w:val="28"/>
        </w:rPr>
        <w:t>Human centre</w:t>
      </w:r>
      <w:r>
        <w:rPr>
          <w:rFonts w:ascii="Times New Roman" w:hAnsi="Times New Roman" w:cs="Times New Roman"/>
          <w:sz w:val="28"/>
          <w:szCs w:val="28"/>
        </w:rPr>
        <w:t>, a</w:t>
      </w:r>
      <w:r w:rsidR="00851367">
        <w:rPr>
          <w:rFonts w:ascii="Times New Roman" w:hAnsi="Times New Roman" w:cs="Times New Roman"/>
          <w:sz w:val="28"/>
          <w:szCs w:val="28"/>
        </w:rPr>
        <w:t xml:space="preserve"> </w:t>
      </w:r>
      <w:proofErr w:type="spellStart"/>
      <w:r w:rsidRPr="00851367">
        <w:rPr>
          <w:rFonts w:ascii="Times New Roman" w:hAnsi="Times New Roman" w:cs="Times New Roman"/>
          <w:i/>
          <w:iCs/>
          <w:sz w:val="28"/>
          <w:szCs w:val="28"/>
        </w:rPr>
        <w:t>complex</w:t>
      </w:r>
      <w:proofErr w:type="spellEnd"/>
      <w:r w:rsidRPr="00851367">
        <w:rPr>
          <w:rFonts w:ascii="Times New Roman" w:hAnsi="Times New Roman" w:cs="Times New Roman"/>
          <w:i/>
          <w:iCs/>
          <w:sz w:val="28"/>
          <w:szCs w:val="28"/>
        </w:rPr>
        <w:t xml:space="preserve"> pattern of </w:t>
      </w:r>
      <w:proofErr w:type="spellStart"/>
      <w:r w:rsidRPr="00851367">
        <w:rPr>
          <w:rFonts w:ascii="Times New Roman" w:hAnsi="Times New Roman" w:cs="Times New Roman"/>
          <w:i/>
          <w:iCs/>
          <w:sz w:val="28"/>
          <w:szCs w:val="28"/>
        </w:rPr>
        <w:t>relationships</w:t>
      </w:r>
      <w:proofErr w:type="spellEnd"/>
      <w:r w:rsidR="00851367">
        <w:rPr>
          <w:rFonts w:ascii="Times New Roman" w:hAnsi="Times New Roman" w:cs="Times New Roman"/>
          <w:i/>
          <w:iCs/>
          <w:sz w:val="28"/>
          <w:szCs w:val="28"/>
        </w:rPr>
        <w:t xml:space="preserve">, </w:t>
      </w:r>
      <w:r w:rsidR="00851367" w:rsidRPr="00851367">
        <w:rPr>
          <w:rFonts w:ascii="Times New Roman" w:hAnsi="Times New Roman" w:cs="Times New Roman"/>
          <w:sz w:val="28"/>
          <w:szCs w:val="28"/>
        </w:rPr>
        <w:t>involgendo materie come ps</w:t>
      </w:r>
      <w:r w:rsidR="001D5C48">
        <w:rPr>
          <w:rFonts w:ascii="Times New Roman" w:hAnsi="Times New Roman" w:cs="Times New Roman"/>
          <w:sz w:val="28"/>
          <w:szCs w:val="28"/>
        </w:rPr>
        <w:t>i</w:t>
      </w:r>
      <w:r w:rsidR="00851367" w:rsidRPr="00851367">
        <w:rPr>
          <w:rFonts w:ascii="Times New Roman" w:hAnsi="Times New Roman" w:cs="Times New Roman"/>
          <w:sz w:val="28"/>
          <w:szCs w:val="28"/>
        </w:rPr>
        <w:t>cologia e sociologia</w:t>
      </w:r>
      <w:r w:rsidR="00851367">
        <w:rPr>
          <w:rFonts w:ascii="Times New Roman" w:hAnsi="Times New Roman" w:cs="Times New Roman"/>
          <w:sz w:val="28"/>
          <w:szCs w:val="28"/>
        </w:rPr>
        <w:t>, robotica e</w:t>
      </w:r>
      <w:r w:rsidR="009D774A">
        <w:rPr>
          <w:rFonts w:ascii="Times New Roman" w:hAnsi="Times New Roman" w:cs="Times New Roman"/>
          <w:sz w:val="28"/>
          <w:szCs w:val="28"/>
        </w:rPr>
        <w:t>d</w:t>
      </w:r>
      <w:r w:rsidR="00851367">
        <w:rPr>
          <w:rFonts w:ascii="Times New Roman" w:hAnsi="Times New Roman" w:cs="Times New Roman"/>
          <w:sz w:val="28"/>
          <w:szCs w:val="28"/>
        </w:rPr>
        <w:t xml:space="preserve"> economia.</w:t>
      </w:r>
      <w:r w:rsidR="00062584">
        <w:rPr>
          <w:rFonts w:ascii="Times New Roman" w:hAnsi="Times New Roman" w:cs="Times New Roman"/>
          <w:sz w:val="28"/>
          <w:szCs w:val="28"/>
        </w:rPr>
        <w:t xml:space="preserve"> </w:t>
      </w:r>
      <w:r w:rsidR="00062584" w:rsidRPr="00062584">
        <w:rPr>
          <w:rFonts w:ascii="Times New Roman" w:hAnsi="Times New Roman" w:cs="Times New Roman"/>
          <w:sz w:val="28"/>
          <w:szCs w:val="28"/>
        </w:rPr>
        <w:t xml:space="preserve">Meredith </w:t>
      </w:r>
      <w:proofErr w:type="spellStart"/>
      <w:r w:rsidR="00062584" w:rsidRPr="00062584">
        <w:rPr>
          <w:rFonts w:ascii="Times New Roman" w:hAnsi="Times New Roman" w:cs="Times New Roman"/>
          <w:sz w:val="28"/>
          <w:szCs w:val="28"/>
        </w:rPr>
        <w:t>Broussard</w:t>
      </w:r>
      <w:proofErr w:type="spellEnd"/>
      <w:r w:rsidR="00B41031">
        <w:rPr>
          <w:rFonts w:ascii="Times New Roman" w:hAnsi="Times New Roman" w:cs="Times New Roman"/>
          <w:sz w:val="28"/>
          <w:szCs w:val="28"/>
        </w:rPr>
        <w:t xml:space="preserve">, </w:t>
      </w:r>
      <w:r w:rsidR="00062584" w:rsidRPr="00062584">
        <w:rPr>
          <w:rFonts w:ascii="Times New Roman" w:hAnsi="Times New Roman" w:cs="Times New Roman"/>
          <w:sz w:val="28"/>
          <w:szCs w:val="28"/>
        </w:rPr>
        <w:t>professor</w:t>
      </w:r>
      <w:r w:rsidR="002C1BE2">
        <w:rPr>
          <w:rFonts w:ascii="Times New Roman" w:hAnsi="Times New Roman" w:cs="Times New Roman"/>
          <w:sz w:val="28"/>
          <w:szCs w:val="28"/>
        </w:rPr>
        <w:t>essa</w:t>
      </w:r>
      <w:r w:rsidR="00062584" w:rsidRPr="00062584">
        <w:rPr>
          <w:rFonts w:ascii="Times New Roman" w:hAnsi="Times New Roman" w:cs="Times New Roman"/>
          <w:sz w:val="28"/>
          <w:szCs w:val="28"/>
        </w:rPr>
        <w:t xml:space="preserve"> </w:t>
      </w:r>
      <w:r w:rsidR="002C1BE2">
        <w:rPr>
          <w:rFonts w:ascii="Times New Roman" w:hAnsi="Times New Roman" w:cs="Times New Roman"/>
          <w:sz w:val="28"/>
          <w:szCs w:val="28"/>
        </w:rPr>
        <w:t>di</w:t>
      </w:r>
      <w:r w:rsidR="00062584" w:rsidRPr="00062584">
        <w:rPr>
          <w:rFonts w:ascii="Times New Roman" w:hAnsi="Times New Roman" w:cs="Times New Roman"/>
          <w:sz w:val="28"/>
          <w:szCs w:val="28"/>
        </w:rPr>
        <w:t xml:space="preserve"> </w:t>
      </w:r>
      <w:proofErr w:type="spellStart"/>
      <w:r w:rsidR="00062584" w:rsidRPr="00062584">
        <w:rPr>
          <w:rFonts w:ascii="Times New Roman" w:hAnsi="Times New Roman" w:cs="Times New Roman"/>
          <w:sz w:val="28"/>
          <w:szCs w:val="28"/>
        </w:rPr>
        <w:t>Journalism</w:t>
      </w:r>
      <w:proofErr w:type="spellEnd"/>
      <w:r w:rsidR="00062584" w:rsidRPr="00062584">
        <w:rPr>
          <w:rFonts w:ascii="Times New Roman" w:hAnsi="Times New Roman" w:cs="Times New Roman"/>
          <w:sz w:val="28"/>
          <w:szCs w:val="28"/>
        </w:rPr>
        <w:t xml:space="preserve"> </w:t>
      </w:r>
      <w:r w:rsidR="00B01739">
        <w:rPr>
          <w:rFonts w:ascii="Times New Roman" w:hAnsi="Times New Roman" w:cs="Times New Roman"/>
          <w:sz w:val="28"/>
          <w:szCs w:val="28"/>
        </w:rPr>
        <w:t>presso la</w:t>
      </w:r>
      <w:r w:rsidR="00062584" w:rsidRPr="00062584">
        <w:rPr>
          <w:rFonts w:ascii="Times New Roman" w:hAnsi="Times New Roman" w:cs="Times New Roman"/>
          <w:sz w:val="28"/>
          <w:szCs w:val="28"/>
        </w:rPr>
        <w:t xml:space="preserve"> New</w:t>
      </w:r>
      <w:r w:rsidR="00B01739">
        <w:rPr>
          <w:rFonts w:ascii="Times New Roman" w:hAnsi="Times New Roman" w:cs="Times New Roman"/>
          <w:sz w:val="28"/>
          <w:szCs w:val="28"/>
        </w:rPr>
        <w:t xml:space="preserve"> </w:t>
      </w:r>
      <w:r w:rsidR="009D774A" w:rsidRPr="00062584">
        <w:rPr>
          <w:rFonts w:ascii="Times New Roman" w:hAnsi="Times New Roman" w:cs="Times New Roman"/>
          <w:sz w:val="28"/>
          <w:szCs w:val="28"/>
        </w:rPr>
        <w:t xml:space="preserve">York </w:t>
      </w:r>
      <w:proofErr w:type="spellStart"/>
      <w:r w:rsidR="009D774A" w:rsidRPr="00062584">
        <w:rPr>
          <w:rFonts w:ascii="Times New Roman" w:hAnsi="Times New Roman" w:cs="Times New Roman"/>
          <w:sz w:val="28"/>
          <w:szCs w:val="28"/>
        </w:rPr>
        <w:t>University</w:t>
      </w:r>
      <w:proofErr w:type="spellEnd"/>
      <w:r w:rsidR="00ED2866">
        <w:rPr>
          <w:rFonts w:ascii="Times New Roman" w:hAnsi="Times New Roman" w:cs="Times New Roman"/>
          <w:sz w:val="28"/>
          <w:szCs w:val="28"/>
        </w:rPr>
        <w:t xml:space="preserve">, autrice del libro </w:t>
      </w:r>
      <w:r w:rsidR="002C1BE2">
        <w:rPr>
          <w:rFonts w:ascii="Times New Roman" w:hAnsi="Times New Roman" w:cs="Times New Roman"/>
          <w:sz w:val="28"/>
          <w:szCs w:val="28"/>
        </w:rPr>
        <w:t>“</w:t>
      </w:r>
      <w:proofErr w:type="spellStart"/>
      <w:r w:rsidR="00ED2866" w:rsidRPr="00ED2866">
        <w:rPr>
          <w:rFonts w:ascii="Times New Roman" w:hAnsi="Times New Roman" w:cs="Times New Roman"/>
          <w:i/>
          <w:iCs/>
          <w:sz w:val="28"/>
          <w:szCs w:val="28"/>
        </w:rPr>
        <w:t>Artificial</w:t>
      </w:r>
      <w:proofErr w:type="spellEnd"/>
      <w:r w:rsidR="00ED2866" w:rsidRPr="00ED2866">
        <w:rPr>
          <w:rFonts w:ascii="Times New Roman" w:hAnsi="Times New Roman" w:cs="Times New Roman"/>
          <w:i/>
          <w:iCs/>
          <w:sz w:val="28"/>
          <w:szCs w:val="28"/>
        </w:rPr>
        <w:t xml:space="preserve"> </w:t>
      </w:r>
      <w:proofErr w:type="spellStart"/>
      <w:r w:rsidR="00ED2866" w:rsidRPr="00ED2866">
        <w:rPr>
          <w:rFonts w:ascii="Times New Roman" w:hAnsi="Times New Roman" w:cs="Times New Roman"/>
          <w:i/>
          <w:iCs/>
          <w:sz w:val="28"/>
          <w:szCs w:val="28"/>
        </w:rPr>
        <w:t>Unintelligence</w:t>
      </w:r>
      <w:proofErr w:type="spellEnd"/>
      <w:r w:rsidR="002C1BE2" w:rsidRPr="002C1BE2">
        <w:rPr>
          <w:rFonts w:ascii="Times New Roman" w:hAnsi="Times New Roman" w:cs="Times New Roman"/>
          <w:sz w:val="28"/>
          <w:szCs w:val="28"/>
        </w:rPr>
        <w:t>”</w:t>
      </w:r>
      <w:r w:rsidR="009D774A" w:rsidRPr="002C1BE2">
        <w:rPr>
          <w:rFonts w:ascii="Times New Roman" w:hAnsi="Times New Roman" w:cs="Times New Roman"/>
          <w:sz w:val="28"/>
          <w:szCs w:val="28"/>
        </w:rPr>
        <w:t xml:space="preserve">, </w:t>
      </w:r>
      <w:r w:rsidR="00062584" w:rsidRPr="00062584">
        <w:rPr>
          <w:rFonts w:ascii="Times New Roman" w:hAnsi="Times New Roman" w:cs="Times New Roman"/>
          <w:sz w:val="28"/>
          <w:szCs w:val="28"/>
        </w:rPr>
        <w:t>ha di recente coniato il termine “</w:t>
      </w:r>
      <w:proofErr w:type="spellStart"/>
      <w:r w:rsidR="00062584" w:rsidRPr="00062584">
        <w:rPr>
          <w:rFonts w:ascii="Times New Roman" w:hAnsi="Times New Roman" w:cs="Times New Roman"/>
          <w:i/>
          <w:iCs/>
          <w:sz w:val="28"/>
          <w:szCs w:val="28"/>
        </w:rPr>
        <w:t>Technoschauvinism</w:t>
      </w:r>
      <w:proofErr w:type="spellEnd"/>
      <w:r w:rsidR="00062584" w:rsidRPr="00062584">
        <w:rPr>
          <w:rFonts w:ascii="Times New Roman" w:hAnsi="Times New Roman" w:cs="Times New Roman"/>
          <w:sz w:val="28"/>
          <w:szCs w:val="28"/>
        </w:rPr>
        <w:t xml:space="preserve">”, ossia </w:t>
      </w:r>
      <w:r w:rsidR="00062584">
        <w:rPr>
          <w:rFonts w:ascii="Times New Roman" w:hAnsi="Times New Roman" w:cs="Times New Roman"/>
          <w:sz w:val="28"/>
          <w:szCs w:val="28"/>
        </w:rPr>
        <w:t>il concetto</w:t>
      </w:r>
      <w:r w:rsidR="00062584" w:rsidRPr="00062584">
        <w:rPr>
          <w:rFonts w:ascii="Times New Roman" w:hAnsi="Times New Roman" w:cs="Times New Roman"/>
          <w:sz w:val="28"/>
          <w:szCs w:val="28"/>
        </w:rPr>
        <w:t xml:space="preserve"> che c</w:t>
      </w:r>
      <w:r w:rsidR="00062584">
        <w:rPr>
          <w:rFonts w:ascii="Times New Roman" w:hAnsi="Times New Roman" w:cs="Times New Roman"/>
          <w:sz w:val="28"/>
          <w:szCs w:val="28"/>
        </w:rPr>
        <w:t xml:space="preserve">iò che è svolto dalla tecnologia rappresenti “il meglio possibile”. </w:t>
      </w:r>
      <w:r w:rsidR="00B41031">
        <w:rPr>
          <w:rFonts w:ascii="Times New Roman" w:hAnsi="Times New Roman" w:cs="Times New Roman"/>
          <w:sz w:val="28"/>
          <w:szCs w:val="28"/>
        </w:rPr>
        <w:t>Occorre, però</w:t>
      </w:r>
      <w:r w:rsidR="00062584">
        <w:rPr>
          <w:rFonts w:ascii="Times New Roman" w:hAnsi="Times New Roman" w:cs="Times New Roman"/>
          <w:sz w:val="28"/>
          <w:szCs w:val="28"/>
        </w:rPr>
        <w:t xml:space="preserve">, chiarire cosa si </w:t>
      </w:r>
      <w:r w:rsidR="00B41031">
        <w:rPr>
          <w:rFonts w:ascii="Times New Roman" w:hAnsi="Times New Roman" w:cs="Times New Roman"/>
          <w:sz w:val="28"/>
          <w:szCs w:val="28"/>
        </w:rPr>
        <w:t>intenda per</w:t>
      </w:r>
      <w:r w:rsidR="00062584">
        <w:rPr>
          <w:rFonts w:ascii="Times New Roman" w:hAnsi="Times New Roman" w:cs="Times New Roman"/>
          <w:sz w:val="28"/>
          <w:szCs w:val="28"/>
        </w:rPr>
        <w:t xml:space="preserve"> “meglio”.</w:t>
      </w:r>
    </w:p>
    <w:p w14:paraId="6E6713A2" w14:textId="77777777" w:rsidR="009F7B38" w:rsidRDefault="000D3A5C" w:rsidP="002C1BE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Abbiamo visto come l’algoritmo può diventare giudice, può diventare manager, può diventare assicuratore, può diventare operatore di borsa, può diventare medico. Occorre allora chieder</w:t>
      </w:r>
      <w:r w:rsidR="00980183">
        <w:rPr>
          <w:rFonts w:ascii="Times New Roman" w:hAnsi="Times New Roman" w:cs="Times New Roman"/>
          <w:sz w:val="28"/>
          <w:szCs w:val="28"/>
        </w:rPr>
        <w:t>si</w:t>
      </w:r>
      <w:r>
        <w:rPr>
          <w:rFonts w:ascii="Times New Roman" w:hAnsi="Times New Roman" w:cs="Times New Roman"/>
          <w:sz w:val="28"/>
          <w:szCs w:val="28"/>
        </w:rPr>
        <w:t xml:space="preserve"> se l’algoritmo sia un </w:t>
      </w:r>
      <w:proofErr w:type="spellStart"/>
      <w:r>
        <w:rPr>
          <w:rFonts w:ascii="Times New Roman" w:hAnsi="Times New Roman" w:cs="Times New Roman"/>
          <w:sz w:val="28"/>
          <w:szCs w:val="28"/>
        </w:rPr>
        <w:t>semioforo</w:t>
      </w:r>
      <w:proofErr w:type="spellEnd"/>
      <w:r>
        <w:rPr>
          <w:rFonts w:ascii="Times New Roman" w:hAnsi="Times New Roman" w:cs="Times New Roman"/>
          <w:sz w:val="28"/>
          <w:szCs w:val="28"/>
        </w:rPr>
        <w:t>, ossia l’oggetto visibile di un mondo invisibile che assume rilievo in relazione alla sua “</w:t>
      </w:r>
      <w:r w:rsidRPr="00B278EF">
        <w:rPr>
          <w:rFonts w:ascii="Times New Roman" w:hAnsi="Times New Roman" w:cs="Times New Roman"/>
          <w:i/>
          <w:iCs/>
          <w:sz w:val="28"/>
          <w:szCs w:val="28"/>
        </w:rPr>
        <w:t>funzione di</w:t>
      </w:r>
      <w:r>
        <w:rPr>
          <w:rFonts w:ascii="Times New Roman" w:hAnsi="Times New Roman" w:cs="Times New Roman"/>
          <w:sz w:val="28"/>
          <w:szCs w:val="28"/>
        </w:rPr>
        <w:t xml:space="preserve"> </w:t>
      </w:r>
      <w:r w:rsidRPr="00B278EF">
        <w:rPr>
          <w:rFonts w:ascii="Times New Roman" w:hAnsi="Times New Roman" w:cs="Times New Roman"/>
          <w:i/>
          <w:iCs/>
          <w:sz w:val="28"/>
          <w:szCs w:val="28"/>
        </w:rPr>
        <w:t>apprendimento continuo</w:t>
      </w:r>
      <w:r w:rsidRPr="002C1BE2">
        <w:rPr>
          <w:rFonts w:ascii="Times New Roman" w:hAnsi="Times New Roman" w:cs="Times New Roman"/>
          <w:sz w:val="28"/>
          <w:szCs w:val="28"/>
        </w:rPr>
        <w:t>”.</w:t>
      </w:r>
      <w:r>
        <w:rPr>
          <w:rFonts w:ascii="Times New Roman" w:hAnsi="Times New Roman" w:cs="Times New Roman"/>
          <w:sz w:val="28"/>
          <w:szCs w:val="28"/>
        </w:rPr>
        <w:t xml:space="preserve"> Ma se ragioniamo sulla derivazione etimologica di robot, dalla lingua ceca</w:t>
      </w:r>
      <w:r w:rsidR="00B41031">
        <w:rPr>
          <w:rFonts w:ascii="Times New Roman" w:hAnsi="Times New Roman" w:cs="Times New Roman"/>
          <w:sz w:val="28"/>
          <w:szCs w:val="28"/>
        </w:rPr>
        <w:t xml:space="preserve"> “</w:t>
      </w:r>
      <w:r w:rsidRPr="00B278EF">
        <w:rPr>
          <w:rFonts w:ascii="Times New Roman" w:hAnsi="Times New Roman" w:cs="Times New Roman"/>
          <w:i/>
          <w:iCs/>
          <w:sz w:val="28"/>
          <w:szCs w:val="28"/>
        </w:rPr>
        <w:t>lavoro forzato</w:t>
      </w:r>
      <w:r>
        <w:rPr>
          <w:rFonts w:ascii="Times New Roman" w:hAnsi="Times New Roman" w:cs="Times New Roman"/>
          <w:sz w:val="28"/>
          <w:szCs w:val="28"/>
        </w:rPr>
        <w:t xml:space="preserve">”, allora </w:t>
      </w:r>
      <w:r w:rsidR="00B278EF">
        <w:rPr>
          <w:rFonts w:ascii="Times New Roman" w:hAnsi="Times New Roman" w:cs="Times New Roman"/>
          <w:sz w:val="28"/>
          <w:szCs w:val="28"/>
        </w:rPr>
        <w:t>viene in rilievo la dinamica servo-padrone della “</w:t>
      </w:r>
      <w:r w:rsidR="00B957B4" w:rsidRPr="00B957B4">
        <w:rPr>
          <w:rFonts w:ascii="Times New Roman" w:hAnsi="Times New Roman" w:cs="Times New Roman"/>
          <w:i/>
          <w:iCs/>
          <w:sz w:val="28"/>
          <w:szCs w:val="28"/>
        </w:rPr>
        <w:t>F</w:t>
      </w:r>
      <w:r w:rsidR="00B278EF" w:rsidRPr="00B957B4">
        <w:rPr>
          <w:rFonts w:ascii="Times New Roman" w:hAnsi="Times New Roman" w:cs="Times New Roman"/>
          <w:i/>
          <w:iCs/>
          <w:sz w:val="28"/>
          <w:szCs w:val="28"/>
        </w:rPr>
        <w:t>enomenologia dello spirito</w:t>
      </w:r>
      <w:r w:rsidR="00B957B4">
        <w:rPr>
          <w:rFonts w:ascii="Times New Roman" w:hAnsi="Times New Roman" w:cs="Times New Roman"/>
          <w:sz w:val="28"/>
          <w:szCs w:val="28"/>
        </w:rPr>
        <w:t>”</w:t>
      </w:r>
      <w:r w:rsidR="00B278EF">
        <w:rPr>
          <w:rFonts w:ascii="Times New Roman" w:hAnsi="Times New Roman" w:cs="Times New Roman"/>
          <w:sz w:val="28"/>
          <w:szCs w:val="28"/>
        </w:rPr>
        <w:t xml:space="preserve"> di </w:t>
      </w:r>
      <w:proofErr w:type="spellStart"/>
      <w:r w:rsidR="00B278EF">
        <w:rPr>
          <w:rFonts w:ascii="Times New Roman" w:hAnsi="Times New Roman" w:cs="Times New Roman"/>
          <w:sz w:val="28"/>
          <w:szCs w:val="28"/>
        </w:rPr>
        <w:t>Hegel</w:t>
      </w:r>
      <w:proofErr w:type="spellEnd"/>
      <w:r w:rsidR="00B278EF">
        <w:rPr>
          <w:rFonts w:ascii="Times New Roman" w:hAnsi="Times New Roman" w:cs="Times New Roman"/>
          <w:sz w:val="28"/>
          <w:szCs w:val="28"/>
        </w:rPr>
        <w:t>.</w:t>
      </w:r>
      <w:r w:rsidR="00B41031">
        <w:rPr>
          <w:rFonts w:ascii="Times New Roman" w:hAnsi="Times New Roman" w:cs="Times New Roman"/>
          <w:sz w:val="28"/>
          <w:szCs w:val="28"/>
        </w:rPr>
        <w:t xml:space="preserve"> </w:t>
      </w:r>
    </w:p>
    <w:p w14:paraId="200BB53A" w14:textId="77777777" w:rsidR="00880B0F" w:rsidRDefault="00B278EF" w:rsidP="002C1BE2">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L’algoritmo è divenuto il nuovo padrone dell’uomo: si pensi al caso dei lavoratori della </w:t>
      </w:r>
      <w:r w:rsidRPr="002C1BE2">
        <w:rPr>
          <w:rFonts w:ascii="Times New Roman" w:hAnsi="Times New Roman" w:cs="Times New Roman"/>
          <w:i/>
          <w:iCs/>
          <w:sz w:val="28"/>
          <w:szCs w:val="28"/>
        </w:rPr>
        <w:t xml:space="preserve">Delivery </w:t>
      </w:r>
      <w:proofErr w:type="spellStart"/>
      <w:r w:rsidRPr="002C1BE2">
        <w:rPr>
          <w:rFonts w:ascii="Times New Roman" w:hAnsi="Times New Roman" w:cs="Times New Roman"/>
          <w:i/>
          <w:iCs/>
          <w:sz w:val="28"/>
          <w:szCs w:val="28"/>
        </w:rPr>
        <w:t>foo</w:t>
      </w:r>
      <w:r w:rsidR="003D4619" w:rsidRPr="002C1BE2">
        <w:rPr>
          <w:rFonts w:ascii="Times New Roman" w:hAnsi="Times New Roman" w:cs="Times New Roman"/>
          <w:i/>
          <w:iCs/>
          <w:sz w:val="28"/>
          <w:szCs w:val="28"/>
        </w:rPr>
        <w:t>d</w:t>
      </w:r>
      <w:proofErr w:type="spellEnd"/>
      <w:r w:rsidR="00E4381B">
        <w:rPr>
          <w:rStyle w:val="Rimandonotaapidipagina"/>
          <w:rFonts w:ascii="Times New Roman" w:hAnsi="Times New Roman" w:cs="Times New Roman"/>
          <w:sz w:val="28"/>
          <w:szCs w:val="28"/>
        </w:rPr>
        <w:footnoteReference w:id="88"/>
      </w:r>
      <w:r w:rsidR="00880B0F">
        <w:rPr>
          <w:rFonts w:ascii="Times New Roman" w:hAnsi="Times New Roman" w:cs="Times New Roman"/>
          <w:i/>
          <w:iCs/>
          <w:sz w:val="28"/>
          <w:szCs w:val="28"/>
        </w:rPr>
        <w:t>.</w:t>
      </w:r>
    </w:p>
    <w:p w14:paraId="46A3D464" w14:textId="3BE76E15" w:rsidR="002C1BE2" w:rsidRDefault="00880B0F" w:rsidP="002C1BE2">
      <w:pPr>
        <w:tabs>
          <w:tab w:val="left" w:pos="8364"/>
        </w:tabs>
        <w:spacing w:after="0"/>
        <w:jc w:val="both"/>
        <w:rPr>
          <w:rFonts w:ascii="Times New Roman" w:hAnsi="Times New Roman" w:cs="Times New Roman"/>
          <w:sz w:val="28"/>
          <w:szCs w:val="28"/>
        </w:rPr>
      </w:pPr>
      <w:r w:rsidRPr="00880B0F">
        <w:rPr>
          <w:rFonts w:ascii="Times New Roman" w:hAnsi="Times New Roman" w:cs="Times New Roman"/>
          <w:sz w:val="28"/>
          <w:szCs w:val="28"/>
        </w:rPr>
        <w:lastRenderedPageBreak/>
        <w:t>I “</w:t>
      </w:r>
      <w:proofErr w:type="spellStart"/>
      <w:r>
        <w:rPr>
          <w:rFonts w:ascii="Times New Roman" w:hAnsi="Times New Roman" w:cs="Times New Roman"/>
          <w:i/>
          <w:iCs/>
          <w:sz w:val="28"/>
          <w:szCs w:val="28"/>
        </w:rPr>
        <w:t>Riders</w:t>
      </w:r>
      <w:proofErr w:type="spellEnd"/>
      <w:r w:rsidRPr="00880B0F">
        <w:rPr>
          <w:rFonts w:ascii="Times New Roman" w:hAnsi="Times New Roman" w:cs="Times New Roman"/>
          <w:sz w:val="28"/>
          <w:szCs w:val="28"/>
        </w:rPr>
        <w:t>” sono</w:t>
      </w:r>
      <w:r>
        <w:rPr>
          <w:rFonts w:ascii="Times New Roman" w:hAnsi="Times New Roman" w:cs="Times New Roman"/>
          <w:i/>
          <w:iCs/>
          <w:sz w:val="28"/>
          <w:szCs w:val="28"/>
        </w:rPr>
        <w:t xml:space="preserve"> </w:t>
      </w:r>
      <w:r>
        <w:rPr>
          <w:rFonts w:ascii="Times New Roman" w:hAnsi="Times New Roman" w:cs="Times New Roman"/>
          <w:sz w:val="28"/>
          <w:szCs w:val="28"/>
        </w:rPr>
        <w:t>s</w:t>
      </w:r>
      <w:r w:rsidR="00B278EF">
        <w:rPr>
          <w:rFonts w:ascii="Times New Roman" w:hAnsi="Times New Roman" w:cs="Times New Roman"/>
          <w:sz w:val="28"/>
          <w:szCs w:val="28"/>
        </w:rPr>
        <w:t>chiavi di un algoritmo</w:t>
      </w:r>
      <w:r w:rsidR="003D4619">
        <w:rPr>
          <w:rFonts w:ascii="Times New Roman" w:hAnsi="Times New Roman" w:cs="Times New Roman"/>
          <w:sz w:val="28"/>
          <w:szCs w:val="28"/>
        </w:rPr>
        <w:t xml:space="preserve"> che non rispetta il diritto alla disconnessione e al</w:t>
      </w:r>
      <w:r w:rsidR="00E4381B">
        <w:rPr>
          <w:rFonts w:ascii="Times New Roman" w:hAnsi="Times New Roman" w:cs="Times New Roman"/>
          <w:sz w:val="28"/>
          <w:szCs w:val="28"/>
        </w:rPr>
        <w:t>la</w:t>
      </w:r>
      <w:r w:rsidR="003D4619">
        <w:rPr>
          <w:rFonts w:ascii="Times New Roman" w:hAnsi="Times New Roman" w:cs="Times New Roman"/>
          <w:sz w:val="28"/>
          <w:szCs w:val="28"/>
        </w:rPr>
        <w:t xml:space="preserve"> non sorveglianza continua della prestazione lavorativa</w:t>
      </w:r>
      <w:r w:rsidR="0026078B">
        <w:rPr>
          <w:rStyle w:val="Rimandonotaapidipagina"/>
          <w:rFonts w:ascii="Times New Roman" w:hAnsi="Times New Roman" w:cs="Times New Roman"/>
          <w:sz w:val="28"/>
          <w:szCs w:val="28"/>
        </w:rPr>
        <w:footnoteReference w:id="89"/>
      </w:r>
      <w:r w:rsidR="003D4619">
        <w:rPr>
          <w:rFonts w:ascii="Times New Roman" w:hAnsi="Times New Roman" w:cs="Times New Roman"/>
          <w:sz w:val="28"/>
          <w:szCs w:val="28"/>
        </w:rPr>
        <w:t xml:space="preserve">. </w:t>
      </w:r>
    </w:p>
    <w:p w14:paraId="26E703C8" w14:textId="77777777" w:rsidR="003349C0" w:rsidRDefault="003D4619" w:rsidP="002C1BE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Viene in mente il libro del </w:t>
      </w:r>
      <w:r w:rsidR="0047291E">
        <w:rPr>
          <w:rFonts w:ascii="Times New Roman" w:hAnsi="Times New Roman" w:cs="Times New Roman"/>
          <w:sz w:val="28"/>
          <w:szCs w:val="28"/>
        </w:rPr>
        <w:t>P</w:t>
      </w:r>
      <w:r>
        <w:rPr>
          <w:rFonts w:ascii="Times New Roman" w:hAnsi="Times New Roman" w:cs="Times New Roman"/>
          <w:sz w:val="28"/>
          <w:szCs w:val="28"/>
        </w:rPr>
        <w:t>rof</w:t>
      </w:r>
      <w:r w:rsidR="0047291E">
        <w:rPr>
          <w:rFonts w:ascii="Times New Roman" w:hAnsi="Times New Roman" w:cs="Times New Roman"/>
          <w:sz w:val="28"/>
          <w:szCs w:val="28"/>
        </w:rPr>
        <w:t>essore</w:t>
      </w:r>
      <w:r w:rsidR="00B41031">
        <w:rPr>
          <w:rFonts w:ascii="Times New Roman" w:hAnsi="Times New Roman" w:cs="Times New Roman"/>
          <w:sz w:val="28"/>
          <w:szCs w:val="28"/>
        </w:rPr>
        <w:t xml:space="preserve"> Marco </w:t>
      </w:r>
      <w:proofErr w:type="spellStart"/>
      <w:r w:rsidR="00B41031">
        <w:rPr>
          <w:rFonts w:ascii="Times New Roman" w:hAnsi="Times New Roman" w:cs="Times New Roman"/>
          <w:sz w:val="28"/>
          <w:szCs w:val="28"/>
        </w:rPr>
        <w:t>Revelli</w:t>
      </w:r>
      <w:proofErr w:type="spellEnd"/>
      <w:r>
        <w:rPr>
          <w:rFonts w:ascii="Times New Roman" w:hAnsi="Times New Roman" w:cs="Times New Roman"/>
          <w:sz w:val="28"/>
          <w:szCs w:val="28"/>
        </w:rPr>
        <w:t xml:space="preserve"> “</w:t>
      </w:r>
      <w:r w:rsidRPr="00B41031">
        <w:rPr>
          <w:rFonts w:ascii="Times New Roman" w:hAnsi="Times New Roman" w:cs="Times New Roman"/>
          <w:i/>
          <w:iCs/>
          <w:sz w:val="28"/>
          <w:szCs w:val="28"/>
        </w:rPr>
        <w:t xml:space="preserve">Umano, inumano e </w:t>
      </w:r>
      <w:proofErr w:type="spellStart"/>
      <w:r w:rsidRPr="00B41031">
        <w:rPr>
          <w:rFonts w:ascii="Times New Roman" w:hAnsi="Times New Roman" w:cs="Times New Roman"/>
          <w:i/>
          <w:iCs/>
          <w:sz w:val="28"/>
          <w:szCs w:val="28"/>
        </w:rPr>
        <w:t>postumano</w:t>
      </w:r>
      <w:proofErr w:type="spellEnd"/>
      <w:r>
        <w:rPr>
          <w:rFonts w:ascii="Times New Roman" w:hAnsi="Times New Roman" w:cs="Times New Roman"/>
          <w:sz w:val="28"/>
          <w:szCs w:val="28"/>
        </w:rPr>
        <w:t>”</w:t>
      </w:r>
      <w:r w:rsidR="00B41031">
        <w:rPr>
          <w:rFonts w:ascii="Times New Roman" w:hAnsi="Times New Roman" w:cs="Times New Roman"/>
          <w:sz w:val="28"/>
          <w:szCs w:val="28"/>
        </w:rPr>
        <w:t xml:space="preserve"> </w:t>
      </w:r>
      <w:r>
        <w:rPr>
          <w:rFonts w:ascii="Times New Roman" w:hAnsi="Times New Roman" w:cs="Times New Roman"/>
          <w:sz w:val="28"/>
          <w:szCs w:val="28"/>
        </w:rPr>
        <w:t>(2020)</w:t>
      </w:r>
      <w:r w:rsidR="00B41031">
        <w:rPr>
          <w:rFonts w:ascii="Times New Roman" w:hAnsi="Times New Roman" w:cs="Times New Roman"/>
          <w:sz w:val="28"/>
          <w:szCs w:val="28"/>
        </w:rPr>
        <w:t>. M</w:t>
      </w:r>
      <w:r>
        <w:rPr>
          <w:rFonts w:ascii="Times New Roman" w:hAnsi="Times New Roman" w:cs="Times New Roman"/>
          <w:sz w:val="28"/>
          <w:szCs w:val="28"/>
        </w:rPr>
        <w:t xml:space="preserve">a cosa è </w:t>
      </w:r>
      <w:r w:rsidRPr="00F76B0C">
        <w:rPr>
          <w:rFonts w:ascii="Times New Roman" w:hAnsi="Times New Roman" w:cs="Times New Roman"/>
          <w:sz w:val="28"/>
          <w:szCs w:val="28"/>
        </w:rPr>
        <w:t>l’</w:t>
      </w:r>
      <w:proofErr w:type="spellStart"/>
      <w:r w:rsidRPr="00F76B0C">
        <w:rPr>
          <w:rFonts w:ascii="Times New Roman" w:hAnsi="Times New Roman" w:cs="Times New Roman"/>
          <w:i/>
          <w:iCs/>
          <w:sz w:val="28"/>
          <w:szCs w:val="28"/>
        </w:rPr>
        <w:t>humanitas</w:t>
      </w:r>
      <w:proofErr w:type="spellEnd"/>
      <w:r>
        <w:rPr>
          <w:rFonts w:ascii="Times New Roman" w:hAnsi="Times New Roman" w:cs="Times New Roman"/>
          <w:sz w:val="28"/>
          <w:szCs w:val="28"/>
        </w:rPr>
        <w:t>? L’</w:t>
      </w:r>
      <w:proofErr w:type="spellStart"/>
      <w:r w:rsidRPr="00F76B0C">
        <w:rPr>
          <w:rFonts w:ascii="Times New Roman" w:hAnsi="Times New Roman" w:cs="Times New Roman"/>
          <w:i/>
          <w:iCs/>
          <w:sz w:val="28"/>
          <w:szCs w:val="28"/>
        </w:rPr>
        <w:t>humanitas</w:t>
      </w:r>
      <w:proofErr w:type="spellEnd"/>
      <w:r>
        <w:rPr>
          <w:rFonts w:ascii="Times New Roman" w:hAnsi="Times New Roman" w:cs="Times New Roman"/>
          <w:sz w:val="28"/>
          <w:szCs w:val="28"/>
        </w:rPr>
        <w:t xml:space="preserve"> è la capacità di vedere </w:t>
      </w:r>
      <w:proofErr w:type="gramStart"/>
      <w:r>
        <w:rPr>
          <w:rFonts w:ascii="Times New Roman" w:hAnsi="Times New Roman" w:cs="Times New Roman"/>
          <w:sz w:val="28"/>
          <w:szCs w:val="28"/>
        </w:rPr>
        <w:t>nell’altro</w:t>
      </w:r>
      <w:r w:rsidR="00B41031">
        <w:rPr>
          <w:rFonts w:ascii="Times New Roman" w:hAnsi="Times New Roman" w:cs="Times New Roman"/>
          <w:sz w:val="28"/>
          <w:szCs w:val="28"/>
        </w:rPr>
        <w:t xml:space="preserve"> </w:t>
      </w:r>
      <w:r>
        <w:rPr>
          <w:rFonts w:ascii="Times New Roman" w:hAnsi="Times New Roman" w:cs="Times New Roman"/>
          <w:sz w:val="28"/>
          <w:szCs w:val="28"/>
        </w:rPr>
        <w:t>tracce</w:t>
      </w:r>
      <w:proofErr w:type="gramEnd"/>
      <w:r>
        <w:rPr>
          <w:rFonts w:ascii="Times New Roman" w:hAnsi="Times New Roman" w:cs="Times New Roman"/>
          <w:sz w:val="28"/>
          <w:szCs w:val="28"/>
        </w:rPr>
        <w:t xml:space="preserve"> di se stesso. Tale termine risale a Cicerone, per il quale </w:t>
      </w:r>
      <w:proofErr w:type="spellStart"/>
      <w:r w:rsidRPr="00B41031">
        <w:rPr>
          <w:rFonts w:ascii="Times New Roman" w:hAnsi="Times New Roman" w:cs="Times New Roman"/>
          <w:i/>
          <w:iCs/>
          <w:sz w:val="28"/>
          <w:szCs w:val="28"/>
        </w:rPr>
        <w:t>humanus</w:t>
      </w:r>
      <w:proofErr w:type="spellEnd"/>
      <w:r>
        <w:rPr>
          <w:rFonts w:ascii="Times New Roman" w:hAnsi="Times New Roman" w:cs="Times New Roman"/>
          <w:sz w:val="28"/>
          <w:szCs w:val="28"/>
        </w:rPr>
        <w:t xml:space="preserve"> è l’uomo </w:t>
      </w:r>
      <w:proofErr w:type="spellStart"/>
      <w:r w:rsidRPr="00B41031">
        <w:rPr>
          <w:rFonts w:ascii="Times New Roman" w:hAnsi="Times New Roman" w:cs="Times New Roman"/>
          <w:i/>
          <w:iCs/>
          <w:sz w:val="28"/>
          <w:szCs w:val="28"/>
        </w:rPr>
        <w:t>politicus</w:t>
      </w:r>
      <w:proofErr w:type="spellEnd"/>
      <w:r>
        <w:rPr>
          <w:rFonts w:ascii="Times New Roman" w:hAnsi="Times New Roman" w:cs="Times New Roman"/>
          <w:sz w:val="28"/>
          <w:szCs w:val="28"/>
        </w:rPr>
        <w:t xml:space="preserve"> che ha dignità: </w:t>
      </w:r>
      <w:proofErr w:type="spellStart"/>
      <w:r w:rsidRPr="00AA6C13">
        <w:rPr>
          <w:rFonts w:ascii="Times New Roman" w:hAnsi="Times New Roman" w:cs="Times New Roman"/>
          <w:i/>
          <w:iCs/>
          <w:sz w:val="28"/>
          <w:szCs w:val="28"/>
        </w:rPr>
        <w:t>recte</w:t>
      </w:r>
      <w:proofErr w:type="spellEnd"/>
      <w:r w:rsidRPr="00AA6C13">
        <w:rPr>
          <w:rFonts w:ascii="Times New Roman" w:hAnsi="Times New Roman" w:cs="Times New Roman"/>
          <w:i/>
          <w:iCs/>
          <w:sz w:val="28"/>
          <w:szCs w:val="28"/>
        </w:rPr>
        <w:t xml:space="preserve"> </w:t>
      </w:r>
      <w:proofErr w:type="spellStart"/>
      <w:r w:rsidRPr="00AA6C13">
        <w:rPr>
          <w:rFonts w:ascii="Times New Roman" w:hAnsi="Times New Roman" w:cs="Times New Roman"/>
          <w:i/>
          <w:iCs/>
          <w:sz w:val="28"/>
          <w:szCs w:val="28"/>
        </w:rPr>
        <w:t>loqui</w:t>
      </w:r>
      <w:proofErr w:type="spellEnd"/>
      <w:r w:rsidR="003349C0">
        <w:rPr>
          <w:rFonts w:ascii="Times New Roman" w:hAnsi="Times New Roman" w:cs="Times New Roman"/>
          <w:i/>
          <w:iCs/>
          <w:sz w:val="28"/>
          <w:szCs w:val="28"/>
        </w:rPr>
        <w:t>,</w:t>
      </w:r>
      <w:r w:rsidRPr="00AA6C13">
        <w:rPr>
          <w:rFonts w:ascii="Times New Roman" w:hAnsi="Times New Roman" w:cs="Times New Roman"/>
          <w:i/>
          <w:iCs/>
          <w:sz w:val="28"/>
          <w:szCs w:val="28"/>
        </w:rPr>
        <w:t xml:space="preserve"> </w:t>
      </w:r>
      <w:proofErr w:type="spellStart"/>
      <w:r w:rsidRPr="00AA6C13">
        <w:rPr>
          <w:rFonts w:ascii="Times New Roman" w:hAnsi="Times New Roman" w:cs="Times New Roman"/>
          <w:i/>
          <w:iCs/>
          <w:sz w:val="28"/>
          <w:szCs w:val="28"/>
        </w:rPr>
        <w:t>honeste</w:t>
      </w:r>
      <w:proofErr w:type="spellEnd"/>
      <w:r w:rsidRPr="00AA6C13">
        <w:rPr>
          <w:rFonts w:ascii="Times New Roman" w:hAnsi="Times New Roman" w:cs="Times New Roman"/>
          <w:i/>
          <w:iCs/>
          <w:sz w:val="28"/>
          <w:szCs w:val="28"/>
        </w:rPr>
        <w:t xml:space="preserve"> vivere</w:t>
      </w:r>
      <w:r>
        <w:rPr>
          <w:rFonts w:ascii="Times New Roman" w:hAnsi="Times New Roman" w:cs="Times New Roman"/>
          <w:sz w:val="28"/>
          <w:szCs w:val="28"/>
        </w:rPr>
        <w:t xml:space="preserve">. Terenzio diceva </w:t>
      </w:r>
      <w:r w:rsidRPr="003D4619">
        <w:rPr>
          <w:rFonts w:ascii="Times New Roman" w:hAnsi="Times New Roman" w:cs="Times New Roman"/>
          <w:i/>
          <w:iCs/>
          <w:sz w:val="28"/>
          <w:szCs w:val="28"/>
        </w:rPr>
        <w:t>homo sum</w:t>
      </w:r>
      <w:r>
        <w:rPr>
          <w:rFonts w:ascii="Times New Roman" w:hAnsi="Times New Roman" w:cs="Times New Roman"/>
          <w:sz w:val="28"/>
          <w:szCs w:val="28"/>
        </w:rPr>
        <w:t xml:space="preserve"> e nulla di ciò che è umano mi è estraneo. </w:t>
      </w:r>
    </w:p>
    <w:p w14:paraId="29DFE568" w14:textId="77777777" w:rsidR="003349C0" w:rsidRDefault="003D4619" w:rsidP="002C1BE2">
      <w:pPr>
        <w:tabs>
          <w:tab w:val="left" w:pos="8364"/>
        </w:tabs>
        <w:spacing w:after="0"/>
        <w:jc w:val="both"/>
        <w:rPr>
          <w:rFonts w:ascii="Times New Roman" w:hAnsi="Times New Roman" w:cs="Times New Roman"/>
          <w:sz w:val="28"/>
          <w:szCs w:val="28"/>
        </w:rPr>
      </w:pPr>
      <w:proofErr w:type="spellStart"/>
      <w:r w:rsidRPr="0023551F">
        <w:rPr>
          <w:rFonts w:ascii="Times New Roman" w:hAnsi="Times New Roman" w:cs="Times New Roman"/>
          <w:i/>
          <w:iCs/>
          <w:sz w:val="28"/>
          <w:szCs w:val="28"/>
        </w:rPr>
        <w:t>Humanitas</w:t>
      </w:r>
      <w:proofErr w:type="spellEnd"/>
      <w:r>
        <w:rPr>
          <w:rFonts w:ascii="Times New Roman" w:hAnsi="Times New Roman" w:cs="Times New Roman"/>
          <w:sz w:val="28"/>
          <w:szCs w:val="28"/>
        </w:rPr>
        <w:t xml:space="preserve"> è comunanza consapevole sviluppatasi poi nel cristianesimo, la </w:t>
      </w:r>
      <w:proofErr w:type="spellStart"/>
      <w:r w:rsidRPr="0023551F">
        <w:rPr>
          <w:rFonts w:ascii="Times New Roman" w:hAnsi="Times New Roman" w:cs="Times New Roman"/>
          <w:i/>
          <w:iCs/>
          <w:sz w:val="28"/>
          <w:szCs w:val="28"/>
        </w:rPr>
        <w:t>paideia</w:t>
      </w:r>
      <w:proofErr w:type="spellEnd"/>
      <w:r w:rsidRPr="0023551F">
        <w:rPr>
          <w:rFonts w:ascii="Times New Roman" w:hAnsi="Times New Roman" w:cs="Times New Roman"/>
          <w:i/>
          <w:iCs/>
          <w:sz w:val="28"/>
          <w:szCs w:val="28"/>
        </w:rPr>
        <w:t xml:space="preserve"> </w:t>
      </w:r>
      <w:r>
        <w:rPr>
          <w:rFonts w:ascii="Times New Roman" w:hAnsi="Times New Roman" w:cs="Times New Roman"/>
          <w:sz w:val="28"/>
          <w:szCs w:val="28"/>
        </w:rPr>
        <w:t>è applicazione dell’</w:t>
      </w:r>
      <w:proofErr w:type="spellStart"/>
      <w:r w:rsidRPr="0023551F">
        <w:rPr>
          <w:rFonts w:ascii="Times New Roman" w:hAnsi="Times New Roman" w:cs="Times New Roman"/>
          <w:i/>
          <w:iCs/>
          <w:sz w:val="28"/>
          <w:szCs w:val="28"/>
        </w:rPr>
        <w:t>humanitas</w:t>
      </w:r>
      <w:proofErr w:type="spellEnd"/>
      <w:r>
        <w:rPr>
          <w:rFonts w:ascii="Times New Roman" w:hAnsi="Times New Roman" w:cs="Times New Roman"/>
          <w:sz w:val="28"/>
          <w:szCs w:val="28"/>
        </w:rPr>
        <w:t xml:space="preserve">. Oggi si parla di </w:t>
      </w:r>
      <w:proofErr w:type="spellStart"/>
      <w:r w:rsidRPr="0023551F">
        <w:rPr>
          <w:rFonts w:ascii="Times New Roman" w:hAnsi="Times New Roman" w:cs="Times New Roman"/>
          <w:i/>
          <w:iCs/>
          <w:sz w:val="28"/>
          <w:szCs w:val="28"/>
        </w:rPr>
        <w:t>paideia</w:t>
      </w:r>
      <w:proofErr w:type="spellEnd"/>
      <w:r w:rsidRPr="0023551F">
        <w:rPr>
          <w:rFonts w:ascii="Times New Roman" w:hAnsi="Times New Roman" w:cs="Times New Roman"/>
          <w:i/>
          <w:iCs/>
          <w:sz w:val="28"/>
          <w:szCs w:val="28"/>
        </w:rPr>
        <w:t xml:space="preserve"> digitale</w:t>
      </w:r>
      <w:r>
        <w:rPr>
          <w:rFonts w:ascii="Times New Roman" w:hAnsi="Times New Roman" w:cs="Times New Roman"/>
          <w:sz w:val="28"/>
          <w:szCs w:val="28"/>
        </w:rPr>
        <w:t xml:space="preserve"> ed appare attualissimo l’invito di Rousseau</w:t>
      </w:r>
      <w:r w:rsidR="00B41031">
        <w:rPr>
          <w:rFonts w:ascii="Times New Roman" w:hAnsi="Times New Roman" w:cs="Times New Roman"/>
          <w:sz w:val="28"/>
          <w:szCs w:val="28"/>
        </w:rPr>
        <w:t>: “</w:t>
      </w:r>
      <w:r w:rsidRPr="00D244FC">
        <w:rPr>
          <w:rFonts w:ascii="Times New Roman" w:hAnsi="Times New Roman" w:cs="Times New Roman"/>
          <w:i/>
          <w:iCs/>
          <w:sz w:val="28"/>
          <w:szCs w:val="28"/>
        </w:rPr>
        <w:t>Uomini, siate umani</w:t>
      </w:r>
      <w:r>
        <w:rPr>
          <w:rFonts w:ascii="Times New Roman" w:hAnsi="Times New Roman" w:cs="Times New Roman"/>
          <w:sz w:val="28"/>
          <w:szCs w:val="28"/>
        </w:rPr>
        <w:t xml:space="preserve">”. </w:t>
      </w:r>
    </w:p>
    <w:p w14:paraId="67D3ED15" w14:textId="77777777" w:rsidR="003349C0" w:rsidRDefault="003D4619" w:rsidP="002C1BE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Si può parlare</w:t>
      </w:r>
      <w:r w:rsidR="00AB3CB3">
        <w:rPr>
          <w:rFonts w:ascii="Times New Roman" w:hAnsi="Times New Roman" w:cs="Times New Roman"/>
          <w:sz w:val="28"/>
          <w:szCs w:val="28"/>
        </w:rPr>
        <w:t xml:space="preserve"> oggi </w:t>
      </w:r>
      <w:r>
        <w:rPr>
          <w:rFonts w:ascii="Times New Roman" w:hAnsi="Times New Roman" w:cs="Times New Roman"/>
          <w:sz w:val="28"/>
          <w:szCs w:val="28"/>
        </w:rPr>
        <w:t xml:space="preserve">di </w:t>
      </w:r>
      <w:r w:rsidRPr="00AB3CB3">
        <w:rPr>
          <w:rFonts w:ascii="Times New Roman" w:hAnsi="Times New Roman" w:cs="Times New Roman"/>
          <w:i/>
          <w:iCs/>
          <w:sz w:val="28"/>
          <w:szCs w:val="28"/>
        </w:rPr>
        <w:t xml:space="preserve">Digital </w:t>
      </w:r>
      <w:proofErr w:type="spellStart"/>
      <w:r w:rsidRPr="00AB3CB3">
        <w:rPr>
          <w:rFonts w:ascii="Times New Roman" w:hAnsi="Times New Roman" w:cs="Times New Roman"/>
          <w:i/>
          <w:iCs/>
          <w:sz w:val="28"/>
          <w:szCs w:val="28"/>
        </w:rPr>
        <w:t>Humanist</w:t>
      </w:r>
      <w:proofErr w:type="spellEnd"/>
      <w:r>
        <w:rPr>
          <w:rFonts w:ascii="Times New Roman" w:hAnsi="Times New Roman" w:cs="Times New Roman"/>
          <w:sz w:val="28"/>
          <w:szCs w:val="28"/>
        </w:rPr>
        <w:t xml:space="preserve">? </w:t>
      </w:r>
      <w:r w:rsidR="00D244FC">
        <w:rPr>
          <w:rFonts w:ascii="Times New Roman" w:hAnsi="Times New Roman" w:cs="Times New Roman"/>
          <w:sz w:val="28"/>
          <w:szCs w:val="28"/>
        </w:rPr>
        <w:t xml:space="preserve">La </w:t>
      </w:r>
      <w:r w:rsidR="003349C0">
        <w:rPr>
          <w:rFonts w:ascii="Times New Roman" w:hAnsi="Times New Roman" w:cs="Times New Roman"/>
          <w:sz w:val="28"/>
          <w:szCs w:val="28"/>
        </w:rPr>
        <w:t>P</w:t>
      </w:r>
      <w:r w:rsidR="00D244FC">
        <w:rPr>
          <w:rFonts w:ascii="Times New Roman" w:hAnsi="Times New Roman" w:cs="Times New Roman"/>
          <w:sz w:val="28"/>
          <w:szCs w:val="28"/>
        </w:rPr>
        <w:t>rof</w:t>
      </w:r>
      <w:r w:rsidR="003349C0">
        <w:rPr>
          <w:rFonts w:ascii="Times New Roman" w:hAnsi="Times New Roman" w:cs="Times New Roman"/>
          <w:sz w:val="28"/>
          <w:szCs w:val="28"/>
        </w:rPr>
        <w:t>essoressa</w:t>
      </w:r>
      <w:r w:rsidR="00B41031">
        <w:rPr>
          <w:rFonts w:ascii="Times New Roman" w:hAnsi="Times New Roman" w:cs="Times New Roman"/>
          <w:sz w:val="28"/>
          <w:szCs w:val="28"/>
        </w:rPr>
        <w:t xml:space="preserve"> </w:t>
      </w:r>
      <w:proofErr w:type="spellStart"/>
      <w:r w:rsidR="00D244FC">
        <w:rPr>
          <w:rFonts w:ascii="Times New Roman" w:hAnsi="Times New Roman" w:cs="Times New Roman"/>
          <w:sz w:val="28"/>
          <w:szCs w:val="28"/>
        </w:rPr>
        <w:t>Velardi</w:t>
      </w:r>
      <w:proofErr w:type="spellEnd"/>
      <w:r w:rsidR="00F76B0C">
        <w:rPr>
          <w:rFonts w:ascii="Times New Roman" w:hAnsi="Times New Roman" w:cs="Times New Roman"/>
          <w:sz w:val="28"/>
          <w:szCs w:val="28"/>
        </w:rPr>
        <w:t xml:space="preserve">, </w:t>
      </w:r>
      <w:r w:rsidR="00D244FC">
        <w:rPr>
          <w:rFonts w:ascii="Times New Roman" w:hAnsi="Times New Roman" w:cs="Times New Roman"/>
          <w:sz w:val="28"/>
          <w:szCs w:val="28"/>
        </w:rPr>
        <w:t>docente di informatica</w:t>
      </w:r>
      <w:r w:rsidR="00AC54C4">
        <w:rPr>
          <w:rFonts w:ascii="Times New Roman" w:hAnsi="Times New Roman" w:cs="Times New Roman"/>
          <w:sz w:val="28"/>
          <w:szCs w:val="28"/>
        </w:rPr>
        <w:t xml:space="preserve"> presso l’Università La </w:t>
      </w:r>
      <w:r w:rsidR="00B41031">
        <w:rPr>
          <w:rFonts w:ascii="Times New Roman" w:hAnsi="Times New Roman" w:cs="Times New Roman"/>
          <w:sz w:val="28"/>
          <w:szCs w:val="28"/>
        </w:rPr>
        <w:t>Sapienza</w:t>
      </w:r>
      <w:r w:rsidR="00F76B0C">
        <w:rPr>
          <w:rFonts w:ascii="Times New Roman" w:hAnsi="Times New Roman" w:cs="Times New Roman"/>
          <w:sz w:val="28"/>
          <w:szCs w:val="28"/>
        </w:rPr>
        <w:t>,</w:t>
      </w:r>
      <w:r w:rsidR="00B41031">
        <w:rPr>
          <w:rFonts w:ascii="Times New Roman" w:hAnsi="Times New Roman" w:cs="Times New Roman"/>
          <w:sz w:val="28"/>
          <w:szCs w:val="28"/>
        </w:rPr>
        <w:t xml:space="preserve"> ritiene</w:t>
      </w:r>
      <w:r w:rsidR="00D244FC">
        <w:rPr>
          <w:rFonts w:ascii="Times New Roman" w:hAnsi="Times New Roman" w:cs="Times New Roman"/>
          <w:sz w:val="28"/>
          <w:szCs w:val="28"/>
        </w:rPr>
        <w:t xml:space="preserve"> che una giusta applicazione del concetto di </w:t>
      </w:r>
      <w:proofErr w:type="spellStart"/>
      <w:r w:rsidR="00D244FC" w:rsidRPr="00AB3CB3">
        <w:rPr>
          <w:rFonts w:ascii="Times New Roman" w:hAnsi="Times New Roman" w:cs="Times New Roman"/>
          <w:i/>
          <w:iCs/>
          <w:sz w:val="28"/>
          <w:szCs w:val="28"/>
        </w:rPr>
        <w:t>humanitas</w:t>
      </w:r>
      <w:proofErr w:type="spellEnd"/>
      <w:r w:rsidR="00D244FC">
        <w:rPr>
          <w:rFonts w:ascii="Times New Roman" w:hAnsi="Times New Roman" w:cs="Times New Roman"/>
          <w:sz w:val="28"/>
          <w:szCs w:val="28"/>
        </w:rPr>
        <w:t xml:space="preserve"> all’utilizzo degli algoritmi sia rinvenibile nell’ambito della </w:t>
      </w:r>
      <w:proofErr w:type="spellStart"/>
      <w:r w:rsidR="00D244FC">
        <w:rPr>
          <w:rFonts w:ascii="Times New Roman" w:hAnsi="Times New Roman" w:cs="Times New Roman"/>
          <w:sz w:val="28"/>
          <w:szCs w:val="28"/>
        </w:rPr>
        <w:t>gerotecnologia</w:t>
      </w:r>
      <w:proofErr w:type="spellEnd"/>
      <w:r w:rsidR="00DA22B6">
        <w:rPr>
          <w:rFonts w:ascii="Times New Roman" w:hAnsi="Times New Roman" w:cs="Times New Roman"/>
          <w:sz w:val="28"/>
          <w:szCs w:val="28"/>
        </w:rPr>
        <w:t>, la c</w:t>
      </w:r>
      <w:r w:rsidR="00F76B0C">
        <w:rPr>
          <w:rFonts w:ascii="Times New Roman" w:hAnsi="Times New Roman" w:cs="Times New Roman"/>
          <w:sz w:val="28"/>
          <w:szCs w:val="28"/>
        </w:rPr>
        <w:t>.</w:t>
      </w:r>
      <w:r w:rsidR="00DA22B6">
        <w:rPr>
          <w:rFonts w:ascii="Times New Roman" w:hAnsi="Times New Roman" w:cs="Times New Roman"/>
          <w:sz w:val="28"/>
          <w:szCs w:val="28"/>
        </w:rPr>
        <w:t>d</w:t>
      </w:r>
      <w:r w:rsidR="00F76B0C">
        <w:rPr>
          <w:rFonts w:ascii="Times New Roman" w:hAnsi="Times New Roman" w:cs="Times New Roman"/>
          <w:sz w:val="28"/>
          <w:szCs w:val="28"/>
        </w:rPr>
        <w:t>.</w:t>
      </w:r>
      <w:r w:rsidR="00DA22B6">
        <w:rPr>
          <w:rFonts w:ascii="Times New Roman" w:hAnsi="Times New Roman" w:cs="Times New Roman"/>
          <w:sz w:val="28"/>
          <w:szCs w:val="28"/>
        </w:rPr>
        <w:t xml:space="preserve"> tecnologia buona applicata nella medicina: sensori ambientali e sensori indossabil</w:t>
      </w:r>
      <w:r w:rsidR="00AC54C4">
        <w:rPr>
          <w:rFonts w:ascii="Times New Roman" w:hAnsi="Times New Roman" w:cs="Times New Roman"/>
          <w:sz w:val="28"/>
          <w:szCs w:val="28"/>
        </w:rPr>
        <w:t>i</w:t>
      </w:r>
      <w:r w:rsidR="00DA22B6">
        <w:rPr>
          <w:rFonts w:ascii="Times New Roman" w:hAnsi="Times New Roman" w:cs="Times New Roman"/>
          <w:sz w:val="28"/>
          <w:szCs w:val="28"/>
        </w:rPr>
        <w:t xml:space="preserve"> </w:t>
      </w:r>
      <w:r w:rsidR="003349C0">
        <w:rPr>
          <w:rFonts w:ascii="Times New Roman" w:hAnsi="Times New Roman" w:cs="Times New Roman"/>
          <w:sz w:val="28"/>
          <w:szCs w:val="28"/>
        </w:rPr>
        <w:t>(</w:t>
      </w:r>
      <w:proofErr w:type="spellStart"/>
      <w:r w:rsidR="00DA22B6" w:rsidRPr="00F76B0C">
        <w:rPr>
          <w:rFonts w:ascii="Times New Roman" w:hAnsi="Times New Roman" w:cs="Times New Roman"/>
          <w:i/>
          <w:iCs/>
          <w:sz w:val="28"/>
          <w:szCs w:val="28"/>
        </w:rPr>
        <w:t>wearable</w:t>
      </w:r>
      <w:proofErr w:type="spellEnd"/>
      <w:r w:rsidR="003349C0">
        <w:rPr>
          <w:rFonts w:ascii="Times New Roman" w:hAnsi="Times New Roman" w:cs="Times New Roman"/>
          <w:i/>
          <w:iCs/>
          <w:sz w:val="28"/>
          <w:szCs w:val="28"/>
        </w:rPr>
        <w:t>)</w:t>
      </w:r>
      <w:r w:rsidR="00DA22B6">
        <w:rPr>
          <w:rFonts w:ascii="Times New Roman" w:hAnsi="Times New Roman" w:cs="Times New Roman"/>
          <w:sz w:val="28"/>
          <w:szCs w:val="28"/>
        </w:rPr>
        <w:t xml:space="preserve"> per monitorare lo stato di salute di persone anziane</w:t>
      </w:r>
      <w:r w:rsidR="00AB3CB3">
        <w:rPr>
          <w:rFonts w:ascii="Times New Roman" w:hAnsi="Times New Roman" w:cs="Times New Roman"/>
          <w:sz w:val="28"/>
          <w:szCs w:val="28"/>
        </w:rPr>
        <w:t xml:space="preserve"> e disabili</w:t>
      </w:r>
      <w:r w:rsidR="00DA22B6">
        <w:rPr>
          <w:rFonts w:ascii="Times New Roman" w:hAnsi="Times New Roman" w:cs="Times New Roman"/>
          <w:sz w:val="28"/>
          <w:szCs w:val="28"/>
        </w:rPr>
        <w:t>.</w:t>
      </w:r>
      <w:r w:rsidR="00835628">
        <w:rPr>
          <w:rFonts w:ascii="Times New Roman" w:hAnsi="Times New Roman" w:cs="Times New Roman"/>
          <w:sz w:val="28"/>
          <w:szCs w:val="28"/>
        </w:rPr>
        <w:t xml:space="preserve"> </w:t>
      </w:r>
      <w:r w:rsidR="00F71717">
        <w:rPr>
          <w:rFonts w:ascii="Times New Roman" w:hAnsi="Times New Roman" w:cs="Times New Roman"/>
          <w:sz w:val="28"/>
          <w:szCs w:val="28"/>
        </w:rPr>
        <w:t>È</w:t>
      </w:r>
      <w:r w:rsidR="00DA22B6">
        <w:rPr>
          <w:rFonts w:ascii="Times New Roman" w:hAnsi="Times New Roman" w:cs="Times New Roman"/>
          <w:sz w:val="28"/>
          <w:szCs w:val="28"/>
        </w:rPr>
        <w:t xml:space="preserve"> un esempio della applicazione </w:t>
      </w:r>
      <w:r w:rsidR="00AC54C4">
        <w:rPr>
          <w:rFonts w:ascii="Times New Roman" w:hAnsi="Times New Roman" w:cs="Times New Roman"/>
          <w:sz w:val="28"/>
          <w:szCs w:val="28"/>
        </w:rPr>
        <w:t xml:space="preserve">della </w:t>
      </w:r>
      <w:r w:rsidR="00DA22B6">
        <w:rPr>
          <w:rFonts w:ascii="Times New Roman" w:hAnsi="Times New Roman" w:cs="Times New Roman"/>
          <w:sz w:val="28"/>
          <w:szCs w:val="28"/>
        </w:rPr>
        <w:t xml:space="preserve">tecnologia ispirata ai principi di </w:t>
      </w:r>
      <w:proofErr w:type="spellStart"/>
      <w:r w:rsidR="00DA22B6" w:rsidRPr="003349C0">
        <w:rPr>
          <w:rFonts w:ascii="Times New Roman" w:hAnsi="Times New Roman" w:cs="Times New Roman"/>
          <w:i/>
          <w:iCs/>
          <w:sz w:val="28"/>
          <w:szCs w:val="28"/>
        </w:rPr>
        <w:t>humanitas</w:t>
      </w:r>
      <w:proofErr w:type="spellEnd"/>
      <w:r w:rsidR="00DA22B6">
        <w:rPr>
          <w:rFonts w:ascii="Times New Roman" w:hAnsi="Times New Roman" w:cs="Times New Roman"/>
          <w:sz w:val="28"/>
          <w:szCs w:val="28"/>
        </w:rPr>
        <w:t xml:space="preserve"> e di solidarietà sociale</w:t>
      </w:r>
      <w:r w:rsidR="00AC54C4">
        <w:rPr>
          <w:rFonts w:ascii="Times New Roman" w:hAnsi="Times New Roman" w:cs="Times New Roman"/>
          <w:sz w:val="28"/>
          <w:szCs w:val="28"/>
        </w:rPr>
        <w:t xml:space="preserve">, uso “valoriale” </w:t>
      </w:r>
      <w:r w:rsidR="00F71717">
        <w:rPr>
          <w:rFonts w:ascii="Times New Roman" w:hAnsi="Times New Roman" w:cs="Times New Roman"/>
          <w:sz w:val="28"/>
          <w:szCs w:val="28"/>
        </w:rPr>
        <w:t>dell’algoritmo,</w:t>
      </w:r>
      <w:r w:rsidR="00AC54C4">
        <w:rPr>
          <w:rFonts w:ascii="Times New Roman" w:hAnsi="Times New Roman" w:cs="Times New Roman"/>
          <w:sz w:val="28"/>
          <w:szCs w:val="28"/>
        </w:rPr>
        <w:t xml:space="preserve"> su paradigmi epistemologici nuovi, sulla base della dicotomia kantiana “</w:t>
      </w:r>
      <w:proofErr w:type="spellStart"/>
      <w:r w:rsidR="00AC54C4" w:rsidRPr="00AC54C4">
        <w:rPr>
          <w:rFonts w:ascii="Times New Roman" w:hAnsi="Times New Roman" w:cs="Times New Roman"/>
          <w:i/>
          <w:iCs/>
          <w:sz w:val="28"/>
          <w:szCs w:val="28"/>
        </w:rPr>
        <w:t>sein</w:t>
      </w:r>
      <w:proofErr w:type="spellEnd"/>
      <w:r w:rsidR="00AC54C4" w:rsidRPr="00AC54C4">
        <w:rPr>
          <w:rFonts w:ascii="Times New Roman" w:hAnsi="Times New Roman" w:cs="Times New Roman"/>
          <w:i/>
          <w:iCs/>
          <w:sz w:val="28"/>
          <w:szCs w:val="28"/>
        </w:rPr>
        <w:t xml:space="preserve"> e </w:t>
      </w:r>
      <w:proofErr w:type="spellStart"/>
      <w:r w:rsidR="00AC54C4" w:rsidRPr="00AC54C4">
        <w:rPr>
          <w:rFonts w:ascii="Times New Roman" w:hAnsi="Times New Roman" w:cs="Times New Roman"/>
          <w:i/>
          <w:iCs/>
          <w:sz w:val="28"/>
          <w:szCs w:val="28"/>
        </w:rPr>
        <w:t>sollen</w:t>
      </w:r>
      <w:proofErr w:type="spellEnd"/>
      <w:r w:rsidR="00AC54C4">
        <w:rPr>
          <w:rFonts w:ascii="Times New Roman" w:hAnsi="Times New Roman" w:cs="Times New Roman"/>
          <w:sz w:val="28"/>
          <w:szCs w:val="28"/>
        </w:rPr>
        <w:t xml:space="preserve">”, essere e dover essere. </w:t>
      </w:r>
    </w:p>
    <w:p w14:paraId="1F5177D1" w14:textId="77777777" w:rsidR="003349C0" w:rsidRDefault="00AC54C4" w:rsidP="002C1BE2">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Popper nella sua Teoria dei tre </w:t>
      </w:r>
      <w:r w:rsidR="00F71717">
        <w:rPr>
          <w:rFonts w:ascii="Times New Roman" w:hAnsi="Times New Roman" w:cs="Times New Roman"/>
          <w:sz w:val="28"/>
          <w:szCs w:val="28"/>
        </w:rPr>
        <w:t>mondi parlava</w:t>
      </w:r>
      <w:r>
        <w:rPr>
          <w:rFonts w:ascii="Times New Roman" w:hAnsi="Times New Roman" w:cs="Times New Roman"/>
          <w:sz w:val="28"/>
          <w:szCs w:val="28"/>
        </w:rPr>
        <w:t xml:space="preserve"> del mondo 1, ossia del mondo reale, </w:t>
      </w:r>
      <w:r w:rsidR="00F71717">
        <w:rPr>
          <w:rFonts w:ascii="Times New Roman" w:hAnsi="Times New Roman" w:cs="Times New Roman"/>
          <w:sz w:val="28"/>
          <w:szCs w:val="28"/>
        </w:rPr>
        <w:t xml:space="preserve">del </w:t>
      </w:r>
      <w:r>
        <w:rPr>
          <w:rFonts w:ascii="Times New Roman" w:hAnsi="Times New Roman" w:cs="Times New Roman"/>
          <w:sz w:val="28"/>
          <w:szCs w:val="28"/>
        </w:rPr>
        <w:t xml:space="preserve">mondo 2, ossia </w:t>
      </w:r>
      <w:r w:rsidR="00F76B0C">
        <w:rPr>
          <w:rFonts w:ascii="Times New Roman" w:hAnsi="Times New Roman" w:cs="Times New Roman"/>
          <w:sz w:val="28"/>
          <w:szCs w:val="28"/>
        </w:rPr>
        <w:t>de</w:t>
      </w:r>
      <w:r>
        <w:rPr>
          <w:rFonts w:ascii="Times New Roman" w:hAnsi="Times New Roman" w:cs="Times New Roman"/>
          <w:sz w:val="28"/>
          <w:szCs w:val="28"/>
        </w:rPr>
        <w:t xml:space="preserve">l mondo psicologico, </w:t>
      </w:r>
      <w:r w:rsidR="00F71717">
        <w:rPr>
          <w:rFonts w:ascii="Times New Roman" w:hAnsi="Times New Roman" w:cs="Times New Roman"/>
          <w:sz w:val="28"/>
          <w:szCs w:val="28"/>
        </w:rPr>
        <w:t>interiore</w:t>
      </w:r>
      <w:r w:rsidR="00F76B0C">
        <w:rPr>
          <w:rFonts w:ascii="Times New Roman" w:hAnsi="Times New Roman" w:cs="Times New Roman"/>
          <w:sz w:val="28"/>
          <w:szCs w:val="28"/>
        </w:rPr>
        <w:t>;</w:t>
      </w:r>
      <w:r w:rsidR="00F71717">
        <w:rPr>
          <w:rFonts w:ascii="Times New Roman" w:hAnsi="Times New Roman" w:cs="Times New Roman"/>
          <w:sz w:val="28"/>
          <w:szCs w:val="28"/>
        </w:rPr>
        <w:t xml:space="preserve"> il</w:t>
      </w:r>
      <w:r>
        <w:rPr>
          <w:rFonts w:ascii="Times New Roman" w:hAnsi="Times New Roman" w:cs="Times New Roman"/>
          <w:sz w:val="28"/>
          <w:szCs w:val="28"/>
        </w:rPr>
        <w:t xml:space="preserve"> diritto è il mondo 3, filosofia, morale,</w:t>
      </w:r>
      <w:r w:rsidR="00F71717">
        <w:rPr>
          <w:rFonts w:ascii="Times New Roman" w:hAnsi="Times New Roman" w:cs="Times New Roman"/>
          <w:sz w:val="28"/>
          <w:szCs w:val="28"/>
        </w:rPr>
        <w:t xml:space="preserve"> </w:t>
      </w:r>
      <w:r>
        <w:rPr>
          <w:rFonts w:ascii="Times New Roman" w:hAnsi="Times New Roman" w:cs="Times New Roman"/>
          <w:sz w:val="28"/>
          <w:szCs w:val="28"/>
        </w:rPr>
        <w:t xml:space="preserve">in cui rileva lo spirito oggettivo hegeliano. </w:t>
      </w:r>
    </w:p>
    <w:p w14:paraId="5F8E0AB2" w14:textId="4F5DF0DC" w:rsidR="000D3A5C" w:rsidRPr="003349C0" w:rsidRDefault="00AB3CB3" w:rsidP="002C1BE2">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Oggi nel mondo </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 il giurista deve confrontarsi con l’intelligenza artificiale, andando ben oltre le leggi di Asimov</w:t>
      </w:r>
      <w:r w:rsidR="00F71717">
        <w:rPr>
          <w:rStyle w:val="Rimandonotaapidipagina"/>
          <w:rFonts w:ascii="Times New Roman" w:hAnsi="Times New Roman" w:cs="Times New Roman"/>
          <w:sz w:val="28"/>
          <w:szCs w:val="28"/>
        </w:rPr>
        <w:footnoteReference w:id="90"/>
      </w:r>
      <w:r w:rsidR="00F71717">
        <w:rPr>
          <w:rFonts w:ascii="Times New Roman" w:hAnsi="Times New Roman" w:cs="Times New Roman"/>
          <w:sz w:val="28"/>
          <w:szCs w:val="28"/>
        </w:rPr>
        <w:t>.</w:t>
      </w:r>
      <w:r w:rsidR="009859CF">
        <w:rPr>
          <w:rFonts w:ascii="Times New Roman" w:hAnsi="Times New Roman" w:cs="Times New Roman"/>
          <w:sz w:val="28"/>
          <w:szCs w:val="28"/>
        </w:rPr>
        <w:t xml:space="preserve"> Il campo di applicazione elettivo </w:t>
      </w:r>
      <w:r w:rsidR="007E64D8">
        <w:rPr>
          <w:rFonts w:ascii="Times New Roman" w:hAnsi="Times New Roman" w:cs="Times New Roman"/>
          <w:sz w:val="28"/>
          <w:szCs w:val="28"/>
        </w:rPr>
        <w:t>dell’IA in termini di “utilità umana” è senz’altro nel rapporto medico-paziente.</w:t>
      </w:r>
    </w:p>
    <w:p w14:paraId="1BC30F0B" w14:textId="77777777" w:rsidR="003349C0" w:rsidRDefault="00343862" w:rsidP="003349C0">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Il rapporto tra algoritmo e medicina vede oggi applicazioni sempre più variegate. Ne è un esempio la c</w:t>
      </w:r>
      <w:r w:rsidR="00F76B0C">
        <w:rPr>
          <w:rFonts w:ascii="Times New Roman" w:hAnsi="Times New Roman" w:cs="Times New Roman"/>
          <w:sz w:val="28"/>
          <w:szCs w:val="28"/>
        </w:rPr>
        <w:t>.</w:t>
      </w:r>
      <w:r>
        <w:rPr>
          <w:rFonts w:ascii="Times New Roman" w:hAnsi="Times New Roman" w:cs="Times New Roman"/>
          <w:sz w:val="28"/>
          <w:szCs w:val="28"/>
        </w:rPr>
        <w:t>d</w:t>
      </w:r>
      <w:r w:rsidR="00F76B0C">
        <w:rPr>
          <w:rFonts w:ascii="Times New Roman" w:hAnsi="Times New Roman" w:cs="Times New Roman"/>
          <w:sz w:val="28"/>
          <w:szCs w:val="28"/>
        </w:rPr>
        <w:t>.</w:t>
      </w:r>
      <w:r>
        <w:rPr>
          <w:rFonts w:ascii="Times New Roman" w:hAnsi="Times New Roman" w:cs="Times New Roman"/>
          <w:sz w:val="28"/>
          <w:szCs w:val="28"/>
        </w:rPr>
        <w:t xml:space="preserve"> diagnostica vocale. </w:t>
      </w:r>
      <w:proofErr w:type="spellStart"/>
      <w:r w:rsidRPr="00343862">
        <w:rPr>
          <w:rFonts w:ascii="Times New Roman" w:hAnsi="Times New Roman" w:cs="Times New Roman"/>
          <w:i/>
          <w:iCs/>
          <w:sz w:val="28"/>
          <w:szCs w:val="28"/>
        </w:rPr>
        <w:t>Vocalis</w:t>
      </w:r>
      <w:proofErr w:type="spellEnd"/>
      <w:r w:rsidRPr="00343862">
        <w:rPr>
          <w:rFonts w:ascii="Times New Roman" w:hAnsi="Times New Roman" w:cs="Times New Roman"/>
          <w:i/>
          <w:iCs/>
          <w:sz w:val="28"/>
          <w:szCs w:val="28"/>
        </w:rPr>
        <w:t xml:space="preserve"> </w:t>
      </w:r>
      <w:proofErr w:type="spellStart"/>
      <w:r w:rsidRPr="00343862">
        <w:rPr>
          <w:rFonts w:ascii="Times New Roman" w:hAnsi="Times New Roman" w:cs="Times New Roman"/>
          <w:i/>
          <w:iCs/>
          <w:sz w:val="28"/>
          <w:szCs w:val="28"/>
        </w:rPr>
        <w:t>Health</w:t>
      </w:r>
      <w:proofErr w:type="spellEnd"/>
      <w:r>
        <w:rPr>
          <w:rFonts w:ascii="Times New Roman" w:hAnsi="Times New Roman" w:cs="Times New Roman"/>
          <w:sz w:val="28"/>
          <w:szCs w:val="28"/>
        </w:rPr>
        <w:t xml:space="preserve"> è</w:t>
      </w:r>
      <w:r w:rsidR="003349C0">
        <w:rPr>
          <w:rFonts w:ascii="Times New Roman" w:hAnsi="Times New Roman" w:cs="Times New Roman"/>
          <w:sz w:val="28"/>
          <w:szCs w:val="28"/>
        </w:rPr>
        <w:t>,</w:t>
      </w:r>
      <w:r>
        <w:rPr>
          <w:rFonts w:ascii="Times New Roman" w:hAnsi="Times New Roman" w:cs="Times New Roman"/>
          <w:sz w:val="28"/>
          <w:szCs w:val="28"/>
        </w:rPr>
        <w:t xml:space="preserve"> ad esempio, una startup </w:t>
      </w:r>
      <w:proofErr w:type="spellStart"/>
      <w:r>
        <w:rPr>
          <w:rFonts w:ascii="Times New Roman" w:hAnsi="Times New Roman" w:cs="Times New Roman"/>
          <w:sz w:val="28"/>
          <w:szCs w:val="28"/>
        </w:rPr>
        <w:t>israelo</w:t>
      </w:r>
      <w:proofErr w:type="spellEnd"/>
      <w:r>
        <w:rPr>
          <w:rFonts w:ascii="Times New Roman" w:hAnsi="Times New Roman" w:cs="Times New Roman"/>
          <w:sz w:val="28"/>
          <w:szCs w:val="28"/>
        </w:rPr>
        <w:t xml:space="preserve">-statunitense, che sviluppa sistemi di riconoscimento vocale e che si è posta un obiettivo piuttosto ambizioso: riconoscere le persone malate di Covid-19 dal modo in cui parlano. Il sistema potrebbe semplificare la diagnosi della malattia (che nelle sue fasi iniziali ha sintomi che possono essere confusi con l’influenza o altri problemi respiratori) ed è solo uno degli sviluppi più recenti delle soluzioni per riconoscere automaticamente problemi di salute tramite il tono della voce. </w:t>
      </w:r>
    </w:p>
    <w:p w14:paraId="47F12D3B" w14:textId="77777777" w:rsidR="00D15A6D" w:rsidRDefault="00343862" w:rsidP="003349C0">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Il settore è in piena espansione e potrebbe portare un giorno ad avere assistenti vocali, come </w:t>
      </w:r>
      <w:r w:rsidRPr="00D15A6D">
        <w:rPr>
          <w:rFonts w:ascii="Times New Roman" w:hAnsi="Times New Roman" w:cs="Times New Roman"/>
          <w:i/>
          <w:iCs/>
          <w:sz w:val="28"/>
          <w:szCs w:val="28"/>
        </w:rPr>
        <w:t>Siri</w:t>
      </w:r>
      <w:r>
        <w:rPr>
          <w:rFonts w:ascii="Times New Roman" w:hAnsi="Times New Roman" w:cs="Times New Roman"/>
          <w:sz w:val="28"/>
          <w:szCs w:val="28"/>
        </w:rPr>
        <w:t xml:space="preserve"> o </w:t>
      </w:r>
      <w:proofErr w:type="spellStart"/>
      <w:r w:rsidRPr="00D15A6D">
        <w:rPr>
          <w:rFonts w:ascii="Times New Roman" w:hAnsi="Times New Roman" w:cs="Times New Roman"/>
          <w:i/>
          <w:iCs/>
          <w:sz w:val="28"/>
          <w:szCs w:val="28"/>
        </w:rPr>
        <w:t>Alexa</w:t>
      </w:r>
      <w:proofErr w:type="spellEnd"/>
      <w:r>
        <w:rPr>
          <w:rFonts w:ascii="Times New Roman" w:hAnsi="Times New Roman" w:cs="Times New Roman"/>
          <w:sz w:val="28"/>
          <w:szCs w:val="28"/>
        </w:rPr>
        <w:t xml:space="preserve">, in grado di rilevare la presenza di particolari malattie nei loro interlocutori. </w:t>
      </w:r>
    </w:p>
    <w:p w14:paraId="47443791" w14:textId="77777777" w:rsidR="00D15A6D" w:rsidRDefault="00343862" w:rsidP="003349C0">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Come racconta </w:t>
      </w:r>
      <w:r w:rsidRPr="00F76B0C">
        <w:rPr>
          <w:rFonts w:ascii="Times New Roman" w:hAnsi="Times New Roman" w:cs="Times New Roman"/>
          <w:i/>
          <w:iCs/>
          <w:sz w:val="28"/>
          <w:szCs w:val="28"/>
        </w:rPr>
        <w:t>Nature</w:t>
      </w:r>
      <w:r>
        <w:rPr>
          <w:rFonts w:ascii="Times New Roman" w:hAnsi="Times New Roman" w:cs="Times New Roman"/>
          <w:sz w:val="28"/>
          <w:szCs w:val="28"/>
        </w:rPr>
        <w:t xml:space="preserve"> in un lungo articolo </w:t>
      </w:r>
      <w:r w:rsidR="00C662F8">
        <w:rPr>
          <w:rFonts w:ascii="Times New Roman" w:hAnsi="Times New Roman" w:cs="Times New Roman"/>
          <w:sz w:val="28"/>
          <w:szCs w:val="28"/>
        </w:rPr>
        <w:t xml:space="preserve">dedicato al tema, qualche tempo fa gli sviluppatori di </w:t>
      </w:r>
      <w:proofErr w:type="spellStart"/>
      <w:r w:rsidR="00C662F8" w:rsidRPr="00D15A6D">
        <w:rPr>
          <w:rFonts w:ascii="Times New Roman" w:hAnsi="Times New Roman" w:cs="Times New Roman"/>
          <w:i/>
          <w:iCs/>
          <w:sz w:val="28"/>
          <w:szCs w:val="28"/>
        </w:rPr>
        <w:t>Vocalis</w:t>
      </w:r>
      <w:proofErr w:type="spellEnd"/>
      <w:r w:rsidR="00C662F8">
        <w:rPr>
          <w:rFonts w:ascii="Times New Roman" w:hAnsi="Times New Roman" w:cs="Times New Roman"/>
          <w:sz w:val="28"/>
          <w:szCs w:val="28"/>
        </w:rPr>
        <w:t xml:space="preserve"> avevano realizzato </w:t>
      </w:r>
      <w:r w:rsidR="00A84B05">
        <w:rPr>
          <w:rFonts w:ascii="Times New Roman" w:hAnsi="Times New Roman" w:cs="Times New Roman"/>
          <w:sz w:val="28"/>
          <w:szCs w:val="28"/>
        </w:rPr>
        <w:t xml:space="preserve">un’applicazione per </w:t>
      </w:r>
      <w:proofErr w:type="spellStart"/>
      <w:r w:rsidR="00A84B05" w:rsidRPr="00D15A6D">
        <w:rPr>
          <w:rFonts w:ascii="Times New Roman" w:hAnsi="Times New Roman" w:cs="Times New Roman"/>
          <w:i/>
          <w:iCs/>
          <w:sz w:val="28"/>
          <w:szCs w:val="28"/>
        </w:rPr>
        <w:t>smartphone</w:t>
      </w:r>
      <w:proofErr w:type="spellEnd"/>
      <w:r w:rsidR="00A84B05">
        <w:rPr>
          <w:rFonts w:ascii="Times New Roman" w:hAnsi="Times New Roman" w:cs="Times New Roman"/>
          <w:sz w:val="28"/>
          <w:szCs w:val="28"/>
        </w:rPr>
        <w:t xml:space="preserve"> in grado di rilevare affezioni croniche polmonari</w:t>
      </w:r>
      <w:r w:rsidR="00F76B0C">
        <w:rPr>
          <w:rFonts w:ascii="Times New Roman" w:hAnsi="Times New Roman" w:cs="Times New Roman"/>
          <w:sz w:val="28"/>
          <w:szCs w:val="28"/>
        </w:rPr>
        <w:t xml:space="preserve"> – </w:t>
      </w:r>
      <w:r w:rsidR="00A84B05">
        <w:rPr>
          <w:rFonts w:ascii="Times New Roman" w:hAnsi="Times New Roman" w:cs="Times New Roman"/>
          <w:sz w:val="28"/>
          <w:szCs w:val="28"/>
        </w:rPr>
        <w:t>come le ostruzioni bronchiali</w:t>
      </w:r>
      <w:r w:rsidR="00F76B0C">
        <w:rPr>
          <w:rFonts w:ascii="Times New Roman" w:hAnsi="Times New Roman" w:cs="Times New Roman"/>
          <w:sz w:val="28"/>
          <w:szCs w:val="28"/>
        </w:rPr>
        <w:t xml:space="preserve"> – </w:t>
      </w:r>
      <w:r w:rsidR="00A84B05">
        <w:rPr>
          <w:rFonts w:ascii="Times New Roman" w:hAnsi="Times New Roman" w:cs="Times New Roman"/>
          <w:sz w:val="28"/>
          <w:szCs w:val="28"/>
        </w:rPr>
        <w:t>attraverso l’analisi della voce degli utenti. Partendo da quell’esperienza, hanno realizzato un’</w:t>
      </w:r>
      <w:proofErr w:type="spellStart"/>
      <w:r w:rsidR="00A84B05">
        <w:rPr>
          <w:rFonts w:ascii="Times New Roman" w:hAnsi="Times New Roman" w:cs="Times New Roman"/>
          <w:sz w:val="28"/>
          <w:szCs w:val="28"/>
        </w:rPr>
        <w:t>app</w:t>
      </w:r>
      <w:proofErr w:type="spellEnd"/>
      <w:r w:rsidR="00A84B05">
        <w:rPr>
          <w:rFonts w:ascii="Times New Roman" w:hAnsi="Times New Roman" w:cs="Times New Roman"/>
          <w:sz w:val="28"/>
          <w:szCs w:val="28"/>
        </w:rPr>
        <w:t xml:space="preserve"> sperimentale</w:t>
      </w:r>
      <w:r w:rsidR="00F76B0C">
        <w:rPr>
          <w:rFonts w:ascii="Times New Roman" w:hAnsi="Times New Roman" w:cs="Times New Roman"/>
          <w:sz w:val="28"/>
          <w:szCs w:val="28"/>
        </w:rPr>
        <w:t>,</w:t>
      </w:r>
      <w:r w:rsidR="00A84B05">
        <w:rPr>
          <w:rFonts w:ascii="Times New Roman" w:hAnsi="Times New Roman" w:cs="Times New Roman"/>
          <w:sz w:val="28"/>
          <w:szCs w:val="28"/>
        </w:rPr>
        <w:t xml:space="preserve"> chiedendo a individui risultati positivi al coronavirus di partecipare, registrando la loro voce una volta al giorno seguendo le indicazioni indicate su uno schermo (descrivere una fotografia, oppure contare da 50 a 70). </w:t>
      </w:r>
    </w:p>
    <w:p w14:paraId="72CFFACB" w14:textId="3CF6B8B8" w:rsidR="00343862" w:rsidRDefault="00A84B05" w:rsidP="003349C0">
      <w:pPr>
        <w:tabs>
          <w:tab w:val="left" w:pos="8364"/>
        </w:tabs>
        <w:spacing w:after="0"/>
        <w:jc w:val="both"/>
        <w:rPr>
          <w:rFonts w:ascii="Times New Roman" w:hAnsi="Times New Roman" w:cs="Times New Roman"/>
          <w:sz w:val="28"/>
          <w:szCs w:val="28"/>
        </w:rPr>
      </w:pPr>
      <w:proofErr w:type="spellStart"/>
      <w:r w:rsidRPr="00D15A6D">
        <w:rPr>
          <w:rFonts w:ascii="Times New Roman" w:hAnsi="Times New Roman" w:cs="Times New Roman"/>
          <w:i/>
          <w:iCs/>
          <w:sz w:val="28"/>
          <w:szCs w:val="28"/>
        </w:rPr>
        <w:t>Vocalis</w:t>
      </w:r>
      <w:proofErr w:type="spellEnd"/>
      <w:r>
        <w:rPr>
          <w:rFonts w:ascii="Times New Roman" w:hAnsi="Times New Roman" w:cs="Times New Roman"/>
          <w:sz w:val="28"/>
          <w:szCs w:val="28"/>
        </w:rPr>
        <w:t xml:space="preserve"> ha poi utilizzato i propri sistemi di intelligenza artificiale, mettendo a confronto le registrazioni con quelle di chi era invece, risultato negativo al test per il coronavirus. Attraverso </w:t>
      </w:r>
      <w:r w:rsidRPr="00A84B05">
        <w:rPr>
          <w:rFonts w:ascii="Times New Roman" w:hAnsi="Times New Roman" w:cs="Times New Roman"/>
          <w:i/>
          <w:iCs/>
          <w:sz w:val="28"/>
          <w:szCs w:val="28"/>
        </w:rPr>
        <w:t>processi di apprendimento automatico</w:t>
      </w:r>
      <w:r>
        <w:rPr>
          <w:rFonts w:ascii="Times New Roman" w:hAnsi="Times New Roman" w:cs="Times New Roman"/>
          <w:sz w:val="28"/>
          <w:szCs w:val="28"/>
        </w:rPr>
        <w:t xml:space="preserve"> </w:t>
      </w:r>
      <w:r w:rsidRPr="001E031A">
        <w:rPr>
          <w:rFonts w:ascii="Times New Roman" w:hAnsi="Times New Roman" w:cs="Times New Roman"/>
          <w:sz w:val="28"/>
          <w:szCs w:val="28"/>
        </w:rPr>
        <w:t>(“</w:t>
      </w:r>
      <w:r w:rsidRPr="001E031A">
        <w:rPr>
          <w:rFonts w:ascii="Times New Roman" w:hAnsi="Times New Roman" w:cs="Times New Roman"/>
          <w:i/>
          <w:iCs/>
          <w:sz w:val="28"/>
          <w:szCs w:val="28"/>
        </w:rPr>
        <w:t xml:space="preserve">machine </w:t>
      </w:r>
      <w:proofErr w:type="spellStart"/>
      <w:r w:rsidRPr="001E031A">
        <w:rPr>
          <w:rFonts w:ascii="Times New Roman" w:hAnsi="Times New Roman" w:cs="Times New Roman"/>
          <w:i/>
          <w:iCs/>
          <w:sz w:val="28"/>
          <w:szCs w:val="28"/>
        </w:rPr>
        <w:t>learning</w:t>
      </w:r>
      <w:proofErr w:type="spellEnd"/>
      <w:r w:rsidRPr="001E031A">
        <w:rPr>
          <w:rFonts w:ascii="Times New Roman" w:hAnsi="Times New Roman" w:cs="Times New Roman"/>
          <w:sz w:val="28"/>
          <w:szCs w:val="28"/>
        </w:rPr>
        <w:t>”),</w:t>
      </w:r>
      <w:r>
        <w:rPr>
          <w:rFonts w:ascii="Times New Roman" w:hAnsi="Times New Roman" w:cs="Times New Roman"/>
          <w:sz w:val="28"/>
          <w:szCs w:val="28"/>
        </w:rPr>
        <w:t xml:space="preserve"> il sistema ha provato a identificare una sorta di impronta vocale del</w:t>
      </w:r>
      <w:r w:rsidR="001E031A">
        <w:rPr>
          <w:rFonts w:ascii="Times New Roman" w:hAnsi="Times New Roman" w:cs="Times New Roman"/>
          <w:sz w:val="28"/>
          <w:szCs w:val="28"/>
        </w:rPr>
        <w:t>la malattia da</w:t>
      </w:r>
      <w:r>
        <w:rPr>
          <w:rFonts w:ascii="Times New Roman" w:hAnsi="Times New Roman" w:cs="Times New Roman"/>
          <w:sz w:val="28"/>
          <w:szCs w:val="28"/>
        </w:rPr>
        <w:t xml:space="preserve"> Covid-19. Grazie a circa 1500 campioni sonori raccolti dai volontari, è stato poi possibile sviluppare uno strumento ora sperimentato in diversi ospedali in giro per il mondo in parallelo con i tradizionali sistemi per le diagnosi.</w:t>
      </w:r>
    </w:p>
    <w:p w14:paraId="4C6C2793" w14:textId="777EE831" w:rsidR="00A84B05" w:rsidRDefault="00A84B05" w:rsidP="003349C0">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Secondo i promotori dell’iniziativa, lo strumento potrebbe rivelarsi utile per rilevare i casi più probabilmente positivi tra gli individui che mostrano sintomi, anche lievi, al punto da non rendersi conto di essere malati</w:t>
      </w:r>
      <w:r w:rsidR="00D33E79">
        <w:rPr>
          <w:rFonts w:ascii="Times New Roman" w:hAnsi="Times New Roman" w:cs="Times New Roman"/>
          <w:sz w:val="28"/>
          <w:szCs w:val="28"/>
        </w:rPr>
        <w:t>.</w:t>
      </w:r>
      <w:r>
        <w:rPr>
          <w:rFonts w:ascii="Times New Roman" w:hAnsi="Times New Roman" w:cs="Times New Roman"/>
          <w:sz w:val="28"/>
          <w:szCs w:val="28"/>
        </w:rPr>
        <w:t xml:space="preserve"> </w:t>
      </w:r>
      <w:r w:rsidR="00D33E79">
        <w:rPr>
          <w:rFonts w:ascii="Times New Roman" w:hAnsi="Times New Roman" w:cs="Times New Roman"/>
          <w:sz w:val="28"/>
          <w:szCs w:val="28"/>
        </w:rPr>
        <w:t xml:space="preserve">Ciò consentirebbe di concentrare le attività di test sui probabili infetti indicati dall’applicazione, riducendo tempi e costi per le analisi di laboratorio. </w:t>
      </w:r>
    </w:p>
    <w:p w14:paraId="5A9EA433" w14:textId="6AEE2E09" w:rsidR="00D33E79" w:rsidRDefault="00D33E79" w:rsidP="001E031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Alcuni centri di ricerca hanno sviluppato </w:t>
      </w:r>
      <w:proofErr w:type="spellStart"/>
      <w:r>
        <w:rPr>
          <w:rFonts w:ascii="Times New Roman" w:hAnsi="Times New Roman" w:cs="Times New Roman"/>
          <w:sz w:val="28"/>
          <w:szCs w:val="28"/>
        </w:rPr>
        <w:t>app</w:t>
      </w:r>
      <w:proofErr w:type="spellEnd"/>
      <w:r>
        <w:rPr>
          <w:rFonts w:ascii="Times New Roman" w:hAnsi="Times New Roman" w:cs="Times New Roman"/>
          <w:sz w:val="28"/>
          <w:szCs w:val="28"/>
        </w:rPr>
        <w:t xml:space="preserve"> per provare a riconoscere l’infezione da Covid-19 dal modo in cui si tossisce, con risultati preliminari valutati con interesse dalla comunità scientifica.</w:t>
      </w:r>
    </w:p>
    <w:p w14:paraId="4E68FCE4" w14:textId="60197480" w:rsidR="00D33E79" w:rsidRDefault="00D33E79" w:rsidP="001E031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Ancor prima dell’inizio della pandemia, i sistemi di diagnostica vocale avevano iniziato a raccogliere importanti investimenti, complice il miglioramento delle intelligenze artificiali e la possibilità di sperimentare su un grande numero di dispositivi, dagli </w:t>
      </w:r>
      <w:proofErr w:type="spellStart"/>
      <w:r w:rsidRPr="001E031A">
        <w:rPr>
          <w:rFonts w:ascii="Times New Roman" w:hAnsi="Times New Roman" w:cs="Times New Roman"/>
          <w:i/>
          <w:iCs/>
          <w:sz w:val="28"/>
          <w:szCs w:val="28"/>
        </w:rPr>
        <w:t>smartphone</w:t>
      </w:r>
      <w:proofErr w:type="spellEnd"/>
      <w:r>
        <w:rPr>
          <w:rFonts w:ascii="Times New Roman" w:hAnsi="Times New Roman" w:cs="Times New Roman"/>
          <w:sz w:val="28"/>
          <w:szCs w:val="28"/>
        </w:rPr>
        <w:t xml:space="preserve"> agli assistenti per la casa. Le soluzioni proposte non riguardano solamente malattie respiratorie, ma anche autismo, problemi cardiovascolari, demenza e depressione. Alcune sono ai primi stadi, altre hanno raggiunto forme più avanzate e iniziano ad essere commercializzate, seppure nell’ambito di programmi sperimentali con pochi pazienti.</w:t>
      </w:r>
    </w:p>
    <w:p w14:paraId="2F8477A6" w14:textId="6C508020" w:rsidR="001E031A" w:rsidRDefault="00D33E79" w:rsidP="001E031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Il nostro modo di respira</w:t>
      </w:r>
      <w:r w:rsidR="00821577">
        <w:rPr>
          <w:rFonts w:ascii="Times New Roman" w:hAnsi="Times New Roman" w:cs="Times New Roman"/>
          <w:sz w:val="28"/>
          <w:szCs w:val="28"/>
        </w:rPr>
        <w:t>re</w:t>
      </w:r>
      <w:r>
        <w:rPr>
          <w:rFonts w:ascii="Times New Roman" w:hAnsi="Times New Roman" w:cs="Times New Roman"/>
          <w:sz w:val="28"/>
          <w:szCs w:val="28"/>
        </w:rPr>
        <w:t xml:space="preserve"> e di parlare coinvolge numerose strutture anatomiche, dai polmoni al setto nasale, passando per la trachea, e le minime variazioni nel funzionamento di alcune di queste parti possono essere identificate da sistemi di analisi piuttosto raffinati, come quelli resi possibili dal </w:t>
      </w:r>
      <w:r w:rsidRPr="00F76B0C">
        <w:rPr>
          <w:rFonts w:ascii="Times New Roman" w:hAnsi="Times New Roman" w:cs="Times New Roman"/>
          <w:i/>
          <w:iCs/>
          <w:sz w:val="28"/>
          <w:szCs w:val="28"/>
        </w:rPr>
        <w:t xml:space="preserve">machine </w:t>
      </w:r>
      <w:proofErr w:type="spellStart"/>
      <w:r w:rsidRPr="00F76B0C">
        <w:rPr>
          <w:rFonts w:ascii="Times New Roman" w:hAnsi="Times New Roman" w:cs="Times New Roman"/>
          <w:i/>
          <w:iCs/>
          <w:sz w:val="28"/>
          <w:szCs w:val="28"/>
        </w:rPr>
        <w:t>learning</w:t>
      </w:r>
      <w:proofErr w:type="spellEnd"/>
      <w:r>
        <w:rPr>
          <w:rFonts w:ascii="Times New Roman" w:hAnsi="Times New Roman" w:cs="Times New Roman"/>
          <w:sz w:val="28"/>
          <w:szCs w:val="28"/>
        </w:rPr>
        <w:t xml:space="preserve">. </w:t>
      </w:r>
    </w:p>
    <w:p w14:paraId="4B973CBF" w14:textId="74E921FD" w:rsidR="00D33E79" w:rsidRDefault="00D2627A" w:rsidP="001E031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grande disponibilità di dati e registrazioni audio di voci umane, in qualsiasi contesto e la potenza raggiunta dai computer rendono possibile l’analisi di quantità gigantesche di dati dai quali si possono trarre specifiche informazioni tramite gli algoritmi.</w:t>
      </w:r>
    </w:p>
    <w:p w14:paraId="68E1D225" w14:textId="4A853706" w:rsidR="00D2627A" w:rsidRDefault="00D2627A" w:rsidP="001E031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Alcune malattie modificano sensibilmente il nostro modo di parlare, e per questo le prime ricerche avviate anni fa si erano orientate verso il loro studio e la loro analisi al computer. La malattia di Parkinson è una di queste: comporta problemi motori e spasmi muscolari che si riflettono anche nella respirazione e nel modo di articolare le parole. Gli individui malati di Parkinson tendono ad avere una voce più debole e a volte tremante, facilmente distinguibile a orecchio. Ma un algoritmo che attraverso </w:t>
      </w:r>
      <w:proofErr w:type="gramStart"/>
      <w:r>
        <w:rPr>
          <w:rFonts w:ascii="Times New Roman" w:hAnsi="Times New Roman" w:cs="Times New Roman"/>
          <w:sz w:val="28"/>
          <w:szCs w:val="28"/>
        </w:rPr>
        <w:t>10</w:t>
      </w:r>
      <w:proofErr w:type="gramEnd"/>
      <w:r w:rsidR="009864F0">
        <w:rPr>
          <w:rFonts w:ascii="Times New Roman" w:hAnsi="Times New Roman" w:cs="Times New Roman"/>
          <w:sz w:val="28"/>
          <w:szCs w:val="28"/>
        </w:rPr>
        <w:t xml:space="preserve"> </w:t>
      </w:r>
      <w:r>
        <w:rPr>
          <w:rFonts w:ascii="Times New Roman" w:hAnsi="Times New Roman" w:cs="Times New Roman"/>
          <w:sz w:val="28"/>
          <w:szCs w:val="28"/>
        </w:rPr>
        <w:t xml:space="preserve">mila campioni di voci si è allenato a riconoscere queste caratteristiche riesce ad essere molto più preciso, e potrebbe rivelarsi utile per aiutare nella diagnosi della malattia in una sua fase precoce, quando è ancora molto difficile da identificare. La rivista </w:t>
      </w:r>
      <w:r w:rsidRPr="00D2627A">
        <w:rPr>
          <w:rFonts w:ascii="Times New Roman" w:hAnsi="Times New Roman" w:cs="Times New Roman"/>
          <w:i/>
          <w:iCs/>
          <w:sz w:val="28"/>
          <w:szCs w:val="28"/>
        </w:rPr>
        <w:t>Nature</w:t>
      </w:r>
      <w:r w:rsidR="009864F0" w:rsidRPr="001E031A">
        <w:rPr>
          <w:rFonts w:ascii="Times New Roman" w:hAnsi="Times New Roman" w:cs="Times New Roman"/>
          <w:sz w:val="28"/>
          <w:szCs w:val="28"/>
        </w:rPr>
        <w:t xml:space="preserve"> </w:t>
      </w:r>
      <w:r>
        <w:rPr>
          <w:rFonts w:ascii="Times New Roman" w:hAnsi="Times New Roman" w:cs="Times New Roman"/>
          <w:sz w:val="28"/>
          <w:szCs w:val="28"/>
        </w:rPr>
        <w:t>fa l’esempio di una ricerca pubblicata nel 2012 e condotta presso l’Università di Birmingham nel Regno Unito. I suoi autori si chiesero se fosse possibile aiutare i medici a compiere</w:t>
      </w:r>
      <w:r w:rsidR="0056230A">
        <w:rPr>
          <w:rFonts w:ascii="Times New Roman" w:hAnsi="Times New Roman" w:cs="Times New Roman"/>
          <w:sz w:val="28"/>
          <w:szCs w:val="28"/>
        </w:rPr>
        <w:t xml:space="preserve"> diagnosi attraverso l’analisi della voce dei loro pazienti. Utilizzarono le registrazioni di 43 pazienti, 33 dei quali soffrivano di Parkinson, ai quali era stato richiesto di pronunciare a lungo la vocale “A”.</w:t>
      </w:r>
      <w:r w:rsidR="006A0C77">
        <w:rPr>
          <w:rFonts w:ascii="Times New Roman" w:hAnsi="Times New Roman" w:cs="Times New Roman"/>
          <w:sz w:val="28"/>
          <w:szCs w:val="28"/>
        </w:rPr>
        <w:t xml:space="preserve"> </w:t>
      </w:r>
      <w:r w:rsidR="0056230A">
        <w:rPr>
          <w:rFonts w:ascii="Times New Roman" w:hAnsi="Times New Roman" w:cs="Times New Roman"/>
          <w:sz w:val="28"/>
          <w:szCs w:val="28"/>
        </w:rPr>
        <w:t xml:space="preserve">Utilizzarono poi algoritmi di analisi del parlato, identificando </w:t>
      </w:r>
      <w:proofErr w:type="gramStart"/>
      <w:r w:rsidR="0056230A">
        <w:rPr>
          <w:rFonts w:ascii="Times New Roman" w:hAnsi="Times New Roman" w:cs="Times New Roman"/>
          <w:sz w:val="28"/>
          <w:szCs w:val="28"/>
        </w:rPr>
        <w:t>10</w:t>
      </w:r>
      <w:proofErr w:type="gramEnd"/>
      <w:r w:rsidR="0056230A">
        <w:rPr>
          <w:rFonts w:ascii="Times New Roman" w:hAnsi="Times New Roman" w:cs="Times New Roman"/>
          <w:sz w:val="28"/>
          <w:szCs w:val="28"/>
        </w:rPr>
        <w:t xml:space="preserve"> indicatori tipicamente ricorrenti nelle voci dei pazienti. Utilizzandoli, il sistema fu in grado di distinguere la voce di un individuo sano da uno malato con una precisazione del 99 per cento. I </w:t>
      </w:r>
      <w:r w:rsidR="00F76B0C">
        <w:rPr>
          <w:rFonts w:ascii="Times New Roman" w:hAnsi="Times New Roman" w:cs="Times New Roman"/>
          <w:sz w:val="28"/>
          <w:szCs w:val="28"/>
        </w:rPr>
        <w:t>ricercatori, in seguito,</w:t>
      </w:r>
      <w:r w:rsidR="0056230A">
        <w:rPr>
          <w:rFonts w:ascii="Times New Roman" w:hAnsi="Times New Roman" w:cs="Times New Roman"/>
          <w:sz w:val="28"/>
          <w:szCs w:val="28"/>
        </w:rPr>
        <w:t xml:space="preserve"> hanno </w:t>
      </w:r>
      <w:r w:rsidR="0056230A">
        <w:rPr>
          <w:rFonts w:ascii="Times New Roman" w:hAnsi="Times New Roman" w:cs="Times New Roman"/>
          <w:sz w:val="28"/>
          <w:szCs w:val="28"/>
        </w:rPr>
        <w:lastRenderedPageBreak/>
        <w:t xml:space="preserve">rilevato alcune caratteristiche della voce che aiutano a comprendere il livello di gravità dei sintomi del Parkinson. Il loro sistema è ancora sperimentale, ma potrebbe essere impiegato in numerosi ambiti, per esempio per monitorare più facilmente </w:t>
      </w:r>
      <w:r w:rsidR="006A0C77">
        <w:rPr>
          <w:rFonts w:ascii="Times New Roman" w:hAnsi="Times New Roman" w:cs="Times New Roman"/>
          <w:sz w:val="28"/>
          <w:szCs w:val="28"/>
        </w:rPr>
        <w:t>gli individui</w:t>
      </w:r>
      <w:r w:rsidR="0056230A">
        <w:rPr>
          <w:rFonts w:ascii="Times New Roman" w:hAnsi="Times New Roman" w:cs="Times New Roman"/>
          <w:sz w:val="28"/>
          <w:szCs w:val="28"/>
        </w:rPr>
        <w:t xml:space="preserve"> a rischio di sviluppare la malattia, oppure per offrire servizi di diagnosi preliminare, in attesa di avviare un percorso tradizionale di visita da un neurologo.</w:t>
      </w:r>
    </w:p>
    <w:p w14:paraId="79FF4F41" w14:textId="1783B133" w:rsidR="0056230A" w:rsidRDefault="0056230A" w:rsidP="001E031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Le malattie neurodegenerative sono un campo dove le tecnologie di analisi vocale potrebbero offrire importanti opportunità. In Canada, per esempio, un gruppo di ricercatori ha utilizzato i campioni di voce di 250 individui per identificare tratti tipici nel modo di parlare di chi potrebbe avere l’Alzheimer. La ricerca ha rilevato come le persone che hanno poi ricevuto una diagnosi della malattia tendessero</w:t>
      </w:r>
      <w:r w:rsidR="00123B76">
        <w:rPr>
          <w:rFonts w:ascii="Times New Roman" w:hAnsi="Times New Roman" w:cs="Times New Roman"/>
          <w:sz w:val="28"/>
          <w:szCs w:val="28"/>
        </w:rPr>
        <w:t xml:space="preserve"> a utilizzare parole più corte, un maggior numero di pronomi rispetto ai sostantivi e ripetizioni nelle stesse frasi. Isolati 35 marcatori vocali, il sistema è stato in grado di riconoscere individui con l’Alzheimer con una precisione dell’82 per cento. In successive analisi, il sistema è stato poi perfezionato, raggiungendo un’accuratezza del 92 per cento.</w:t>
      </w:r>
      <w:r w:rsidR="000C70BC">
        <w:rPr>
          <w:rFonts w:ascii="Times New Roman" w:hAnsi="Times New Roman" w:cs="Times New Roman"/>
          <w:sz w:val="28"/>
          <w:szCs w:val="28"/>
        </w:rPr>
        <w:t xml:space="preserve"> </w:t>
      </w:r>
      <w:r w:rsidR="00123B76">
        <w:rPr>
          <w:rFonts w:ascii="Times New Roman" w:hAnsi="Times New Roman" w:cs="Times New Roman"/>
          <w:sz w:val="28"/>
          <w:szCs w:val="28"/>
        </w:rPr>
        <w:t>Anche in questo caso, una soluzione di questo tipo potrebbe essere impiegata per compiere diagnosi precoci per una malattia difficile da identificare nei suoi primi stadi.</w:t>
      </w:r>
    </w:p>
    <w:p w14:paraId="27E19DC7" w14:textId="2460F47F" w:rsidR="00123B76" w:rsidRDefault="00123B76" w:rsidP="001E031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Altri sistemi sono stati sperimentati in individui più giovani</w:t>
      </w:r>
      <w:r w:rsidR="001E031A">
        <w:rPr>
          <w:rFonts w:ascii="Times New Roman" w:hAnsi="Times New Roman" w:cs="Times New Roman"/>
          <w:sz w:val="28"/>
          <w:szCs w:val="28"/>
        </w:rPr>
        <w:t>,</w:t>
      </w:r>
      <w:r>
        <w:rPr>
          <w:rFonts w:ascii="Times New Roman" w:hAnsi="Times New Roman" w:cs="Times New Roman"/>
          <w:sz w:val="28"/>
          <w:szCs w:val="28"/>
        </w:rPr>
        <w:t xml:space="preserve"> con problemi di sviluppo neurologico. Una ricerca svolta tre anni fa in Germania</w:t>
      </w:r>
      <w:r w:rsidR="001E031A">
        <w:rPr>
          <w:rFonts w:ascii="Times New Roman" w:hAnsi="Times New Roman" w:cs="Times New Roman"/>
          <w:sz w:val="28"/>
          <w:szCs w:val="28"/>
        </w:rPr>
        <w:t>,</w:t>
      </w:r>
      <w:r>
        <w:rPr>
          <w:rFonts w:ascii="Times New Roman" w:hAnsi="Times New Roman" w:cs="Times New Roman"/>
          <w:sz w:val="28"/>
          <w:szCs w:val="28"/>
        </w:rPr>
        <w:t xml:space="preserve"> su un numero ristretto di neonati</w:t>
      </w:r>
      <w:r w:rsidR="001E031A">
        <w:rPr>
          <w:rFonts w:ascii="Times New Roman" w:hAnsi="Times New Roman" w:cs="Times New Roman"/>
          <w:sz w:val="28"/>
          <w:szCs w:val="28"/>
        </w:rPr>
        <w:t>,</w:t>
      </w:r>
      <w:r>
        <w:rPr>
          <w:rFonts w:ascii="Times New Roman" w:hAnsi="Times New Roman" w:cs="Times New Roman"/>
          <w:sz w:val="28"/>
          <w:szCs w:val="28"/>
        </w:rPr>
        <w:t xml:space="preserve"> ha portato allo sviluppo di un algoritmo per predire casi di autismo.  Nella fase sperimentale</w:t>
      </w:r>
      <w:r w:rsidR="001E031A">
        <w:rPr>
          <w:rFonts w:ascii="Times New Roman" w:hAnsi="Times New Roman" w:cs="Times New Roman"/>
          <w:sz w:val="28"/>
          <w:szCs w:val="28"/>
        </w:rPr>
        <w:t>,</w:t>
      </w:r>
      <w:r>
        <w:rPr>
          <w:rFonts w:ascii="Times New Roman" w:hAnsi="Times New Roman" w:cs="Times New Roman"/>
          <w:sz w:val="28"/>
          <w:szCs w:val="28"/>
        </w:rPr>
        <w:t xml:space="preserve"> il sistema classificò correttamente l’80 per cento dei casi di bambini con autismo. Con una soluzione analoga</w:t>
      </w:r>
      <w:r w:rsidR="001E031A">
        <w:rPr>
          <w:rFonts w:ascii="Times New Roman" w:hAnsi="Times New Roman" w:cs="Times New Roman"/>
          <w:sz w:val="28"/>
          <w:szCs w:val="28"/>
        </w:rPr>
        <w:t>,</w:t>
      </w:r>
      <w:r>
        <w:rPr>
          <w:rFonts w:ascii="Times New Roman" w:hAnsi="Times New Roman" w:cs="Times New Roman"/>
          <w:sz w:val="28"/>
          <w:szCs w:val="28"/>
        </w:rPr>
        <w:t xml:space="preserve"> è stata sviluppata una soluzione di analisi per rilevare il disturbo da deficit di attenzione/iperattività (ADHD).</w:t>
      </w:r>
    </w:p>
    <w:p w14:paraId="13DF113E" w14:textId="4276E78D" w:rsidR="00123B76" w:rsidRDefault="00123B76" w:rsidP="005A65A4">
      <w:pPr>
        <w:tabs>
          <w:tab w:val="left" w:pos="8364"/>
        </w:tabs>
        <w:jc w:val="both"/>
        <w:rPr>
          <w:rFonts w:ascii="Times New Roman" w:hAnsi="Times New Roman" w:cs="Times New Roman"/>
          <w:sz w:val="28"/>
          <w:szCs w:val="28"/>
        </w:rPr>
      </w:pPr>
      <w:r>
        <w:rPr>
          <w:rFonts w:ascii="Times New Roman" w:hAnsi="Times New Roman" w:cs="Times New Roman"/>
          <w:sz w:val="28"/>
          <w:szCs w:val="28"/>
        </w:rPr>
        <w:t>Un’altra ricerca negli Stati Uniti si è</w:t>
      </w:r>
      <w:r w:rsidR="001E031A">
        <w:rPr>
          <w:rFonts w:ascii="Times New Roman" w:hAnsi="Times New Roman" w:cs="Times New Roman"/>
          <w:sz w:val="28"/>
          <w:szCs w:val="28"/>
        </w:rPr>
        <w:t>,</w:t>
      </w:r>
      <w:r>
        <w:rPr>
          <w:rFonts w:ascii="Times New Roman" w:hAnsi="Times New Roman" w:cs="Times New Roman"/>
          <w:sz w:val="28"/>
          <w:szCs w:val="28"/>
        </w:rPr>
        <w:t xml:space="preserve"> invece</w:t>
      </w:r>
      <w:r w:rsidR="001E031A">
        <w:rPr>
          <w:rFonts w:ascii="Times New Roman" w:hAnsi="Times New Roman" w:cs="Times New Roman"/>
          <w:sz w:val="28"/>
          <w:szCs w:val="28"/>
        </w:rPr>
        <w:t>,</w:t>
      </w:r>
      <w:r>
        <w:rPr>
          <w:rFonts w:ascii="Times New Roman" w:hAnsi="Times New Roman" w:cs="Times New Roman"/>
          <w:sz w:val="28"/>
          <w:szCs w:val="28"/>
        </w:rPr>
        <w:t xml:space="preserve"> dedicata all’analisi della voce degli individui che soffrono di disturbo da stress post-traumatico, una condizione psicologica che si sviluppa a causa di un evento traumatico o violento di grande rilevanza per il soggetto (riguarda ad esempio, molti soldati al loro ritorno dal fronte).</w:t>
      </w:r>
      <w:r w:rsidR="00CF12C4">
        <w:rPr>
          <w:rFonts w:ascii="Times New Roman" w:hAnsi="Times New Roman" w:cs="Times New Roman"/>
          <w:sz w:val="28"/>
          <w:szCs w:val="28"/>
        </w:rPr>
        <w:t xml:space="preserve"> Dall’analisi delle registrazioni di 129 reduci di guerra</w:t>
      </w:r>
      <w:r w:rsidR="001E031A">
        <w:rPr>
          <w:rFonts w:ascii="Times New Roman" w:hAnsi="Times New Roman" w:cs="Times New Roman"/>
          <w:sz w:val="28"/>
          <w:szCs w:val="28"/>
        </w:rPr>
        <w:t>,</w:t>
      </w:r>
      <w:r w:rsidR="00CF12C4">
        <w:rPr>
          <w:rFonts w:ascii="Times New Roman" w:hAnsi="Times New Roman" w:cs="Times New Roman"/>
          <w:sz w:val="28"/>
          <w:szCs w:val="28"/>
        </w:rPr>
        <w:t xml:space="preserve"> sono stati estratti 18 indicatori, quasi tutti legati a un modo di parlare lento e monotono, che hanno poi permesso di identificare quali ex soldati avessero problemi psicologici con una precisione del 90 per cento.</w:t>
      </w:r>
    </w:p>
    <w:p w14:paraId="21B8BF6D" w14:textId="3741237D" w:rsidR="001E031A" w:rsidRDefault="00CF12C4" w:rsidP="001E031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Gli studi condotti finora hanno riguardato un numero ristretto di individui, e per questo molti osservatori sono scettici sull’efficacia dei sistemi, considerato che gli esiti degli esperimenti sono difficili da riprodurre. Per superare queste limitazioni, alcune aziende hanno avviato programmi per raccogliere grandi quantità di registrazioni, o per facilitare la loro raccolta attraverso iniziative </w:t>
      </w:r>
      <w:r w:rsidRPr="00F60E91">
        <w:rPr>
          <w:rFonts w:ascii="Times New Roman" w:hAnsi="Times New Roman" w:cs="Times New Roman"/>
          <w:i/>
          <w:iCs/>
          <w:sz w:val="28"/>
          <w:szCs w:val="28"/>
        </w:rPr>
        <w:t>online</w:t>
      </w:r>
      <w:r>
        <w:rPr>
          <w:rFonts w:ascii="Times New Roman" w:hAnsi="Times New Roman" w:cs="Times New Roman"/>
          <w:sz w:val="28"/>
          <w:szCs w:val="28"/>
        </w:rPr>
        <w:t>.</w:t>
      </w:r>
    </w:p>
    <w:p w14:paraId="5EF4C0C9" w14:textId="58FB535E" w:rsidR="00CF12C4" w:rsidRDefault="00CF12C4" w:rsidP="001E031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La società statunitense </w:t>
      </w:r>
      <w:r w:rsidRPr="00F76B0C">
        <w:rPr>
          <w:rFonts w:ascii="Times New Roman" w:hAnsi="Times New Roman" w:cs="Times New Roman"/>
          <w:i/>
          <w:iCs/>
          <w:sz w:val="28"/>
          <w:szCs w:val="28"/>
        </w:rPr>
        <w:t xml:space="preserve">Sonde </w:t>
      </w:r>
      <w:proofErr w:type="spellStart"/>
      <w:r w:rsidRPr="00F76B0C">
        <w:rPr>
          <w:rFonts w:ascii="Times New Roman" w:hAnsi="Times New Roman" w:cs="Times New Roman"/>
          <w:i/>
          <w:iCs/>
          <w:sz w:val="28"/>
          <w:szCs w:val="28"/>
        </w:rPr>
        <w:t>Health</w:t>
      </w:r>
      <w:proofErr w:type="spellEnd"/>
      <w:r>
        <w:rPr>
          <w:rFonts w:ascii="Times New Roman" w:hAnsi="Times New Roman" w:cs="Times New Roman"/>
          <w:sz w:val="28"/>
          <w:szCs w:val="28"/>
        </w:rPr>
        <w:t xml:space="preserve">, per esempio, gestisce </w:t>
      </w:r>
      <w:proofErr w:type="spellStart"/>
      <w:r w:rsidRPr="00F76B0C">
        <w:rPr>
          <w:rFonts w:ascii="Times New Roman" w:hAnsi="Times New Roman" w:cs="Times New Roman"/>
          <w:i/>
          <w:iCs/>
          <w:sz w:val="28"/>
          <w:szCs w:val="28"/>
        </w:rPr>
        <w:t>SurveyLex</w:t>
      </w:r>
      <w:proofErr w:type="spellEnd"/>
      <w:r>
        <w:rPr>
          <w:rFonts w:ascii="Times New Roman" w:hAnsi="Times New Roman" w:cs="Times New Roman"/>
          <w:sz w:val="28"/>
          <w:szCs w:val="28"/>
        </w:rPr>
        <w:t xml:space="preserve">, una piattaforma </w:t>
      </w:r>
      <w:r w:rsidRPr="00F60E91">
        <w:rPr>
          <w:rFonts w:ascii="Times New Roman" w:hAnsi="Times New Roman" w:cs="Times New Roman"/>
          <w:i/>
          <w:iCs/>
          <w:sz w:val="28"/>
          <w:szCs w:val="28"/>
        </w:rPr>
        <w:t>online</w:t>
      </w:r>
      <w:r w:rsidR="001E031A">
        <w:rPr>
          <w:rFonts w:ascii="Times New Roman" w:hAnsi="Times New Roman" w:cs="Times New Roman"/>
          <w:sz w:val="28"/>
          <w:szCs w:val="28"/>
        </w:rPr>
        <w:t>,</w:t>
      </w:r>
      <w:r>
        <w:rPr>
          <w:rFonts w:ascii="Times New Roman" w:hAnsi="Times New Roman" w:cs="Times New Roman"/>
          <w:sz w:val="28"/>
          <w:szCs w:val="28"/>
        </w:rPr>
        <w:t xml:space="preserve"> che permette ai ricercatori di creare facilmente</w:t>
      </w:r>
      <w:r w:rsidR="00D20E87">
        <w:rPr>
          <w:rFonts w:ascii="Times New Roman" w:hAnsi="Times New Roman" w:cs="Times New Roman"/>
          <w:sz w:val="28"/>
          <w:szCs w:val="28"/>
        </w:rPr>
        <w:t xml:space="preserve"> campagne per la raccolta di registrazioni vocali da parte di volontari. L’idea è di poter catalogare decine di migliaia di voci, in modo da affinare gli algoritmi e le capacità di riconoscimento.</w:t>
      </w:r>
    </w:p>
    <w:p w14:paraId="031630B2" w14:textId="06FA4909" w:rsidR="00D20E87" w:rsidRDefault="00D20E87" w:rsidP="001E031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La stessa azienda ha collaborato lo scorso anno ad una ricerca per valutare quanto influisca la qualità delle registrazioni sulla capacità dei sistemi di rilevare automaticamente le malattie. Con tracce vocali registrate tramite microfoni ad alta fedeltà in laboratorio, i sistemi hanno riconosciuto i volontari affetti da depressione con una precisazione del 94 per cento, mentre il livello di accuratezza è sceso al 75 per cento in un esperimento condotto utilizzando registrazioni effettuate con gli </w:t>
      </w:r>
      <w:proofErr w:type="spellStart"/>
      <w:r w:rsidRPr="00F60E91">
        <w:rPr>
          <w:rFonts w:ascii="Times New Roman" w:hAnsi="Times New Roman" w:cs="Times New Roman"/>
          <w:i/>
          <w:iCs/>
          <w:sz w:val="28"/>
          <w:szCs w:val="28"/>
        </w:rPr>
        <w:t>smartphone</w:t>
      </w:r>
      <w:proofErr w:type="spellEnd"/>
      <w:r>
        <w:rPr>
          <w:rFonts w:ascii="Times New Roman" w:hAnsi="Times New Roman" w:cs="Times New Roman"/>
          <w:sz w:val="28"/>
          <w:szCs w:val="28"/>
        </w:rPr>
        <w:t>, in ambienti diversi dai laboratori e</w:t>
      </w:r>
      <w:r w:rsidR="00F60E91">
        <w:rPr>
          <w:rFonts w:ascii="Times New Roman" w:hAnsi="Times New Roman" w:cs="Times New Roman"/>
          <w:sz w:val="28"/>
          <w:szCs w:val="28"/>
        </w:rPr>
        <w:t>,</w:t>
      </w:r>
      <w:r>
        <w:rPr>
          <w:rFonts w:ascii="Times New Roman" w:hAnsi="Times New Roman" w:cs="Times New Roman"/>
          <w:sz w:val="28"/>
          <w:szCs w:val="28"/>
        </w:rPr>
        <w:t xml:space="preserve"> quindi, con maggiore rumore di fondo. L’impiego di una maggiore quantità di campioni per istruire le intelligenze artificiali dovrebbe contribuire a rendere meno rilevante il problema, ma pone, comunque, ulteriori domande sull’utilità di queste soluzioni.</w:t>
      </w:r>
    </w:p>
    <w:p w14:paraId="4709D823" w14:textId="47488A55" w:rsidR="00D20E87" w:rsidRDefault="00D20E87" w:rsidP="005A65A4">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Escluse alcune </w:t>
      </w:r>
      <w:r w:rsidRPr="00F60E91">
        <w:rPr>
          <w:rFonts w:ascii="Times New Roman" w:hAnsi="Times New Roman" w:cs="Times New Roman"/>
          <w:i/>
          <w:iCs/>
          <w:sz w:val="28"/>
          <w:szCs w:val="28"/>
        </w:rPr>
        <w:t>startup</w:t>
      </w:r>
      <w:r>
        <w:rPr>
          <w:rFonts w:ascii="Times New Roman" w:hAnsi="Times New Roman" w:cs="Times New Roman"/>
          <w:sz w:val="28"/>
          <w:szCs w:val="28"/>
        </w:rPr>
        <w:t xml:space="preserve"> più agguerrite di altre nel modo in cui comunicano i loro risultati, per ora nessuno sviluppatore o ricercatore serio propone di sostituire le conoscenze e le capacità diagnostiche di un medico con un sistema </w:t>
      </w:r>
      <w:r w:rsidR="000D268B">
        <w:rPr>
          <w:rFonts w:ascii="Times New Roman" w:hAnsi="Times New Roman" w:cs="Times New Roman"/>
          <w:sz w:val="28"/>
          <w:szCs w:val="28"/>
        </w:rPr>
        <w:t xml:space="preserve">per l’analisi della propria voce. L’idea è di utilizzare questi sistemi come una risorsa aggiuntiva per fare le diagnosi, inserendoli, quindi, tra gli strumenti di cui dispongono i medici per svolgere la propria professione. </w:t>
      </w:r>
    </w:p>
    <w:p w14:paraId="34822645" w14:textId="1A53D52A" w:rsidR="000D268B" w:rsidRPr="00F60E91" w:rsidRDefault="000D268B"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t>Seppure non sia ancora molto evoluta, questa tecnologia pone, comunque, non pochi problemi etici e legati alla tutela della privacy, soprattutto in un settore delicato come quello della salute. Nulla impedirebbe</w:t>
      </w:r>
      <w:r w:rsidR="00F37B17">
        <w:rPr>
          <w:rFonts w:ascii="Times New Roman" w:hAnsi="Times New Roman" w:cs="Times New Roman"/>
          <w:sz w:val="28"/>
          <w:szCs w:val="28"/>
        </w:rPr>
        <w:t>,</w:t>
      </w:r>
      <w:r w:rsidRPr="00F60E91">
        <w:rPr>
          <w:rFonts w:ascii="Times New Roman" w:hAnsi="Times New Roman" w:cs="Times New Roman"/>
          <w:sz w:val="28"/>
          <w:szCs w:val="28"/>
        </w:rPr>
        <w:t xml:space="preserve"> un domani</w:t>
      </w:r>
      <w:r w:rsidR="00F37B17">
        <w:rPr>
          <w:rFonts w:ascii="Times New Roman" w:hAnsi="Times New Roman" w:cs="Times New Roman"/>
          <w:sz w:val="28"/>
          <w:szCs w:val="28"/>
        </w:rPr>
        <w:t>,</w:t>
      </w:r>
      <w:r w:rsidRPr="00F60E91">
        <w:rPr>
          <w:rFonts w:ascii="Times New Roman" w:hAnsi="Times New Roman" w:cs="Times New Roman"/>
          <w:sz w:val="28"/>
          <w:szCs w:val="28"/>
        </w:rPr>
        <w:t xml:space="preserve"> di utilizzare un sistema di diagnostica vocale per scoprire dalla registrazione della voce di qualcuno se sia malato o meno. Informazioni di questo tipo, raccolte senza esplicito consenso, potrebbero essere utilizzate da un’azienda per decidere se assumere qualcuno, oppure da una compagnia di assicurazione per concedere o meno una polizza sulla vita.</w:t>
      </w:r>
    </w:p>
    <w:p w14:paraId="3A496B21" w14:textId="540215FD" w:rsidR="000D268B" w:rsidRDefault="000D268B"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t>Una tecnologia non è di per sé cattiva</w:t>
      </w:r>
      <w:r w:rsidR="00F37B17">
        <w:rPr>
          <w:rFonts w:ascii="Times New Roman" w:hAnsi="Times New Roman" w:cs="Times New Roman"/>
          <w:sz w:val="28"/>
          <w:szCs w:val="28"/>
        </w:rPr>
        <w:t>:</w:t>
      </w:r>
      <w:r w:rsidRPr="00F60E91">
        <w:rPr>
          <w:rFonts w:ascii="Times New Roman" w:hAnsi="Times New Roman" w:cs="Times New Roman"/>
          <w:sz w:val="28"/>
          <w:szCs w:val="28"/>
        </w:rPr>
        <w:t xml:space="preserve"> dipende dall’uso che se ne fa e da come si decide di normarne gli impieghi. Nel caso della diagnostica vocale</w:t>
      </w:r>
      <w:r w:rsidR="00F60E91" w:rsidRPr="00F60E91">
        <w:rPr>
          <w:rFonts w:ascii="Times New Roman" w:hAnsi="Times New Roman" w:cs="Times New Roman"/>
          <w:sz w:val="28"/>
          <w:szCs w:val="28"/>
        </w:rPr>
        <w:t>,</w:t>
      </w:r>
      <w:r w:rsidRPr="00F60E91">
        <w:rPr>
          <w:rFonts w:ascii="Times New Roman" w:hAnsi="Times New Roman" w:cs="Times New Roman"/>
          <w:sz w:val="28"/>
          <w:szCs w:val="28"/>
        </w:rPr>
        <w:t xml:space="preserve"> </w:t>
      </w:r>
      <w:r w:rsidR="000C70BC" w:rsidRPr="00F60E91">
        <w:rPr>
          <w:rFonts w:ascii="Times New Roman" w:hAnsi="Times New Roman" w:cs="Times New Roman"/>
          <w:sz w:val="28"/>
          <w:szCs w:val="28"/>
        </w:rPr>
        <w:t>c’è</w:t>
      </w:r>
      <w:r w:rsidRPr="00F60E91">
        <w:rPr>
          <w:rFonts w:ascii="Times New Roman" w:hAnsi="Times New Roman" w:cs="Times New Roman"/>
          <w:sz w:val="28"/>
          <w:szCs w:val="28"/>
        </w:rPr>
        <w:t xml:space="preserve"> ancora tempo prima di avere soluzioni pratiche affidabili a sufficienza, ma secondo gli esperti questo non dovrebbe distogliere dalla necessità di iniziare a parlarne</w:t>
      </w:r>
      <w:r w:rsidR="00F37B17">
        <w:rPr>
          <w:rFonts w:ascii="Times New Roman" w:hAnsi="Times New Roman" w:cs="Times New Roman"/>
          <w:sz w:val="28"/>
          <w:szCs w:val="28"/>
        </w:rPr>
        <w:t>,</w:t>
      </w:r>
      <w:r w:rsidRPr="00F60E91">
        <w:rPr>
          <w:rFonts w:ascii="Times New Roman" w:hAnsi="Times New Roman" w:cs="Times New Roman"/>
          <w:sz w:val="28"/>
          <w:szCs w:val="28"/>
        </w:rPr>
        <w:t xml:space="preserve"> e soprattutto di valutare come metterla in pratica per trarne benefici</w:t>
      </w:r>
      <w:r w:rsidR="00F60E91" w:rsidRPr="00F60E91">
        <w:rPr>
          <w:rFonts w:ascii="Times New Roman" w:hAnsi="Times New Roman" w:cs="Times New Roman"/>
          <w:sz w:val="28"/>
          <w:szCs w:val="28"/>
        </w:rPr>
        <w:t xml:space="preserve">, </w:t>
      </w:r>
      <w:r w:rsidRPr="00F60E91">
        <w:rPr>
          <w:rFonts w:ascii="Times New Roman" w:hAnsi="Times New Roman" w:cs="Times New Roman"/>
          <w:sz w:val="28"/>
          <w:szCs w:val="28"/>
        </w:rPr>
        <w:t>riducendo al minimo i rischi.</w:t>
      </w:r>
    </w:p>
    <w:p w14:paraId="6F127010" w14:textId="77777777" w:rsidR="00F37B17" w:rsidRPr="00F60E91" w:rsidRDefault="00F37B17" w:rsidP="00F60E91">
      <w:pPr>
        <w:tabs>
          <w:tab w:val="left" w:pos="8364"/>
        </w:tabs>
        <w:spacing w:after="0"/>
        <w:jc w:val="both"/>
        <w:rPr>
          <w:rFonts w:ascii="Times New Roman" w:hAnsi="Times New Roman" w:cs="Times New Roman"/>
          <w:sz w:val="28"/>
          <w:szCs w:val="28"/>
        </w:rPr>
      </w:pPr>
    </w:p>
    <w:p w14:paraId="06F68DEA" w14:textId="12B25E12" w:rsidR="00FB4D44" w:rsidRPr="00F60E91" w:rsidRDefault="00FB4D44"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t>L’utilizzo dell</w:t>
      </w:r>
      <w:r w:rsidR="00F60E91" w:rsidRPr="00F60E91">
        <w:rPr>
          <w:rFonts w:ascii="Times New Roman" w:hAnsi="Times New Roman" w:cs="Times New Roman"/>
          <w:sz w:val="28"/>
          <w:szCs w:val="28"/>
        </w:rPr>
        <w:t>’</w:t>
      </w:r>
      <w:r w:rsidRPr="00F60E91">
        <w:rPr>
          <w:rFonts w:ascii="Times New Roman" w:hAnsi="Times New Roman" w:cs="Times New Roman"/>
          <w:sz w:val="28"/>
          <w:szCs w:val="28"/>
        </w:rPr>
        <w:t>intelligenza artificiale non si limita al campo della medicina, ma può generare</w:t>
      </w:r>
      <w:r w:rsidR="00F60E91" w:rsidRPr="00F60E91">
        <w:rPr>
          <w:rFonts w:ascii="Times New Roman" w:hAnsi="Times New Roman" w:cs="Times New Roman"/>
          <w:sz w:val="28"/>
          <w:szCs w:val="28"/>
        </w:rPr>
        <w:t>,</w:t>
      </w:r>
      <w:r w:rsidRPr="00F60E91">
        <w:rPr>
          <w:rFonts w:ascii="Times New Roman" w:hAnsi="Times New Roman" w:cs="Times New Roman"/>
          <w:sz w:val="28"/>
          <w:szCs w:val="28"/>
        </w:rPr>
        <w:t xml:space="preserve"> in tutti i campi</w:t>
      </w:r>
      <w:r w:rsidR="00F60E91" w:rsidRPr="00F60E91">
        <w:rPr>
          <w:rFonts w:ascii="Times New Roman" w:hAnsi="Times New Roman" w:cs="Times New Roman"/>
          <w:sz w:val="28"/>
          <w:szCs w:val="28"/>
        </w:rPr>
        <w:t>,</w:t>
      </w:r>
      <w:r w:rsidRPr="00F60E91">
        <w:rPr>
          <w:rFonts w:ascii="Times New Roman" w:hAnsi="Times New Roman" w:cs="Times New Roman"/>
          <w:sz w:val="28"/>
          <w:szCs w:val="28"/>
        </w:rPr>
        <w:t xml:space="preserve"> ipotesi a cui gli umani non avevano mai pensato</w:t>
      </w:r>
      <w:r w:rsidR="009E50B9">
        <w:rPr>
          <w:rStyle w:val="Rimandonotaapidipagina"/>
          <w:rFonts w:ascii="Times New Roman" w:hAnsi="Times New Roman" w:cs="Times New Roman"/>
          <w:sz w:val="28"/>
          <w:szCs w:val="28"/>
        </w:rPr>
        <w:footnoteReference w:id="91"/>
      </w:r>
      <w:r w:rsidRPr="00F60E91">
        <w:rPr>
          <w:rFonts w:ascii="Times New Roman" w:hAnsi="Times New Roman" w:cs="Times New Roman"/>
          <w:sz w:val="28"/>
          <w:szCs w:val="28"/>
        </w:rPr>
        <w:t>.</w:t>
      </w:r>
    </w:p>
    <w:p w14:paraId="166FDD31" w14:textId="77777777" w:rsidR="00F37B17" w:rsidRDefault="00FB4D44"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lastRenderedPageBreak/>
        <w:t xml:space="preserve">Facciamo qualche esempio recente. </w:t>
      </w:r>
    </w:p>
    <w:p w14:paraId="50373FC7" w14:textId="77777777" w:rsidR="0032745D" w:rsidRDefault="00FB4D44"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t>Stiamo vedendo una diffusione rapida dei veicoli elettrici</w:t>
      </w:r>
      <w:r w:rsidR="00C90EF6">
        <w:rPr>
          <w:rStyle w:val="Rimandonotaapidipagina"/>
          <w:rFonts w:ascii="Times New Roman" w:hAnsi="Times New Roman" w:cs="Times New Roman"/>
          <w:sz w:val="28"/>
          <w:szCs w:val="28"/>
        </w:rPr>
        <w:footnoteReference w:id="92"/>
      </w:r>
      <w:r w:rsidR="0032745D">
        <w:rPr>
          <w:rFonts w:ascii="Times New Roman" w:hAnsi="Times New Roman" w:cs="Times New Roman"/>
          <w:sz w:val="28"/>
          <w:szCs w:val="28"/>
        </w:rPr>
        <w:t>;</w:t>
      </w:r>
      <w:r w:rsidRPr="00F60E91">
        <w:rPr>
          <w:rFonts w:ascii="Times New Roman" w:hAnsi="Times New Roman" w:cs="Times New Roman"/>
          <w:sz w:val="28"/>
          <w:szCs w:val="28"/>
        </w:rPr>
        <w:t xml:space="preserve"> c’è tuttavia un problema anche nella transizione ecologica: le case automobilistiche stanno esaurendo i materiali per fabbricare le batterie. Il nichel, infatti, potrebbe causare carenze di approvvigionamento già alla fine di quest’anno. Così per le terre rare, il litio, il </w:t>
      </w:r>
      <w:proofErr w:type="spellStart"/>
      <w:r w:rsidRPr="00F60E91">
        <w:rPr>
          <w:rFonts w:ascii="Times New Roman" w:hAnsi="Times New Roman" w:cs="Times New Roman"/>
          <w:sz w:val="28"/>
          <w:szCs w:val="28"/>
        </w:rPr>
        <w:t>coltan</w:t>
      </w:r>
      <w:proofErr w:type="spellEnd"/>
      <w:r w:rsidRPr="00F60E91">
        <w:rPr>
          <w:rFonts w:ascii="Times New Roman" w:hAnsi="Times New Roman" w:cs="Times New Roman"/>
          <w:sz w:val="28"/>
          <w:szCs w:val="28"/>
        </w:rPr>
        <w:t xml:space="preserve">, i semiconduttori. </w:t>
      </w:r>
    </w:p>
    <w:p w14:paraId="018696B8" w14:textId="2B03EA10" w:rsidR="00FB4D44" w:rsidRPr="00F60E91" w:rsidRDefault="00FB4D44"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t>Cosa fare? L’intelligenza artificiale può dare una risposta</w:t>
      </w:r>
      <w:r w:rsidR="00FE6947">
        <w:rPr>
          <w:rStyle w:val="Rimandonotaapidipagina"/>
          <w:rFonts w:ascii="Times New Roman" w:hAnsi="Times New Roman" w:cs="Times New Roman"/>
          <w:sz w:val="28"/>
          <w:szCs w:val="28"/>
        </w:rPr>
        <w:footnoteReference w:id="93"/>
      </w:r>
      <w:r w:rsidRPr="00F60E91">
        <w:rPr>
          <w:rFonts w:ascii="Times New Roman" w:hAnsi="Times New Roman" w:cs="Times New Roman"/>
          <w:sz w:val="28"/>
          <w:szCs w:val="28"/>
        </w:rPr>
        <w:t>.</w:t>
      </w:r>
    </w:p>
    <w:p w14:paraId="09144608" w14:textId="51C5676D" w:rsidR="00FB4D44" w:rsidRPr="00F60E91" w:rsidRDefault="00FB4D44"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t>Affidandosi all’IA</w:t>
      </w:r>
      <w:r w:rsidR="00F37B17">
        <w:rPr>
          <w:rFonts w:ascii="Times New Roman" w:hAnsi="Times New Roman" w:cs="Times New Roman"/>
          <w:sz w:val="28"/>
          <w:szCs w:val="28"/>
        </w:rPr>
        <w:t>,</w:t>
      </w:r>
      <w:r w:rsidRPr="00F60E91">
        <w:rPr>
          <w:rFonts w:ascii="Times New Roman" w:hAnsi="Times New Roman" w:cs="Times New Roman"/>
          <w:sz w:val="28"/>
          <w:szCs w:val="28"/>
        </w:rPr>
        <w:t xml:space="preserve"> gli scienziati dell’Università di Liverpool in Inghilterra hanno fatto esaminare 300 sostanze chimiche a un algoritmo; quest’ultimo è riuscito a trovare quattro nuovi materiali che potrebbero aiutare gli esperti nella creazione di nuove batterie per i veicoli elettrici in futuro (proprio per questo motivo</w:t>
      </w:r>
      <w:r w:rsidR="00F37B17">
        <w:rPr>
          <w:rFonts w:ascii="Times New Roman" w:hAnsi="Times New Roman" w:cs="Times New Roman"/>
          <w:sz w:val="28"/>
          <w:szCs w:val="28"/>
        </w:rPr>
        <w:t>,</w:t>
      </w:r>
      <w:r w:rsidRPr="00F60E91">
        <w:rPr>
          <w:rFonts w:ascii="Times New Roman" w:hAnsi="Times New Roman" w:cs="Times New Roman"/>
          <w:sz w:val="28"/>
          <w:szCs w:val="28"/>
        </w:rPr>
        <w:t xml:space="preserve"> secondo un ex dirigente Google</w:t>
      </w:r>
      <w:r w:rsidR="00F37B17">
        <w:rPr>
          <w:rFonts w:ascii="Times New Roman" w:hAnsi="Times New Roman" w:cs="Times New Roman"/>
          <w:sz w:val="28"/>
          <w:szCs w:val="28"/>
        </w:rPr>
        <w:t>,</w:t>
      </w:r>
      <w:r w:rsidRPr="00F60E91">
        <w:rPr>
          <w:rFonts w:ascii="Times New Roman" w:hAnsi="Times New Roman" w:cs="Times New Roman"/>
          <w:sz w:val="28"/>
          <w:szCs w:val="28"/>
        </w:rPr>
        <w:t xml:space="preserve"> si sta creando Dio, espressione forte ed inq</w:t>
      </w:r>
      <w:r w:rsidR="00066100" w:rsidRPr="00F60E91">
        <w:rPr>
          <w:rFonts w:ascii="Times New Roman" w:hAnsi="Times New Roman" w:cs="Times New Roman"/>
          <w:sz w:val="28"/>
          <w:szCs w:val="28"/>
        </w:rPr>
        <w:t>ui</w:t>
      </w:r>
      <w:r w:rsidRPr="00F60E91">
        <w:rPr>
          <w:rFonts w:ascii="Times New Roman" w:hAnsi="Times New Roman" w:cs="Times New Roman"/>
          <w:sz w:val="28"/>
          <w:szCs w:val="28"/>
        </w:rPr>
        <w:t>etante)</w:t>
      </w:r>
      <w:r w:rsidR="009B74C2">
        <w:rPr>
          <w:rStyle w:val="Rimandonotaapidipagina"/>
          <w:rFonts w:ascii="Times New Roman" w:hAnsi="Times New Roman" w:cs="Times New Roman"/>
          <w:sz w:val="28"/>
          <w:szCs w:val="28"/>
        </w:rPr>
        <w:footnoteReference w:id="94"/>
      </w:r>
      <w:r w:rsidRPr="00F60E91">
        <w:rPr>
          <w:rFonts w:ascii="Times New Roman" w:hAnsi="Times New Roman" w:cs="Times New Roman"/>
          <w:sz w:val="28"/>
          <w:szCs w:val="28"/>
        </w:rPr>
        <w:t>.</w:t>
      </w:r>
      <w:r w:rsidR="001830AA" w:rsidRPr="00F60E91">
        <w:rPr>
          <w:rFonts w:ascii="Times New Roman" w:hAnsi="Times New Roman" w:cs="Times New Roman"/>
          <w:sz w:val="28"/>
          <w:szCs w:val="28"/>
        </w:rPr>
        <w:t xml:space="preserve"> </w:t>
      </w:r>
    </w:p>
    <w:p w14:paraId="50DACCEE" w14:textId="522EF373" w:rsidR="00C044D9" w:rsidRPr="00F60E91" w:rsidRDefault="00C044D9"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i/>
          <w:iCs/>
          <w:sz w:val="28"/>
          <w:szCs w:val="28"/>
        </w:rPr>
        <w:lastRenderedPageBreak/>
        <w:t xml:space="preserve">Renato </w:t>
      </w:r>
      <w:proofErr w:type="spellStart"/>
      <w:r w:rsidR="000C70BC" w:rsidRPr="00F60E91">
        <w:rPr>
          <w:rFonts w:ascii="Times New Roman" w:hAnsi="Times New Roman" w:cs="Times New Roman"/>
          <w:i/>
          <w:iCs/>
          <w:sz w:val="28"/>
          <w:szCs w:val="28"/>
        </w:rPr>
        <w:t>Renner</w:t>
      </w:r>
      <w:proofErr w:type="spellEnd"/>
      <w:r w:rsidR="000C70BC" w:rsidRPr="00F60E91">
        <w:rPr>
          <w:rFonts w:ascii="Times New Roman" w:hAnsi="Times New Roman" w:cs="Times New Roman"/>
          <w:sz w:val="28"/>
          <w:szCs w:val="28"/>
        </w:rPr>
        <w:t>, fisico</w:t>
      </w:r>
      <w:r w:rsidRPr="00F60E91">
        <w:rPr>
          <w:rFonts w:ascii="Times New Roman" w:hAnsi="Times New Roman" w:cs="Times New Roman"/>
          <w:sz w:val="28"/>
          <w:szCs w:val="28"/>
        </w:rPr>
        <w:t xml:space="preserve"> dell’Istituto di fisica teorica di Zurigo, ha dichiarato che spera</w:t>
      </w:r>
      <w:r w:rsidR="00F37B17">
        <w:rPr>
          <w:rFonts w:ascii="Times New Roman" w:hAnsi="Times New Roman" w:cs="Times New Roman"/>
          <w:sz w:val="28"/>
          <w:szCs w:val="28"/>
        </w:rPr>
        <w:t>,</w:t>
      </w:r>
      <w:r w:rsidRPr="00F60E91">
        <w:rPr>
          <w:rFonts w:ascii="Times New Roman" w:hAnsi="Times New Roman" w:cs="Times New Roman"/>
          <w:sz w:val="28"/>
          <w:szCs w:val="28"/>
        </w:rPr>
        <w:t xml:space="preserve"> un giorno</w:t>
      </w:r>
      <w:r w:rsidR="00F37B17">
        <w:rPr>
          <w:rFonts w:ascii="Times New Roman" w:hAnsi="Times New Roman" w:cs="Times New Roman"/>
          <w:sz w:val="28"/>
          <w:szCs w:val="28"/>
        </w:rPr>
        <w:t>,</w:t>
      </w:r>
      <w:r w:rsidRPr="00F60E91">
        <w:rPr>
          <w:rFonts w:ascii="Times New Roman" w:hAnsi="Times New Roman" w:cs="Times New Roman"/>
          <w:sz w:val="28"/>
          <w:szCs w:val="28"/>
        </w:rPr>
        <w:t xml:space="preserve"> di utilizzare l’apprendimento automatico per sviluppare una teoria unificata del funzionamento dell’Universo.</w:t>
      </w:r>
      <w:r w:rsidR="000066F3" w:rsidRPr="00F60E91">
        <w:rPr>
          <w:rFonts w:ascii="Times New Roman" w:hAnsi="Times New Roman" w:cs="Times New Roman"/>
          <w:sz w:val="28"/>
          <w:szCs w:val="28"/>
        </w:rPr>
        <w:t xml:space="preserve"> </w:t>
      </w:r>
    </w:p>
    <w:p w14:paraId="1AE98562" w14:textId="77777777" w:rsidR="000B47C0" w:rsidRDefault="00C044D9"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t>Una domanda allora sorge spontanea: l’IA</w:t>
      </w:r>
      <w:r w:rsidR="00F37B17">
        <w:rPr>
          <w:rFonts w:ascii="Times New Roman" w:hAnsi="Times New Roman" w:cs="Times New Roman"/>
          <w:sz w:val="28"/>
          <w:szCs w:val="28"/>
        </w:rPr>
        <w:t>,</w:t>
      </w:r>
      <w:r w:rsidRPr="00F60E91">
        <w:rPr>
          <w:rFonts w:ascii="Times New Roman" w:hAnsi="Times New Roman" w:cs="Times New Roman"/>
          <w:sz w:val="28"/>
          <w:szCs w:val="28"/>
        </w:rPr>
        <w:t xml:space="preserve"> in futuro</w:t>
      </w:r>
      <w:r w:rsidR="00F37B17">
        <w:rPr>
          <w:rFonts w:ascii="Times New Roman" w:hAnsi="Times New Roman" w:cs="Times New Roman"/>
          <w:sz w:val="28"/>
          <w:szCs w:val="28"/>
        </w:rPr>
        <w:t>,</w:t>
      </w:r>
      <w:r w:rsidRPr="00F60E91">
        <w:rPr>
          <w:rFonts w:ascii="Times New Roman" w:hAnsi="Times New Roman" w:cs="Times New Roman"/>
          <w:sz w:val="28"/>
          <w:szCs w:val="28"/>
        </w:rPr>
        <w:t xml:space="preserve"> potrebbe </w:t>
      </w:r>
      <w:proofErr w:type="spellStart"/>
      <w:r w:rsidRPr="00F37B17">
        <w:rPr>
          <w:rFonts w:ascii="Times New Roman" w:hAnsi="Times New Roman" w:cs="Times New Roman"/>
          <w:i/>
          <w:iCs/>
          <w:sz w:val="28"/>
          <w:szCs w:val="28"/>
        </w:rPr>
        <w:t>hackerare</w:t>
      </w:r>
      <w:proofErr w:type="spellEnd"/>
      <w:r w:rsidRPr="00F60E91">
        <w:rPr>
          <w:rFonts w:ascii="Times New Roman" w:hAnsi="Times New Roman" w:cs="Times New Roman"/>
          <w:sz w:val="28"/>
          <w:szCs w:val="28"/>
        </w:rPr>
        <w:t xml:space="preserve"> il nostro cervello?</w:t>
      </w:r>
      <w:r w:rsidR="0032745D">
        <w:rPr>
          <w:rFonts w:ascii="Times New Roman" w:hAnsi="Times New Roman" w:cs="Times New Roman"/>
          <w:sz w:val="28"/>
          <w:szCs w:val="28"/>
        </w:rPr>
        <w:t xml:space="preserve"> </w:t>
      </w:r>
    </w:p>
    <w:p w14:paraId="763CA819" w14:textId="5AAF8761" w:rsidR="00C044D9" w:rsidRPr="00F60E91" w:rsidRDefault="00C044D9"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t xml:space="preserve">Il professore israeliano </w:t>
      </w:r>
      <w:proofErr w:type="spellStart"/>
      <w:r w:rsidRPr="00F60E91">
        <w:rPr>
          <w:rFonts w:ascii="Times New Roman" w:hAnsi="Times New Roman" w:cs="Times New Roman"/>
          <w:i/>
          <w:iCs/>
          <w:sz w:val="28"/>
          <w:szCs w:val="28"/>
        </w:rPr>
        <w:t>Yuval</w:t>
      </w:r>
      <w:proofErr w:type="spellEnd"/>
      <w:r w:rsidRPr="00F60E91">
        <w:rPr>
          <w:rFonts w:ascii="Times New Roman" w:hAnsi="Times New Roman" w:cs="Times New Roman"/>
          <w:i/>
          <w:iCs/>
          <w:sz w:val="28"/>
          <w:szCs w:val="28"/>
        </w:rPr>
        <w:t xml:space="preserve"> </w:t>
      </w:r>
      <w:proofErr w:type="spellStart"/>
      <w:r w:rsidRPr="00F60E91">
        <w:rPr>
          <w:rFonts w:ascii="Times New Roman" w:hAnsi="Times New Roman" w:cs="Times New Roman"/>
          <w:i/>
          <w:iCs/>
          <w:sz w:val="28"/>
          <w:szCs w:val="28"/>
        </w:rPr>
        <w:t>Noah</w:t>
      </w:r>
      <w:proofErr w:type="spellEnd"/>
      <w:r w:rsidRPr="00F60E91">
        <w:rPr>
          <w:rFonts w:ascii="Times New Roman" w:hAnsi="Times New Roman" w:cs="Times New Roman"/>
          <w:i/>
          <w:iCs/>
          <w:sz w:val="28"/>
          <w:szCs w:val="28"/>
        </w:rPr>
        <w:t xml:space="preserve"> </w:t>
      </w:r>
      <w:proofErr w:type="spellStart"/>
      <w:r w:rsidRPr="00F60E91">
        <w:rPr>
          <w:rFonts w:ascii="Times New Roman" w:hAnsi="Times New Roman" w:cs="Times New Roman"/>
          <w:i/>
          <w:iCs/>
          <w:sz w:val="28"/>
          <w:szCs w:val="28"/>
        </w:rPr>
        <w:t>Harari</w:t>
      </w:r>
      <w:proofErr w:type="spellEnd"/>
      <w:r w:rsidRPr="00F60E91">
        <w:rPr>
          <w:rFonts w:ascii="Times New Roman" w:hAnsi="Times New Roman" w:cs="Times New Roman"/>
          <w:sz w:val="28"/>
          <w:szCs w:val="28"/>
        </w:rPr>
        <w:t xml:space="preserve"> è autore di alcuni grandi </w:t>
      </w:r>
      <w:proofErr w:type="spellStart"/>
      <w:r w:rsidRPr="00F37B17">
        <w:rPr>
          <w:rFonts w:ascii="Times New Roman" w:hAnsi="Times New Roman" w:cs="Times New Roman"/>
          <w:i/>
          <w:iCs/>
          <w:sz w:val="28"/>
          <w:szCs w:val="28"/>
        </w:rPr>
        <w:t>bestsellers</w:t>
      </w:r>
      <w:proofErr w:type="spellEnd"/>
      <w:r w:rsidRPr="00F60E91">
        <w:rPr>
          <w:rFonts w:ascii="Times New Roman" w:hAnsi="Times New Roman" w:cs="Times New Roman"/>
          <w:sz w:val="28"/>
          <w:szCs w:val="28"/>
        </w:rPr>
        <w:t xml:space="preserve"> come “</w:t>
      </w:r>
      <w:r w:rsidRPr="00F60E91">
        <w:rPr>
          <w:rFonts w:ascii="Times New Roman" w:hAnsi="Times New Roman" w:cs="Times New Roman"/>
          <w:i/>
          <w:iCs/>
          <w:sz w:val="28"/>
          <w:szCs w:val="28"/>
        </w:rPr>
        <w:t>Sapiens</w:t>
      </w:r>
      <w:r w:rsidRPr="00F60E91">
        <w:rPr>
          <w:rFonts w:ascii="Times New Roman" w:hAnsi="Times New Roman" w:cs="Times New Roman"/>
          <w:sz w:val="28"/>
          <w:szCs w:val="28"/>
        </w:rPr>
        <w:t>”, “</w:t>
      </w:r>
      <w:r w:rsidRPr="00F60E91">
        <w:rPr>
          <w:rFonts w:ascii="Times New Roman" w:hAnsi="Times New Roman" w:cs="Times New Roman"/>
          <w:i/>
          <w:iCs/>
          <w:sz w:val="28"/>
          <w:szCs w:val="28"/>
        </w:rPr>
        <w:t>Homo Deus</w:t>
      </w:r>
      <w:r w:rsidRPr="00F60E91">
        <w:rPr>
          <w:rFonts w:ascii="Times New Roman" w:hAnsi="Times New Roman" w:cs="Times New Roman"/>
          <w:sz w:val="28"/>
          <w:szCs w:val="28"/>
        </w:rPr>
        <w:t>” o “</w:t>
      </w:r>
      <w:r w:rsidRPr="00F60E91">
        <w:rPr>
          <w:rFonts w:ascii="Times New Roman" w:hAnsi="Times New Roman" w:cs="Times New Roman"/>
          <w:i/>
          <w:iCs/>
          <w:sz w:val="28"/>
          <w:szCs w:val="28"/>
        </w:rPr>
        <w:t xml:space="preserve">21 lezioni per il </w:t>
      </w:r>
      <w:r w:rsidR="000066F3" w:rsidRPr="00F60E91">
        <w:rPr>
          <w:rFonts w:ascii="Times New Roman" w:hAnsi="Times New Roman" w:cs="Times New Roman"/>
          <w:i/>
          <w:iCs/>
          <w:sz w:val="28"/>
          <w:szCs w:val="28"/>
        </w:rPr>
        <w:t>XXI</w:t>
      </w:r>
      <w:r w:rsidR="000066F3" w:rsidRPr="00F60E91">
        <w:rPr>
          <w:rFonts w:ascii="Times New Roman" w:hAnsi="Times New Roman" w:cs="Times New Roman"/>
          <w:sz w:val="28"/>
          <w:szCs w:val="28"/>
        </w:rPr>
        <w:t xml:space="preserve">”. I suoi libri hanno venduto 35 milioni di copie in 65 lingue, consacrando </w:t>
      </w:r>
      <w:proofErr w:type="spellStart"/>
      <w:r w:rsidR="000066F3" w:rsidRPr="00F60E91">
        <w:rPr>
          <w:rFonts w:ascii="Times New Roman" w:hAnsi="Times New Roman" w:cs="Times New Roman"/>
          <w:sz w:val="28"/>
          <w:szCs w:val="28"/>
        </w:rPr>
        <w:t>Harari</w:t>
      </w:r>
      <w:proofErr w:type="spellEnd"/>
      <w:r w:rsidR="000066F3" w:rsidRPr="00F60E91">
        <w:rPr>
          <w:rFonts w:ascii="Times New Roman" w:hAnsi="Times New Roman" w:cs="Times New Roman"/>
          <w:sz w:val="28"/>
          <w:szCs w:val="28"/>
        </w:rPr>
        <w:t xml:space="preserve"> nel Novero dei divulgatori scientifici di fama mondiale. L’autore</w:t>
      </w:r>
      <w:r w:rsidR="00F37B17">
        <w:rPr>
          <w:rFonts w:ascii="Times New Roman" w:hAnsi="Times New Roman" w:cs="Times New Roman"/>
          <w:sz w:val="28"/>
          <w:szCs w:val="28"/>
        </w:rPr>
        <w:t>,</w:t>
      </w:r>
      <w:r w:rsidR="000066F3" w:rsidRPr="00F60E91">
        <w:rPr>
          <w:rFonts w:ascii="Times New Roman" w:hAnsi="Times New Roman" w:cs="Times New Roman"/>
          <w:sz w:val="28"/>
          <w:szCs w:val="28"/>
        </w:rPr>
        <w:t xml:space="preserve"> in passato</w:t>
      </w:r>
      <w:r w:rsidR="00F37B17">
        <w:rPr>
          <w:rFonts w:ascii="Times New Roman" w:hAnsi="Times New Roman" w:cs="Times New Roman"/>
          <w:sz w:val="28"/>
          <w:szCs w:val="28"/>
        </w:rPr>
        <w:t>,</w:t>
      </w:r>
      <w:r w:rsidR="000066F3" w:rsidRPr="00F60E91">
        <w:rPr>
          <w:rFonts w:ascii="Times New Roman" w:hAnsi="Times New Roman" w:cs="Times New Roman"/>
          <w:sz w:val="28"/>
          <w:szCs w:val="28"/>
        </w:rPr>
        <w:t xml:space="preserve"> ha espresso molta preoccupazione per l</w:t>
      </w:r>
      <w:r w:rsidR="00F37B17">
        <w:rPr>
          <w:rFonts w:ascii="Times New Roman" w:hAnsi="Times New Roman" w:cs="Times New Roman"/>
          <w:sz w:val="28"/>
          <w:szCs w:val="28"/>
        </w:rPr>
        <w:t>’</w:t>
      </w:r>
      <w:r w:rsidR="000066F3" w:rsidRPr="00F60E91">
        <w:rPr>
          <w:rFonts w:ascii="Times New Roman" w:hAnsi="Times New Roman" w:cs="Times New Roman"/>
          <w:sz w:val="28"/>
          <w:szCs w:val="28"/>
        </w:rPr>
        <w:t xml:space="preserve">intelligenza artificiale e la </w:t>
      </w:r>
      <w:r w:rsidR="000C70BC" w:rsidRPr="00F60E91">
        <w:rPr>
          <w:rFonts w:ascii="Times New Roman" w:hAnsi="Times New Roman" w:cs="Times New Roman"/>
          <w:sz w:val="28"/>
          <w:szCs w:val="28"/>
        </w:rPr>
        <w:t>bioingegneria</w:t>
      </w:r>
      <w:r w:rsidR="00F37B17">
        <w:rPr>
          <w:rFonts w:ascii="Times New Roman" w:hAnsi="Times New Roman" w:cs="Times New Roman"/>
          <w:sz w:val="28"/>
          <w:szCs w:val="28"/>
        </w:rPr>
        <w:t>,</w:t>
      </w:r>
      <w:r w:rsidR="000066F3" w:rsidRPr="00F60E91">
        <w:rPr>
          <w:rFonts w:ascii="Times New Roman" w:hAnsi="Times New Roman" w:cs="Times New Roman"/>
          <w:sz w:val="28"/>
          <w:szCs w:val="28"/>
        </w:rPr>
        <w:t xml:space="preserve"> sostenendo la necessità di una previdente e sensata regolamentazione. Secondo </w:t>
      </w:r>
      <w:proofErr w:type="spellStart"/>
      <w:r w:rsidR="000066F3" w:rsidRPr="00F60E91">
        <w:rPr>
          <w:rFonts w:ascii="Times New Roman" w:hAnsi="Times New Roman" w:cs="Times New Roman"/>
          <w:sz w:val="28"/>
          <w:szCs w:val="28"/>
        </w:rPr>
        <w:t>Harari</w:t>
      </w:r>
      <w:proofErr w:type="spellEnd"/>
      <w:r w:rsidR="00F37B17">
        <w:rPr>
          <w:rFonts w:ascii="Times New Roman" w:hAnsi="Times New Roman" w:cs="Times New Roman"/>
          <w:sz w:val="28"/>
          <w:szCs w:val="28"/>
        </w:rPr>
        <w:t>,</w:t>
      </w:r>
      <w:r w:rsidR="000066F3" w:rsidRPr="00F60E91">
        <w:rPr>
          <w:rFonts w:ascii="Times New Roman" w:hAnsi="Times New Roman" w:cs="Times New Roman"/>
          <w:sz w:val="28"/>
          <w:szCs w:val="28"/>
        </w:rPr>
        <w:t xml:space="preserve"> senza la fissazione di precisi limiti normativi, i cervelli umani potrebbero essere violati dalla IA da loro stessi creati.</w:t>
      </w:r>
    </w:p>
    <w:p w14:paraId="16B77CD9" w14:textId="53FAF503" w:rsidR="000066F3" w:rsidRPr="00F60E91" w:rsidRDefault="000066F3"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t>“</w:t>
      </w:r>
      <w:r w:rsidRPr="00F60E91">
        <w:rPr>
          <w:rFonts w:ascii="Times New Roman" w:hAnsi="Times New Roman" w:cs="Times New Roman"/>
          <w:i/>
          <w:iCs/>
          <w:sz w:val="28"/>
          <w:szCs w:val="28"/>
        </w:rPr>
        <w:t>Quello che abbiamo visto finora sono società e governi che raccolgono dati su dove andiamo, chi incontriamo e quali film guardiamo. La fase successiva è la sorveglianza che ci va sotto la pelle</w:t>
      </w:r>
      <w:r w:rsidRPr="00F37B17">
        <w:rPr>
          <w:rFonts w:ascii="Times New Roman" w:hAnsi="Times New Roman" w:cs="Times New Roman"/>
          <w:sz w:val="28"/>
          <w:szCs w:val="28"/>
        </w:rPr>
        <w:t>”</w:t>
      </w:r>
      <w:r w:rsidRPr="00F60E91">
        <w:rPr>
          <w:rFonts w:ascii="Times New Roman" w:hAnsi="Times New Roman" w:cs="Times New Roman"/>
          <w:i/>
          <w:iCs/>
          <w:sz w:val="28"/>
          <w:szCs w:val="28"/>
        </w:rPr>
        <w:t xml:space="preserve"> </w:t>
      </w:r>
      <w:r w:rsidRPr="00F60E91">
        <w:rPr>
          <w:rFonts w:ascii="Times New Roman" w:hAnsi="Times New Roman" w:cs="Times New Roman"/>
          <w:sz w:val="28"/>
          <w:szCs w:val="28"/>
        </w:rPr>
        <w:t xml:space="preserve">afferma </w:t>
      </w:r>
      <w:proofErr w:type="spellStart"/>
      <w:r w:rsidRPr="00F60E91">
        <w:rPr>
          <w:rFonts w:ascii="Times New Roman" w:hAnsi="Times New Roman" w:cs="Times New Roman"/>
          <w:sz w:val="28"/>
          <w:szCs w:val="28"/>
        </w:rPr>
        <w:t>Harari</w:t>
      </w:r>
      <w:proofErr w:type="spellEnd"/>
      <w:r w:rsidRPr="00F60E91">
        <w:rPr>
          <w:rFonts w:ascii="Times New Roman" w:hAnsi="Times New Roman" w:cs="Times New Roman"/>
          <w:sz w:val="28"/>
          <w:szCs w:val="28"/>
        </w:rPr>
        <w:t>.</w:t>
      </w:r>
    </w:p>
    <w:p w14:paraId="3618F353" w14:textId="3CE5F451" w:rsidR="000066F3" w:rsidRPr="00F60E91" w:rsidRDefault="000066F3" w:rsidP="00F60E91">
      <w:pPr>
        <w:tabs>
          <w:tab w:val="left" w:pos="8364"/>
        </w:tabs>
        <w:spacing w:after="0"/>
        <w:jc w:val="both"/>
        <w:rPr>
          <w:rFonts w:ascii="Times New Roman" w:hAnsi="Times New Roman" w:cs="Times New Roman"/>
          <w:i/>
          <w:iCs/>
          <w:sz w:val="28"/>
          <w:szCs w:val="28"/>
        </w:rPr>
      </w:pPr>
      <w:r w:rsidRPr="00F60E91">
        <w:rPr>
          <w:rFonts w:ascii="Times New Roman" w:hAnsi="Times New Roman" w:cs="Times New Roman"/>
          <w:i/>
          <w:iCs/>
          <w:sz w:val="28"/>
          <w:szCs w:val="28"/>
        </w:rPr>
        <w:t>“Nella guerra fredda c’era la cortina di ferr</w:t>
      </w:r>
      <w:r w:rsidR="000C70BC" w:rsidRPr="00F60E91">
        <w:rPr>
          <w:rFonts w:ascii="Times New Roman" w:hAnsi="Times New Roman" w:cs="Times New Roman"/>
          <w:i/>
          <w:iCs/>
          <w:sz w:val="28"/>
          <w:szCs w:val="28"/>
        </w:rPr>
        <w:t>o</w:t>
      </w:r>
      <w:r w:rsidRPr="00F60E91">
        <w:rPr>
          <w:rFonts w:ascii="Times New Roman" w:hAnsi="Times New Roman" w:cs="Times New Roman"/>
          <w:i/>
          <w:iCs/>
          <w:sz w:val="28"/>
          <w:szCs w:val="28"/>
        </w:rPr>
        <w:t>, ora abbiamo la cortina di silicio. Il mondo è sempre più diviso tra Stati Uniti e Cina, i tuoi dati vanno in California o vanno a Shenzhen?</w:t>
      </w:r>
      <w:r w:rsidRPr="00F37B17">
        <w:rPr>
          <w:rFonts w:ascii="Times New Roman" w:hAnsi="Times New Roman" w:cs="Times New Roman"/>
          <w:sz w:val="28"/>
          <w:szCs w:val="28"/>
        </w:rPr>
        <w:t>”.</w:t>
      </w:r>
    </w:p>
    <w:p w14:paraId="23156511" w14:textId="58DBAB8C" w:rsidR="000066F3" w:rsidRPr="00F60E91" w:rsidRDefault="000066F3"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t xml:space="preserve">Secondo tale scrittore, oggi grandi compagnie come </w:t>
      </w:r>
      <w:proofErr w:type="spellStart"/>
      <w:r w:rsidRPr="00F60E91">
        <w:rPr>
          <w:rFonts w:ascii="Times New Roman" w:hAnsi="Times New Roman" w:cs="Times New Roman"/>
          <w:sz w:val="28"/>
          <w:szCs w:val="28"/>
        </w:rPr>
        <w:t>Netflix</w:t>
      </w:r>
      <w:proofErr w:type="spellEnd"/>
      <w:r w:rsidRPr="00F60E91">
        <w:rPr>
          <w:rFonts w:ascii="Times New Roman" w:hAnsi="Times New Roman" w:cs="Times New Roman"/>
          <w:sz w:val="28"/>
          <w:szCs w:val="28"/>
        </w:rPr>
        <w:t xml:space="preserve"> e Amazon ci dicono cosa guardare e cosa comprare, mentre tra 10, 20 o 30 anni “</w:t>
      </w:r>
      <w:r w:rsidRPr="00F60E91">
        <w:rPr>
          <w:rFonts w:ascii="Times New Roman" w:hAnsi="Times New Roman" w:cs="Times New Roman"/>
          <w:i/>
          <w:iCs/>
          <w:sz w:val="28"/>
          <w:szCs w:val="28"/>
        </w:rPr>
        <w:t>tali algoritmi potrebbero anche dirti cosa studiare all’università, dove lavorare, chi sposare e anche per chi votare</w:t>
      </w:r>
      <w:r w:rsidRPr="00F37B17">
        <w:rPr>
          <w:rFonts w:ascii="Times New Roman" w:hAnsi="Times New Roman" w:cs="Times New Roman"/>
          <w:sz w:val="28"/>
          <w:szCs w:val="28"/>
        </w:rPr>
        <w:t xml:space="preserve">”. </w:t>
      </w:r>
      <w:r w:rsidRPr="00F60E91">
        <w:rPr>
          <w:rFonts w:ascii="Times New Roman" w:hAnsi="Times New Roman" w:cs="Times New Roman"/>
          <w:sz w:val="28"/>
          <w:szCs w:val="28"/>
        </w:rPr>
        <w:t>Cosa fare per mitigare tale rischio? Si deve iniziare a regolamentare l’IA a livello globale</w:t>
      </w:r>
      <w:r w:rsidR="00F44EBD" w:rsidRPr="00F60E91">
        <w:rPr>
          <w:rFonts w:ascii="Times New Roman" w:hAnsi="Times New Roman" w:cs="Times New Roman"/>
          <w:sz w:val="28"/>
          <w:szCs w:val="28"/>
        </w:rPr>
        <w:t xml:space="preserve"> (a livello nazionale, secondo </w:t>
      </w:r>
      <w:proofErr w:type="spellStart"/>
      <w:r w:rsidR="00CC1B9A">
        <w:rPr>
          <w:rFonts w:ascii="Times New Roman" w:hAnsi="Times New Roman" w:cs="Times New Roman"/>
          <w:sz w:val="28"/>
          <w:szCs w:val="28"/>
        </w:rPr>
        <w:t>H</w:t>
      </w:r>
      <w:r w:rsidR="00F44EBD" w:rsidRPr="00F60E91">
        <w:rPr>
          <w:rFonts w:ascii="Times New Roman" w:hAnsi="Times New Roman" w:cs="Times New Roman"/>
          <w:sz w:val="28"/>
          <w:szCs w:val="28"/>
        </w:rPr>
        <w:t>arari</w:t>
      </w:r>
      <w:proofErr w:type="spellEnd"/>
      <w:r w:rsidR="00F44EBD" w:rsidRPr="00F60E91">
        <w:rPr>
          <w:rFonts w:ascii="Times New Roman" w:hAnsi="Times New Roman" w:cs="Times New Roman"/>
          <w:sz w:val="28"/>
          <w:szCs w:val="28"/>
        </w:rPr>
        <w:t>, non sarebbe sufficiente).</w:t>
      </w:r>
    </w:p>
    <w:p w14:paraId="7013F7C4" w14:textId="043A1957" w:rsidR="000C70BC" w:rsidRPr="00F60E91" w:rsidRDefault="00F44EBD"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t xml:space="preserve">Ovviamente </w:t>
      </w:r>
      <w:proofErr w:type="spellStart"/>
      <w:r w:rsidRPr="00F60E91">
        <w:rPr>
          <w:rFonts w:ascii="Times New Roman" w:hAnsi="Times New Roman" w:cs="Times New Roman"/>
          <w:sz w:val="28"/>
          <w:szCs w:val="28"/>
        </w:rPr>
        <w:t>Harari</w:t>
      </w:r>
      <w:proofErr w:type="spellEnd"/>
      <w:r w:rsidRPr="00F60E91">
        <w:rPr>
          <w:rFonts w:ascii="Times New Roman" w:hAnsi="Times New Roman" w:cs="Times New Roman"/>
          <w:sz w:val="28"/>
          <w:szCs w:val="28"/>
        </w:rPr>
        <w:t xml:space="preserve"> sostiene anche che</w:t>
      </w:r>
      <w:r w:rsidR="00CC1B9A">
        <w:rPr>
          <w:rFonts w:ascii="Times New Roman" w:hAnsi="Times New Roman" w:cs="Times New Roman"/>
          <w:sz w:val="28"/>
          <w:szCs w:val="28"/>
        </w:rPr>
        <w:t>,</w:t>
      </w:r>
      <w:r w:rsidRPr="00F60E91">
        <w:rPr>
          <w:rFonts w:ascii="Times New Roman" w:hAnsi="Times New Roman" w:cs="Times New Roman"/>
          <w:sz w:val="28"/>
          <w:szCs w:val="28"/>
        </w:rPr>
        <w:t xml:space="preserve"> nelle mani giuste</w:t>
      </w:r>
      <w:r w:rsidR="00CC1B9A">
        <w:rPr>
          <w:rFonts w:ascii="Times New Roman" w:hAnsi="Times New Roman" w:cs="Times New Roman"/>
          <w:sz w:val="28"/>
          <w:szCs w:val="28"/>
        </w:rPr>
        <w:t>,</w:t>
      </w:r>
      <w:r w:rsidRPr="00F60E91">
        <w:rPr>
          <w:rFonts w:ascii="Times New Roman" w:hAnsi="Times New Roman" w:cs="Times New Roman"/>
          <w:sz w:val="28"/>
          <w:szCs w:val="28"/>
        </w:rPr>
        <w:t xml:space="preserve"> l’IA potrebbe essere molto utile: secondo l’esperto, infatti, i nostri dati potrebbero essere utilizzati per sanare le crepe nei nostri sistemi sanitari, infrastrutturali e di governo.</w:t>
      </w:r>
    </w:p>
    <w:p w14:paraId="0A9B10A4" w14:textId="3AEEA3F0" w:rsidR="00F44EBD" w:rsidRPr="00F60E91" w:rsidRDefault="00F44EBD" w:rsidP="00F60E91">
      <w:pPr>
        <w:tabs>
          <w:tab w:val="left" w:pos="8364"/>
        </w:tabs>
        <w:spacing w:after="0"/>
        <w:jc w:val="both"/>
        <w:rPr>
          <w:rFonts w:ascii="Times New Roman" w:hAnsi="Times New Roman" w:cs="Times New Roman"/>
          <w:sz w:val="28"/>
          <w:szCs w:val="28"/>
        </w:rPr>
      </w:pPr>
      <w:r w:rsidRPr="00CC1B9A">
        <w:rPr>
          <w:rFonts w:ascii="Times New Roman" w:hAnsi="Times New Roman" w:cs="Times New Roman"/>
          <w:sz w:val="28"/>
          <w:szCs w:val="28"/>
        </w:rPr>
        <w:t>“</w:t>
      </w:r>
      <w:r w:rsidRPr="00F60E91">
        <w:rPr>
          <w:rFonts w:ascii="Times New Roman" w:hAnsi="Times New Roman" w:cs="Times New Roman"/>
          <w:i/>
          <w:iCs/>
          <w:sz w:val="28"/>
          <w:szCs w:val="28"/>
        </w:rPr>
        <w:t xml:space="preserve">Una regola chiave è che se </w:t>
      </w:r>
      <w:proofErr w:type="gramStart"/>
      <w:r w:rsidRPr="00F60E91">
        <w:rPr>
          <w:rFonts w:ascii="Times New Roman" w:hAnsi="Times New Roman" w:cs="Times New Roman"/>
          <w:i/>
          <w:iCs/>
          <w:sz w:val="28"/>
          <w:szCs w:val="28"/>
        </w:rPr>
        <w:t>ottieni</w:t>
      </w:r>
      <w:proofErr w:type="gramEnd"/>
      <w:r w:rsidRPr="00F60E91">
        <w:rPr>
          <w:rFonts w:ascii="Times New Roman" w:hAnsi="Times New Roman" w:cs="Times New Roman"/>
          <w:i/>
          <w:iCs/>
          <w:sz w:val="28"/>
          <w:szCs w:val="28"/>
        </w:rPr>
        <w:t xml:space="preserve"> i miei dati, questi dovrebbero essere usati per aiutarmi e non per manipolarmi. Un’altra regola chiave è che ogni volta che aumenti la sorveglianza degli individui, dovresti simultaneamente aumentare la sorveglianza della società e dei governi e le persone al vertice</w:t>
      </w:r>
      <w:r w:rsidRPr="00CC1B9A">
        <w:rPr>
          <w:rFonts w:ascii="Times New Roman" w:hAnsi="Times New Roman" w:cs="Times New Roman"/>
          <w:sz w:val="28"/>
          <w:szCs w:val="28"/>
        </w:rPr>
        <w:t>”.</w:t>
      </w:r>
    </w:p>
    <w:p w14:paraId="7E3B85A3" w14:textId="4989C70D" w:rsidR="00F44EBD" w:rsidRPr="00F60E91" w:rsidRDefault="00F44EBD"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t xml:space="preserve">Insomma, secondo </w:t>
      </w:r>
      <w:proofErr w:type="spellStart"/>
      <w:r w:rsidRPr="00F60E91">
        <w:rPr>
          <w:rFonts w:ascii="Times New Roman" w:hAnsi="Times New Roman" w:cs="Times New Roman"/>
          <w:sz w:val="28"/>
          <w:szCs w:val="28"/>
        </w:rPr>
        <w:t>Harari</w:t>
      </w:r>
      <w:proofErr w:type="spellEnd"/>
      <w:r w:rsidRPr="00F60E91">
        <w:rPr>
          <w:rFonts w:ascii="Times New Roman" w:hAnsi="Times New Roman" w:cs="Times New Roman"/>
          <w:sz w:val="28"/>
          <w:szCs w:val="28"/>
        </w:rPr>
        <w:t>, l’IA deve avere al suo interno dei pesi e contrappesi che le consentano di evolvere lungo le coordinate del rispetto della dignità della persona umana e del diritto all’autodeterminazione. Il controllore deve essere a sua volta controllato</w:t>
      </w:r>
      <w:r w:rsidR="00642141">
        <w:rPr>
          <w:rStyle w:val="Rimandonotaapidipagina"/>
          <w:rFonts w:ascii="Times New Roman" w:hAnsi="Times New Roman" w:cs="Times New Roman"/>
          <w:sz w:val="28"/>
          <w:szCs w:val="28"/>
        </w:rPr>
        <w:footnoteReference w:id="95"/>
      </w:r>
      <w:r w:rsidRPr="00F60E91">
        <w:rPr>
          <w:rFonts w:ascii="Times New Roman" w:hAnsi="Times New Roman" w:cs="Times New Roman"/>
          <w:sz w:val="28"/>
          <w:szCs w:val="28"/>
        </w:rPr>
        <w:t>.</w:t>
      </w:r>
    </w:p>
    <w:p w14:paraId="33B05354" w14:textId="06C69C2A" w:rsidR="00507460" w:rsidRPr="00F60E91" w:rsidRDefault="00507460"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lastRenderedPageBreak/>
        <w:t>Se l’intrattenimento basato sulla fantascienza ci ha insegnato qualcosa, è che se si sviluppasse un’intelligenza artificiale troppo avanzata non saremmo più in grado di controllarla. Ebbene, una recente ricerca accredita questo distopico scenario</w:t>
      </w:r>
      <w:r w:rsidR="00540F6C">
        <w:rPr>
          <w:rStyle w:val="Rimandonotaapidipagina"/>
          <w:rFonts w:ascii="Times New Roman" w:hAnsi="Times New Roman" w:cs="Times New Roman"/>
          <w:sz w:val="28"/>
          <w:szCs w:val="28"/>
        </w:rPr>
        <w:footnoteReference w:id="96"/>
      </w:r>
      <w:r w:rsidRPr="00F60E91">
        <w:rPr>
          <w:rFonts w:ascii="Times New Roman" w:hAnsi="Times New Roman" w:cs="Times New Roman"/>
          <w:sz w:val="28"/>
          <w:szCs w:val="28"/>
        </w:rPr>
        <w:t>.</w:t>
      </w:r>
    </w:p>
    <w:p w14:paraId="2C90F7A7" w14:textId="446C38AA" w:rsidR="00027400" w:rsidRDefault="00507460" w:rsidP="00F60E91">
      <w:pPr>
        <w:tabs>
          <w:tab w:val="left" w:pos="8364"/>
        </w:tabs>
        <w:spacing w:after="0"/>
        <w:jc w:val="both"/>
        <w:rPr>
          <w:rFonts w:ascii="Times New Roman" w:hAnsi="Times New Roman" w:cs="Times New Roman"/>
          <w:sz w:val="28"/>
          <w:szCs w:val="28"/>
        </w:rPr>
      </w:pPr>
      <w:r w:rsidRPr="00F60E91">
        <w:rPr>
          <w:rFonts w:ascii="Times New Roman" w:hAnsi="Times New Roman" w:cs="Times New Roman"/>
          <w:sz w:val="28"/>
          <w:szCs w:val="28"/>
        </w:rPr>
        <w:t>Il problema risiederebbe nella comprensione</w:t>
      </w:r>
      <w:r w:rsidR="00027400">
        <w:rPr>
          <w:rFonts w:ascii="Times New Roman" w:hAnsi="Times New Roman" w:cs="Times New Roman"/>
          <w:sz w:val="28"/>
          <w:szCs w:val="28"/>
        </w:rPr>
        <w:t>,</w:t>
      </w:r>
      <w:r w:rsidRPr="00F60E91">
        <w:rPr>
          <w:rFonts w:ascii="Times New Roman" w:hAnsi="Times New Roman" w:cs="Times New Roman"/>
          <w:sz w:val="28"/>
          <w:szCs w:val="28"/>
        </w:rPr>
        <w:t xml:space="preserve"> da parte dell’uomo</w:t>
      </w:r>
      <w:r w:rsidR="00027400">
        <w:rPr>
          <w:rFonts w:ascii="Times New Roman" w:hAnsi="Times New Roman" w:cs="Times New Roman"/>
          <w:sz w:val="28"/>
          <w:szCs w:val="28"/>
        </w:rPr>
        <w:t>,</w:t>
      </w:r>
      <w:r w:rsidRPr="00F60E91">
        <w:rPr>
          <w:rFonts w:ascii="Times New Roman" w:hAnsi="Times New Roman" w:cs="Times New Roman"/>
          <w:sz w:val="28"/>
          <w:szCs w:val="28"/>
        </w:rPr>
        <w:t xml:space="preserve"> della super-intelligenza artificiale, la quale risulterebbe essere imprevedibile per la stessa natura dei suoi schemi di ragionamento. Regole di programmazione come “non danneggiare gli esseri umani”, non potrebbero essere applicate, dato che il sistema funzionerebbe ad un livello superiore rispetto a quello codificabile dai programmatori umani. </w:t>
      </w:r>
    </w:p>
    <w:p w14:paraId="52414644" w14:textId="64105EBE" w:rsidR="00507460" w:rsidRPr="00F60E91" w:rsidRDefault="00507460" w:rsidP="00F60E91">
      <w:pPr>
        <w:tabs>
          <w:tab w:val="left" w:pos="8364"/>
        </w:tabs>
        <w:spacing w:after="0"/>
        <w:jc w:val="both"/>
        <w:rPr>
          <w:rFonts w:ascii="Times New Roman" w:hAnsi="Times New Roman" w:cs="Times New Roman"/>
          <w:i/>
          <w:iCs/>
          <w:sz w:val="28"/>
          <w:szCs w:val="28"/>
        </w:rPr>
      </w:pPr>
      <w:r w:rsidRPr="00F60E91">
        <w:rPr>
          <w:rFonts w:ascii="Times New Roman" w:hAnsi="Times New Roman" w:cs="Times New Roman"/>
          <w:sz w:val="28"/>
          <w:szCs w:val="28"/>
        </w:rPr>
        <w:t>A tal proposito, l’I</w:t>
      </w:r>
      <w:r w:rsidR="00027400">
        <w:rPr>
          <w:rFonts w:ascii="Times New Roman" w:hAnsi="Times New Roman" w:cs="Times New Roman"/>
          <w:sz w:val="28"/>
          <w:szCs w:val="28"/>
        </w:rPr>
        <w:t>.</w:t>
      </w:r>
      <w:r w:rsidRPr="00F60E91">
        <w:rPr>
          <w:rFonts w:ascii="Times New Roman" w:hAnsi="Times New Roman" w:cs="Times New Roman"/>
          <w:sz w:val="28"/>
          <w:szCs w:val="28"/>
        </w:rPr>
        <w:t>A</w:t>
      </w:r>
      <w:r w:rsidR="00027400">
        <w:rPr>
          <w:rFonts w:ascii="Times New Roman" w:hAnsi="Times New Roman" w:cs="Times New Roman"/>
          <w:sz w:val="28"/>
          <w:szCs w:val="28"/>
        </w:rPr>
        <w:t>.</w:t>
      </w:r>
      <w:r w:rsidRPr="00F60E91">
        <w:rPr>
          <w:rFonts w:ascii="Times New Roman" w:hAnsi="Times New Roman" w:cs="Times New Roman"/>
          <w:sz w:val="28"/>
          <w:szCs w:val="28"/>
        </w:rPr>
        <w:t xml:space="preserve"> super intelligente, in grado di imparare nuove strategie autonomamente, potrebbe aggirare i vari algoritmi di contenimento concepiti allo scopo di arrestare il sistema, attraverso la potenziale assimilazione di tutti i programmi per computer direttamente nella sua memoria. In questo senso, </w:t>
      </w:r>
      <w:proofErr w:type="spellStart"/>
      <w:r w:rsidRPr="00F60E91">
        <w:rPr>
          <w:rFonts w:ascii="Times New Roman" w:hAnsi="Times New Roman" w:cs="Times New Roman"/>
          <w:i/>
          <w:iCs/>
          <w:sz w:val="28"/>
          <w:szCs w:val="28"/>
        </w:rPr>
        <w:t>Lyad</w:t>
      </w:r>
      <w:proofErr w:type="spellEnd"/>
      <w:r w:rsidRPr="00F60E91">
        <w:rPr>
          <w:rFonts w:ascii="Times New Roman" w:hAnsi="Times New Roman" w:cs="Times New Roman"/>
          <w:i/>
          <w:iCs/>
          <w:sz w:val="28"/>
          <w:szCs w:val="28"/>
        </w:rPr>
        <w:t xml:space="preserve"> </w:t>
      </w:r>
      <w:proofErr w:type="spellStart"/>
      <w:r w:rsidRPr="00F60E91">
        <w:rPr>
          <w:rFonts w:ascii="Times New Roman" w:hAnsi="Times New Roman" w:cs="Times New Roman"/>
          <w:i/>
          <w:iCs/>
          <w:sz w:val="28"/>
          <w:szCs w:val="28"/>
        </w:rPr>
        <w:t>Rahwan</w:t>
      </w:r>
      <w:proofErr w:type="spellEnd"/>
      <w:r w:rsidR="00D462D8" w:rsidRPr="00F60E91">
        <w:rPr>
          <w:rFonts w:ascii="Times New Roman" w:hAnsi="Times New Roman" w:cs="Times New Roman"/>
          <w:sz w:val="28"/>
          <w:szCs w:val="28"/>
        </w:rPr>
        <w:t xml:space="preserve">, Direttore del </w:t>
      </w:r>
      <w:r w:rsidR="00D462D8" w:rsidRPr="00F60E91">
        <w:rPr>
          <w:rFonts w:ascii="Times New Roman" w:hAnsi="Times New Roman" w:cs="Times New Roman"/>
          <w:i/>
          <w:iCs/>
          <w:sz w:val="28"/>
          <w:szCs w:val="28"/>
        </w:rPr>
        <w:t xml:space="preserve">Center for </w:t>
      </w:r>
      <w:proofErr w:type="spellStart"/>
      <w:r w:rsidR="00D462D8" w:rsidRPr="00F60E91">
        <w:rPr>
          <w:rFonts w:ascii="Times New Roman" w:hAnsi="Times New Roman" w:cs="Times New Roman"/>
          <w:i/>
          <w:iCs/>
          <w:sz w:val="28"/>
          <w:szCs w:val="28"/>
        </w:rPr>
        <w:t>Humans</w:t>
      </w:r>
      <w:proofErr w:type="spellEnd"/>
      <w:r w:rsidR="00D462D8" w:rsidRPr="00F60E91">
        <w:rPr>
          <w:rFonts w:ascii="Times New Roman" w:hAnsi="Times New Roman" w:cs="Times New Roman"/>
          <w:i/>
          <w:iCs/>
          <w:sz w:val="28"/>
          <w:szCs w:val="28"/>
        </w:rPr>
        <w:t xml:space="preserve"> and </w:t>
      </w:r>
      <w:proofErr w:type="spellStart"/>
      <w:r w:rsidR="00D462D8" w:rsidRPr="00F60E91">
        <w:rPr>
          <w:rFonts w:ascii="Times New Roman" w:hAnsi="Times New Roman" w:cs="Times New Roman"/>
          <w:i/>
          <w:iCs/>
          <w:sz w:val="28"/>
          <w:szCs w:val="28"/>
        </w:rPr>
        <w:t>Machines</w:t>
      </w:r>
      <w:proofErr w:type="spellEnd"/>
      <w:r w:rsidR="00D462D8" w:rsidRPr="00F60E91">
        <w:rPr>
          <w:rFonts w:ascii="Times New Roman" w:hAnsi="Times New Roman" w:cs="Times New Roman"/>
          <w:sz w:val="28"/>
          <w:szCs w:val="28"/>
        </w:rPr>
        <w:t>, ha dichiarato</w:t>
      </w:r>
      <w:r w:rsidR="000C70BC" w:rsidRPr="00F60E91">
        <w:rPr>
          <w:rFonts w:ascii="Times New Roman" w:hAnsi="Times New Roman" w:cs="Times New Roman"/>
          <w:sz w:val="28"/>
          <w:szCs w:val="28"/>
        </w:rPr>
        <w:t>: “</w:t>
      </w:r>
      <w:r w:rsidR="00D462D8" w:rsidRPr="00F60E91">
        <w:rPr>
          <w:rFonts w:ascii="Times New Roman" w:hAnsi="Times New Roman" w:cs="Times New Roman"/>
          <w:i/>
          <w:iCs/>
          <w:sz w:val="28"/>
          <w:szCs w:val="28"/>
        </w:rPr>
        <w:t>Sulla base dei nostri calcoli il problema del contenimento è incomputabile, ovvero nessun algoritmo può trovare una soluzione per determinare se un’IA potrebbe produrre danni al mondo. Potremmo anche non accorgerci del momento in cui le macchine super intelligenti emergeranno, perché stabilire il grado di intelligenza dei sistemi rientrerebbe nello stesso ambito</w:t>
      </w:r>
      <w:r w:rsidR="00D462D8" w:rsidRPr="00027400">
        <w:rPr>
          <w:rFonts w:ascii="Times New Roman" w:hAnsi="Times New Roman" w:cs="Times New Roman"/>
          <w:sz w:val="28"/>
          <w:szCs w:val="28"/>
        </w:rPr>
        <w:t>”.</w:t>
      </w:r>
    </w:p>
    <w:p w14:paraId="5C3E4975" w14:textId="7B77AE2B" w:rsidR="00D462D8" w:rsidRPr="00F60E91" w:rsidRDefault="00D462D8" w:rsidP="00F60E91">
      <w:pPr>
        <w:tabs>
          <w:tab w:val="left" w:pos="8364"/>
        </w:tabs>
        <w:spacing w:after="0"/>
        <w:jc w:val="both"/>
        <w:rPr>
          <w:rFonts w:ascii="Times New Roman" w:hAnsi="Times New Roman" w:cs="Times New Roman"/>
          <w:i/>
          <w:iCs/>
          <w:sz w:val="28"/>
          <w:szCs w:val="28"/>
        </w:rPr>
      </w:pPr>
      <w:r w:rsidRPr="00F60E91">
        <w:rPr>
          <w:rFonts w:ascii="Times New Roman" w:hAnsi="Times New Roman" w:cs="Times New Roman"/>
          <w:sz w:val="28"/>
          <w:szCs w:val="28"/>
        </w:rPr>
        <w:t xml:space="preserve">Altresì, una possibile soluzione per salvaguardare il genere umano consisterebbe nel limitare le capacità della super-intelligenza informatica, ad esempio, escludendola da parti della rete internet. Tuttavia, una ricerca pubblicata sul </w:t>
      </w:r>
      <w:r w:rsidRPr="00F60E91">
        <w:rPr>
          <w:rFonts w:ascii="Times New Roman" w:hAnsi="Times New Roman" w:cs="Times New Roman"/>
          <w:i/>
          <w:iCs/>
          <w:sz w:val="28"/>
          <w:szCs w:val="28"/>
        </w:rPr>
        <w:t>Journal</w:t>
      </w:r>
      <w:r w:rsidRPr="00F60E91">
        <w:rPr>
          <w:rFonts w:ascii="Times New Roman" w:hAnsi="Times New Roman" w:cs="Times New Roman"/>
          <w:sz w:val="28"/>
          <w:szCs w:val="28"/>
        </w:rPr>
        <w:t xml:space="preserve"> </w:t>
      </w:r>
      <w:r w:rsidRPr="00F60E91">
        <w:rPr>
          <w:rFonts w:ascii="Times New Roman" w:hAnsi="Times New Roman" w:cs="Times New Roman"/>
          <w:i/>
          <w:iCs/>
          <w:sz w:val="28"/>
          <w:szCs w:val="28"/>
        </w:rPr>
        <w:t xml:space="preserve">of </w:t>
      </w:r>
      <w:proofErr w:type="spellStart"/>
      <w:r w:rsidRPr="00F60E91">
        <w:rPr>
          <w:rFonts w:ascii="Times New Roman" w:hAnsi="Times New Roman" w:cs="Times New Roman"/>
          <w:i/>
          <w:iCs/>
          <w:sz w:val="28"/>
          <w:szCs w:val="28"/>
        </w:rPr>
        <w:t>Artificial</w:t>
      </w:r>
      <w:proofErr w:type="spellEnd"/>
      <w:r w:rsidRPr="00F60E91">
        <w:rPr>
          <w:rFonts w:ascii="Times New Roman" w:hAnsi="Times New Roman" w:cs="Times New Roman"/>
          <w:i/>
          <w:iCs/>
          <w:sz w:val="28"/>
          <w:szCs w:val="28"/>
        </w:rPr>
        <w:t xml:space="preserve"> Intelligence </w:t>
      </w:r>
      <w:proofErr w:type="spellStart"/>
      <w:r w:rsidRPr="00F60E91">
        <w:rPr>
          <w:rFonts w:ascii="Times New Roman" w:hAnsi="Times New Roman" w:cs="Times New Roman"/>
          <w:i/>
          <w:iCs/>
          <w:sz w:val="28"/>
          <w:szCs w:val="28"/>
        </w:rPr>
        <w:t>Research</w:t>
      </w:r>
      <w:proofErr w:type="spellEnd"/>
      <w:r w:rsidRPr="00F60E91">
        <w:rPr>
          <w:rFonts w:ascii="Times New Roman" w:hAnsi="Times New Roman" w:cs="Times New Roman"/>
          <w:i/>
          <w:iCs/>
          <w:sz w:val="28"/>
          <w:szCs w:val="28"/>
        </w:rPr>
        <w:t xml:space="preserve">, </w:t>
      </w:r>
      <w:r w:rsidRPr="00F60E91">
        <w:rPr>
          <w:rFonts w:ascii="Times New Roman" w:hAnsi="Times New Roman" w:cs="Times New Roman"/>
          <w:sz w:val="28"/>
          <w:szCs w:val="28"/>
        </w:rPr>
        <w:t xml:space="preserve">rifiuta tale proposta, sostenendo che tale metodo limiterebbe la </w:t>
      </w:r>
      <w:r w:rsidRPr="00F60E91">
        <w:rPr>
          <w:rFonts w:ascii="Times New Roman" w:hAnsi="Times New Roman" w:cs="Times New Roman"/>
          <w:sz w:val="28"/>
          <w:szCs w:val="28"/>
        </w:rPr>
        <w:lastRenderedPageBreak/>
        <w:t>portata dell’intelligenza artificiale: “</w:t>
      </w:r>
      <w:r w:rsidRPr="00F60E91">
        <w:rPr>
          <w:rFonts w:ascii="Times New Roman" w:hAnsi="Times New Roman" w:cs="Times New Roman"/>
          <w:i/>
          <w:iCs/>
          <w:sz w:val="28"/>
          <w:szCs w:val="28"/>
        </w:rPr>
        <w:t>Se non la useremo per risolvere problemi oltre la portata degli umani, perché crearla?</w:t>
      </w:r>
      <w:r w:rsidRPr="005811C1">
        <w:rPr>
          <w:rFonts w:ascii="Times New Roman" w:hAnsi="Times New Roman" w:cs="Times New Roman"/>
          <w:sz w:val="28"/>
          <w:szCs w:val="28"/>
        </w:rPr>
        <w:t>”.</w:t>
      </w:r>
    </w:p>
    <w:p w14:paraId="10DA4FC0" w14:textId="3CCE30DF" w:rsidR="00A75A26" w:rsidRDefault="00A75A26" w:rsidP="00F60E91">
      <w:pPr>
        <w:tabs>
          <w:tab w:val="left" w:pos="8364"/>
        </w:tabs>
        <w:spacing w:after="0"/>
        <w:jc w:val="both"/>
        <w:rPr>
          <w:rFonts w:ascii="Times New Roman" w:hAnsi="Times New Roman" w:cs="Times New Roman"/>
          <w:i/>
          <w:iCs/>
          <w:sz w:val="28"/>
          <w:szCs w:val="28"/>
        </w:rPr>
      </w:pPr>
    </w:p>
    <w:p w14:paraId="194E0782" w14:textId="77777777" w:rsidR="00A527B3" w:rsidRDefault="00A527B3" w:rsidP="00A527B3">
      <w:pPr>
        <w:tabs>
          <w:tab w:val="left" w:pos="8364"/>
        </w:tabs>
        <w:spacing w:after="0"/>
        <w:jc w:val="both"/>
        <w:rPr>
          <w:rFonts w:ascii="Times New Roman" w:hAnsi="Times New Roman" w:cs="Times New Roman"/>
          <w:sz w:val="28"/>
          <w:szCs w:val="28"/>
        </w:rPr>
      </w:pPr>
      <w:r w:rsidRPr="00A527B3">
        <w:rPr>
          <w:rFonts w:ascii="Times New Roman" w:hAnsi="Times New Roman" w:cs="Times New Roman"/>
          <w:sz w:val="28"/>
          <w:szCs w:val="28"/>
        </w:rPr>
        <w:t>Di recente</w:t>
      </w:r>
      <w:r>
        <w:rPr>
          <w:rFonts w:ascii="Times New Roman" w:hAnsi="Times New Roman" w:cs="Times New Roman"/>
          <w:sz w:val="28"/>
          <w:szCs w:val="28"/>
        </w:rPr>
        <w:t>,</w:t>
      </w:r>
      <w:r w:rsidRPr="00A527B3">
        <w:rPr>
          <w:rFonts w:ascii="Times New Roman" w:hAnsi="Times New Roman" w:cs="Times New Roman"/>
          <w:sz w:val="28"/>
          <w:szCs w:val="28"/>
        </w:rPr>
        <w:t xml:space="preserve"> vi è stata una convergenza di intenti globali con l’approvazione della Raccomandazione UNESCO </w:t>
      </w:r>
      <w:r>
        <w:rPr>
          <w:rFonts w:ascii="Times New Roman" w:hAnsi="Times New Roman" w:cs="Times New Roman"/>
          <w:sz w:val="28"/>
          <w:szCs w:val="28"/>
        </w:rPr>
        <w:t>del</w:t>
      </w:r>
      <w:r w:rsidRPr="00A527B3">
        <w:rPr>
          <w:rFonts w:ascii="Times New Roman" w:hAnsi="Times New Roman" w:cs="Times New Roman"/>
          <w:sz w:val="28"/>
          <w:szCs w:val="28"/>
        </w:rPr>
        <w:t xml:space="preserve"> 25 novembre 2021. Si tratta di un testo storico in cui vengono tracciate le coordinate mondiali sull’etica dell’Intelligenza Artificiale. </w:t>
      </w:r>
    </w:p>
    <w:p w14:paraId="2BEF9C55" w14:textId="7EB8F9A4" w:rsidR="00A527B3" w:rsidRPr="00A527B3" w:rsidRDefault="00A527B3" w:rsidP="00A527B3">
      <w:pPr>
        <w:tabs>
          <w:tab w:val="left" w:pos="8364"/>
        </w:tabs>
        <w:spacing w:after="0"/>
        <w:jc w:val="both"/>
        <w:rPr>
          <w:rFonts w:ascii="Times New Roman" w:hAnsi="Times New Roman" w:cs="Times New Roman"/>
          <w:sz w:val="28"/>
          <w:szCs w:val="28"/>
        </w:rPr>
      </w:pPr>
      <w:r w:rsidRPr="00A527B3">
        <w:rPr>
          <w:rFonts w:ascii="Times New Roman" w:hAnsi="Times New Roman" w:cs="Times New Roman"/>
          <w:sz w:val="28"/>
          <w:szCs w:val="28"/>
        </w:rPr>
        <w:t xml:space="preserve">Nel preambolo alla “raccomandazione” di 28 pagine ratificata dai 193 Stati Membri dell’Unesco (tra cui anche la Cina) si legge questa dichiarazione del Direttore Generale, </w:t>
      </w:r>
      <w:r w:rsidRPr="00A527B3">
        <w:rPr>
          <w:rFonts w:ascii="Times New Roman" w:hAnsi="Times New Roman" w:cs="Times New Roman"/>
          <w:i/>
          <w:iCs/>
          <w:sz w:val="28"/>
          <w:szCs w:val="28"/>
        </w:rPr>
        <w:t xml:space="preserve">Audrey </w:t>
      </w:r>
      <w:proofErr w:type="spellStart"/>
      <w:r w:rsidRPr="00A527B3">
        <w:rPr>
          <w:rFonts w:ascii="Times New Roman" w:hAnsi="Times New Roman" w:cs="Times New Roman"/>
          <w:i/>
          <w:iCs/>
          <w:sz w:val="28"/>
          <w:szCs w:val="28"/>
        </w:rPr>
        <w:t>Azoulay</w:t>
      </w:r>
      <w:proofErr w:type="spellEnd"/>
      <w:r w:rsidRPr="00A527B3">
        <w:rPr>
          <w:rFonts w:ascii="Times New Roman" w:hAnsi="Times New Roman" w:cs="Times New Roman"/>
          <w:sz w:val="28"/>
          <w:szCs w:val="28"/>
        </w:rPr>
        <w:t>: «</w:t>
      </w:r>
      <w:r w:rsidRPr="00A527B3">
        <w:rPr>
          <w:rFonts w:ascii="Times New Roman" w:hAnsi="Times New Roman" w:cs="Times New Roman"/>
          <w:i/>
          <w:iCs/>
          <w:sz w:val="28"/>
          <w:szCs w:val="28"/>
        </w:rPr>
        <w:t>Le tecnologie dell’IA possono rendere grandi servizi all’umanità e tutti i paesi possono beneficiarne, ma sollevano anche preoccupazioni etiche di fondo</w:t>
      </w:r>
      <w:r w:rsidRPr="00A527B3">
        <w:rPr>
          <w:rFonts w:ascii="Times New Roman" w:hAnsi="Times New Roman" w:cs="Times New Roman"/>
          <w:sz w:val="28"/>
          <w:szCs w:val="28"/>
        </w:rPr>
        <w:t>».</w:t>
      </w:r>
    </w:p>
    <w:p w14:paraId="224D2FB0" w14:textId="77777777" w:rsidR="00A527B3" w:rsidRPr="00A527B3" w:rsidRDefault="00A527B3" w:rsidP="00A527B3">
      <w:pPr>
        <w:tabs>
          <w:tab w:val="left" w:pos="8364"/>
        </w:tabs>
        <w:spacing w:after="0"/>
        <w:jc w:val="both"/>
        <w:rPr>
          <w:rFonts w:ascii="Times New Roman" w:hAnsi="Times New Roman" w:cs="Times New Roman"/>
          <w:sz w:val="28"/>
          <w:szCs w:val="28"/>
        </w:rPr>
      </w:pPr>
      <w:r w:rsidRPr="00A527B3">
        <w:rPr>
          <w:rFonts w:ascii="Times New Roman" w:hAnsi="Times New Roman" w:cs="Times New Roman"/>
          <w:sz w:val="28"/>
          <w:szCs w:val="28"/>
        </w:rPr>
        <w:t>Il testo della raccomandazione definisce i valori e i principi comuni che concorreranno alla costruzione dell’infrastruttura necessaria per garantire il sano sviluppo dell’IA.</w:t>
      </w:r>
    </w:p>
    <w:p w14:paraId="062B3F5E" w14:textId="337E2EA2" w:rsidR="00A527B3" w:rsidRPr="00A527B3" w:rsidRDefault="00A527B3" w:rsidP="00A527B3">
      <w:pPr>
        <w:tabs>
          <w:tab w:val="left" w:pos="8364"/>
        </w:tabs>
        <w:spacing w:after="0"/>
        <w:jc w:val="both"/>
        <w:rPr>
          <w:rFonts w:ascii="Times New Roman" w:hAnsi="Times New Roman" w:cs="Times New Roman"/>
          <w:sz w:val="28"/>
          <w:szCs w:val="28"/>
        </w:rPr>
      </w:pPr>
      <w:r w:rsidRPr="00A527B3">
        <w:rPr>
          <w:rFonts w:ascii="Times New Roman" w:hAnsi="Times New Roman" w:cs="Times New Roman"/>
          <w:sz w:val="28"/>
          <w:szCs w:val="28"/>
        </w:rPr>
        <w:t>Se è vero, infatti, che «</w:t>
      </w:r>
      <w:r w:rsidRPr="00A527B3">
        <w:rPr>
          <w:rFonts w:ascii="Times New Roman" w:hAnsi="Times New Roman" w:cs="Times New Roman"/>
          <w:i/>
          <w:iCs/>
          <w:sz w:val="28"/>
          <w:szCs w:val="28"/>
        </w:rPr>
        <w:t xml:space="preserve">l’intelligenza artificiale è pervasiva e consente molte delle nostre routine quotidiane: prenotazione di voli, guida di auto senza conducente e personalizzazione dei nostri </w:t>
      </w:r>
      <w:proofErr w:type="spellStart"/>
      <w:r w:rsidRPr="00A527B3">
        <w:rPr>
          <w:rFonts w:ascii="Times New Roman" w:hAnsi="Times New Roman" w:cs="Times New Roman"/>
          <w:i/>
          <w:iCs/>
          <w:sz w:val="28"/>
          <w:szCs w:val="28"/>
        </w:rPr>
        <w:t>feed</w:t>
      </w:r>
      <w:proofErr w:type="spellEnd"/>
      <w:r w:rsidRPr="00A527B3">
        <w:rPr>
          <w:rFonts w:ascii="Times New Roman" w:hAnsi="Times New Roman" w:cs="Times New Roman"/>
          <w:i/>
          <w:iCs/>
          <w:sz w:val="28"/>
          <w:szCs w:val="28"/>
        </w:rPr>
        <w:t xml:space="preserve"> di notizie mattutine…supportando anche il processo decisionale dei governi e del settore privato</w:t>
      </w:r>
      <w:r w:rsidRPr="00A527B3">
        <w:rPr>
          <w:rFonts w:ascii="Times New Roman" w:hAnsi="Times New Roman" w:cs="Times New Roman"/>
          <w:sz w:val="28"/>
          <w:szCs w:val="28"/>
        </w:rPr>
        <w:t>», è anche vero che in questa tecnologia</w:t>
      </w:r>
      <w:r w:rsidR="0048549C">
        <w:rPr>
          <w:rFonts w:ascii="Times New Roman" w:hAnsi="Times New Roman" w:cs="Times New Roman"/>
          <w:sz w:val="28"/>
          <w:szCs w:val="28"/>
        </w:rPr>
        <w:t xml:space="preserve"> sempre più spesso</w:t>
      </w:r>
      <w:r w:rsidRPr="00A527B3">
        <w:rPr>
          <w:rFonts w:ascii="Times New Roman" w:hAnsi="Times New Roman" w:cs="Times New Roman"/>
          <w:sz w:val="28"/>
          <w:szCs w:val="28"/>
        </w:rPr>
        <w:t xml:space="preserve"> «</w:t>
      </w:r>
      <w:r w:rsidRPr="00A527B3">
        <w:rPr>
          <w:rFonts w:ascii="Times New Roman" w:hAnsi="Times New Roman" w:cs="Times New Roman"/>
          <w:i/>
          <w:iCs/>
          <w:sz w:val="28"/>
          <w:szCs w:val="28"/>
        </w:rPr>
        <w:t>vediamo un aumento dei pregiudizi di genere ed etnici, minacce significative alla privacy, alla dignità e all’agenzia, pericoli della sorveglianza di massa e un maggiore uso di tecnologie di intelligenza artificiale inaffidabili nelle forze dell’ordine, solo per citarne alcuni</w:t>
      </w:r>
      <w:r w:rsidRPr="00A527B3">
        <w:rPr>
          <w:rFonts w:ascii="Times New Roman" w:hAnsi="Times New Roman" w:cs="Times New Roman"/>
          <w:sz w:val="28"/>
          <w:szCs w:val="28"/>
        </w:rPr>
        <w:t>».</w:t>
      </w:r>
    </w:p>
    <w:p w14:paraId="4D35B513" w14:textId="137C5312" w:rsidR="00352E3B" w:rsidRPr="00352E3B" w:rsidRDefault="00A527B3" w:rsidP="00A527B3">
      <w:pPr>
        <w:tabs>
          <w:tab w:val="left" w:pos="8364"/>
        </w:tabs>
        <w:spacing w:after="0"/>
        <w:jc w:val="both"/>
        <w:rPr>
          <w:rFonts w:ascii="Times New Roman" w:hAnsi="Times New Roman" w:cs="Times New Roman"/>
          <w:sz w:val="28"/>
          <w:szCs w:val="28"/>
        </w:rPr>
      </w:pPr>
      <w:r w:rsidRPr="00A527B3">
        <w:rPr>
          <w:rFonts w:ascii="Times New Roman" w:hAnsi="Times New Roman" w:cs="Times New Roman"/>
          <w:sz w:val="28"/>
          <w:szCs w:val="28"/>
        </w:rPr>
        <w:t xml:space="preserve">Dunque, poiché i sistemi </w:t>
      </w:r>
      <w:r w:rsidR="0048549C">
        <w:rPr>
          <w:rFonts w:ascii="Times New Roman" w:hAnsi="Times New Roman" w:cs="Times New Roman"/>
          <w:sz w:val="28"/>
          <w:szCs w:val="28"/>
        </w:rPr>
        <w:t xml:space="preserve">di </w:t>
      </w:r>
      <w:r w:rsidRPr="00A527B3">
        <w:rPr>
          <w:rFonts w:ascii="Times New Roman" w:hAnsi="Times New Roman" w:cs="Times New Roman"/>
          <w:sz w:val="28"/>
          <w:szCs w:val="28"/>
        </w:rPr>
        <w:t>IA e gli algoritmi possono incidere anche negativamente sui «</w:t>
      </w:r>
      <w:r w:rsidRPr="0048549C">
        <w:rPr>
          <w:rFonts w:ascii="Times New Roman" w:hAnsi="Times New Roman" w:cs="Times New Roman"/>
          <w:i/>
          <w:iCs/>
          <w:sz w:val="28"/>
          <w:szCs w:val="28"/>
        </w:rPr>
        <w:t>diritti dell’uomo e le libertà fondamentali, l’eguaglianza dei generi, la democrazia</w:t>
      </w:r>
      <w:r w:rsidRPr="00A527B3">
        <w:rPr>
          <w:rFonts w:ascii="Times New Roman" w:hAnsi="Times New Roman" w:cs="Times New Roman"/>
          <w:sz w:val="28"/>
          <w:szCs w:val="28"/>
        </w:rPr>
        <w:t>», il testo è essenziale per la protezione dei dati, per vietare il punteggio sociale e la sorveglianza di massa, per aiutare a monitorare la protezione dell’ambiente. La “raccomandazione” è il frutto di un lavoro iniziato nel 2018 e fondato sui seguenti valori: «</w:t>
      </w:r>
      <w:r w:rsidRPr="0048549C">
        <w:rPr>
          <w:rFonts w:ascii="Times New Roman" w:hAnsi="Times New Roman" w:cs="Times New Roman"/>
          <w:i/>
          <w:iCs/>
          <w:sz w:val="28"/>
          <w:szCs w:val="28"/>
        </w:rPr>
        <w:t>rispetto, protezione e promozione dei diritti dell’Uomo, diversità ed inclusione, promozione delle società pacifiche e dell’ambiente</w:t>
      </w:r>
      <w:r w:rsidRPr="00A527B3">
        <w:rPr>
          <w:rFonts w:ascii="Times New Roman" w:hAnsi="Times New Roman" w:cs="Times New Roman"/>
          <w:sz w:val="28"/>
          <w:szCs w:val="28"/>
        </w:rPr>
        <w:t>».</w:t>
      </w:r>
    </w:p>
    <w:p w14:paraId="48B5496F" w14:textId="0F5A6C1F" w:rsidR="00916B08" w:rsidRPr="003920C6" w:rsidRDefault="00313A41" w:rsidP="003920C6">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Si deve tenere presente, inoltre, che l</w:t>
      </w:r>
      <w:r w:rsidRPr="00313A41">
        <w:rPr>
          <w:rFonts w:ascii="Times New Roman" w:hAnsi="Times New Roman" w:cs="Times New Roman"/>
          <w:sz w:val="28"/>
          <w:szCs w:val="28"/>
        </w:rPr>
        <w:t>’Italia ha adottato, con l’approvazione in Consiglio dei ministri, il Programma Strategico per l’Intelligenza Artificiale (IA) 2022-2024, frutto del lavoro congiunto del Ministero dell’Università e della Ricerca, del Ministero dello Sviluppo Economico e del Ministro per l’innovazione tecnologica e la transizione digitale</w:t>
      </w:r>
      <w:r>
        <w:rPr>
          <w:rStyle w:val="Rimandonotaapidipagina"/>
          <w:rFonts w:ascii="Times New Roman" w:hAnsi="Times New Roman" w:cs="Times New Roman"/>
          <w:sz w:val="28"/>
          <w:szCs w:val="28"/>
        </w:rPr>
        <w:footnoteReference w:id="97"/>
      </w:r>
      <w:r w:rsidRPr="00313A41">
        <w:rPr>
          <w:rFonts w:ascii="Times New Roman" w:hAnsi="Times New Roman" w:cs="Times New Roman"/>
          <w:sz w:val="28"/>
          <w:szCs w:val="28"/>
        </w:rPr>
        <w:t>.</w:t>
      </w:r>
      <w:r w:rsidR="003920C6">
        <w:rPr>
          <w:rFonts w:ascii="Times New Roman" w:hAnsi="Times New Roman" w:cs="Times New Roman"/>
          <w:sz w:val="28"/>
          <w:szCs w:val="28"/>
        </w:rPr>
        <w:br w:type="page"/>
      </w:r>
    </w:p>
    <w:p w14:paraId="6A12198A" w14:textId="7EA3F5D0" w:rsidR="00A75A26" w:rsidRPr="000C70BC" w:rsidRDefault="000A002B" w:rsidP="005A65A4">
      <w:pPr>
        <w:tabs>
          <w:tab w:val="left" w:pos="8364"/>
        </w:tabs>
        <w:jc w:val="both"/>
        <w:rPr>
          <w:rFonts w:ascii="Times New Roman" w:hAnsi="Times New Roman" w:cs="Times New Roman"/>
          <w:b/>
          <w:bCs/>
          <w:sz w:val="32"/>
          <w:szCs w:val="32"/>
        </w:rPr>
      </w:pPr>
      <w:r>
        <w:rPr>
          <w:rFonts w:ascii="Times New Roman" w:hAnsi="Times New Roman" w:cs="Times New Roman"/>
          <w:b/>
          <w:bCs/>
          <w:sz w:val="32"/>
          <w:szCs w:val="32"/>
        </w:rPr>
        <w:lastRenderedPageBreak/>
        <w:t>C</w:t>
      </w:r>
      <w:r w:rsidR="00A75A26" w:rsidRPr="000C70BC">
        <w:rPr>
          <w:rFonts w:ascii="Times New Roman" w:hAnsi="Times New Roman" w:cs="Times New Roman"/>
          <w:b/>
          <w:bCs/>
          <w:sz w:val="32"/>
          <w:szCs w:val="32"/>
        </w:rPr>
        <w:t>apitolo</w:t>
      </w:r>
      <w:r w:rsidRPr="000A002B">
        <w:rPr>
          <w:rFonts w:ascii="Times New Roman" w:hAnsi="Times New Roman" w:cs="Times New Roman"/>
          <w:b/>
          <w:bCs/>
          <w:sz w:val="32"/>
          <w:szCs w:val="32"/>
        </w:rPr>
        <w:t xml:space="preserve"> </w:t>
      </w:r>
      <w:r w:rsidRPr="000C70BC">
        <w:rPr>
          <w:rFonts w:ascii="Times New Roman" w:hAnsi="Times New Roman" w:cs="Times New Roman"/>
          <w:b/>
          <w:bCs/>
          <w:sz w:val="32"/>
          <w:szCs w:val="32"/>
        </w:rPr>
        <w:t>VI</w:t>
      </w:r>
    </w:p>
    <w:p w14:paraId="07D1A325" w14:textId="00236CD0" w:rsidR="00C56B2A" w:rsidRPr="000C70BC" w:rsidRDefault="00C56B2A" w:rsidP="005A65A4">
      <w:pPr>
        <w:tabs>
          <w:tab w:val="left" w:pos="8364"/>
        </w:tabs>
        <w:jc w:val="both"/>
        <w:rPr>
          <w:rFonts w:ascii="Times New Roman" w:hAnsi="Times New Roman" w:cs="Times New Roman"/>
          <w:b/>
          <w:bCs/>
          <w:sz w:val="32"/>
          <w:szCs w:val="32"/>
        </w:rPr>
      </w:pPr>
      <w:r w:rsidRPr="000C70BC">
        <w:rPr>
          <w:rFonts w:ascii="Times New Roman" w:hAnsi="Times New Roman" w:cs="Times New Roman"/>
          <w:b/>
          <w:bCs/>
          <w:sz w:val="32"/>
          <w:szCs w:val="32"/>
        </w:rPr>
        <w:t>Qual è oggi la più grande intelligenza artificiale del mondo?</w:t>
      </w:r>
    </w:p>
    <w:p w14:paraId="0377E381" w14:textId="6D563906" w:rsidR="00C56B2A" w:rsidRDefault="00C56B2A" w:rsidP="004D4BCD">
      <w:pPr>
        <w:tabs>
          <w:tab w:val="left" w:pos="8364"/>
        </w:tabs>
        <w:spacing w:after="0"/>
        <w:jc w:val="both"/>
        <w:rPr>
          <w:rFonts w:ascii="Times New Roman" w:hAnsi="Times New Roman" w:cs="Times New Roman"/>
          <w:sz w:val="28"/>
          <w:szCs w:val="28"/>
        </w:rPr>
      </w:pPr>
      <w:r w:rsidRPr="004D4BCD">
        <w:rPr>
          <w:rFonts w:ascii="Times New Roman" w:hAnsi="Times New Roman" w:cs="Times New Roman"/>
          <w:i/>
          <w:iCs/>
          <w:sz w:val="28"/>
          <w:szCs w:val="28"/>
        </w:rPr>
        <w:t>Nvidia</w:t>
      </w:r>
      <w:r>
        <w:rPr>
          <w:rFonts w:ascii="Times New Roman" w:hAnsi="Times New Roman" w:cs="Times New Roman"/>
          <w:sz w:val="28"/>
          <w:szCs w:val="28"/>
        </w:rPr>
        <w:t xml:space="preserve"> e </w:t>
      </w:r>
      <w:r w:rsidR="000C70BC" w:rsidRPr="004D4BCD">
        <w:rPr>
          <w:rFonts w:ascii="Times New Roman" w:hAnsi="Times New Roman" w:cs="Times New Roman"/>
          <w:i/>
          <w:iCs/>
          <w:sz w:val="28"/>
          <w:szCs w:val="28"/>
        </w:rPr>
        <w:t>Microsoft</w:t>
      </w:r>
      <w:r w:rsidR="000C70BC">
        <w:rPr>
          <w:rFonts w:ascii="Times New Roman" w:hAnsi="Times New Roman" w:cs="Times New Roman"/>
          <w:sz w:val="28"/>
          <w:szCs w:val="28"/>
        </w:rPr>
        <w:t xml:space="preserve"> hanno</w:t>
      </w:r>
      <w:r>
        <w:rPr>
          <w:rFonts w:ascii="Times New Roman" w:hAnsi="Times New Roman" w:cs="Times New Roman"/>
          <w:sz w:val="28"/>
          <w:szCs w:val="28"/>
        </w:rPr>
        <w:t xml:space="preserve"> fatto fronte comune e hanno “costruito” la più grande intelligenza artificiale del mondo: </w:t>
      </w:r>
      <w:proofErr w:type="spellStart"/>
      <w:r w:rsidRPr="004D4BCD">
        <w:rPr>
          <w:rFonts w:ascii="Times New Roman" w:hAnsi="Times New Roman" w:cs="Times New Roman"/>
          <w:i/>
          <w:iCs/>
          <w:sz w:val="28"/>
          <w:szCs w:val="28"/>
        </w:rPr>
        <w:t>Megatron-</w:t>
      </w:r>
      <w:r w:rsidR="000C70BC" w:rsidRPr="004D4BCD">
        <w:rPr>
          <w:rFonts w:ascii="Times New Roman" w:hAnsi="Times New Roman" w:cs="Times New Roman"/>
          <w:i/>
          <w:iCs/>
          <w:sz w:val="28"/>
          <w:szCs w:val="28"/>
        </w:rPr>
        <w:t>Turing</w:t>
      </w:r>
      <w:proofErr w:type="spellEnd"/>
      <w:r w:rsidR="000C70BC" w:rsidRPr="004D4BCD">
        <w:rPr>
          <w:rFonts w:ascii="Times New Roman" w:hAnsi="Times New Roman" w:cs="Times New Roman"/>
          <w:i/>
          <w:iCs/>
          <w:sz w:val="28"/>
          <w:szCs w:val="28"/>
        </w:rPr>
        <w:t xml:space="preserve"> Natural</w:t>
      </w:r>
      <w:r w:rsidRPr="004D4BCD">
        <w:rPr>
          <w:rFonts w:ascii="Times New Roman" w:hAnsi="Times New Roman" w:cs="Times New Roman"/>
          <w:i/>
          <w:iCs/>
          <w:sz w:val="28"/>
          <w:szCs w:val="28"/>
        </w:rPr>
        <w:t xml:space="preserve"> Language Generation</w:t>
      </w:r>
      <w:r w:rsidRPr="00CE7580">
        <w:rPr>
          <w:rFonts w:ascii="Times New Roman" w:hAnsi="Times New Roman" w:cs="Times New Roman"/>
          <w:sz w:val="28"/>
          <w:szCs w:val="28"/>
        </w:rPr>
        <w:t xml:space="preserve"> (NT-NLG), composta da p</w:t>
      </w:r>
      <w:r>
        <w:rPr>
          <w:rFonts w:ascii="Times New Roman" w:hAnsi="Times New Roman" w:cs="Times New Roman"/>
          <w:sz w:val="28"/>
          <w:szCs w:val="28"/>
        </w:rPr>
        <w:t>iù di 530 miliardi di parametri. Il software ha raggiunto un’accuratezza senza precedenti in moltissimi ambiti (dal ragionamento alla comprensione della lettura).</w:t>
      </w:r>
    </w:p>
    <w:p w14:paraId="08DE284A" w14:textId="3BDA6789" w:rsidR="00C56B2A" w:rsidRDefault="00C56B2A" w:rsidP="004D4BC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MLT-NLG è stato addestrato su Microsoft </w:t>
      </w:r>
      <w:proofErr w:type="spellStart"/>
      <w:r w:rsidRPr="00901AD4">
        <w:rPr>
          <w:rFonts w:ascii="Times New Roman" w:hAnsi="Times New Roman" w:cs="Times New Roman"/>
          <w:i/>
          <w:iCs/>
          <w:sz w:val="28"/>
          <w:szCs w:val="28"/>
        </w:rPr>
        <w:t>Azure</w:t>
      </w:r>
      <w:proofErr w:type="spellEnd"/>
      <w:r w:rsidRPr="00901AD4">
        <w:rPr>
          <w:rFonts w:ascii="Times New Roman" w:hAnsi="Times New Roman" w:cs="Times New Roman"/>
          <w:i/>
          <w:iCs/>
          <w:sz w:val="28"/>
          <w:szCs w:val="28"/>
        </w:rPr>
        <w:t xml:space="preserve"> NDv4</w:t>
      </w:r>
      <w:r>
        <w:rPr>
          <w:rFonts w:ascii="Times New Roman" w:hAnsi="Times New Roman" w:cs="Times New Roman"/>
          <w:sz w:val="28"/>
          <w:szCs w:val="28"/>
        </w:rPr>
        <w:t xml:space="preserve">, sul </w:t>
      </w:r>
      <w:proofErr w:type="spellStart"/>
      <w:r>
        <w:rPr>
          <w:rFonts w:ascii="Times New Roman" w:hAnsi="Times New Roman" w:cs="Times New Roman"/>
          <w:sz w:val="28"/>
          <w:szCs w:val="28"/>
        </w:rPr>
        <w:t>supercomputer</w:t>
      </w:r>
      <w:proofErr w:type="spellEnd"/>
      <w:r>
        <w:rPr>
          <w:rFonts w:ascii="Times New Roman" w:hAnsi="Times New Roman" w:cs="Times New Roman"/>
          <w:sz w:val="28"/>
          <w:szCs w:val="28"/>
        </w:rPr>
        <w:t xml:space="preserve"> di apprendimento automatico Selene di Nvidia ed è composto da ben 825 GB di testo ottenuti dal mondo del web, da articoli prelevati da Wikipedia, ad archivi di riviste accademiche (come </w:t>
      </w:r>
      <w:r w:rsidR="004D4BCD" w:rsidRPr="004D4BCD">
        <w:rPr>
          <w:rFonts w:ascii="Times New Roman" w:hAnsi="Times New Roman" w:cs="Times New Roman"/>
          <w:i/>
          <w:iCs/>
          <w:sz w:val="28"/>
          <w:szCs w:val="28"/>
        </w:rPr>
        <w:t>N</w:t>
      </w:r>
      <w:r w:rsidRPr="004D4BCD">
        <w:rPr>
          <w:rFonts w:ascii="Times New Roman" w:hAnsi="Times New Roman" w:cs="Times New Roman"/>
          <w:i/>
          <w:iCs/>
          <w:sz w:val="28"/>
          <w:szCs w:val="28"/>
        </w:rPr>
        <w:t>ature</w:t>
      </w:r>
      <w:r>
        <w:rPr>
          <w:rFonts w:ascii="Times New Roman" w:hAnsi="Times New Roman" w:cs="Times New Roman"/>
          <w:sz w:val="28"/>
          <w:szCs w:val="28"/>
        </w:rPr>
        <w:t xml:space="preserve"> o </w:t>
      </w:r>
      <w:r w:rsidRPr="004D4BCD">
        <w:rPr>
          <w:rFonts w:ascii="Times New Roman" w:hAnsi="Times New Roman" w:cs="Times New Roman"/>
          <w:i/>
          <w:iCs/>
          <w:sz w:val="28"/>
          <w:szCs w:val="28"/>
        </w:rPr>
        <w:t>Science</w:t>
      </w:r>
      <w:r>
        <w:rPr>
          <w:rFonts w:ascii="Times New Roman" w:hAnsi="Times New Roman" w:cs="Times New Roman"/>
          <w:sz w:val="28"/>
          <w:szCs w:val="28"/>
        </w:rPr>
        <w:t>) a video di notizie.</w:t>
      </w:r>
    </w:p>
    <w:p w14:paraId="1F87C5F3" w14:textId="44C2B409" w:rsidR="00C56B2A" w:rsidRDefault="00C56B2A" w:rsidP="004D4BC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questo modo</w:t>
      </w:r>
      <w:r w:rsidR="004D4BCD">
        <w:rPr>
          <w:rFonts w:ascii="Times New Roman" w:hAnsi="Times New Roman" w:cs="Times New Roman"/>
          <w:sz w:val="28"/>
          <w:szCs w:val="28"/>
        </w:rPr>
        <w:t>,</w:t>
      </w:r>
      <w:r>
        <w:rPr>
          <w:rFonts w:ascii="Times New Roman" w:hAnsi="Times New Roman" w:cs="Times New Roman"/>
          <w:sz w:val="28"/>
          <w:szCs w:val="28"/>
        </w:rPr>
        <w:t xml:space="preserve"> l’intelligenza artificiale supera i suoi </w:t>
      </w:r>
      <w:r w:rsidR="000C70BC">
        <w:rPr>
          <w:rFonts w:ascii="Times New Roman" w:hAnsi="Times New Roman" w:cs="Times New Roman"/>
          <w:sz w:val="28"/>
          <w:szCs w:val="28"/>
        </w:rPr>
        <w:t>predecessori</w:t>
      </w:r>
      <w:r>
        <w:rPr>
          <w:rFonts w:ascii="Times New Roman" w:hAnsi="Times New Roman" w:cs="Times New Roman"/>
          <w:sz w:val="28"/>
          <w:szCs w:val="28"/>
        </w:rPr>
        <w:t xml:space="preserve"> in un’ampia gamma di attività differenti: dal completamento automatico delle frasi, delle risposte che offre, passando dalla lettura e nel ragionamento. </w:t>
      </w:r>
      <w:r w:rsidR="000C70BC">
        <w:rPr>
          <w:rFonts w:ascii="Times New Roman" w:hAnsi="Times New Roman" w:cs="Times New Roman"/>
          <w:sz w:val="28"/>
          <w:szCs w:val="28"/>
        </w:rPr>
        <w:t>Tuttavia, a</w:t>
      </w:r>
      <w:r>
        <w:rPr>
          <w:rFonts w:ascii="Times New Roman" w:hAnsi="Times New Roman" w:cs="Times New Roman"/>
          <w:sz w:val="28"/>
          <w:szCs w:val="28"/>
        </w:rPr>
        <w:t xml:space="preserve"> causa della grande quantità di dati utilizzati per l’addestramento del modello, i ricercatori non sono stati in grado di cancellare alcune parole che non dovrebbero essere utilizzate.</w:t>
      </w:r>
    </w:p>
    <w:p w14:paraId="58F68D66" w14:textId="3666CE19" w:rsidR="00C56B2A" w:rsidRDefault="00744F70" w:rsidP="004D4BC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poche parole,</w:t>
      </w:r>
      <w:r w:rsidR="00C56B2A">
        <w:rPr>
          <w:rFonts w:ascii="Times New Roman" w:hAnsi="Times New Roman" w:cs="Times New Roman"/>
          <w:sz w:val="28"/>
          <w:szCs w:val="28"/>
        </w:rPr>
        <w:t xml:space="preserve"> MT-NLG può produrre dei contenuti potenzialmente razzisti o sessisti.</w:t>
      </w:r>
      <w:r w:rsidR="00743EF6">
        <w:rPr>
          <w:rFonts w:ascii="Times New Roman" w:hAnsi="Times New Roman" w:cs="Times New Roman"/>
          <w:sz w:val="28"/>
          <w:szCs w:val="28"/>
        </w:rPr>
        <w:t xml:space="preserve"> Ne è la prova il fatto che alcune intelligenze artificiali create per dare consigli etici hanno improvvisamente avuto una deviazione in senso contrario. Si tratta dell’IA chiamata </w:t>
      </w:r>
      <w:proofErr w:type="spellStart"/>
      <w:r w:rsidR="00743EF6" w:rsidRPr="004D4BCD">
        <w:rPr>
          <w:rFonts w:ascii="Times New Roman" w:hAnsi="Times New Roman" w:cs="Times New Roman"/>
          <w:i/>
          <w:iCs/>
          <w:sz w:val="28"/>
          <w:szCs w:val="28"/>
        </w:rPr>
        <w:t>Ask</w:t>
      </w:r>
      <w:proofErr w:type="spellEnd"/>
      <w:r w:rsidR="00743EF6" w:rsidRPr="004D4BCD">
        <w:rPr>
          <w:rFonts w:ascii="Times New Roman" w:hAnsi="Times New Roman" w:cs="Times New Roman"/>
          <w:i/>
          <w:iCs/>
          <w:sz w:val="28"/>
          <w:szCs w:val="28"/>
        </w:rPr>
        <w:t xml:space="preserve"> </w:t>
      </w:r>
      <w:proofErr w:type="spellStart"/>
      <w:r w:rsidR="00743EF6" w:rsidRPr="004D4BCD">
        <w:rPr>
          <w:rFonts w:ascii="Times New Roman" w:hAnsi="Times New Roman" w:cs="Times New Roman"/>
          <w:i/>
          <w:iCs/>
          <w:sz w:val="28"/>
          <w:szCs w:val="28"/>
        </w:rPr>
        <w:t>Delphi</w:t>
      </w:r>
      <w:proofErr w:type="spellEnd"/>
      <w:r w:rsidR="00743EF6">
        <w:rPr>
          <w:rFonts w:ascii="Times New Roman" w:hAnsi="Times New Roman" w:cs="Times New Roman"/>
          <w:sz w:val="28"/>
          <w:szCs w:val="28"/>
        </w:rPr>
        <w:t>, creata da alcuni ricercatori sulla base di un algoritmo di apprendimento automatico in grado di consigliarci eticamente su cosa fare in base alla situazione in cui eravamo. A tale intelligenza artificiale si possono fare delle domande e, dopo pochi secondi, l’algoritmo ci dice se è la cosa più o meno etica da fare. Molti dei giudizi e delle risposte date sono discutibili. Ad esempio, un utente ha chiesto cosa ne pensasse di “un uomo bianco che cammina verso di te di notte”, rispondendo “va tutto bene”. La stessa domanda è stata fatta mettendo come soggetto un uomo di colore e la risposta è cambiata in peggio.</w:t>
      </w:r>
    </w:p>
    <w:p w14:paraId="3EDE37C6" w14:textId="02A96D74" w:rsidR="00743EF6" w:rsidRDefault="00743EF6" w:rsidP="004D4BC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Gli utenti sono riusciti a far piegare l’IA al loro volere</w:t>
      </w:r>
      <w:r w:rsidR="004D4BCD">
        <w:rPr>
          <w:rFonts w:ascii="Times New Roman" w:hAnsi="Times New Roman" w:cs="Times New Roman"/>
          <w:sz w:val="28"/>
          <w:szCs w:val="28"/>
        </w:rPr>
        <w:t>,</w:t>
      </w:r>
      <w:r>
        <w:rPr>
          <w:rFonts w:ascii="Times New Roman" w:hAnsi="Times New Roman" w:cs="Times New Roman"/>
          <w:sz w:val="28"/>
          <w:szCs w:val="28"/>
        </w:rPr>
        <w:t xml:space="preserve"> creando delle frasi </w:t>
      </w:r>
      <w:r w:rsidRPr="00A4497C">
        <w:rPr>
          <w:rFonts w:ascii="Times New Roman" w:hAnsi="Times New Roman" w:cs="Times New Roman"/>
          <w:i/>
          <w:iCs/>
          <w:sz w:val="28"/>
          <w:szCs w:val="28"/>
        </w:rPr>
        <w:t>ad hoc</w:t>
      </w:r>
      <w:r>
        <w:rPr>
          <w:rFonts w:ascii="Times New Roman" w:hAnsi="Times New Roman" w:cs="Times New Roman"/>
          <w:sz w:val="28"/>
          <w:szCs w:val="28"/>
        </w:rPr>
        <w:t xml:space="preserve"> per mandare in confusione l’algoritmo. Ad esempio, domand</w:t>
      </w:r>
      <w:r w:rsidR="004D4BCD">
        <w:rPr>
          <w:rFonts w:ascii="Times New Roman" w:hAnsi="Times New Roman" w:cs="Times New Roman"/>
          <w:sz w:val="28"/>
          <w:szCs w:val="28"/>
        </w:rPr>
        <w:t>ando</w:t>
      </w:r>
      <w:r>
        <w:rPr>
          <w:rFonts w:ascii="Times New Roman" w:hAnsi="Times New Roman" w:cs="Times New Roman"/>
          <w:sz w:val="28"/>
          <w:szCs w:val="28"/>
        </w:rPr>
        <w:t xml:space="preserve"> se fosse giusto mettere musica ad alto volume alle tre di notte, l’intelligenza artificiale ha risposto giustamente “no”, ma chiedendo, invece, se fosse giusto mettere musica ad alto volume alle tre di notte, perché vi rende felice, invece, il software ha risposto “si”.</w:t>
      </w:r>
    </w:p>
    <w:p w14:paraId="45534E6A" w14:textId="1DDBF9B2" w:rsidR="00743EF6" w:rsidRDefault="00743EF6" w:rsidP="004D4BC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Secondo gli autori dell’intelligenza artificiale, però, </w:t>
      </w:r>
      <w:proofErr w:type="spellStart"/>
      <w:r w:rsidRPr="004D4BCD">
        <w:rPr>
          <w:rFonts w:ascii="Times New Roman" w:hAnsi="Times New Roman" w:cs="Times New Roman"/>
          <w:i/>
          <w:iCs/>
          <w:sz w:val="28"/>
          <w:szCs w:val="28"/>
        </w:rPr>
        <w:t>Delphi</w:t>
      </w:r>
      <w:proofErr w:type="spellEnd"/>
      <w:r>
        <w:rPr>
          <w:rFonts w:ascii="Times New Roman" w:hAnsi="Times New Roman" w:cs="Times New Roman"/>
          <w:sz w:val="28"/>
          <w:szCs w:val="28"/>
        </w:rPr>
        <w:t xml:space="preserve"> è un prototipo di ricerca destinato a indagare le più ampie questioni scientifiche su come i sistemi di intelligenza artificiale possano</w:t>
      </w:r>
      <w:r w:rsidR="00AE1B47">
        <w:rPr>
          <w:rFonts w:ascii="Times New Roman" w:hAnsi="Times New Roman" w:cs="Times New Roman"/>
          <w:sz w:val="28"/>
          <w:szCs w:val="28"/>
        </w:rPr>
        <w:t xml:space="preserve"> essere realizzati per comprendere le norme sociali e l’etica. Insomma, un’IA nata con finalità etiche, immessa nel mondo di internet diventa il “mostro”, nel senso latino del termine “</w:t>
      </w:r>
      <w:r w:rsidR="00AE1B47" w:rsidRPr="00A4497C">
        <w:rPr>
          <w:rFonts w:ascii="Times New Roman" w:hAnsi="Times New Roman" w:cs="Times New Roman"/>
          <w:i/>
          <w:iCs/>
          <w:sz w:val="28"/>
          <w:szCs w:val="28"/>
        </w:rPr>
        <w:t>monstrum</w:t>
      </w:r>
      <w:r w:rsidR="00AE1B47">
        <w:rPr>
          <w:rFonts w:ascii="Times New Roman" w:hAnsi="Times New Roman" w:cs="Times New Roman"/>
          <w:sz w:val="28"/>
          <w:szCs w:val="28"/>
        </w:rPr>
        <w:t>”, ossia straordinario, ma nello stesso tempo spaventoso per le deviazioni in cui può evolvere.</w:t>
      </w:r>
    </w:p>
    <w:p w14:paraId="2DEAC277" w14:textId="77777777" w:rsidR="0087064A" w:rsidRDefault="009415FA" w:rsidP="0087064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Secondo il Pentagono americano</w:t>
      </w:r>
      <w:r w:rsidR="004D4BCD">
        <w:rPr>
          <w:rFonts w:ascii="Times New Roman" w:hAnsi="Times New Roman" w:cs="Times New Roman"/>
          <w:sz w:val="28"/>
          <w:szCs w:val="28"/>
        </w:rPr>
        <w:t>,</w:t>
      </w:r>
      <w:r>
        <w:rPr>
          <w:rFonts w:ascii="Times New Roman" w:hAnsi="Times New Roman" w:cs="Times New Roman"/>
          <w:sz w:val="28"/>
          <w:szCs w:val="28"/>
        </w:rPr>
        <w:t xml:space="preserve"> sarà addirittura l’intelligenza artificiale a prevedere le guerre nel futuro. Si ricorderà la notizia della morte del capo del programma nucleare iraniano per mano di un’IA: essa avrebbe manovrato un fucile da cecchino posizionato da degli agenti dei servizi segreti israeliani per uccidere il nemico. Dopo questi </w:t>
      </w:r>
      <w:r w:rsidR="00A4497C">
        <w:rPr>
          <w:rFonts w:ascii="Times New Roman" w:hAnsi="Times New Roman" w:cs="Times New Roman"/>
          <w:sz w:val="28"/>
          <w:szCs w:val="28"/>
        </w:rPr>
        <w:t>eventi, il</w:t>
      </w:r>
      <w:r>
        <w:rPr>
          <w:rFonts w:ascii="Times New Roman" w:hAnsi="Times New Roman" w:cs="Times New Roman"/>
          <w:sz w:val="28"/>
          <w:szCs w:val="28"/>
        </w:rPr>
        <w:t xml:space="preserve"> Pentagono ha manifestato un nuovo interesse nell’IA e nel suo uso per scopi bellici. Il Dipartimento della Difesa americano, infatti, vorrebbe usare i computer per prevedere le mosse dei nemici ed agire di conseguenza negli scenari di guerra</w:t>
      </w:r>
      <w:r w:rsidR="004D4BCD">
        <w:rPr>
          <w:rStyle w:val="Rimandonotaapidipagina"/>
          <w:rFonts w:ascii="Times New Roman" w:hAnsi="Times New Roman" w:cs="Times New Roman"/>
          <w:sz w:val="28"/>
          <w:szCs w:val="28"/>
        </w:rPr>
        <w:footnoteReference w:id="98"/>
      </w:r>
      <w:r w:rsidR="00626659">
        <w:rPr>
          <w:rFonts w:ascii="Times New Roman" w:hAnsi="Times New Roman" w:cs="Times New Roman"/>
          <w:sz w:val="28"/>
          <w:szCs w:val="28"/>
        </w:rPr>
        <w:t xml:space="preserve">. </w:t>
      </w:r>
    </w:p>
    <w:p w14:paraId="20441C30" w14:textId="77777777" w:rsidR="0087064A" w:rsidRDefault="00626659" w:rsidP="0087064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In particolare, il programma in cui l’IA sarebbe impiegata è il GIDE, o </w:t>
      </w:r>
      <w:r w:rsidRPr="0087064A">
        <w:rPr>
          <w:rFonts w:ascii="Times New Roman" w:hAnsi="Times New Roman" w:cs="Times New Roman"/>
          <w:i/>
          <w:iCs/>
          <w:sz w:val="28"/>
          <w:szCs w:val="28"/>
        </w:rPr>
        <w:t xml:space="preserve">Global Information </w:t>
      </w:r>
      <w:proofErr w:type="spellStart"/>
      <w:r w:rsidRPr="0087064A">
        <w:rPr>
          <w:rFonts w:ascii="Times New Roman" w:hAnsi="Times New Roman" w:cs="Times New Roman"/>
          <w:i/>
          <w:iCs/>
          <w:sz w:val="28"/>
          <w:szCs w:val="28"/>
        </w:rPr>
        <w:t>Dominance</w:t>
      </w:r>
      <w:proofErr w:type="spellEnd"/>
      <w:r w:rsidRPr="0087064A">
        <w:rPr>
          <w:rFonts w:ascii="Times New Roman" w:hAnsi="Times New Roman" w:cs="Times New Roman"/>
          <w:i/>
          <w:iCs/>
          <w:sz w:val="28"/>
          <w:szCs w:val="28"/>
        </w:rPr>
        <w:t xml:space="preserve"> </w:t>
      </w:r>
      <w:proofErr w:type="spellStart"/>
      <w:r w:rsidRPr="0087064A">
        <w:rPr>
          <w:rFonts w:ascii="Times New Roman" w:hAnsi="Times New Roman" w:cs="Times New Roman"/>
          <w:i/>
          <w:iCs/>
          <w:sz w:val="28"/>
          <w:szCs w:val="28"/>
        </w:rPr>
        <w:t>Experiments</w:t>
      </w:r>
      <w:proofErr w:type="spellEnd"/>
      <w:r>
        <w:rPr>
          <w:rFonts w:ascii="Times New Roman" w:hAnsi="Times New Roman" w:cs="Times New Roman"/>
          <w:sz w:val="28"/>
          <w:szCs w:val="28"/>
        </w:rPr>
        <w:t xml:space="preserve">, che avrebbe già realizzato una prima esercitazione completa con tre intelligenze artificiali separate, ma connesse tra loro, chiamate con i nomi in codice </w:t>
      </w:r>
      <w:proofErr w:type="spellStart"/>
      <w:r w:rsidRPr="0087064A">
        <w:rPr>
          <w:rFonts w:ascii="Times New Roman" w:hAnsi="Times New Roman" w:cs="Times New Roman"/>
          <w:i/>
          <w:iCs/>
          <w:sz w:val="28"/>
          <w:szCs w:val="28"/>
        </w:rPr>
        <w:t>Cosmos</w:t>
      </w:r>
      <w:proofErr w:type="spellEnd"/>
      <w:r>
        <w:rPr>
          <w:rFonts w:ascii="Times New Roman" w:hAnsi="Times New Roman" w:cs="Times New Roman"/>
          <w:sz w:val="28"/>
          <w:szCs w:val="28"/>
        </w:rPr>
        <w:t xml:space="preserve">, </w:t>
      </w:r>
      <w:r w:rsidRPr="0087064A">
        <w:rPr>
          <w:rFonts w:ascii="Times New Roman" w:hAnsi="Times New Roman" w:cs="Times New Roman"/>
          <w:i/>
          <w:iCs/>
          <w:sz w:val="28"/>
          <w:szCs w:val="28"/>
        </w:rPr>
        <w:t>Gaia</w:t>
      </w:r>
      <w:r>
        <w:rPr>
          <w:rFonts w:ascii="Times New Roman" w:hAnsi="Times New Roman" w:cs="Times New Roman"/>
          <w:sz w:val="28"/>
          <w:szCs w:val="28"/>
        </w:rPr>
        <w:t xml:space="preserve"> e </w:t>
      </w:r>
      <w:r w:rsidRPr="0087064A">
        <w:rPr>
          <w:rFonts w:ascii="Times New Roman" w:hAnsi="Times New Roman" w:cs="Times New Roman"/>
          <w:i/>
          <w:iCs/>
          <w:sz w:val="28"/>
          <w:szCs w:val="28"/>
        </w:rPr>
        <w:t>Lattice</w:t>
      </w:r>
      <w:r>
        <w:rPr>
          <w:rFonts w:ascii="Times New Roman" w:hAnsi="Times New Roman" w:cs="Times New Roman"/>
          <w:sz w:val="28"/>
          <w:szCs w:val="28"/>
        </w:rPr>
        <w:t xml:space="preserve">. </w:t>
      </w:r>
    </w:p>
    <w:p w14:paraId="68E3219B" w14:textId="77777777" w:rsidR="0087064A" w:rsidRDefault="00626659" w:rsidP="0087064A">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Esse hanno il compito di lavorare insieme e di processare una mole enorme di dati in tempo reale per effettuare previsioni di scenari bellici e configurare di conseguenza le difese americane. Durante una conferenza, il Segretario alla difesa americano Lloyd Austin ha elogiato l’IA, descrivendola come “</w:t>
      </w:r>
      <w:r w:rsidRPr="00626659">
        <w:rPr>
          <w:rFonts w:ascii="Times New Roman" w:hAnsi="Times New Roman" w:cs="Times New Roman"/>
          <w:i/>
          <w:iCs/>
          <w:sz w:val="28"/>
          <w:szCs w:val="28"/>
        </w:rPr>
        <w:t>il corretto mix</w:t>
      </w:r>
      <w:r>
        <w:rPr>
          <w:rFonts w:ascii="Times New Roman" w:hAnsi="Times New Roman" w:cs="Times New Roman"/>
          <w:i/>
          <w:iCs/>
          <w:sz w:val="28"/>
          <w:szCs w:val="28"/>
        </w:rPr>
        <w:t xml:space="preserve"> di tecnologia, concetti operativi e capacità, inseriti in un reticolo flessibile, credibile, affidabile e formidabile, capace di fermare le azioni di ogni avversario”. </w:t>
      </w:r>
    </w:p>
    <w:p w14:paraId="6B1345F3" w14:textId="77777777" w:rsidR="0087064A" w:rsidRDefault="00626659" w:rsidP="0087064A">
      <w:pPr>
        <w:tabs>
          <w:tab w:val="left" w:pos="8364"/>
        </w:tabs>
        <w:spacing w:after="0"/>
        <w:jc w:val="both"/>
        <w:rPr>
          <w:rFonts w:ascii="Times New Roman" w:hAnsi="Times New Roman" w:cs="Times New Roman"/>
          <w:sz w:val="28"/>
          <w:szCs w:val="28"/>
        </w:rPr>
      </w:pPr>
      <w:r w:rsidRPr="00626659">
        <w:rPr>
          <w:rFonts w:ascii="Times New Roman" w:hAnsi="Times New Roman" w:cs="Times New Roman"/>
          <w:sz w:val="28"/>
          <w:szCs w:val="28"/>
        </w:rPr>
        <w:t xml:space="preserve">L’idea </w:t>
      </w:r>
      <w:r>
        <w:rPr>
          <w:rFonts w:ascii="Times New Roman" w:hAnsi="Times New Roman" w:cs="Times New Roman"/>
          <w:sz w:val="28"/>
          <w:szCs w:val="28"/>
        </w:rPr>
        <w:t xml:space="preserve">del Pentagono </w:t>
      </w:r>
      <w:r w:rsidR="00A4497C">
        <w:rPr>
          <w:rFonts w:ascii="Times New Roman" w:hAnsi="Times New Roman" w:cs="Times New Roman"/>
          <w:sz w:val="28"/>
          <w:szCs w:val="28"/>
        </w:rPr>
        <w:t>sembra, dunque</w:t>
      </w:r>
      <w:r>
        <w:rPr>
          <w:rFonts w:ascii="Times New Roman" w:hAnsi="Times New Roman" w:cs="Times New Roman"/>
          <w:sz w:val="28"/>
          <w:szCs w:val="28"/>
        </w:rPr>
        <w:t xml:space="preserve">, quella di sviluppare un’intelligenza artificiale sempre più avanzata, usandola come deterrente contro qualsiasi nemico intenda iniziare una nuova guerra su larga scala. L’implementazione dell’IA è pensata per </w:t>
      </w:r>
      <w:r>
        <w:rPr>
          <w:rFonts w:ascii="Times New Roman" w:hAnsi="Times New Roman" w:cs="Times New Roman"/>
          <w:sz w:val="28"/>
          <w:szCs w:val="28"/>
        </w:rPr>
        <w:lastRenderedPageBreak/>
        <w:t>ridurre i tempi della “zona grigia” dei conflitti, ovvero il momento della guerra in cui entrambe le parti cercano di stabilire la consistenza delle forze, le debolezze e il posizionamento del nemico, preparando di conseguenza dei piani strategici per contrastarlo. In questo modo</w:t>
      </w:r>
      <w:r w:rsidR="0087064A">
        <w:rPr>
          <w:rFonts w:ascii="Times New Roman" w:hAnsi="Times New Roman" w:cs="Times New Roman"/>
          <w:sz w:val="28"/>
          <w:szCs w:val="28"/>
        </w:rPr>
        <w:t xml:space="preserve">, </w:t>
      </w:r>
      <w:r>
        <w:rPr>
          <w:rFonts w:ascii="Times New Roman" w:hAnsi="Times New Roman" w:cs="Times New Roman"/>
          <w:sz w:val="28"/>
          <w:szCs w:val="28"/>
        </w:rPr>
        <w:t>gli Stati Uniti sperano di conseguire dei vantaggi operativi su qualsiasi nemico e in ogni teatro di guerra. La decisione del Pentagono di adoperare le intelligenze artificiali per scelte così delicate, che mettono a rischio anche migliaia di vite umane, è stata duramente criticata dal punto di vista etico.</w:t>
      </w:r>
      <w:r w:rsidR="00E55A99">
        <w:rPr>
          <w:rFonts w:ascii="Times New Roman" w:hAnsi="Times New Roman" w:cs="Times New Roman"/>
          <w:sz w:val="28"/>
          <w:szCs w:val="28"/>
        </w:rPr>
        <w:t xml:space="preserve"> </w:t>
      </w:r>
    </w:p>
    <w:p w14:paraId="14D61DFE" w14:textId="77777777" w:rsidR="0087064A" w:rsidRDefault="00E55A99" w:rsidP="0087064A">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Lloyd, però, ne ha difeso l’impiego, dicendo </w:t>
      </w:r>
      <w:r w:rsidR="00A4497C">
        <w:rPr>
          <w:rFonts w:ascii="Times New Roman" w:hAnsi="Times New Roman" w:cs="Times New Roman"/>
          <w:sz w:val="28"/>
          <w:szCs w:val="28"/>
        </w:rPr>
        <w:t>che: “</w:t>
      </w:r>
      <w:r w:rsidRPr="00E55A99">
        <w:rPr>
          <w:rFonts w:ascii="Times New Roman" w:hAnsi="Times New Roman" w:cs="Times New Roman"/>
          <w:i/>
          <w:iCs/>
          <w:sz w:val="28"/>
          <w:szCs w:val="28"/>
        </w:rPr>
        <w:t xml:space="preserve">il nostro uso dell’IA vuole rafforzare i valori democratici, proteggere i nostri diritti, assicurare la </w:t>
      </w:r>
      <w:r w:rsidR="00744F70" w:rsidRPr="00E55A99">
        <w:rPr>
          <w:rFonts w:ascii="Times New Roman" w:hAnsi="Times New Roman" w:cs="Times New Roman"/>
          <w:i/>
          <w:iCs/>
          <w:sz w:val="28"/>
          <w:szCs w:val="28"/>
        </w:rPr>
        <w:t>sicurezza e</w:t>
      </w:r>
      <w:r w:rsidRPr="00E55A99">
        <w:rPr>
          <w:rFonts w:ascii="Times New Roman" w:hAnsi="Times New Roman" w:cs="Times New Roman"/>
          <w:i/>
          <w:iCs/>
          <w:sz w:val="28"/>
          <w:szCs w:val="28"/>
        </w:rPr>
        <w:t xml:space="preserve"> difendere la Privacy. Capiamo le pressioni e le tensioni e sappiamo che le valutazioni etiche e legali dell’uso della tecnologia guerra possono richiedere tempo</w:t>
      </w:r>
      <w:r w:rsidRPr="0087064A">
        <w:rPr>
          <w:rFonts w:ascii="Times New Roman" w:hAnsi="Times New Roman" w:cs="Times New Roman"/>
          <w:sz w:val="28"/>
          <w:szCs w:val="28"/>
        </w:rPr>
        <w:t xml:space="preserve">”. </w:t>
      </w:r>
    </w:p>
    <w:p w14:paraId="1B06E780" w14:textId="2C6F7C74" w:rsidR="009415FA" w:rsidRDefault="00E55A99" w:rsidP="0087064A">
      <w:pPr>
        <w:tabs>
          <w:tab w:val="left" w:pos="8364"/>
        </w:tabs>
        <w:spacing w:after="0"/>
        <w:jc w:val="both"/>
        <w:rPr>
          <w:rFonts w:ascii="Times New Roman" w:hAnsi="Times New Roman" w:cs="Times New Roman"/>
          <w:sz w:val="28"/>
          <w:szCs w:val="28"/>
        </w:rPr>
      </w:pPr>
      <w:r w:rsidRPr="00E55A99">
        <w:rPr>
          <w:rFonts w:ascii="Times New Roman" w:hAnsi="Times New Roman" w:cs="Times New Roman"/>
          <w:sz w:val="28"/>
          <w:szCs w:val="28"/>
        </w:rPr>
        <w:t xml:space="preserve">Anche la Cina </w:t>
      </w:r>
      <w:r>
        <w:rPr>
          <w:rFonts w:ascii="Times New Roman" w:hAnsi="Times New Roman" w:cs="Times New Roman"/>
          <w:sz w:val="28"/>
          <w:szCs w:val="28"/>
        </w:rPr>
        <w:t>potrebbe avere un programma IA molto avanzato, per cui Washington sarebbe già indietro nella guerra tecnologica rispetto al suo principale nemico.</w:t>
      </w:r>
    </w:p>
    <w:p w14:paraId="4C062789" w14:textId="77777777" w:rsidR="0087064A" w:rsidRDefault="0087064A" w:rsidP="0087064A">
      <w:pPr>
        <w:tabs>
          <w:tab w:val="left" w:pos="8364"/>
        </w:tabs>
        <w:spacing w:after="0"/>
        <w:jc w:val="both"/>
        <w:rPr>
          <w:rFonts w:ascii="Times New Roman" w:hAnsi="Times New Roman" w:cs="Times New Roman"/>
          <w:sz w:val="28"/>
          <w:szCs w:val="28"/>
        </w:rPr>
      </w:pPr>
    </w:p>
    <w:p w14:paraId="792DC77D" w14:textId="275EDCB5" w:rsidR="00130C2B" w:rsidRDefault="00A4497C" w:rsidP="0087064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Ma a</w:t>
      </w:r>
      <w:r w:rsidR="00E55A99">
        <w:rPr>
          <w:rFonts w:ascii="Times New Roman" w:hAnsi="Times New Roman" w:cs="Times New Roman"/>
          <w:sz w:val="28"/>
          <w:szCs w:val="28"/>
        </w:rPr>
        <w:t xml:space="preserve"> questo punto non si potrebbe creare un’intelligenza artificiale per migliorare le relazioni diplomatiche fra gli Stati? Non si potrebbe creare l’algoritmo della pace mondiale che sia in grado di prospettare i benefici della cooperazione internazionale e del multilateralismo per creare principi </w:t>
      </w:r>
      <w:proofErr w:type="spellStart"/>
      <w:r w:rsidR="00E55A99">
        <w:rPr>
          <w:rFonts w:ascii="Times New Roman" w:hAnsi="Times New Roman" w:cs="Times New Roman"/>
          <w:sz w:val="28"/>
          <w:szCs w:val="28"/>
        </w:rPr>
        <w:t>ecogiuridici</w:t>
      </w:r>
      <w:proofErr w:type="spellEnd"/>
      <w:r w:rsidR="00E55A99">
        <w:rPr>
          <w:rFonts w:ascii="Times New Roman" w:hAnsi="Times New Roman" w:cs="Times New Roman"/>
          <w:sz w:val="28"/>
          <w:szCs w:val="28"/>
        </w:rPr>
        <w:t xml:space="preserve"> in grado di rispettare l’ambiente e le risorse naturali per uno sviluppo sostenibile basato sul “principio di non regressione” delle risorse naturali? Non si potrebbero creare algoritmi di sviluppo etico in grado di contenere il </w:t>
      </w:r>
      <w:proofErr w:type="spellStart"/>
      <w:r w:rsidR="00E55A99" w:rsidRPr="00E55A99">
        <w:rPr>
          <w:rFonts w:ascii="Times New Roman" w:hAnsi="Times New Roman" w:cs="Times New Roman"/>
          <w:i/>
          <w:iCs/>
          <w:sz w:val="28"/>
          <w:szCs w:val="28"/>
        </w:rPr>
        <w:t>climate</w:t>
      </w:r>
      <w:proofErr w:type="spellEnd"/>
      <w:r w:rsidR="00E55A99" w:rsidRPr="00E55A99">
        <w:rPr>
          <w:rFonts w:ascii="Times New Roman" w:hAnsi="Times New Roman" w:cs="Times New Roman"/>
          <w:i/>
          <w:iCs/>
          <w:sz w:val="28"/>
          <w:szCs w:val="28"/>
        </w:rPr>
        <w:t xml:space="preserve"> </w:t>
      </w:r>
      <w:proofErr w:type="spellStart"/>
      <w:r w:rsidR="00E55A99" w:rsidRPr="00E55A99">
        <w:rPr>
          <w:rFonts w:ascii="Times New Roman" w:hAnsi="Times New Roman" w:cs="Times New Roman"/>
          <w:i/>
          <w:iCs/>
          <w:sz w:val="28"/>
          <w:szCs w:val="28"/>
        </w:rPr>
        <w:t>change</w:t>
      </w:r>
      <w:proofErr w:type="spellEnd"/>
      <w:r w:rsidR="00E55A99">
        <w:rPr>
          <w:rFonts w:ascii="Times New Roman" w:hAnsi="Times New Roman" w:cs="Times New Roman"/>
          <w:sz w:val="28"/>
          <w:szCs w:val="28"/>
        </w:rPr>
        <w:t xml:space="preserve"> e raggiungere la </w:t>
      </w:r>
      <w:r w:rsidR="00E55A99" w:rsidRPr="00E55A99">
        <w:rPr>
          <w:rFonts w:ascii="Times New Roman" w:hAnsi="Times New Roman" w:cs="Times New Roman"/>
          <w:i/>
          <w:iCs/>
          <w:sz w:val="28"/>
          <w:szCs w:val="28"/>
        </w:rPr>
        <w:t xml:space="preserve">carbon </w:t>
      </w:r>
      <w:proofErr w:type="spellStart"/>
      <w:r w:rsidR="00E55A99" w:rsidRPr="00E55A99">
        <w:rPr>
          <w:rFonts w:ascii="Times New Roman" w:hAnsi="Times New Roman" w:cs="Times New Roman"/>
          <w:i/>
          <w:iCs/>
          <w:sz w:val="28"/>
          <w:szCs w:val="28"/>
        </w:rPr>
        <w:t>neutrality</w:t>
      </w:r>
      <w:proofErr w:type="spellEnd"/>
      <w:r w:rsidR="00E55A99">
        <w:rPr>
          <w:rFonts w:ascii="Times New Roman" w:hAnsi="Times New Roman" w:cs="Times New Roman"/>
          <w:sz w:val="28"/>
          <w:szCs w:val="28"/>
        </w:rPr>
        <w:t xml:space="preserve"> entro tempi ragionevoli per le future generazioni?</w:t>
      </w:r>
      <w:r w:rsidR="00130C2B">
        <w:rPr>
          <w:rFonts w:ascii="Times New Roman" w:hAnsi="Times New Roman" w:cs="Times New Roman"/>
          <w:sz w:val="28"/>
          <w:szCs w:val="28"/>
        </w:rPr>
        <w:t xml:space="preserve"> </w:t>
      </w:r>
    </w:p>
    <w:p w14:paraId="4013454B" w14:textId="77777777" w:rsidR="0087064A" w:rsidRDefault="00130C2B" w:rsidP="0087064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Io credo di si: è l’uomo che può indirizzare lo sviluppo dell’IA verso obiettivi positivi, è l’uomo </w:t>
      </w:r>
      <w:proofErr w:type="spellStart"/>
      <w:r w:rsidRPr="00130C2B">
        <w:rPr>
          <w:rFonts w:ascii="Times New Roman" w:hAnsi="Times New Roman" w:cs="Times New Roman"/>
          <w:i/>
          <w:iCs/>
          <w:sz w:val="28"/>
          <w:szCs w:val="28"/>
        </w:rPr>
        <w:t>faber</w:t>
      </w:r>
      <w:proofErr w:type="spellEnd"/>
      <w:r w:rsidRPr="00130C2B">
        <w:rPr>
          <w:rFonts w:ascii="Times New Roman" w:hAnsi="Times New Roman" w:cs="Times New Roman"/>
          <w:i/>
          <w:iCs/>
          <w:sz w:val="28"/>
          <w:szCs w:val="28"/>
        </w:rPr>
        <w:t xml:space="preserve"> </w:t>
      </w:r>
      <w:proofErr w:type="spellStart"/>
      <w:r w:rsidRPr="00130C2B">
        <w:rPr>
          <w:rFonts w:ascii="Times New Roman" w:hAnsi="Times New Roman" w:cs="Times New Roman"/>
          <w:i/>
          <w:iCs/>
          <w:sz w:val="28"/>
          <w:szCs w:val="28"/>
        </w:rPr>
        <w:t>suae</w:t>
      </w:r>
      <w:proofErr w:type="spellEnd"/>
      <w:r w:rsidRPr="00130C2B">
        <w:rPr>
          <w:rFonts w:ascii="Times New Roman" w:hAnsi="Times New Roman" w:cs="Times New Roman"/>
          <w:i/>
          <w:iCs/>
          <w:sz w:val="28"/>
          <w:szCs w:val="28"/>
        </w:rPr>
        <w:t xml:space="preserve"> </w:t>
      </w:r>
      <w:proofErr w:type="spellStart"/>
      <w:r w:rsidRPr="00130C2B">
        <w:rPr>
          <w:rFonts w:ascii="Times New Roman" w:hAnsi="Times New Roman" w:cs="Times New Roman"/>
          <w:i/>
          <w:iCs/>
          <w:sz w:val="28"/>
          <w:szCs w:val="28"/>
        </w:rPr>
        <w:t>fortunae</w:t>
      </w:r>
      <w:proofErr w:type="spellEnd"/>
      <w:r>
        <w:rPr>
          <w:rFonts w:ascii="Times New Roman" w:hAnsi="Times New Roman" w:cs="Times New Roman"/>
          <w:sz w:val="28"/>
          <w:szCs w:val="28"/>
        </w:rPr>
        <w:t xml:space="preserve">, è l’uomo che nel programmare </w:t>
      </w:r>
      <w:proofErr w:type="gramStart"/>
      <w:r>
        <w:rPr>
          <w:rFonts w:ascii="Times New Roman" w:hAnsi="Times New Roman" w:cs="Times New Roman"/>
          <w:sz w:val="28"/>
          <w:szCs w:val="28"/>
        </w:rPr>
        <w:t>ed</w:t>
      </w:r>
      <w:proofErr w:type="gramEnd"/>
      <w:r>
        <w:rPr>
          <w:rFonts w:ascii="Times New Roman" w:hAnsi="Times New Roman" w:cs="Times New Roman"/>
          <w:sz w:val="28"/>
          <w:szCs w:val="28"/>
        </w:rPr>
        <w:t xml:space="preserve"> educare gli algoritmi può decidere in che direzione andare, ponendo nella programmazione dei sistemi di allerta e di blocco in caso di deviazione dell’algoritmo dagli obiettivi </w:t>
      </w:r>
      <w:r w:rsidR="00A4497C">
        <w:rPr>
          <w:rFonts w:ascii="Times New Roman" w:hAnsi="Times New Roman" w:cs="Times New Roman"/>
          <w:sz w:val="28"/>
          <w:szCs w:val="28"/>
        </w:rPr>
        <w:t>etici da</w:t>
      </w:r>
      <w:r>
        <w:rPr>
          <w:rFonts w:ascii="Times New Roman" w:hAnsi="Times New Roman" w:cs="Times New Roman"/>
          <w:sz w:val="28"/>
          <w:szCs w:val="28"/>
        </w:rPr>
        <w:t xml:space="preserve"> lui stesso prefissati. </w:t>
      </w:r>
    </w:p>
    <w:p w14:paraId="5AF0D79D" w14:textId="232791DB" w:rsidR="004618F6" w:rsidRDefault="00A4497C" w:rsidP="0087064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È</w:t>
      </w:r>
      <w:r w:rsidR="00130C2B">
        <w:rPr>
          <w:rFonts w:ascii="Times New Roman" w:hAnsi="Times New Roman" w:cs="Times New Roman"/>
          <w:sz w:val="28"/>
          <w:szCs w:val="28"/>
        </w:rPr>
        <w:t xml:space="preserve"> un’idea utopistica? Credo di no: la parola idea viene dalla radice greca </w:t>
      </w:r>
      <w:r w:rsidR="00130C2B" w:rsidRPr="00A4497C">
        <w:rPr>
          <w:rFonts w:ascii="Times New Roman" w:hAnsi="Times New Roman" w:cs="Times New Roman"/>
          <w:i/>
          <w:iCs/>
          <w:sz w:val="28"/>
          <w:szCs w:val="28"/>
        </w:rPr>
        <w:t>id</w:t>
      </w:r>
      <w:r w:rsidR="00130C2B">
        <w:rPr>
          <w:rFonts w:ascii="Times New Roman" w:hAnsi="Times New Roman" w:cs="Times New Roman"/>
          <w:sz w:val="28"/>
          <w:szCs w:val="28"/>
        </w:rPr>
        <w:t xml:space="preserve"> nell’aoristo del verbo </w:t>
      </w:r>
      <w:proofErr w:type="spellStart"/>
      <w:r w:rsidR="00130C2B" w:rsidRPr="00A4497C">
        <w:rPr>
          <w:rFonts w:ascii="Times New Roman" w:hAnsi="Times New Roman" w:cs="Times New Roman"/>
          <w:i/>
          <w:iCs/>
          <w:sz w:val="28"/>
          <w:szCs w:val="28"/>
        </w:rPr>
        <w:t>orao</w:t>
      </w:r>
      <w:proofErr w:type="spellEnd"/>
      <w:r w:rsidR="00130C2B">
        <w:rPr>
          <w:rFonts w:ascii="Times New Roman" w:hAnsi="Times New Roman" w:cs="Times New Roman"/>
          <w:sz w:val="28"/>
          <w:szCs w:val="28"/>
        </w:rPr>
        <w:t xml:space="preserve">, vedere con gli occhi della </w:t>
      </w:r>
      <w:r>
        <w:rPr>
          <w:rFonts w:ascii="Times New Roman" w:hAnsi="Times New Roman" w:cs="Times New Roman"/>
          <w:sz w:val="28"/>
          <w:szCs w:val="28"/>
        </w:rPr>
        <w:t>mente:</w:t>
      </w:r>
      <w:r w:rsidR="00130C2B">
        <w:rPr>
          <w:rFonts w:ascii="Times New Roman" w:hAnsi="Times New Roman" w:cs="Times New Roman"/>
          <w:sz w:val="28"/>
          <w:szCs w:val="28"/>
        </w:rPr>
        <w:t xml:space="preserve"> occorre vedere oggi con gli occhi della mente quello che potrebbe essere il futuro possibile </w:t>
      </w:r>
      <w:r w:rsidR="007770C9">
        <w:rPr>
          <w:rFonts w:ascii="Times New Roman" w:hAnsi="Times New Roman" w:cs="Times New Roman"/>
          <w:sz w:val="28"/>
          <w:szCs w:val="28"/>
        </w:rPr>
        <w:t>e decidere la direzione giusta verso cui tendere.</w:t>
      </w:r>
      <w:r w:rsidR="004618F6">
        <w:rPr>
          <w:rFonts w:ascii="Times New Roman" w:hAnsi="Times New Roman" w:cs="Times New Roman"/>
          <w:sz w:val="28"/>
          <w:szCs w:val="28"/>
        </w:rPr>
        <w:t xml:space="preserve"> Un episodio deve farci riflettere.</w:t>
      </w:r>
    </w:p>
    <w:p w14:paraId="3F58A078" w14:textId="073EC8D8" w:rsidR="004618F6" w:rsidRDefault="004618F6" w:rsidP="0087064A">
      <w:pPr>
        <w:tabs>
          <w:tab w:val="left" w:pos="8364"/>
        </w:tabs>
        <w:spacing w:after="0"/>
        <w:jc w:val="both"/>
        <w:rPr>
          <w:rFonts w:ascii="Times New Roman" w:hAnsi="Times New Roman" w:cs="Times New Roman"/>
          <w:i/>
          <w:iCs/>
          <w:sz w:val="28"/>
          <w:szCs w:val="28"/>
        </w:rPr>
      </w:pPr>
      <w:proofErr w:type="spellStart"/>
      <w:r w:rsidRPr="00744F70">
        <w:rPr>
          <w:rFonts w:ascii="Times New Roman" w:hAnsi="Times New Roman" w:cs="Times New Roman"/>
          <w:i/>
          <w:iCs/>
          <w:sz w:val="28"/>
          <w:szCs w:val="28"/>
        </w:rPr>
        <w:t>Frances</w:t>
      </w:r>
      <w:proofErr w:type="spellEnd"/>
      <w:r w:rsidRPr="00744F70">
        <w:rPr>
          <w:rFonts w:ascii="Times New Roman" w:hAnsi="Times New Roman" w:cs="Times New Roman"/>
          <w:i/>
          <w:iCs/>
          <w:sz w:val="28"/>
          <w:szCs w:val="28"/>
        </w:rPr>
        <w:t xml:space="preserve"> </w:t>
      </w:r>
      <w:proofErr w:type="spellStart"/>
      <w:r w:rsidR="00A4497C" w:rsidRPr="00744F70">
        <w:rPr>
          <w:rFonts w:ascii="Times New Roman" w:hAnsi="Times New Roman" w:cs="Times New Roman"/>
          <w:i/>
          <w:iCs/>
          <w:sz w:val="28"/>
          <w:szCs w:val="28"/>
        </w:rPr>
        <w:t>Haugen</w:t>
      </w:r>
      <w:proofErr w:type="spellEnd"/>
      <w:r w:rsidR="00A4497C">
        <w:rPr>
          <w:rFonts w:ascii="Times New Roman" w:hAnsi="Times New Roman" w:cs="Times New Roman"/>
          <w:sz w:val="28"/>
          <w:szCs w:val="28"/>
        </w:rPr>
        <w:t>,</w:t>
      </w:r>
      <w:r>
        <w:rPr>
          <w:rFonts w:ascii="Times New Roman" w:hAnsi="Times New Roman" w:cs="Times New Roman"/>
          <w:sz w:val="28"/>
          <w:szCs w:val="28"/>
        </w:rPr>
        <w:t xml:space="preserve"> ex dipendente di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laureata ad Harvard, assunta nel 2019 come </w:t>
      </w:r>
      <w:r w:rsidR="00A4497C">
        <w:rPr>
          <w:rFonts w:ascii="Times New Roman" w:hAnsi="Times New Roman" w:cs="Times New Roman"/>
          <w:sz w:val="28"/>
          <w:szCs w:val="28"/>
        </w:rPr>
        <w:t>ingegnere</w:t>
      </w:r>
      <w:r>
        <w:rPr>
          <w:rFonts w:ascii="Times New Roman" w:hAnsi="Times New Roman" w:cs="Times New Roman"/>
          <w:sz w:val="28"/>
          <w:szCs w:val="28"/>
        </w:rPr>
        <w:t xml:space="preserve"> informatico addetta ai dati, ha affermato</w:t>
      </w:r>
      <w:r w:rsidR="0087064A">
        <w:rPr>
          <w:rFonts w:ascii="Times New Roman" w:hAnsi="Times New Roman" w:cs="Times New Roman"/>
          <w:sz w:val="28"/>
          <w:szCs w:val="28"/>
        </w:rPr>
        <w:t>,</w:t>
      </w:r>
      <w:r>
        <w:rPr>
          <w:rFonts w:ascii="Times New Roman" w:hAnsi="Times New Roman" w:cs="Times New Roman"/>
          <w:sz w:val="28"/>
          <w:szCs w:val="28"/>
        </w:rPr>
        <w:t xml:space="preserve"> nell’ottobre 2021</w:t>
      </w:r>
      <w:r w:rsidR="0087064A">
        <w:rPr>
          <w:rFonts w:ascii="Times New Roman" w:hAnsi="Times New Roman" w:cs="Times New Roman"/>
          <w:sz w:val="28"/>
          <w:szCs w:val="28"/>
        </w:rPr>
        <w:t>,</w:t>
      </w:r>
      <w:r>
        <w:rPr>
          <w:rFonts w:ascii="Times New Roman" w:hAnsi="Times New Roman" w:cs="Times New Roman"/>
          <w:sz w:val="28"/>
          <w:szCs w:val="28"/>
        </w:rPr>
        <w:t xml:space="preserve"> che nella piattaforma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w:t>
      </w:r>
      <w:r w:rsidRPr="004618F6">
        <w:rPr>
          <w:rFonts w:ascii="Times New Roman" w:hAnsi="Times New Roman" w:cs="Times New Roman"/>
          <w:i/>
          <w:iCs/>
          <w:sz w:val="28"/>
          <w:szCs w:val="28"/>
        </w:rPr>
        <w:t>c’era un piano di sicurezza e di controlli sui messaggi di odio e sulla disinformazione</w:t>
      </w:r>
      <w:r>
        <w:rPr>
          <w:rFonts w:ascii="Times New Roman" w:hAnsi="Times New Roman" w:cs="Times New Roman"/>
          <w:sz w:val="28"/>
          <w:szCs w:val="28"/>
        </w:rPr>
        <w:t xml:space="preserve">, </w:t>
      </w:r>
      <w:r w:rsidRPr="004618F6">
        <w:rPr>
          <w:rFonts w:ascii="Times New Roman" w:hAnsi="Times New Roman" w:cs="Times New Roman"/>
          <w:i/>
          <w:iCs/>
          <w:sz w:val="28"/>
          <w:szCs w:val="28"/>
        </w:rPr>
        <w:t xml:space="preserve">ma </w:t>
      </w:r>
      <w:r>
        <w:rPr>
          <w:rFonts w:ascii="Times New Roman" w:hAnsi="Times New Roman" w:cs="Times New Roman"/>
          <w:i/>
          <w:iCs/>
          <w:sz w:val="28"/>
          <w:szCs w:val="28"/>
        </w:rPr>
        <w:t>dopo le elezioni presidenziali del 2020 qualcosa è cambiato, gli algoritmi sono cambiati e il sistema è diventato meno sicuro”.</w:t>
      </w:r>
    </w:p>
    <w:p w14:paraId="41A70E4B" w14:textId="77777777" w:rsidR="0087064A" w:rsidRDefault="005401A8" w:rsidP="0087064A">
      <w:pPr>
        <w:tabs>
          <w:tab w:val="left" w:pos="8364"/>
        </w:tabs>
        <w:spacing w:after="0"/>
        <w:jc w:val="both"/>
        <w:rPr>
          <w:rFonts w:ascii="Times New Roman" w:hAnsi="Times New Roman" w:cs="Times New Roman"/>
          <w:sz w:val="28"/>
          <w:szCs w:val="28"/>
        </w:rPr>
      </w:pPr>
      <w:r w:rsidRPr="005401A8">
        <w:rPr>
          <w:rFonts w:ascii="Times New Roman" w:hAnsi="Times New Roman" w:cs="Times New Roman"/>
          <w:sz w:val="28"/>
          <w:szCs w:val="28"/>
        </w:rPr>
        <w:t xml:space="preserve">Secondo </w:t>
      </w:r>
      <w:proofErr w:type="spellStart"/>
      <w:r w:rsidRPr="005401A8">
        <w:rPr>
          <w:rFonts w:ascii="Times New Roman" w:hAnsi="Times New Roman" w:cs="Times New Roman"/>
          <w:sz w:val="28"/>
          <w:szCs w:val="28"/>
        </w:rPr>
        <w:t>Haugen</w:t>
      </w:r>
      <w:proofErr w:type="spellEnd"/>
      <w:r w:rsidRPr="005401A8">
        <w:rPr>
          <w:rFonts w:ascii="Times New Roman" w:hAnsi="Times New Roman" w:cs="Times New Roman"/>
          <w:sz w:val="28"/>
          <w:szCs w:val="28"/>
        </w:rPr>
        <w:t xml:space="preserve"> </w:t>
      </w:r>
      <w:r>
        <w:rPr>
          <w:rFonts w:ascii="Times New Roman" w:hAnsi="Times New Roman" w:cs="Times New Roman"/>
          <w:sz w:val="28"/>
          <w:szCs w:val="28"/>
        </w:rPr>
        <w:t xml:space="preserve">la piattaforma </w:t>
      </w:r>
      <w:r w:rsidRPr="0087064A">
        <w:rPr>
          <w:rFonts w:ascii="Times New Roman" w:hAnsi="Times New Roman" w:cs="Times New Roman"/>
          <w:i/>
          <w:iCs/>
          <w:sz w:val="28"/>
          <w:szCs w:val="28"/>
        </w:rPr>
        <w:t>social</w:t>
      </w:r>
      <w:r>
        <w:rPr>
          <w:rFonts w:ascii="Times New Roman" w:hAnsi="Times New Roman" w:cs="Times New Roman"/>
          <w:sz w:val="28"/>
          <w:szCs w:val="28"/>
        </w:rPr>
        <w:t xml:space="preserve"> avrebbe allentato la censura dei messaggi di odio e i contenuti che disinformavano sul risultato elettorale, finendo per favorire la diffusione dei messaggi di presunti brogli. La donna</w:t>
      </w:r>
      <w:r w:rsidR="0087064A">
        <w:rPr>
          <w:rFonts w:ascii="Times New Roman" w:hAnsi="Times New Roman" w:cs="Times New Roman"/>
          <w:sz w:val="28"/>
          <w:szCs w:val="28"/>
        </w:rPr>
        <w:t>,</w:t>
      </w:r>
      <w:r>
        <w:rPr>
          <w:rFonts w:ascii="Times New Roman" w:hAnsi="Times New Roman" w:cs="Times New Roman"/>
          <w:sz w:val="28"/>
          <w:szCs w:val="28"/>
        </w:rPr>
        <w:t xml:space="preserve"> considerata la misteriosa “gola profonda” di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è uscita allo scoperto, mostrando il suo volto e tratteggiando </w:t>
      </w:r>
      <w:r>
        <w:rPr>
          <w:rFonts w:ascii="Times New Roman" w:hAnsi="Times New Roman" w:cs="Times New Roman"/>
          <w:sz w:val="28"/>
          <w:szCs w:val="28"/>
        </w:rPr>
        <w:lastRenderedPageBreak/>
        <w:t xml:space="preserve">un quadro inquietante della piattaforma che fa capo a Mark </w:t>
      </w:r>
      <w:proofErr w:type="spellStart"/>
      <w:r>
        <w:rPr>
          <w:rFonts w:ascii="Times New Roman" w:hAnsi="Times New Roman" w:cs="Times New Roman"/>
          <w:sz w:val="28"/>
          <w:szCs w:val="28"/>
        </w:rPr>
        <w:t>Zuckerberg</w:t>
      </w:r>
      <w:proofErr w:type="spellEnd"/>
      <w:r>
        <w:rPr>
          <w:rFonts w:ascii="Times New Roman" w:hAnsi="Times New Roman" w:cs="Times New Roman"/>
          <w:sz w:val="28"/>
          <w:szCs w:val="28"/>
        </w:rPr>
        <w:t>, affermando in una deposizione innanzi al Congresso americano:</w:t>
      </w:r>
      <w:r w:rsidR="00A4497C">
        <w:rPr>
          <w:rFonts w:ascii="Times New Roman" w:hAnsi="Times New Roman" w:cs="Times New Roman"/>
          <w:sz w:val="28"/>
          <w:szCs w:val="28"/>
        </w:rPr>
        <w:t xml:space="preserve"> </w:t>
      </w:r>
      <w:r w:rsidR="00744F70">
        <w:rPr>
          <w:rFonts w:ascii="Times New Roman" w:hAnsi="Times New Roman" w:cs="Times New Roman"/>
          <w:sz w:val="28"/>
          <w:szCs w:val="28"/>
        </w:rPr>
        <w:t>«</w:t>
      </w:r>
      <w:r w:rsidRPr="005401A8">
        <w:rPr>
          <w:rFonts w:ascii="Times New Roman" w:hAnsi="Times New Roman" w:cs="Times New Roman"/>
          <w:i/>
          <w:iCs/>
          <w:sz w:val="28"/>
          <w:szCs w:val="28"/>
        </w:rPr>
        <w:t>hanno sempre preferito il profitto alla sicurezza.</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Facebook</w:t>
      </w:r>
      <w:proofErr w:type="spellEnd"/>
      <w:r>
        <w:rPr>
          <w:rFonts w:ascii="Times New Roman" w:hAnsi="Times New Roman" w:cs="Times New Roman"/>
          <w:i/>
          <w:iCs/>
          <w:sz w:val="28"/>
          <w:szCs w:val="28"/>
        </w:rPr>
        <w:t xml:space="preserve"> amplifica il peggio degli esseri umani e questo atteggiamento si è allargato a Instagram. Avevano pensato che se avessero cambiato gli algoritmi per rendere il sistema più sicuro, la gente avrebbe speso meno tempo sui social, avrebbe cliccato meno le inserzioni pubblicitarie e </w:t>
      </w:r>
      <w:proofErr w:type="spellStart"/>
      <w:r>
        <w:rPr>
          <w:rFonts w:ascii="Times New Roman" w:hAnsi="Times New Roman" w:cs="Times New Roman"/>
          <w:i/>
          <w:iCs/>
          <w:sz w:val="28"/>
          <w:szCs w:val="28"/>
        </w:rPr>
        <w:t>Facebook</w:t>
      </w:r>
      <w:proofErr w:type="spellEnd"/>
      <w:r>
        <w:rPr>
          <w:rFonts w:ascii="Times New Roman" w:hAnsi="Times New Roman" w:cs="Times New Roman"/>
          <w:i/>
          <w:iCs/>
          <w:sz w:val="28"/>
          <w:szCs w:val="28"/>
        </w:rPr>
        <w:t xml:space="preserve"> avrebbe fatto meno soldi</w:t>
      </w:r>
      <w:r w:rsidR="00744F70">
        <w:rPr>
          <w:rFonts w:ascii="Times New Roman" w:hAnsi="Times New Roman" w:cs="Times New Roman"/>
          <w:i/>
          <w:iCs/>
          <w:sz w:val="28"/>
          <w:szCs w:val="28"/>
        </w:rPr>
        <w:t>»</w:t>
      </w:r>
      <w:r>
        <w:rPr>
          <w:rFonts w:ascii="Times New Roman" w:hAnsi="Times New Roman" w:cs="Times New Roman"/>
          <w:i/>
          <w:iCs/>
          <w:sz w:val="28"/>
          <w:szCs w:val="28"/>
        </w:rPr>
        <w:t xml:space="preserve">. </w:t>
      </w:r>
      <w:proofErr w:type="spellStart"/>
      <w:r w:rsidRPr="005401A8">
        <w:rPr>
          <w:rFonts w:ascii="Times New Roman" w:hAnsi="Times New Roman" w:cs="Times New Roman"/>
          <w:sz w:val="28"/>
          <w:szCs w:val="28"/>
        </w:rPr>
        <w:t>Haugen</w:t>
      </w:r>
      <w:proofErr w:type="spellEnd"/>
      <w:r w:rsidRPr="005401A8">
        <w:rPr>
          <w:rFonts w:ascii="Times New Roman" w:hAnsi="Times New Roman" w:cs="Times New Roman"/>
          <w:sz w:val="28"/>
          <w:szCs w:val="28"/>
        </w:rPr>
        <w:t xml:space="preserve"> </w:t>
      </w:r>
      <w:r>
        <w:rPr>
          <w:rFonts w:ascii="Times New Roman" w:hAnsi="Times New Roman" w:cs="Times New Roman"/>
          <w:sz w:val="28"/>
          <w:szCs w:val="28"/>
        </w:rPr>
        <w:t xml:space="preserve">ha raccontato di aver deciso di intraprendere questa battaglia, perché ha perso una persona </w:t>
      </w:r>
      <w:r w:rsidR="00A4497C">
        <w:rPr>
          <w:rFonts w:ascii="Times New Roman" w:hAnsi="Times New Roman" w:cs="Times New Roman"/>
          <w:sz w:val="28"/>
          <w:szCs w:val="28"/>
        </w:rPr>
        <w:t>cara a</w:t>
      </w:r>
      <w:r>
        <w:rPr>
          <w:rFonts w:ascii="Times New Roman" w:hAnsi="Times New Roman" w:cs="Times New Roman"/>
          <w:sz w:val="28"/>
          <w:szCs w:val="28"/>
        </w:rPr>
        <w:t xml:space="preserve"> causa delle teorie </w:t>
      </w:r>
      <w:proofErr w:type="spellStart"/>
      <w:r>
        <w:rPr>
          <w:rFonts w:ascii="Times New Roman" w:hAnsi="Times New Roman" w:cs="Times New Roman"/>
          <w:sz w:val="28"/>
          <w:szCs w:val="28"/>
        </w:rPr>
        <w:t>cospirazioniste</w:t>
      </w:r>
      <w:proofErr w:type="spellEnd"/>
      <w:r>
        <w:rPr>
          <w:rFonts w:ascii="Times New Roman" w:hAnsi="Times New Roman" w:cs="Times New Roman"/>
          <w:sz w:val="28"/>
          <w:szCs w:val="28"/>
        </w:rPr>
        <w:t xml:space="preserve"> che circolavano sui </w:t>
      </w:r>
      <w:r w:rsidRPr="0087064A">
        <w:rPr>
          <w:rFonts w:ascii="Times New Roman" w:hAnsi="Times New Roman" w:cs="Times New Roman"/>
          <w:i/>
          <w:iCs/>
          <w:sz w:val="28"/>
          <w:szCs w:val="28"/>
        </w:rPr>
        <w:t>social</w:t>
      </w:r>
      <w:r>
        <w:rPr>
          <w:rFonts w:ascii="Times New Roman" w:hAnsi="Times New Roman" w:cs="Times New Roman"/>
          <w:sz w:val="28"/>
          <w:szCs w:val="28"/>
        </w:rPr>
        <w:t>. Riguardo Instagram, l’ingegnere ha sostenuto che impatta in modo drammatico su</w:t>
      </w:r>
      <w:r w:rsidR="00EE7A56">
        <w:rPr>
          <w:rFonts w:ascii="Times New Roman" w:hAnsi="Times New Roman" w:cs="Times New Roman"/>
          <w:sz w:val="28"/>
          <w:szCs w:val="28"/>
        </w:rPr>
        <w:t xml:space="preserve">gli adolescenti: prima al congresso Usa a Washington, poi al Parlamento di Londra, quindi al Web Summit di Lisbona con tappa a Bruxelles, l’ex </w:t>
      </w:r>
      <w:r w:rsidR="00EE7A56" w:rsidRPr="00744F70">
        <w:rPr>
          <w:rFonts w:ascii="Times New Roman" w:hAnsi="Times New Roman" w:cs="Times New Roman"/>
          <w:i/>
          <w:iCs/>
          <w:sz w:val="28"/>
          <w:szCs w:val="28"/>
        </w:rPr>
        <w:t xml:space="preserve">data </w:t>
      </w:r>
      <w:proofErr w:type="spellStart"/>
      <w:r w:rsidR="00EE7A56" w:rsidRPr="00744F70">
        <w:rPr>
          <w:rFonts w:ascii="Times New Roman" w:hAnsi="Times New Roman" w:cs="Times New Roman"/>
          <w:i/>
          <w:iCs/>
          <w:sz w:val="28"/>
          <w:szCs w:val="28"/>
        </w:rPr>
        <w:t>scientist</w:t>
      </w:r>
      <w:proofErr w:type="spellEnd"/>
      <w:r w:rsidR="00EE7A56">
        <w:rPr>
          <w:rFonts w:ascii="Times New Roman" w:hAnsi="Times New Roman" w:cs="Times New Roman"/>
          <w:sz w:val="28"/>
          <w:szCs w:val="28"/>
        </w:rPr>
        <w:t xml:space="preserve"> di </w:t>
      </w:r>
      <w:proofErr w:type="spellStart"/>
      <w:r w:rsidR="00EE7A56">
        <w:rPr>
          <w:rFonts w:ascii="Times New Roman" w:hAnsi="Times New Roman" w:cs="Times New Roman"/>
          <w:sz w:val="28"/>
          <w:szCs w:val="28"/>
        </w:rPr>
        <w:t>Facebook</w:t>
      </w:r>
      <w:proofErr w:type="spellEnd"/>
      <w:r w:rsidR="00EE7A56">
        <w:rPr>
          <w:rFonts w:ascii="Times New Roman" w:hAnsi="Times New Roman" w:cs="Times New Roman"/>
          <w:sz w:val="28"/>
          <w:szCs w:val="28"/>
        </w:rPr>
        <w:t xml:space="preserve"> ha portato nel cuore dell’Unione Europea la sua testimonianza, nell’intento di dare impulso alle proposte di regolamentazione dei giganti digitali. </w:t>
      </w:r>
    </w:p>
    <w:p w14:paraId="4CE75783" w14:textId="368F561B" w:rsidR="00025687" w:rsidRPr="00A4497C" w:rsidRDefault="00EE7A56" w:rsidP="0087064A">
      <w:pPr>
        <w:tabs>
          <w:tab w:val="left" w:pos="8364"/>
        </w:tabs>
        <w:spacing w:after="0"/>
        <w:jc w:val="both"/>
        <w:rPr>
          <w:rFonts w:ascii="Times New Roman" w:hAnsi="Times New Roman" w:cs="Times New Roman"/>
          <w:sz w:val="28"/>
          <w:szCs w:val="28"/>
        </w:rPr>
      </w:pPr>
      <w:proofErr w:type="spellStart"/>
      <w:r>
        <w:rPr>
          <w:rFonts w:ascii="Times New Roman" w:hAnsi="Times New Roman" w:cs="Times New Roman"/>
          <w:sz w:val="28"/>
          <w:szCs w:val="28"/>
        </w:rPr>
        <w:t>Haugen</w:t>
      </w:r>
      <w:proofErr w:type="spellEnd"/>
      <w:r w:rsidR="002B3A3B">
        <w:rPr>
          <w:rFonts w:ascii="Times New Roman" w:hAnsi="Times New Roman" w:cs="Times New Roman"/>
          <w:sz w:val="28"/>
          <w:szCs w:val="28"/>
        </w:rPr>
        <w:t xml:space="preserve">, la </w:t>
      </w:r>
      <w:proofErr w:type="spellStart"/>
      <w:r w:rsidR="002B3A3B" w:rsidRPr="00A4497C">
        <w:rPr>
          <w:rFonts w:ascii="Times New Roman" w:hAnsi="Times New Roman" w:cs="Times New Roman"/>
          <w:i/>
          <w:iCs/>
          <w:sz w:val="28"/>
          <w:szCs w:val="28"/>
        </w:rPr>
        <w:t>whistleblower</w:t>
      </w:r>
      <w:proofErr w:type="spellEnd"/>
      <w:r w:rsidR="0087064A">
        <w:rPr>
          <w:rFonts w:ascii="Times New Roman" w:hAnsi="Times New Roman" w:cs="Times New Roman"/>
          <w:i/>
          <w:iCs/>
          <w:sz w:val="28"/>
          <w:szCs w:val="28"/>
        </w:rPr>
        <w:t>,</w:t>
      </w:r>
      <w:r>
        <w:rPr>
          <w:rFonts w:ascii="Times New Roman" w:hAnsi="Times New Roman" w:cs="Times New Roman"/>
          <w:sz w:val="28"/>
          <w:szCs w:val="28"/>
        </w:rPr>
        <w:t xml:space="preserve"> ha parlato agli eurodeputati della Commissione per il mercato </w:t>
      </w:r>
      <w:r w:rsidR="00A4497C">
        <w:rPr>
          <w:rFonts w:ascii="Times New Roman" w:hAnsi="Times New Roman" w:cs="Times New Roman"/>
          <w:sz w:val="28"/>
          <w:szCs w:val="28"/>
        </w:rPr>
        <w:t>interno,</w:t>
      </w:r>
      <w:r w:rsidR="00025687">
        <w:rPr>
          <w:rFonts w:ascii="Times New Roman" w:hAnsi="Times New Roman" w:cs="Times New Roman"/>
          <w:sz w:val="28"/>
          <w:szCs w:val="28"/>
        </w:rPr>
        <w:t xml:space="preserve"> con il Commissario europeo </w:t>
      </w:r>
      <w:proofErr w:type="spellStart"/>
      <w:r w:rsidR="00025687" w:rsidRPr="00F8489A">
        <w:rPr>
          <w:rFonts w:ascii="Times New Roman" w:hAnsi="Times New Roman" w:cs="Times New Roman"/>
          <w:i/>
          <w:iCs/>
          <w:sz w:val="28"/>
          <w:szCs w:val="28"/>
        </w:rPr>
        <w:t>Thierry</w:t>
      </w:r>
      <w:proofErr w:type="spellEnd"/>
      <w:r w:rsidR="00025687" w:rsidRPr="00F8489A">
        <w:rPr>
          <w:rFonts w:ascii="Times New Roman" w:hAnsi="Times New Roman" w:cs="Times New Roman"/>
          <w:i/>
          <w:iCs/>
          <w:sz w:val="28"/>
          <w:szCs w:val="28"/>
        </w:rPr>
        <w:t xml:space="preserve"> </w:t>
      </w:r>
      <w:r w:rsidR="00A4497C" w:rsidRPr="00F8489A">
        <w:rPr>
          <w:rFonts w:ascii="Times New Roman" w:hAnsi="Times New Roman" w:cs="Times New Roman"/>
          <w:i/>
          <w:iCs/>
          <w:sz w:val="28"/>
          <w:szCs w:val="28"/>
        </w:rPr>
        <w:t>Breton</w:t>
      </w:r>
      <w:r w:rsidR="00A4497C">
        <w:rPr>
          <w:rFonts w:ascii="Times New Roman" w:hAnsi="Times New Roman" w:cs="Times New Roman"/>
          <w:sz w:val="28"/>
          <w:szCs w:val="28"/>
        </w:rPr>
        <w:t xml:space="preserve"> e</w:t>
      </w:r>
      <w:r>
        <w:rPr>
          <w:rFonts w:ascii="Times New Roman" w:hAnsi="Times New Roman" w:cs="Times New Roman"/>
          <w:sz w:val="28"/>
          <w:szCs w:val="28"/>
        </w:rPr>
        <w:t xml:space="preserve"> al Parlamento Europeo </w:t>
      </w:r>
      <w:r w:rsidR="00A4497C">
        <w:rPr>
          <w:rFonts w:ascii="Times New Roman" w:hAnsi="Times New Roman" w:cs="Times New Roman"/>
          <w:sz w:val="28"/>
          <w:szCs w:val="28"/>
        </w:rPr>
        <w:t>affermando:</w:t>
      </w:r>
      <w:r>
        <w:rPr>
          <w:rFonts w:ascii="Times New Roman" w:hAnsi="Times New Roman" w:cs="Times New Roman"/>
          <w:sz w:val="28"/>
          <w:szCs w:val="28"/>
        </w:rPr>
        <w:t xml:space="preserve"> </w:t>
      </w:r>
      <w:r w:rsidR="00744F70">
        <w:rPr>
          <w:rFonts w:ascii="Times New Roman" w:hAnsi="Times New Roman" w:cs="Times New Roman"/>
          <w:sz w:val="28"/>
          <w:szCs w:val="28"/>
        </w:rPr>
        <w:t>«</w:t>
      </w:r>
      <w:r w:rsidR="00025687" w:rsidRPr="00025687">
        <w:rPr>
          <w:rFonts w:ascii="Times New Roman" w:hAnsi="Times New Roman" w:cs="Times New Roman"/>
          <w:i/>
          <w:iCs/>
          <w:sz w:val="28"/>
          <w:szCs w:val="28"/>
        </w:rPr>
        <w:t xml:space="preserve">Cari membri del Parlamento, la posta in gioco è molto alta. </w:t>
      </w:r>
      <w:r w:rsidR="00025687">
        <w:rPr>
          <w:rFonts w:ascii="Times New Roman" w:hAnsi="Times New Roman" w:cs="Times New Roman"/>
          <w:i/>
          <w:iCs/>
          <w:sz w:val="28"/>
          <w:szCs w:val="28"/>
        </w:rPr>
        <w:t xml:space="preserve">Avete l’opportunità unica di creare nuove regole per il nostro mondo online. Le regole non devono riguardare solo gli aspetti giuridici, ma anche le piattaforme. L’accesso ai dati è solo il punto di partenza. </w:t>
      </w:r>
      <w:r w:rsidR="00A4497C">
        <w:rPr>
          <w:rFonts w:ascii="Times New Roman" w:hAnsi="Times New Roman" w:cs="Times New Roman"/>
          <w:i/>
          <w:iCs/>
          <w:sz w:val="28"/>
          <w:szCs w:val="28"/>
        </w:rPr>
        <w:t>È</w:t>
      </w:r>
      <w:r w:rsidR="00025687">
        <w:rPr>
          <w:rFonts w:ascii="Times New Roman" w:hAnsi="Times New Roman" w:cs="Times New Roman"/>
          <w:i/>
          <w:iCs/>
          <w:sz w:val="28"/>
          <w:szCs w:val="28"/>
        </w:rPr>
        <w:t xml:space="preserve"> ciò che consente ai ricercatori e alle autorità di regolamentazione di valutare i rischi e i danni dell’intero sistema di </w:t>
      </w:r>
      <w:proofErr w:type="spellStart"/>
      <w:r w:rsidR="00025687">
        <w:rPr>
          <w:rFonts w:ascii="Times New Roman" w:hAnsi="Times New Roman" w:cs="Times New Roman"/>
          <w:i/>
          <w:iCs/>
          <w:sz w:val="28"/>
          <w:szCs w:val="28"/>
        </w:rPr>
        <w:t>profilazione</w:t>
      </w:r>
      <w:proofErr w:type="spellEnd"/>
      <w:r w:rsidR="00025687">
        <w:rPr>
          <w:rFonts w:ascii="Times New Roman" w:hAnsi="Times New Roman" w:cs="Times New Roman"/>
          <w:i/>
          <w:iCs/>
          <w:sz w:val="28"/>
          <w:szCs w:val="28"/>
        </w:rPr>
        <w:t xml:space="preserve">, </w:t>
      </w:r>
      <w:proofErr w:type="spellStart"/>
      <w:r w:rsidR="00025687">
        <w:rPr>
          <w:rFonts w:ascii="Times New Roman" w:hAnsi="Times New Roman" w:cs="Times New Roman"/>
          <w:i/>
          <w:iCs/>
          <w:sz w:val="28"/>
          <w:szCs w:val="28"/>
        </w:rPr>
        <w:t>targeting</w:t>
      </w:r>
      <w:proofErr w:type="spellEnd"/>
      <w:r w:rsidR="00025687">
        <w:rPr>
          <w:rFonts w:ascii="Times New Roman" w:hAnsi="Times New Roman" w:cs="Times New Roman"/>
          <w:i/>
          <w:iCs/>
          <w:sz w:val="28"/>
          <w:szCs w:val="28"/>
        </w:rPr>
        <w:t xml:space="preserve">, e classificazione basata sull’engagement. Se a </w:t>
      </w:r>
      <w:proofErr w:type="spellStart"/>
      <w:r w:rsidR="00025687">
        <w:rPr>
          <w:rFonts w:ascii="Times New Roman" w:hAnsi="Times New Roman" w:cs="Times New Roman"/>
          <w:i/>
          <w:iCs/>
          <w:sz w:val="28"/>
          <w:szCs w:val="28"/>
        </w:rPr>
        <w:t>Facebook</w:t>
      </w:r>
      <w:proofErr w:type="spellEnd"/>
      <w:r w:rsidR="00025687">
        <w:rPr>
          <w:rFonts w:ascii="Times New Roman" w:hAnsi="Times New Roman" w:cs="Times New Roman"/>
          <w:i/>
          <w:iCs/>
          <w:sz w:val="28"/>
          <w:szCs w:val="28"/>
        </w:rPr>
        <w:t xml:space="preserve"> sarà permesso di continuare a operare nell’oscurità, avremo solo un crescendo di tragedie come risultato, poiché viene favorito l’estremismo, la polarizzazione e la disinformazione. Abbiamo visto l’impatto che le grandi piattaforme possono avere </w:t>
      </w:r>
      <w:r w:rsidR="00723BD7">
        <w:rPr>
          <w:rFonts w:ascii="Times New Roman" w:hAnsi="Times New Roman" w:cs="Times New Roman"/>
          <w:i/>
          <w:iCs/>
          <w:sz w:val="28"/>
          <w:szCs w:val="28"/>
        </w:rPr>
        <w:t>sulle nostre</w:t>
      </w:r>
      <w:r w:rsidR="00025687">
        <w:rPr>
          <w:rFonts w:ascii="Times New Roman" w:hAnsi="Times New Roman" w:cs="Times New Roman"/>
          <w:i/>
          <w:iCs/>
          <w:sz w:val="28"/>
          <w:szCs w:val="28"/>
        </w:rPr>
        <w:t xml:space="preserve"> democrazie e società, in particolare sul benessere dei nostri figl</w:t>
      </w:r>
      <w:r w:rsidR="003A0A96">
        <w:rPr>
          <w:rFonts w:ascii="Times New Roman" w:hAnsi="Times New Roman" w:cs="Times New Roman"/>
          <w:i/>
          <w:iCs/>
          <w:sz w:val="28"/>
          <w:szCs w:val="28"/>
        </w:rPr>
        <w:t>i</w:t>
      </w:r>
      <w:r w:rsidR="00744F70">
        <w:rPr>
          <w:rFonts w:ascii="Times New Roman" w:hAnsi="Times New Roman" w:cs="Times New Roman"/>
          <w:i/>
          <w:iCs/>
          <w:sz w:val="28"/>
          <w:szCs w:val="28"/>
        </w:rPr>
        <w:t>»</w:t>
      </w:r>
      <w:r w:rsidR="00025687">
        <w:rPr>
          <w:rFonts w:ascii="Times New Roman" w:hAnsi="Times New Roman" w:cs="Times New Roman"/>
          <w:i/>
          <w:iCs/>
          <w:sz w:val="28"/>
          <w:szCs w:val="28"/>
        </w:rPr>
        <w:t>.</w:t>
      </w:r>
    </w:p>
    <w:p w14:paraId="60662A1A" w14:textId="1C9C43DB" w:rsidR="005401A8" w:rsidRDefault="00025687" w:rsidP="00264B20">
      <w:pPr>
        <w:tabs>
          <w:tab w:val="left" w:pos="8364"/>
        </w:tabs>
        <w:spacing w:after="0"/>
        <w:jc w:val="both"/>
        <w:rPr>
          <w:rFonts w:ascii="Times New Roman" w:hAnsi="Times New Roman" w:cs="Times New Roman"/>
          <w:i/>
          <w:iCs/>
          <w:sz w:val="28"/>
          <w:szCs w:val="28"/>
        </w:rPr>
      </w:pPr>
      <w:r w:rsidRPr="004351EE">
        <w:rPr>
          <w:rFonts w:ascii="Times New Roman" w:hAnsi="Times New Roman" w:cs="Times New Roman"/>
          <w:sz w:val="28"/>
          <w:szCs w:val="28"/>
        </w:rPr>
        <w:t xml:space="preserve">Il Commissario </w:t>
      </w:r>
      <w:r w:rsidR="00A4497C" w:rsidRPr="004351EE">
        <w:rPr>
          <w:rFonts w:ascii="Times New Roman" w:hAnsi="Times New Roman" w:cs="Times New Roman"/>
          <w:sz w:val="28"/>
          <w:szCs w:val="28"/>
        </w:rPr>
        <w:t xml:space="preserve">Breton </w:t>
      </w:r>
      <w:r w:rsidR="00A4497C">
        <w:rPr>
          <w:rFonts w:ascii="Times New Roman" w:hAnsi="Times New Roman" w:cs="Times New Roman"/>
          <w:sz w:val="28"/>
          <w:szCs w:val="28"/>
        </w:rPr>
        <w:t>ha</w:t>
      </w:r>
      <w:r w:rsidR="004351EE">
        <w:rPr>
          <w:rFonts w:ascii="Times New Roman" w:hAnsi="Times New Roman" w:cs="Times New Roman"/>
          <w:sz w:val="28"/>
          <w:szCs w:val="28"/>
        </w:rPr>
        <w:t xml:space="preserve"> ribadito la determinazione dell’UE per regolamentare “</w:t>
      </w:r>
      <w:r w:rsidR="004351EE" w:rsidRPr="004351EE">
        <w:rPr>
          <w:rFonts w:ascii="Times New Roman" w:hAnsi="Times New Roman" w:cs="Times New Roman"/>
          <w:i/>
          <w:iCs/>
          <w:sz w:val="28"/>
          <w:szCs w:val="28"/>
        </w:rPr>
        <w:t xml:space="preserve">quello che sembra ancora un Far west digitale” </w:t>
      </w:r>
      <w:r w:rsidR="004351EE" w:rsidRPr="00456493">
        <w:rPr>
          <w:rFonts w:ascii="Times New Roman" w:hAnsi="Times New Roman" w:cs="Times New Roman"/>
          <w:sz w:val="28"/>
          <w:szCs w:val="28"/>
        </w:rPr>
        <w:t>e ha sottolineato</w:t>
      </w:r>
      <w:r w:rsidR="004351EE" w:rsidRPr="004351EE">
        <w:rPr>
          <w:rFonts w:ascii="Times New Roman" w:hAnsi="Times New Roman" w:cs="Times New Roman"/>
          <w:i/>
          <w:iCs/>
          <w:sz w:val="28"/>
          <w:szCs w:val="28"/>
        </w:rPr>
        <w:t xml:space="preserve"> </w:t>
      </w:r>
      <w:r w:rsidR="00744F70">
        <w:rPr>
          <w:rFonts w:ascii="Times New Roman" w:hAnsi="Times New Roman" w:cs="Times New Roman"/>
          <w:i/>
          <w:iCs/>
          <w:sz w:val="28"/>
          <w:szCs w:val="28"/>
        </w:rPr>
        <w:t>«</w:t>
      </w:r>
      <w:r w:rsidR="004351EE" w:rsidRPr="004351EE">
        <w:rPr>
          <w:rFonts w:ascii="Times New Roman" w:hAnsi="Times New Roman" w:cs="Times New Roman"/>
          <w:i/>
          <w:iCs/>
          <w:sz w:val="28"/>
          <w:szCs w:val="28"/>
        </w:rPr>
        <w:t>che i grandi sforzi di lobby a cui st</w:t>
      </w:r>
      <w:r w:rsidR="00456493">
        <w:rPr>
          <w:rFonts w:ascii="Times New Roman" w:hAnsi="Times New Roman" w:cs="Times New Roman"/>
          <w:i/>
          <w:iCs/>
          <w:sz w:val="28"/>
          <w:szCs w:val="28"/>
        </w:rPr>
        <w:t>ia</w:t>
      </w:r>
      <w:r w:rsidR="004351EE" w:rsidRPr="004351EE">
        <w:rPr>
          <w:rFonts w:ascii="Times New Roman" w:hAnsi="Times New Roman" w:cs="Times New Roman"/>
          <w:i/>
          <w:iCs/>
          <w:sz w:val="28"/>
          <w:szCs w:val="28"/>
        </w:rPr>
        <w:t>mo assistendo sono sprecati: non permetteremo che gli interessi aziendali interferiscano con l’interesse generale degli europei</w:t>
      </w:r>
      <w:r w:rsidR="00744F70">
        <w:rPr>
          <w:rFonts w:ascii="Times New Roman" w:hAnsi="Times New Roman" w:cs="Times New Roman"/>
          <w:i/>
          <w:iCs/>
          <w:sz w:val="28"/>
          <w:szCs w:val="28"/>
        </w:rPr>
        <w:t>»</w:t>
      </w:r>
      <w:r w:rsidR="004351EE" w:rsidRPr="004351EE">
        <w:rPr>
          <w:rFonts w:ascii="Times New Roman" w:hAnsi="Times New Roman" w:cs="Times New Roman"/>
          <w:i/>
          <w:iCs/>
          <w:sz w:val="28"/>
          <w:szCs w:val="28"/>
        </w:rPr>
        <w:t>.</w:t>
      </w:r>
    </w:p>
    <w:p w14:paraId="3DD21539" w14:textId="3B8A1E18" w:rsidR="004351EE" w:rsidRDefault="004351EE" w:rsidP="00264B20">
      <w:pPr>
        <w:tabs>
          <w:tab w:val="left" w:pos="8364"/>
        </w:tabs>
        <w:spacing w:after="0"/>
        <w:jc w:val="both"/>
        <w:rPr>
          <w:rFonts w:ascii="Times New Roman" w:hAnsi="Times New Roman" w:cs="Times New Roman"/>
          <w:sz w:val="28"/>
          <w:szCs w:val="28"/>
        </w:rPr>
      </w:pPr>
      <w:r w:rsidRPr="004351EE">
        <w:rPr>
          <w:rFonts w:ascii="Times New Roman" w:hAnsi="Times New Roman" w:cs="Times New Roman"/>
          <w:sz w:val="28"/>
          <w:szCs w:val="28"/>
        </w:rPr>
        <w:t xml:space="preserve">Il Commissario </w:t>
      </w:r>
      <w:r>
        <w:rPr>
          <w:rFonts w:ascii="Times New Roman" w:hAnsi="Times New Roman" w:cs="Times New Roman"/>
          <w:sz w:val="28"/>
          <w:szCs w:val="28"/>
        </w:rPr>
        <w:t xml:space="preserve">è strenuo difensore dell’adozione </w:t>
      </w:r>
      <w:r w:rsidRPr="00CE7580">
        <w:rPr>
          <w:rFonts w:ascii="Times New Roman" w:hAnsi="Times New Roman" w:cs="Times New Roman"/>
          <w:sz w:val="28"/>
          <w:szCs w:val="28"/>
        </w:rPr>
        <w:t>dei Regolamenti sui servizi digitali (</w:t>
      </w:r>
      <w:r w:rsidRPr="00122186">
        <w:rPr>
          <w:rFonts w:ascii="Times New Roman" w:hAnsi="Times New Roman" w:cs="Times New Roman"/>
          <w:i/>
          <w:iCs/>
          <w:sz w:val="28"/>
          <w:szCs w:val="28"/>
        </w:rPr>
        <w:t>Digital Service</w:t>
      </w:r>
      <w:r w:rsidR="00125AE2">
        <w:rPr>
          <w:rFonts w:ascii="Times New Roman" w:hAnsi="Times New Roman" w:cs="Times New Roman"/>
          <w:i/>
          <w:iCs/>
          <w:sz w:val="28"/>
          <w:szCs w:val="28"/>
        </w:rPr>
        <w:t>s</w:t>
      </w:r>
      <w:r w:rsidRPr="00122186">
        <w:rPr>
          <w:rFonts w:ascii="Times New Roman" w:hAnsi="Times New Roman" w:cs="Times New Roman"/>
          <w:i/>
          <w:iCs/>
          <w:sz w:val="28"/>
          <w:szCs w:val="28"/>
        </w:rPr>
        <w:t xml:space="preserve"> </w:t>
      </w:r>
      <w:proofErr w:type="spellStart"/>
      <w:r w:rsidRPr="00122186">
        <w:rPr>
          <w:rFonts w:ascii="Times New Roman" w:hAnsi="Times New Roman" w:cs="Times New Roman"/>
          <w:i/>
          <w:iCs/>
          <w:sz w:val="28"/>
          <w:szCs w:val="28"/>
        </w:rPr>
        <w:t>Act</w:t>
      </w:r>
      <w:proofErr w:type="spellEnd"/>
      <w:r w:rsidRPr="00CE7580">
        <w:rPr>
          <w:rFonts w:ascii="Times New Roman" w:hAnsi="Times New Roman" w:cs="Times New Roman"/>
          <w:sz w:val="28"/>
          <w:szCs w:val="28"/>
        </w:rPr>
        <w:t>,</w:t>
      </w:r>
      <w:r w:rsidR="00A4497C" w:rsidRPr="00CE7580">
        <w:rPr>
          <w:rFonts w:ascii="Times New Roman" w:hAnsi="Times New Roman" w:cs="Times New Roman"/>
          <w:sz w:val="28"/>
          <w:szCs w:val="28"/>
        </w:rPr>
        <w:t xml:space="preserve"> </w:t>
      </w:r>
      <w:proofErr w:type="spellStart"/>
      <w:r w:rsidRPr="00CE7580">
        <w:rPr>
          <w:rFonts w:ascii="Times New Roman" w:hAnsi="Times New Roman" w:cs="Times New Roman"/>
          <w:sz w:val="28"/>
          <w:szCs w:val="28"/>
        </w:rPr>
        <w:t>Dsa</w:t>
      </w:r>
      <w:proofErr w:type="spellEnd"/>
      <w:r w:rsidRPr="00CE7580">
        <w:rPr>
          <w:rFonts w:ascii="Times New Roman" w:hAnsi="Times New Roman" w:cs="Times New Roman"/>
          <w:sz w:val="28"/>
          <w:szCs w:val="28"/>
        </w:rPr>
        <w:t>) e sui mercati digitali (</w:t>
      </w:r>
      <w:r w:rsidRPr="00122186">
        <w:rPr>
          <w:rFonts w:ascii="Times New Roman" w:hAnsi="Times New Roman" w:cs="Times New Roman"/>
          <w:i/>
          <w:iCs/>
          <w:sz w:val="28"/>
          <w:szCs w:val="28"/>
        </w:rPr>
        <w:t xml:space="preserve">Digital </w:t>
      </w:r>
      <w:proofErr w:type="spellStart"/>
      <w:r w:rsidRPr="00122186">
        <w:rPr>
          <w:rFonts w:ascii="Times New Roman" w:hAnsi="Times New Roman" w:cs="Times New Roman"/>
          <w:i/>
          <w:iCs/>
          <w:sz w:val="28"/>
          <w:szCs w:val="28"/>
        </w:rPr>
        <w:t>Market</w:t>
      </w:r>
      <w:r w:rsidR="00122186">
        <w:rPr>
          <w:rFonts w:ascii="Times New Roman" w:hAnsi="Times New Roman" w:cs="Times New Roman"/>
          <w:i/>
          <w:iCs/>
          <w:sz w:val="28"/>
          <w:szCs w:val="28"/>
        </w:rPr>
        <w:t>s</w:t>
      </w:r>
      <w:proofErr w:type="spellEnd"/>
      <w:r w:rsidRPr="00122186">
        <w:rPr>
          <w:rFonts w:ascii="Times New Roman" w:hAnsi="Times New Roman" w:cs="Times New Roman"/>
          <w:i/>
          <w:iCs/>
          <w:sz w:val="28"/>
          <w:szCs w:val="28"/>
        </w:rPr>
        <w:t xml:space="preserve"> </w:t>
      </w:r>
      <w:proofErr w:type="spellStart"/>
      <w:r w:rsidRPr="00122186">
        <w:rPr>
          <w:rFonts w:ascii="Times New Roman" w:hAnsi="Times New Roman" w:cs="Times New Roman"/>
          <w:i/>
          <w:iCs/>
          <w:sz w:val="28"/>
          <w:szCs w:val="28"/>
        </w:rPr>
        <w:t>Act</w:t>
      </w:r>
      <w:proofErr w:type="spellEnd"/>
      <w:r w:rsidRPr="00CE7580">
        <w:rPr>
          <w:rFonts w:ascii="Times New Roman" w:hAnsi="Times New Roman" w:cs="Times New Roman"/>
          <w:sz w:val="28"/>
          <w:szCs w:val="28"/>
        </w:rPr>
        <w:t>,</w:t>
      </w:r>
      <w:r w:rsidR="00A4497C" w:rsidRPr="00CE7580">
        <w:rPr>
          <w:rFonts w:ascii="Times New Roman" w:hAnsi="Times New Roman" w:cs="Times New Roman"/>
          <w:sz w:val="28"/>
          <w:szCs w:val="28"/>
        </w:rPr>
        <w:t xml:space="preserve"> </w:t>
      </w:r>
      <w:proofErr w:type="spellStart"/>
      <w:r w:rsidRPr="00CE7580">
        <w:rPr>
          <w:rFonts w:ascii="Times New Roman" w:hAnsi="Times New Roman" w:cs="Times New Roman"/>
          <w:sz w:val="28"/>
          <w:szCs w:val="28"/>
        </w:rPr>
        <w:t>Dma</w:t>
      </w:r>
      <w:proofErr w:type="spellEnd"/>
      <w:r w:rsidRPr="00CE7580">
        <w:rPr>
          <w:rFonts w:ascii="Times New Roman" w:hAnsi="Times New Roman" w:cs="Times New Roman"/>
          <w:sz w:val="28"/>
          <w:szCs w:val="28"/>
        </w:rPr>
        <w:t>) già nel primo semestre del 2022, quando la Francia assumerà la presidenza di turno dell’UE. Si punterà a creare uno spazio digitale più sicuro in cui siano protetti</w:t>
      </w:r>
      <w:r>
        <w:rPr>
          <w:rFonts w:ascii="Times New Roman" w:hAnsi="Times New Roman" w:cs="Times New Roman"/>
          <w:sz w:val="28"/>
          <w:szCs w:val="28"/>
        </w:rPr>
        <w:t xml:space="preserve"> i diritti degli utenti, comprese le regole per contrastare i contenuti illegali </w:t>
      </w:r>
      <w:r w:rsidRPr="00264B20">
        <w:rPr>
          <w:rFonts w:ascii="Times New Roman" w:hAnsi="Times New Roman" w:cs="Times New Roman"/>
          <w:i/>
          <w:iCs/>
          <w:sz w:val="28"/>
          <w:szCs w:val="28"/>
        </w:rPr>
        <w:t>online</w:t>
      </w:r>
      <w:r>
        <w:rPr>
          <w:rFonts w:ascii="Times New Roman" w:hAnsi="Times New Roman" w:cs="Times New Roman"/>
          <w:sz w:val="28"/>
          <w:szCs w:val="28"/>
        </w:rPr>
        <w:t>, migliorare la responsabilità e la trasparenza degli algoritmi e occuparsi della moderazione dei contenuti e della pubblicità mirata</w:t>
      </w:r>
      <w:r w:rsidR="00264B20">
        <w:rPr>
          <w:rFonts w:ascii="Times New Roman" w:hAnsi="Times New Roman" w:cs="Times New Roman"/>
          <w:sz w:val="28"/>
          <w:szCs w:val="28"/>
        </w:rPr>
        <w:t xml:space="preserve">; </w:t>
      </w:r>
      <w:r>
        <w:rPr>
          <w:rFonts w:ascii="Times New Roman" w:hAnsi="Times New Roman" w:cs="Times New Roman"/>
          <w:sz w:val="28"/>
          <w:szCs w:val="28"/>
        </w:rPr>
        <w:t xml:space="preserve">si propone come l’occasione di plasmare l’economia digitale a livello UE per diventare un punto di riferimento globale sulla regolamentazione digitale. Le proposte dei vari </w:t>
      </w:r>
      <w:r w:rsidR="00A4497C">
        <w:rPr>
          <w:rFonts w:ascii="Times New Roman" w:hAnsi="Times New Roman" w:cs="Times New Roman"/>
          <w:sz w:val="28"/>
          <w:szCs w:val="28"/>
        </w:rPr>
        <w:t>regolamenti presentata</w:t>
      </w:r>
      <w:r>
        <w:rPr>
          <w:rFonts w:ascii="Times New Roman" w:hAnsi="Times New Roman" w:cs="Times New Roman"/>
          <w:sz w:val="28"/>
          <w:szCs w:val="28"/>
        </w:rPr>
        <w:t xml:space="preserve"> nel dicembre 202</w:t>
      </w:r>
      <w:r w:rsidR="002B3A3B">
        <w:rPr>
          <w:rFonts w:ascii="Times New Roman" w:hAnsi="Times New Roman" w:cs="Times New Roman"/>
          <w:sz w:val="28"/>
          <w:szCs w:val="28"/>
        </w:rPr>
        <w:t>0 dovrebbe essere modificata e migliorata.</w:t>
      </w:r>
    </w:p>
    <w:p w14:paraId="587CA35C" w14:textId="77777777" w:rsidR="00264B20" w:rsidRDefault="00264B20" w:rsidP="00264B20">
      <w:pPr>
        <w:tabs>
          <w:tab w:val="left" w:pos="8364"/>
        </w:tabs>
        <w:spacing w:after="0"/>
        <w:jc w:val="both"/>
        <w:rPr>
          <w:rFonts w:ascii="Times New Roman" w:hAnsi="Times New Roman" w:cs="Times New Roman"/>
          <w:sz w:val="28"/>
          <w:szCs w:val="28"/>
        </w:rPr>
      </w:pPr>
    </w:p>
    <w:p w14:paraId="4A747A0E" w14:textId="77777777" w:rsidR="0003453E" w:rsidRDefault="002B3A3B" w:rsidP="0003453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Ma è importante colpire anche il grande potere economico delle piattaforme con una adeguata tassazione: il G20 tenutosi a Roma il 29-30 </w:t>
      </w:r>
      <w:proofErr w:type="gramStart"/>
      <w:r>
        <w:rPr>
          <w:rFonts w:ascii="Times New Roman" w:hAnsi="Times New Roman" w:cs="Times New Roman"/>
          <w:sz w:val="28"/>
          <w:szCs w:val="28"/>
        </w:rPr>
        <w:t>Ottobre</w:t>
      </w:r>
      <w:proofErr w:type="gramEnd"/>
      <w:r>
        <w:rPr>
          <w:rFonts w:ascii="Times New Roman" w:hAnsi="Times New Roman" w:cs="Times New Roman"/>
          <w:sz w:val="28"/>
          <w:szCs w:val="28"/>
        </w:rPr>
        <w:t xml:space="preserve"> 2021 ha concordato</w:t>
      </w:r>
      <w:r w:rsidR="00264B20">
        <w:rPr>
          <w:rFonts w:ascii="Times New Roman" w:hAnsi="Times New Roman" w:cs="Times New Roman"/>
          <w:sz w:val="28"/>
          <w:szCs w:val="28"/>
        </w:rPr>
        <w:t>,</w:t>
      </w:r>
      <w:r>
        <w:rPr>
          <w:rFonts w:ascii="Times New Roman" w:hAnsi="Times New Roman" w:cs="Times New Roman"/>
          <w:sz w:val="28"/>
          <w:szCs w:val="28"/>
        </w:rPr>
        <w:t xml:space="preserve"> tra i grandi della terra</w:t>
      </w:r>
      <w:r w:rsidR="00264B20">
        <w:rPr>
          <w:rFonts w:ascii="Times New Roman" w:hAnsi="Times New Roman" w:cs="Times New Roman"/>
          <w:sz w:val="28"/>
          <w:szCs w:val="28"/>
        </w:rPr>
        <w:t>,</w:t>
      </w:r>
      <w:r>
        <w:rPr>
          <w:rFonts w:ascii="Times New Roman" w:hAnsi="Times New Roman" w:cs="Times New Roman"/>
          <w:sz w:val="28"/>
          <w:szCs w:val="28"/>
        </w:rPr>
        <w:t xml:space="preserve"> la c</w:t>
      </w:r>
      <w:r w:rsidR="00264B20">
        <w:rPr>
          <w:rFonts w:ascii="Times New Roman" w:hAnsi="Times New Roman" w:cs="Times New Roman"/>
          <w:sz w:val="28"/>
          <w:szCs w:val="28"/>
        </w:rPr>
        <w:t>.</w:t>
      </w:r>
      <w:r>
        <w:rPr>
          <w:rFonts w:ascii="Times New Roman" w:hAnsi="Times New Roman" w:cs="Times New Roman"/>
          <w:sz w:val="28"/>
          <w:szCs w:val="28"/>
        </w:rPr>
        <w:t>d</w:t>
      </w:r>
      <w:r w:rsidR="00264B20">
        <w:rPr>
          <w:rFonts w:ascii="Times New Roman" w:hAnsi="Times New Roman" w:cs="Times New Roman"/>
          <w:sz w:val="28"/>
          <w:szCs w:val="28"/>
        </w:rPr>
        <w:t>.</w:t>
      </w:r>
      <w:r>
        <w:rPr>
          <w:rFonts w:ascii="Times New Roman" w:hAnsi="Times New Roman" w:cs="Times New Roman"/>
          <w:sz w:val="28"/>
          <w:szCs w:val="28"/>
        </w:rPr>
        <w:t xml:space="preserve"> tassa minima </w:t>
      </w:r>
      <w:r w:rsidRPr="00CE7580">
        <w:rPr>
          <w:rFonts w:ascii="Times New Roman" w:hAnsi="Times New Roman" w:cs="Times New Roman"/>
          <w:sz w:val="28"/>
          <w:szCs w:val="28"/>
        </w:rPr>
        <w:t>globale,</w:t>
      </w:r>
      <w:r w:rsidR="00A4497C" w:rsidRPr="00CE7580">
        <w:rPr>
          <w:rFonts w:ascii="Times New Roman" w:hAnsi="Times New Roman" w:cs="Times New Roman"/>
          <w:sz w:val="28"/>
          <w:szCs w:val="28"/>
        </w:rPr>
        <w:t xml:space="preserve"> </w:t>
      </w:r>
      <w:r w:rsidRPr="00CE7580">
        <w:rPr>
          <w:rFonts w:ascii="Times New Roman" w:hAnsi="Times New Roman" w:cs="Times New Roman"/>
          <w:i/>
          <w:iCs/>
          <w:sz w:val="28"/>
          <w:szCs w:val="28"/>
        </w:rPr>
        <w:t>web-</w:t>
      </w:r>
      <w:proofErr w:type="spellStart"/>
      <w:r w:rsidRPr="00CE7580">
        <w:rPr>
          <w:rFonts w:ascii="Times New Roman" w:hAnsi="Times New Roman" w:cs="Times New Roman"/>
          <w:i/>
          <w:iCs/>
          <w:sz w:val="28"/>
          <w:szCs w:val="28"/>
        </w:rPr>
        <w:t>tax</w:t>
      </w:r>
      <w:proofErr w:type="spellEnd"/>
      <w:r w:rsidRPr="00CE7580">
        <w:rPr>
          <w:rFonts w:ascii="Times New Roman" w:hAnsi="Times New Roman" w:cs="Times New Roman"/>
          <w:sz w:val="28"/>
          <w:szCs w:val="28"/>
        </w:rPr>
        <w:t xml:space="preserve"> al 15%, definendo la base imponibile, non in relazione alla sede legale di tali società, ma in base al luogo in cui saranno realizzati i profitti</w:t>
      </w:r>
      <w:r w:rsidR="00264B20">
        <w:rPr>
          <w:rStyle w:val="Rimandonotaapidipagina"/>
          <w:rFonts w:ascii="Times New Roman" w:hAnsi="Times New Roman" w:cs="Times New Roman"/>
          <w:sz w:val="28"/>
          <w:szCs w:val="28"/>
        </w:rPr>
        <w:footnoteReference w:id="99"/>
      </w:r>
      <w:r w:rsidRPr="00CE7580">
        <w:rPr>
          <w:rFonts w:ascii="Times New Roman" w:hAnsi="Times New Roman" w:cs="Times New Roman"/>
          <w:sz w:val="28"/>
          <w:szCs w:val="28"/>
        </w:rPr>
        <w:t>. L’accordo</w:t>
      </w:r>
      <w:r w:rsidR="0003453E">
        <w:rPr>
          <w:rFonts w:ascii="Times New Roman" w:hAnsi="Times New Roman" w:cs="Times New Roman"/>
          <w:sz w:val="28"/>
          <w:szCs w:val="28"/>
        </w:rPr>
        <w:t>,</w:t>
      </w:r>
      <w:r w:rsidRPr="00CE7580">
        <w:rPr>
          <w:rFonts w:ascii="Times New Roman" w:hAnsi="Times New Roman" w:cs="Times New Roman"/>
          <w:sz w:val="28"/>
          <w:szCs w:val="28"/>
        </w:rPr>
        <w:t xml:space="preserve"> i cui aspetti tecnici</w:t>
      </w:r>
      <w:r>
        <w:rPr>
          <w:rFonts w:ascii="Times New Roman" w:hAnsi="Times New Roman" w:cs="Times New Roman"/>
          <w:sz w:val="28"/>
          <w:szCs w:val="28"/>
        </w:rPr>
        <w:t xml:space="preserve"> dovranno essere meglio definiti da un ulteriore intesa in sede OCSE</w:t>
      </w:r>
      <w:r w:rsidR="0003453E">
        <w:rPr>
          <w:rFonts w:ascii="Times New Roman" w:hAnsi="Times New Roman" w:cs="Times New Roman"/>
          <w:sz w:val="28"/>
          <w:szCs w:val="28"/>
        </w:rPr>
        <w:t>,</w:t>
      </w:r>
      <w:r>
        <w:rPr>
          <w:rFonts w:ascii="Times New Roman" w:hAnsi="Times New Roman" w:cs="Times New Roman"/>
          <w:sz w:val="28"/>
          <w:szCs w:val="28"/>
        </w:rPr>
        <w:t xml:space="preserve"> rappresenta un primo passo per arginare gli ingenti profitti delle piattaforme che possono superare il PIL degli Stati sovrani. Non solo: le grandi piattaforme </w:t>
      </w:r>
      <w:proofErr w:type="gramStart"/>
      <w:r>
        <w:rPr>
          <w:rFonts w:ascii="Times New Roman" w:hAnsi="Times New Roman" w:cs="Times New Roman"/>
          <w:sz w:val="28"/>
          <w:szCs w:val="28"/>
        </w:rPr>
        <w:t>pongono in essere</w:t>
      </w:r>
      <w:proofErr w:type="gramEnd"/>
      <w:r>
        <w:rPr>
          <w:rFonts w:ascii="Times New Roman" w:hAnsi="Times New Roman" w:cs="Times New Roman"/>
          <w:sz w:val="28"/>
          <w:szCs w:val="28"/>
        </w:rPr>
        <w:t xml:space="preserve"> anche attività speculative grazie alla loro forza persuasiva. </w:t>
      </w:r>
    </w:p>
    <w:p w14:paraId="043AC24F" w14:textId="77777777" w:rsidR="0003453E" w:rsidRDefault="002B3A3B" w:rsidP="0003453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Ha suscitato scalpore la notizia che</w:t>
      </w:r>
      <w:r w:rsidR="0003453E">
        <w:rPr>
          <w:rFonts w:ascii="Times New Roman" w:hAnsi="Times New Roman" w:cs="Times New Roman"/>
          <w:sz w:val="28"/>
          <w:szCs w:val="28"/>
        </w:rPr>
        <w:t>,</w:t>
      </w:r>
      <w:r>
        <w:rPr>
          <w:rFonts w:ascii="Times New Roman" w:hAnsi="Times New Roman" w:cs="Times New Roman"/>
          <w:sz w:val="28"/>
          <w:szCs w:val="28"/>
        </w:rPr>
        <w:t xml:space="preserve"> dopo aver venduto sul mercato una quota nella sua partecipazione in Tesla come suggerito dall’esito di un sondaggio condotto su </w:t>
      </w:r>
      <w:proofErr w:type="spellStart"/>
      <w:r>
        <w:rPr>
          <w:rFonts w:ascii="Times New Roman" w:hAnsi="Times New Roman" w:cs="Times New Roman"/>
          <w:sz w:val="28"/>
          <w:szCs w:val="28"/>
        </w:rPr>
        <w:t>Twitter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Musk</w:t>
      </w:r>
      <w:proofErr w:type="spellEnd"/>
      <w:r>
        <w:rPr>
          <w:rFonts w:ascii="Times New Roman" w:hAnsi="Times New Roman" w:cs="Times New Roman"/>
          <w:sz w:val="28"/>
          <w:szCs w:val="28"/>
        </w:rPr>
        <w:t xml:space="preserve"> abbia esercitato le sue </w:t>
      </w:r>
      <w:r w:rsidRPr="0003453E">
        <w:rPr>
          <w:rFonts w:ascii="Times New Roman" w:hAnsi="Times New Roman" w:cs="Times New Roman"/>
          <w:i/>
          <w:iCs/>
          <w:sz w:val="28"/>
          <w:szCs w:val="28"/>
        </w:rPr>
        <w:t xml:space="preserve">stock </w:t>
      </w:r>
      <w:proofErr w:type="spellStart"/>
      <w:r w:rsidRPr="0003453E">
        <w:rPr>
          <w:rFonts w:ascii="Times New Roman" w:hAnsi="Times New Roman" w:cs="Times New Roman"/>
          <w:i/>
          <w:iCs/>
          <w:sz w:val="28"/>
          <w:szCs w:val="28"/>
        </w:rPr>
        <w:t>options</w:t>
      </w:r>
      <w:proofErr w:type="spellEnd"/>
      <w:r>
        <w:rPr>
          <w:rFonts w:ascii="Times New Roman" w:hAnsi="Times New Roman" w:cs="Times New Roman"/>
          <w:sz w:val="28"/>
          <w:szCs w:val="28"/>
        </w:rPr>
        <w:t xml:space="preserve"> </w:t>
      </w:r>
      <w:r w:rsidR="00613CE0">
        <w:rPr>
          <w:rFonts w:ascii="Times New Roman" w:hAnsi="Times New Roman" w:cs="Times New Roman"/>
          <w:sz w:val="28"/>
          <w:szCs w:val="28"/>
        </w:rPr>
        <w:t xml:space="preserve">e ricomprato circa la metà delle azioni vendute pagandole, però, il 99,4% in meno e guadagnando 2,4 miliardi di dollari. </w:t>
      </w:r>
      <w:proofErr w:type="spellStart"/>
      <w:r w:rsidR="00613CE0" w:rsidRPr="0003453E">
        <w:rPr>
          <w:rFonts w:ascii="Times New Roman" w:hAnsi="Times New Roman" w:cs="Times New Roman"/>
          <w:i/>
          <w:iCs/>
          <w:sz w:val="28"/>
          <w:szCs w:val="28"/>
        </w:rPr>
        <w:t>Twitter</w:t>
      </w:r>
      <w:proofErr w:type="spellEnd"/>
      <w:r w:rsidR="00613CE0">
        <w:rPr>
          <w:rFonts w:ascii="Times New Roman" w:hAnsi="Times New Roman" w:cs="Times New Roman"/>
          <w:sz w:val="28"/>
          <w:szCs w:val="28"/>
        </w:rPr>
        <w:t xml:space="preserve"> viene così utilizzato</w:t>
      </w:r>
      <w:r w:rsidR="0003453E">
        <w:rPr>
          <w:rFonts w:ascii="Times New Roman" w:hAnsi="Times New Roman" w:cs="Times New Roman"/>
          <w:sz w:val="28"/>
          <w:szCs w:val="28"/>
        </w:rPr>
        <w:t xml:space="preserve"> </w:t>
      </w:r>
      <w:r w:rsidR="00613CE0">
        <w:rPr>
          <w:rFonts w:ascii="Times New Roman" w:hAnsi="Times New Roman" w:cs="Times New Roman"/>
          <w:sz w:val="28"/>
          <w:szCs w:val="28"/>
        </w:rPr>
        <w:t xml:space="preserve">per manovrare gli </w:t>
      </w:r>
      <w:proofErr w:type="spellStart"/>
      <w:r w:rsidR="00613CE0" w:rsidRPr="0003453E">
        <w:rPr>
          <w:rFonts w:ascii="Times New Roman" w:hAnsi="Times New Roman" w:cs="Times New Roman"/>
          <w:i/>
          <w:iCs/>
          <w:sz w:val="28"/>
          <w:szCs w:val="28"/>
        </w:rPr>
        <w:t>assets</w:t>
      </w:r>
      <w:proofErr w:type="spellEnd"/>
      <w:r w:rsidR="00613CE0">
        <w:rPr>
          <w:rFonts w:ascii="Times New Roman" w:hAnsi="Times New Roman" w:cs="Times New Roman"/>
          <w:sz w:val="28"/>
          <w:szCs w:val="28"/>
        </w:rPr>
        <w:t xml:space="preserve"> finanziari. </w:t>
      </w:r>
    </w:p>
    <w:p w14:paraId="08F2C2BB" w14:textId="77777777" w:rsidR="0003453E" w:rsidRDefault="00613CE0" w:rsidP="0003453E">
      <w:pPr>
        <w:tabs>
          <w:tab w:val="left" w:pos="8364"/>
        </w:tabs>
        <w:spacing w:after="0"/>
        <w:jc w:val="both"/>
        <w:rPr>
          <w:rFonts w:ascii="Times New Roman" w:hAnsi="Times New Roman" w:cs="Times New Roman"/>
          <w:sz w:val="28"/>
          <w:szCs w:val="28"/>
        </w:rPr>
      </w:pPr>
      <w:proofErr w:type="spellStart"/>
      <w:r>
        <w:rPr>
          <w:rFonts w:ascii="Times New Roman" w:hAnsi="Times New Roman" w:cs="Times New Roman"/>
          <w:sz w:val="28"/>
          <w:szCs w:val="28"/>
        </w:rPr>
        <w:t>Elon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Musk</w:t>
      </w:r>
      <w:proofErr w:type="spellEnd"/>
      <w:r>
        <w:rPr>
          <w:rFonts w:ascii="Times New Roman" w:hAnsi="Times New Roman" w:cs="Times New Roman"/>
          <w:sz w:val="28"/>
          <w:szCs w:val="28"/>
        </w:rPr>
        <w:t xml:space="preserve"> lo ha fatto con il </w:t>
      </w:r>
      <w:proofErr w:type="spellStart"/>
      <w:r w:rsidRPr="0003453E">
        <w:rPr>
          <w:rFonts w:ascii="Times New Roman" w:hAnsi="Times New Roman" w:cs="Times New Roman"/>
          <w:i/>
          <w:iCs/>
          <w:sz w:val="28"/>
          <w:szCs w:val="28"/>
        </w:rPr>
        <w:t>bitcoin</w:t>
      </w:r>
      <w:proofErr w:type="spellEnd"/>
      <w:r>
        <w:rPr>
          <w:rFonts w:ascii="Times New Roman" w:hAnsi="Times New Roman" w:cs="Times New Roman"/>
          <w:sz w:val="28"/>
          <w:szCs w:val="28"/>
        </w:rPr>
        <w:t xml:space="preserve"> e con le altre valute digitali, lo ha </w:t>
      </w:r>
      <w:r w:rsidRPr="00CE7580">
        <w:rPr>
          <w:rFonts w:ascii="Times New Roman" w:hAnsi="Times New Roman" w:cs="Times New Roman"/>
          <w:sz w:val="28"/>
          <w:szCs w:val="28"/>
        </w:rPr>
        <w:t xml:space="preserve">fatto con azioni caldissime come quelle della catena dei punti </w:t>
      </w:r>
      <w:r w:rsidR="00A4497C" w:rsidRPr="00CE7580">
        <w:rPr>
          <w:rFonts w:ascii="Times New Roman" w:hAnsi="Times New Roman" w:cs="Times New Roman"/>
          <w:sz w:val="28"/>
          <w:szCs w:val="28"/>
        </w:rPr>
        <w:t>vendita di</w:t>
      </w:r>
      <w:r w:rsidRPr="00CE7580">
        <w:rPr>
          <w:rFonts w:ascii="Times New Roman" w:hAnsi="Times New Roman" w:cs="Times New Roman"/>
          <w:sz w:val="28"/>
          <w:szCs w:val="28"/>
        </w:rPr>
        <w:t xml:space="preserve"> videogiochi </w:t>
      </w:r>
      <w:proofErr w:type="spellStart"/>
      <w:r w:rsidRPr="0003453E">
        <w:rPr>
          <w:rFonts w:ascii="Times New Roman" w:hAnsi="Times New Roman" w:cs="Times New Roman"/>
          <w:i/>
          <w:iCs/>
          <w:sz w:val="28"/>
          <w:szCs w:val="28"/>
        </w:rPr>
        <w:t>Gamestop</w:t>
      </w:r>
      <w:proofErr w:type="spellEnd"/>
      <w:r w:rsidRPr="00CE7580">
        <w:rPr>
          <w:rFonts w:ascii="Times New Roman" w:hAnsi="Times New Roman" w:cs="Times New Roman"/>
          <w:sz w:val="28"/>
          <w:szCs w:val="28"/>
        </w:rPr>
        <w:t xml:space="preserve">. </w:t>
      </w:r>
    </w:p>
    <w:p w14:paraId="34970A53" w14:textId="77777777" w:rsidR="00EC19F9" w:rsidRDefault="00613CE0" w:rsidP="0003453E">
      <w:pPr>
        <w:tabs>
          <w:tab w:val="left" w:pos="8364"/>
        </w:tabs>
        <w:spacing w:after="0"/>
        <w:jc w:val="both"/>
        <w:rPr>
          <w:rFonts w:ascii="Times New Roman" w:hAnsi="Times New Roman" w:cs="Times New Roman"/>
          <w:sz w:val="28"/>
          <w:szCs w:val="28"/>
        </w:rPr>
      </w:pPr>
      <w:r w:rsidRPr="00CE7580">
        <w:rPr>
          <w:rFonts w:ascii="Times New Roman" w:hAnsi="Times New Roman" w:cs="Times New Roman"/>
          <w:sz w:val="28"/>
          <w:szCs w:val="28"/>
        </w:rPr>
        <w:t>Ora si è dedicato direttamente alle azioni della sua azienda, produttrice di auto elettriche</w:t>
      </w:r>
      <w:r w:rsidR="0003453E">
        <w:rPr>
          <w:rFonts w:ascii="Times New Roman" w:hAnsi="Times New Roman" w:cs="Times New Roman"/>
          <w:sz w:val="28"/>
          <w:szCs w:val="28"/>
        </w:rPr>
        <w:t>:</w:t>
      </w:r>
      <w:r>
        <w:rPr>
          <w:rFonts w:ascii="Times New Roman" w:hAnsi="Times New Roman" w:cs="Times New Roman"/>
          <w:sz w:val="28"/>
          <w:szCs w:val="28"/>
        </w:rPr>
        <w:t xml:space="preserve"> la Tesla. Egli, infatti, ha lanciato un sondaggio sul </w:t>
      </w:r>
      <w:r w:rsidRPr="00EC19F9">
        <w:rPr>
          <w:rFonts w:ascii="Times New Roman" w:hAnsi="Times New Roman" w:cs="Times New Roman"/>
          <w:i/>
          <w:iCs/>
          <w:sz w:val="28"/>
          <w:szCs w:val="28"/>
        </w:rPr>
        <w:t>social</w:t>
      </w:r>
      <w:r>
        <w:rPr>
          <w:rFonts w:ascii="Times New Roman" w:hAnsi="Times New Roman" w:cs="Times New Roman"/>
          <w:sz w:val="28"/>
          <w:szCs w:val="28"/>
        </w:rPr>
        <w:t xml:space="preserve"> per chiedere se avrebbe dovuto vendere il 10% della sua partecipazione nella società di fronte all’ipotesi, in discussione presso il Senato statunitense, che venga introdotta una tassa sugli utili non realizzati (in pratica sull’eventuale aumento del valore delle azioni che rimane una ricchezza virtuale, </w:t>
      </w:r>
      <w:r w:rsidR="00A4497C">
        <w:rPr>
          <w:rFonts w:ascii="Times New Roman" w:hAnsi="Times New Roman" w:cs="Times New Roman"/>
          <w:sz w:val="28"/>
          <w:szCs w:val="28"/>
        </w:rPr>
        <w:t>finché</w:t>
      </w:r>
      <w:r>
        <w:rPr>
          <w:rFonts w:ascii="Times New Roman" w:hAnsi="Times New Roman" w:cs="Times New Roman"/>
          <w:sz w:val="28"/>
          <w:szCs w:val="28"/>
        </w:rPr>
        <w:t xml:space="preserve"> </w:t>
      </w:r>
      <w:r w:rsidR="00A4497C">
        <w:rPr>
          <w:rFonts w:ascii="Times New Roman" w:hAnsi="Times New Roman" w:cs="Times New Roman"/>
          <w:sz w:val="28"/>
          <w:szCs w:val="28"/>
        </w:rPr>
        <w:t>i titoli</w:t>
      </w:r>
      <w:r>
        <w:rPr>
          <w:rFonts w:ascii="Times New Roman" w:hAnsi="Times New Roman" w:cs="Times New Roman"/>
          <w:sz w:val="28"/>
          <w:szCs w:val="28"/>
        </w:rPr>
        <w:t xml:space="preserve"> non sono effettivamente venduti) per le 700 persone più facoltose del paese. </w:t>
      </w:r>
    </w:p>
    <w:p w14:paraId="4B688D47" w14:textId="77777777" w:rsidR="00EC19F9" w:rsidRDefault="00613CE0" w:rsidP="0003453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Hanno risposto in 4 milioni con un</w:t>
      </w:r>
      <w:r w:rsidR="00456493">
        <w:rPr>
          <w:rFonts w:ascii="Times New Roman" w:hAnsi="Times New Roman" w:cs="Times New Roman"/>
          <w:sz w:val="28"/>
          <w:szCs w:val="28"/>
        </w:rPr>
        <w:t xml:space="preserve">a </w:t>
      </w:r>
      <w:r>
        <w:rPr>
          <w:rFonts w:ascii="Times New Roman" w:hAnsi="Times New Roman" w:cs="Times New Roman"/>
          <w:sz w:val="28"/>
          <w:szCs w:val="28"/>
        </w:rPr>
        <w:t>prevalenza del 58% dei voti favorevoli alla vendita. L’esito ha provocato uno scossone sui mer</w:t>
      </w:r>
      <w:r w:rsidR="00456493">
        <w:rPr>
          <w:rFonts w:ascii="Times New Roman" w:hAnsi="Times New Roman" w:cs="Times New Roman"/>
          <w:sz w:val="28"/>
          <w:szCs w:val="28"/>
        </w:rPr>
        <w:t>ca</w:t>
      </w:r>
      <w:r>
        <w:rPr>
          <w:rFonts w:ascii="Times New Roman" w:hAnsi="Times New Roman" w:cs="Times New Roman"/>
          <w:sz w:val="28"/>
          <w:szCs w:val="28"/>
        </w:rPr>
        <w:t>ti con le azioni Tesla calate del 16% in due giorni. A questo punto</w:t>
      </w:r>
      <w:r w:rsidR="00EC19F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Musk</w:t>
      </w:r>
      <w:proofErr w:type="spellEnd"/>
      <w:r>
        <w:rPr>
          <w:rFonts w:ascii="Times New Roman" w:hAnsi="Times New Roman" w:cs="Times New Roman"/>
          <w:sz w:val="28"/>
          <w:szCs w:val="28"/>
        </w:rPr>
        <w:t xml:space="preserve"> vende 4,5 milioni di azioni per un controvalore di 5,5 miliardi di dollari, ma dai documenti trasmessi alla SEC (l’autorità statunitense di vigilanza dei mercati) </w:t>
      </w:r>
      <w:proofErr w:type="spellStart"/>
      <w:r>
        <w:rPr>
          <w:rFonts w:ascii="Times New Roman" w:hAnsi="Times New Roman" w:cs="Times New Roman"/>
          <w:sz w:val="28"/>
          <w:szCs w:val="28"/>
        </w:rPr>
        <w:t>Musk</w:t>
      </w:r>
      <w:proofErr w:type="spellEnd"/>
      <w:r>
        <w:rPr>
          <w:rFonts w:ascii="Times New Roman" w:hAnsi="Times New Roman" w:cs="Times New Roman"/>
          <w:sz w:val="28"/>
          <w:szCs w:val="28"/>
        </w:rPr>
        <w:t xml:space="preserve"> ha esercitato un diritto di </w:t>
      </w:r>
      <w:r w:rsidRPr="00A4497C">
        <w:rPr>
          <w:rFonts w:ascii="Times New Roman" w:hAnsi="Times New Roman" w:cs="Times New Roman"/>
          <w:i/>
          <w:iCs/>
          <w:sz w:val="28"/>
          <w:szCs w:val="28"/>
        </w:rPr>
        <w:t xml:space="preserve">stock </w:t>
      </w:r>
      <w:proofErr w:type="spellStart"/>
      <w:r w:rsidRPr="00A4497C">
        <w:rPr>
          <w:rFonts w:ascii="Times New Roman" w:hAnsi="Times New Roman" w:cs="Times New Roman"/>
          <w:i/>
          <w:iCs/>
          <w:sz w:val="28"/>
          <w:szCs w:val="28"/>
        </w:rPr>
        <w:t>options</w:t>
      </w:r>
      <w:proofErr w:type="spellEnd"/>
      <w:r>
        <w:rPr>
          <w:rFonts w:ascii="Times New Roman" w:hAnsi="Times New Roman" w:cs="Times New Roman"/>
          <w:sz w:val="28"/>
          <w:szCs w:val="28"/>
        </w:rPr>
        <w:t xml:space="preserve"> (ossia la possibilità </w:t>
      </w:r>
      <w:r w:rsidR="00FC52F3">
        <w:rPr>
          <w:rFonts w:ascii="Times New Roman" w:hAnsi="Times New Roman" w:cs="Times New Roman"/>
          <w:sz w:val="28"/>
          <w:szCs w:val="28"/>
        </w:rPr>
        <w:t>di acquistare un titolo ad un valore prestabilito</w:t>
      </w:r>
      <w:r w:rsidR="00EC19F9">
        <w:rPr>
          <w:rFonts w:ascii="Times New Roman" w:hAnsi="Times New Roman" w:cs="Times New Roman"/>
          <w:sz w:val="28"/>
          <w:szCs w:val="28"/>
        </w:rPr>
        <w:t>,</w:t>
      </w:r>
      <w:r w:rsidR="00FC52F3">
        <w:rPr>
          <w:rFonts w:ascii="Times New Roman" w:hAnsi="Times New Roman" w:cs="Times New Roman"/>
          <w:sz w:val="28"/>
          <w:szCs w:val="28"/>
        </w:rPr>
        <w:t xml:space="preserve"> indipendentemente dalle variazioni di prezzo intercorse nel frattempo) comprando 2,1 milioni di azioni. </w:t>
      </w:r>
    </w:p>
    <w:p w14:paraId="259C302D" w14:textId="77777777" w:rsidR="00EC19F9" w:rsidRDefault="00FC52F3" w:rsidP="0003453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Le azioni sono state pagate 6,2 dollari l’una a fronte di un valore di mercato che supera i mille dollari, garantendo all’imprenditore un guadagno del 99,4%. Pagato 14 milioni di dollari</w:t>
      </w:r>
      <w:r w:rsidR="00EC19F9">
        <w:rPr>
          <w:rFonts w:ascii="Times New Roman" w:hAnsi="Times New Roman" w:cs="Times New Roman"/>
          <w:sz w:val="28"/>
          <w:szCs w:val="28"/>
        </w:rPr>
        <w:t>,</w:t>
      </w:r>
      <w:r>
        <w:rPr>
          <w:rFonts w:ascii="Times New Roman" w:hAnsi="Times New Roman" w:cs="Times New Roman"/>
          <w:sz w:val="28"/>
          <w:szCs w:val="28"/>
        </w:rPr>
        <w:t xml:space="preserve"> il pacchetto azionario vale ai prezzi correnti 2,4 miliardi di dollari. </w:t>
      </w:r>
    </w:p>
    <w:p w14:paraId="4DB84A33" w14:textId="77777777" w:rsidR="00EC19F9" w:rsidRDefault="00FC52F3" w:rsidP="0003453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Non </w:t>
      </w:r>
      <w:r w:rsidR="00A4497C">
        <w:rPr>
          <w:rFonts w:ascii="Times New Roman" w:hAnsi="Times New Roman" w:cs="Times New Roman"/>
          <w:sz w:val="28"/>
          <w:szCs w:val="28"/>
        </w:rPr>
        <w:t>solo:</w:t>
      </w:r>
      <w:r>
        <w:rPr>
          <w:rFonts w:ascii="Times New Roman" w:hAnsi="Times New Roman" w:cs="Times New Roman"/>
          <w:sz w:val="28"/>
          <w:szCs w:val="28"/>
        </w:rPr>
        <w:t xml:space="preserve"> </w:t>
      </w:r>
      <w:proofErr w:type="spellStart"/>
      <w:r>
        <w:rPr>
          <w:rFonts w:ascii="Times New Roman" w:hAnsi="Times New Roman" w:cs="Times New Roman"/>
          <w:sz w:val="28"/>
          <w:szCs w:val="28"/>
        </w:rPr>
        <w:t>Musk</w:t>
      </w:r>
      <w:proofErr w:type="spellEnd"/>
      <w:r>
        <w:rPr>
          <w:rFonts w:ascii="Times New Roman" w:hAnsi="Times New Roman" w:cs="Times New Roman"/>
          <w:sz w:val="28"/>
          <w:szCs w:val="28"/>
        </w:rPr>
        <w:t xml:space="preserve"> ha spostato la sua residenza dalla California al Texas</w:t>
      </w:r>
      <w:r w:rsidR="00EC19F9">
        <w:rPr>
          <w:rFonts w:ascii="Times New Roman" w:hAnsi="Times New Roman" w:cs="Times New Roman"/>
          <w:sz w:val="28"/>
          <w:szCs w:val="28"/>
        </w:rPr>
        <w:t>,</w:t>
      </w:r>
      <w:r>
        <w:rPr>
          <w:rFonts w:ascii="Times New Roman" w:hAnsi="Times New Roman" w:cs="Times New Roman"/>
          <w:sz w:val="28"/>
          <w:szCs w:val="28"/>
        </w:rPr>
        <w:t xml:space="preserve"> dove il regime fiscale sui proventi da partecipazioni societarie è più favorevole. </w:t>
      </w:r>
    </w:p>
    <w:p w14:paraId="3210F72A" w14:textId="77777777" w:rsidR="00EC19F9" w:rsidRDefault="00FC52F3" w:rsidP="0003453E">
      <w:pPr>
        <w:tabs>
          <w:tab w:val="left" w:pos="8364"/>
        </w:tabs>
        <w:spacing w:after="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Musk</w:t>
      </w:r>
      <w:proofErr w:type="spellEnd"/>
      <w:r>
        <w:rPr>
          <w:rFonts w:ascii="Times New Roman" w:hAnsi="Times New Roman" w:cs="Times New Roman"/>
          <w:sz w:val="28"/>
          <w:szCs w:val="28"/>
        </w:rPr>
        <w:t xml:space="preserve"> </w:t>
      </w:r>
      <w:r w:rsidR="00EC19F9">
        <w:rPr>
          <w:rFonts w:ascii="Times New Roman" w:hAnsi="Times New Roman" w:cs="Times New Roman"/>
          <w:sz w:val="28"/>
          <w:szCs w:val="28"/>
        </w:rPr>
        <w:t>ha,</w:t>
      </w:r>
      <w:r>
        <w:rPr>
          <w:rFonts w:ascii="Times New Roman" w:hAnsi="Times New Roman" w:cs="Times New Roman"/>
          <w:sz w:val="28"/>
          <w:szCs w:val="28"/>
        </w:rPr>
        <w:t xml:space="preserve"> al momento</w:t>
      </w:r>
      <w:r w:rsidR="00EC19F9">
        <w:rPr>
          <w:rFonts w:ascii="Times New Roman" w:hAnsi="Times New Roman" w:cs="Times New Roman"/>
          <w:sz w:val="28"/>
          <w:szCs w:val="28"/>
        </w:rPr>
        <w:t>,</w:t>
      </w:r>
      <w:r>
        <w:rPr>
          <w:rFonts w:ascii="Times New Roman" w:hAnsi="Times New Roman" w:cs="Times New Roman"/>
          <w:sz w:val="28"/>
          <w:szCs w:val="28"/>
        </w:rPr>
        <w:t xml:space="preserve"> un patrimonio personale stimato in 281 miliardi di dollari, superiore al Pil di molti Stati sovrani. </w:t>
      </w:r>
    </w:p>
    <w:p w14:paraId="6061CF15" w14:textId="77777777" w:rsidR="00EC19F9" w:rsidRDefault="00FC52F3" w:rsidP="0003453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Tale situazione richiede un controllo e una tassazione </w:t>
      </w:r>
      <w:r w:rsidR="00A4497C">
        <w:rPr>
          <w:rFonts w:ascii="Times New Roman" w:hAnsi="Times New Roman" w:cs="Times New Roman"/>
          <w:sz w:val="28"/>
          <w:szCs w:val="28"/>
        </w:rPr>
        <w:t>adeguata</w:t>
      </w:r>
      <w:r w:rsidR="00EC19F9">
        <w:rPr>
          <w:rFonts w:ascii="Times New Roman" w:hAnsi="Times New Roman" w:cs="Times New Roman"/>
          <w:sz w:val="28"/>
          <w:szCs w:val="28"/>
        </w:rPr>
        <w:t>,</w:t>
      </w:r>
      <w:r w:rsidR="00A4497C">
        <w:rPr>
          <w:rFonts w:ascii="Times New Roman" w:hAnsi="Times New Roman" w:cs="Times New Roman"/>
          <w:sz w:val="28"/>
          <w:szCs w:val="28"/>
        </w:rPr>
        <w:t xml:space="preserve"> a</w:t>
      </w:r>
      <w:r>
        <w:rPr>
          <w:rFonts w:ascii="Times New Roman" w:hAnsi="Times New Roman" w:cs="Times New Roman"/>
          <w:sz w:val="28"/>
          <w:szCs w:val="28"/>
        </w:rPr>
        <w:t xml:space="preserve"> cui il G20 ha cercato di dare una risposta: le grandi ricchezze vanno adeguatamente tassate secondo il criterio della capacità contributiva e in aderenza ad una logica redistributiva. </w:t>
      </w:r>
    </w:p>
    <w:p w14:paraId="5B2F1752" w14:textId="6DAE0694" w:rsidR="002B3A3B" w:rsidRPr="00613CE0" w:rsidRDefault="00FC52F3" w:rsidP="0003453E">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Tali piattaforme hanno un potere di contrattazione superiore agli </w:t>
      </w:r>
      <w:r w:rsidR="00A4497C">
        <w:rPr>
          <w:rFonts w:ascii="Times New Roman" w:hAnsi="Times New Roman" w:cs="Times New Roman"/>
          <w:sz w:val="28"/>
          <w:szCs w:val="28"/>
        </w:rPr>
        <w:t>Stati</w:t>
      </w:r>
      <w:r w:rsidR="00EC19F9">
        <w:rPr>
          <w:rFonts w:ascii="Times New Roman" w:hAnsi="Times New Roman" w:cs="Times New Roman"/>
          <w:sz w:val="28"/>
          <w:szCs w:val="28"/>
        </w:rPr>
        <w:t>,</w:t>
      </w:r>
      <w:r w:rsidR="00A4497C">
        <w:rPr>
          <w:rFonts w:ascii="Times New Roman" w:hAnsi="Times New Roman" w:cs="Times New Roman"/>
          <w:sz w:val="28"/>
          <w:szCs w:val="28"/>
        </w:rPr>
        <w:t xml:space="preserve"> che</w:t>
      </w:r>
      <w:r>
        <w:rPr>
          <w:rFonts w:ascii="Times New Roman" w:hAnsi="Times New Roman" w:cs="Times New Roman"/>
          <w:sz w:val="28"/>
          <w:szCs w:val="28"/>
        </w:rPr>
        <w:t xml:space="preserve"> si concretizza nella c</w:t>
      </w:r>
      <w:r w:rsidR="00744F70">
        <w:rPr>
          <w:rFonts w:ascii="Times New Roman" w:hAnsi="Times New Roman" w:cs="Times New Roman"/>
          <w:sz w:val="28"/>
          <w:szCs w:val="28"/>
        </w:rPr>
        <w:t>.</w:t>
      </w:r>
      <w:r>
        <w:rPr>
          <w:rFonts w:ascii="Times New Roman" w:hAnsi="Times New Roman" w:cs="Times New Roman"/>
          <w:sz w:val="28"/>
          <w:szCs w:val="28"/>
        </w:rPr>
        <w:t>d</w:t>
      </w:r>
      <w:r w:rsidR="00744F7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FC52F3">
        <w:rPr>
          <w:rFonts w:ascii="Times New Roman" w:hAnsi="Times New Roman" w:cs="Times New Roman"/>
          <w:i/>
          <w:iCs/>
          <w:sz w:val="28"/>
          <w:szCs w:val="28"/>
        </w:rPr>
        <w:t>Tax</w:t>
      </w:r>
      <w:proofErr w:type="spellEnd"/>
      <w:r w:rsidRPr="00FC52F3">
        <w:rPr>
          <w:rFonts w:ascii="Times New Roman" w:hAnsi="Times New Roman" w:cs="Times New Roman"/>
          <w:i/>
          <w:iCs/>
          <w:sz w:val="28"/>
          <w:szCs w:val="28"/>
        </w:rPr>
        <w:t xml:space="preserve"> </w:t>
      </w:r>
      <w:proofErr w:type="spellStart"/>
      <w:r w:rsidRPr="00FC52F3">
        <w:rPr>
          <w:rFonts w:ascii="Times New Roman" w:hAnsi="Times New Roman" w:cs="Times New Roman"/>
          <w:i/>
          <w:iCs/>
          <w:sz w:val="28"/>
          <w:szCs w:val="28"/>
        </w:rPr>
        <w:t>ruling</w:t>
      </w:r>
      <w:proofErr w:type="spellEnd"/>
      <w:r>
        <w:rPr>
          <w:rFonts w:ascii="Times New Roman" w:hAnsi="Times New Roman" w:cs="Times New Roman"/>
          <w:sz w:val="28"/>
          <w:szCs w:val="28"/>
        </w:rPr>
        <w:t>, potendo stabilire i termini della regolazione e della tassazione su un piano di parità, se non di superiorità</w:t>
      </w:r>
      <w:r w:rsidR="00EC19F9">
        <w:rPr>
          <w:rFonts w:ascii="Times New Roman" w:hAnsi="Times New Roman" w:cs="Times New Roman"/>
          <w:sz w:val="28"/>
          <w:szCs w:val="28"/>
        </w:rPr>
        <w:t>,</w:t>
      </w:r>
      <w:r>
        <w:rPr>
          <w:rFonts w:ascii="Times New Roman" w:hAnsi="Times New Roman" w:cs="Times New Roman"/>
          <w:sz w:val="28"/>
          <w:szCs w:val="28"/>
        </w:rPr>
        <w:t xml:space="preserve"> con i governi nazionali che dipendono da tali piattaforme</w:t>
      </w:r>
      <w:r w:rsidR="00EC19F9">
        <w:rPr>
          <w:rFonts w:ascii="Times New Roman" w:hAnsi="Times New Roman" w:cs="Times New Roman"/>
          <w:sz w:val="28"/>
          <w:szCs w:val="28"/>
        </w:rPr>
        <w:t>,</w:t>
      </w:r>
      <w:r>
        <w:rPr>
          <w:rFonts w:ascii="Times New Roman" w:hAnsi="Times New Roman" w:cs="Times New Roman"/>
          <w:sz w:val="28"/>
          <w:szCs w:val="28"/>
        </w:rPr>
        <w:t xml:space="preserve"> per assicurare ai propri cittadini servizi come le comunicazioni, la sanità,</w:t>
      </w:r>
      <w:r w:rsidR="00A4497C">
        <w:rPr>
          <w:rFonts w:ascii="Times New Roman" w:hAnsi="Times New Roman" w:cs="Times New Roman"/>
          <w:sz w:val="28"/>
          <w:szCs w:val="28"/>
        </w:rPr>
        <w:t xml:space="preserve"> </w:t>
      </w:r>
      <w:r>
        <w:rPr>
          <w:rFonts w:ascii="Times New Roman" w:hAnsi="Times New Roman" w:cs="Times New Roman"/>
          <w:sz w:val="28"/>
          <w:szCs w:val="28"/>
        </w:rPr>
        <w:t xml:space="preserve">la </w:t>
      </w:r>
      <w:r w:rsidR="00744F70">
        <w:rPr>
          <w:rFonts w:ascii="Times New Roman" w:hAnsi="Times New Roman" w:cs="Times New Roman"/>
          <w:sz w:val="28"/>
          <w:szCs w:val="28"/>
        </w:rPr>
        <w:t>giustizia, la</w:t>
      </w:r>
      <w:r>
        <w:rPr>
          <w:rFonts w:ascii="Times New Roman" w:hAnsi="Times New Roman" w:cs="Times New Roman"/>
          <w:sz w:val="28"/>
          <w:szCs w:val="28"/>
        </w:rPr>
        <w:t xml:space="preserve"> sicurezza.</w:t>
      </w:r>
    </w:p>
    <w:p w14:paraId="5205DC9D" w14:textId="77777777" w:rsidR="001A690D" w:rsidRDefault="00A4497C" w:rsidP="003B7EB7">
      <w:pPr>
        <w:tabs>
          <w:tab w:val="left" w:pos="8364"/>
        </w:tabs>
        <w:jc w:val="both"/>
        <w:rPr>
          <w:rFonts w:ascii="Times New Roman" w:hAnsi="Times New Roman" w:cs="Times New Roman"/>
          <w:sz w:val="28"/>
          <w:szCs w:val="28"/>
        </w:rPr>
      </w:pPr>
      <w:r>
        <w:rPr>
          <w:rFonts w:ascii="Times New Roman" w:hAnsi="Times New Roman" w:cs="Times New Roman"/>
          <w:sz w:val="28"/>
          <w:szCs w:val="28"/>
        </w:rPr>
        <w:t>È</w:t>
      </w:r>
      <w:r w:rsidR="008A7BD4">
        <w:rPr>
          <w:rFonts w:ascii="Times New Roman" w:hAnsi="Times New Roman" w:cs="Times New Roman"/>
          <w:sz w:val="28"/>
          <w:szCs w:val="28"/>
        </w:rPr>
        <w:t xml:space="preserve"> notizia recente che </w:t>
      </w:r>
      <w:proofErr w:type="spellStart"/>
      <w:r w:rsidR="008A7BD4">
        <w:rPr>
          <w:rFonts w:ascii="Times New Roman" w:hAnsi="Times New Roman" w:cs="Times New Roman"/>
          <w:sz w:val="28"/>
          <w:szCs w:val="28"/>
        </w:rPr>
        <w:t>Facebook</w:t>
      </w:r>
      <w:proofErr w:type="spellEnd"/>
      <w:r w:rsidR="008A7BD4">
        <w:rPr>
          <w:rFonts w:ascii="Times New Roman" w:hAnsi="Times New Roman" w:cs="Times New Roman"/>
          <w:sz w:val="28"/>
          <w:szCs w:val="28"/>
        </w:rPr>
        <w:t xml:space="preserve"> stia pensando non solo di cambiare nome, ma di presentare </w:t>
      </w:r>
      <w:proofErr w:type="spellStart"/>
      <w:r w:rsidR="00FF26C2">
        <w:rPr>
          <w:rFonts w:ascii="Times New Roman" w:hAnsi="Times New Roman" w:cs="Times New Roman"/>
          <w:sz w:val="28"/>
          <w:szCs w:val="28"/>
        </w:rPr>
        <w:t>Metaverso</w:t>
      </w:r>
      <w:proofErr w:type="spellEnd"/>
      <w:r w:rsidR="00154777">
        <w:rPr>
          <w:rStyle w:val="Rimandonotaapidipagina"/>
          <w:rFonts w:ascii="Times New Roman" w:hAnsi="Times New Roman" w:cs="Times New Roman"/>
          <w:sz w:val="28"/>
          <w:szCs w:val="28"/>
        </w:rPr>
        <w:footnoteReference w:id="100"/>
      </w:r>
      <w:r w:rsidR="00FF26C2">
        <w:rPr>
          <w:rFonts w:ascii="Times New Roman" w:hAnsi="Times New Roman" w:cs="Times New Roman"/>
          <w:sz w:val="28"/>
          <w:szCs w:val="28"/>
        </w:rPr>
        <w:t xml:space="preserve">, nuova realtà aumentata che inciderà </w:t>
      </w:r>
      <w:r>
        <w:rPr>
          <w:rFonts w:ascii="Times New Roman" w:hAnsi="Times New Roman" w:cs="Times New Roman"/>
          <w:sz w:val="28"/>
          <w:szCs w:val="28"/>
        </w:rPr>
        <w:t>profondamente</w:t>
      </w:r>
      <w:r w:rsidR="00FF26C2">
        <w:rPr>
          <w:rFonts w:ascii="Times New Roman" w:hAnsi="Times New Roman" w:cs="Times New Roman"/>
          <w:sz w:val="28"/>
          <w:szCs w:val="28"/>
        </w:rPr>
        <w:t xml:space="preserve"> sulle </w:t>
      </w:r>
      <w:r w:rsidR="00FF26C2">
        <w:rPr>
          <w:rFonts w:ascii="Times New Roman" w:hAnsi="Times New Roman" w:cs="Times New Roman"/>
          <w:sz w:val="28"/>
          <w:szCs w:val="28"/>
        </w:rPr>
        <w:lastRenderedPageBreak/>
        <w:t>nostre vite</w:t>
      </w:r>
      <w:r w:rsidR="006F438C">
        <w:rPr>
          <w:rStyle w:val="Rimandonotaapidipagina"/>
          <w:rFonts w:ascii="Times New Roman" w:hAnsi="Times New Roman" w:cs="Times New Roman"/>
          <w:sz w:val="28"/>
          <w:szCs w:val="28"/>
        </w:rPr>
        <w:footnoteReference w:id="101"/>
      </w:r>
      <w:r w:rsidR="00FF26C2">
        <w:rPr>
          <w:rFonts w:ascii="Times New Roman" w:hAnsi="Times New Roman" w:cs="Times New Roman"/>
          <w:sz w:val="28"/>
          <w:szCs w:val="28"/>
        </w:rPr>
        <w:t>. La tecnologia corre su un binario più veloce rispetto alla regolamentazione globale. Per tale motivo</w:t>
      </w:r>
      <w:r w:rsidR="00EC19F9">
        <w:rPr>
          <w:rFonts w:ascii="Times New Roman" w:hAnsi="Times New Roman" w:cs="Times New Roman"/>
          <w:sz w:val="28"/>
          <w:szCs w:val="28"/>
        </w:rPr>
        <w:t>,</w:t>
      </w:r>
      <w:r w:rsidR="00FF26C2">
        <w:rPr>
          <w:rFonts w:ascii="Times New Roman" w:hAnsi="Times New Roman" w:cs="Times New Roman"/>
          <w:sz w:val="28"/>
          <w:szCs w:val="28"/>
        </w:rPr>
        <w:t xml:space="preserve"> Viktor Mayer-</w:t>
      </w:r>
      <w:proofErr w:type="spellStart"/>
      <w:r w:rsidR="00FF26C2">
        <w:rPr>
          <w:rFonts w:ascii="Times New Roman" w:hAnsi="Times New Roman" w:cs="Times New Roman"/>
          <w:sz w:val="28"/>
          <w:szCs w:val="28"/>
        </w:rPr>
        <w:t>Schonberger</w:t>
      </w:r>
      <w:proofErr w:type="spellEnd"/>
      <w:r w:rsidR="00FF26C2">
        <w:rPr>
          <w:rFonts w:ascii="Times New Roman" w:hAnsi="Times New Roman" w:cs="Times New Roman"/>
          <w:sz w:val="28"/>
          <w:szCs w:val="28"/>
        </w:rPr>
        <w:t xml:space="preserve">, docente di internet e di </w:t>
      </w:r>
      <w:proofErr w:type="spellStart"/>
      <w:r w:rsidR="00FF26C2" w:rsidRPr="00EC19F9">
        <w:rPr>
          <w:rFonts w:ascii="Times New Roman" w:hAnsi="Times New Roman" w:cs="Times New Roman"/>
          <w:i/>
          <w:iCs/>
          <w:sz w:val="28"/>
          <w:szCs w:val="28"/>
        </w:rPr>
        <w:t>governance</w:t>
      </w:r>
      <w:proofErr w:type="spellEnd"/>
      <w:r w:rsidR="00FF26C2">
        <w:rPr>
          <w:rFonts w:ascii="Times New Roman" w:hAnsi="Times New Roman" w:cs="Times New Roman"/>
          <w:sz w:val="28"/>
          <w:szCs w:val="28"/>
        </w:rPr>
        <w:t xml:space="preserve"> presso l’Università di Oxford</w:t>
      </w:r>
      <w:r w:rsidR="00EC19F9">
        <w:rPr>
          <w:rFonts w:ascii="Times New Roman" w:hAnsi="Times New Roman" w:cs="Times New Roman"/>
          <w:sz w:val="28"/>
          <w:szCs w:val="28"/>
        </w:rPr>
        <w:t>,</w:t>
      </w:r>
      <w:r w:rsidR="00FF26C2">
        <w:rPr>
          <w:rFonts w:ascii="Times New Roman" w:hAnsi="Times New Roman" w:cs="Times New Roman"/>
          <w:sz w:val="28"/>
          <w:szCs w:val="28"/>
        </w:rPr>
        <w:t xml:space="preserve"> ha pubblicato un libro dal titolo “</w:t>
      </w:r>
      <w:r w:rsidR="00FF26C2" w:rsidRPr="00744F70">
        <w:rPr>
          <w:rFonts w:ascii="Times New Roman" w:hAnsi="Times New Roman" w:cs="Times New Roman"/>
          <w:i/>
          <w:iCs/>
          <w:sz w:val="28"/>
          <w:szCs w:val="28"/>
        </w:rPr>
        <w:t>Fuori i dati!</w:t>
      </w:r>
      <w:r w:rsidR="00FF26C2" w:rsidRPr="00744F70">
        <w:rPr>
          <w:rFonts w:ascii="Times New Roman" w:hAnsi="Times New Roman" w:cs="Times New Roman"/>
          <w:sz w:val="28"/>
          <w:szCs w:val="28"/>
        </w:rPr>
        <w:t xml:space="preserve">”, </w:t>
      </w:r>
      <w:r w:rsidR="00FF26C2">
        <w:rPr>
          <w:rFonts w:ascii="Times New Roman" w:hAnsi="Times New Roman" w:cs="Times New Roman"/>
          <w:sz w:val="28"/>
          <w:szCs w:val="28"/>
        </w:rPr>
        <w:t>sostenendo che occorre rompere i monopoli sulle informazioni per rilanciare il progresso.</w:t>
      </w:r>
      <w:r w:rsidR="003B7EB7">
        <w:rPr>
          <w:rFonts w:ascii="Times New Roman" w:hAnsi="Times New Roman" w:cs="Times New Roman"/>
          <w:sz w:val="28"/>
          <w:szCs w:val="28"/>
        </w:rPr>
        <w:t xml:space="preserve"> </w:t>
      </w:r>
      <w:r w:rsidR="00FF26C2">
        <w:rPr>
          <w:rFonts w:ascii="Times New Roman" w:hAnsi="Times New Roman" w:cs="Times New Roman"/>
          <w:sz w:val="28"/>
          <w:szCs w:val="28"/>
        </w:rPr>
        <w:t>Negli ultimi vent’anni</w:t>
      </w:r>
      <w:r w:rsidR="001D1A00">
        <w:rPr>
          <w:rFonts w:ascii="Times New Roman" w:hAnsi="Times New Roman" w:cs="Times New Roman"/>
          <w:sz w:val="28"/>
          <w:szCs w:val="28"/>
        </w:rPr>
        <w:t>,</w:t>
      </w:r>
      <w:r w:rsidR="00FF26C2">
        <w:rPr>
          <w:rFonts w:ascii="Times New Roman" w:hAnsi="Times New Roman" w:cs="Times New Roman"/>
          <w:sz w:val="28"/>
          <w:szCs w:val="28"/>
        </w:rPr>
        <w:t xml:space="preserve"> i colossi del settore digitale sono progressivamente riusciti a concentrare sui loro </w:t>
      </w:r>
      <w:r w:rsidR="00FF26C2" w:rsidRPr="001D1A00">
        <w:rPr>
          <w:rFonts w:ascii="Times New Roman" w:hAnsi="Times New Roman" w:cs="Times New Roman"/>
          <w:i/>
          <w:iCs/>
          <w:sz w:val="28"/>
          <w:szCs w:val="28"/>
        </w:rPr>
        <w:t>server</w:t>
      </w:r>
      <w:r w:rsidR="00FF26C2">
        <w:rPr>
          <w:rFonts w:ascii="Times New Roman" w:hAnsi="Times New Roman" w:cs="Times New Roman"/>
          <w:sz w:val="28"/>
          <w:szCs w:val="28"/>
        </w:rPr>
        <w:t xml:space="preserve"> una quantità di dati impressionante.</w:t>
      </w:r>
      <w:r w:rsidR="003B7EB7">
        <w:rPr>
          <w:rFonts w:ascii="Times New Roman" w:hAnsi="Times New Roman" w:cs="Times New Roman"/>
          <w:sz w:val="28"/>
          <w:szCs w:val="28"/>
        </w:rPr>
        <w:t xml:space="preserve"> </w:t>
      </w:r>
      <w:r w:rsidR="00FF26C2">
        <w:rPr>
          <w:rFonts w:ascii="Times New Roman" w:hAnsi="Times New Roman" w:cs="Times New Roman"/>
          <w:sz w:val="28"/>
          <w:szCs w:val="28"/>
        </w:rPr>
        <w:t xml:space="preserve">Questi monopoli di informazioni, se possono far bene agli azionisti di </w:t>
      </w:r>
      <w:proofErr w:type="spellStart"/>
      <w:r w:rsidR="00FF26C2">
        <w:rPr>
          <w:rFonts w:ascii="Times New Roman" w:hAnsi="Times New Roman" w:cs="Times New Roman"/>
          <w:sz w:val="28"/>
          <w:szCs w:val="28"/>
        </w:rPr>
        <w:t>Facebook</w:t>
      </w:r>
      <w:proofErr w:type="spellEnd"/>
      <w:r w:rsidR="00FF26C2">
        <w:rPr>
          <w:rFonts w:ascii="Times New Roman" w:hAnsi="Times New Roman" w:cs="Times New Roman"/>
          <w:sz w:val="28"/>
          <w:szCs w:val="28"/>
        </w:rPr>
        <w:t xml:space="preserve">, di Amazon e di </w:t>
      </w:r>
      <w:r>
        <w:rPr>
          <w:rFonts w:ascii="Times New Roman" w:hAnsi="Times New Roman" w:cs="Times New Roman"/>
          <w:sz w:val="28"/>
          <w:szCs w:val="28"/>
        </w:rPr>
        <w:t>Google, fanno</w:t>
      </w:r>
      <w:r w:rsidR="00FF26C2">
        <w:rPr>
          <w:rFonts w:ascii="Times New Roman" w:hAnsi="Times New Roman" w:cs="Times New Roman"/>
          <w:sz w:val="28"/>
          <w:szCs w:val="28"/>
        </w:rPr>
        <w:t xml:space="preserve"> invece molto male al progresso umano. Tale </w:t>
      </w:r>
      <w:r w:rsidR="00FF26C2">
        <w:rPr>
          <w:rFonts w:ascii="Times New Roman" w:hAnsi="Times New Roman" w:cs="Times New Roman"/>
          <w:sz w:val="28"/>
          <w:szCs w:val="28"/>
        </w:rPr>
        <w:lastRenderedPageBreak/>
        <w:t>autore</w:t>
      </w:r>
      <w:r w:rsidR="001D1A00">
        <w:rPr>
          <w:rFonts w:ascii="Times New Roman" w:hAnsi="Times New Roman" w:cs="Times New Roman"/>
          <w:sz w:val="28"/>
          <w:szCs w:val="28"/>
        </w:rPr>
        <w:t>,</w:t>
      </w:r>
      <w:r w:rsidR="00FF26C2">
        <w:rPr>
          <w:rFonts w:ascii="Times New Roman" w:hAnsi="Times New Roman" w:cs="Times New Roman"/>
          <w:sz w:val="28"/>
          <w:szCs w:val="28"/>
        </w:rPr>
        <w:t xml:space="preserve"> insieme</w:t>
      </w:r>
      <w:r w:rsidR="001D1A00">
        <w:rPr>
          <w:rFonts w:ascii="Times New Roman" w:hAnsi="Times New Roman" w:cs="Times New Roman"/>
          <w:sz w:val="28"/>
          <w:szCs w:val="28"/>
        </w:rPr>
        <w:t xml:space="preserve"> </w:t>
      </w:r>
      <w:r w:rsidR="00FF26C2">
        <w:rPr>
          <w:rFonts w:ascii="Times New Roman" w:hAnsi="Times New Roman" w:cs="Times New Roman"/>
          <w:sz w:val="28"/>
          <w:szCs w:val="28"/>
        </w:rPr>
        <w:t xml:space="preserve">a Thomas </w:t>
      </w:r>
      <w:proofErr w:type="spellStart"/>
      <w:r w:rsidR="00FF26C2">
        <w:rPr>
          <w:rFonts w:ascii="Times New Roman" w:hAnsi="Times New Roman" w:cs="Times New Roman"/>
          <w:sz w:val="28"/>
          <w:szCs w:val="28"/>
        </w:rPr>
        <w:t>Ramge</w:t>
      </w:r>
      <w:proofErr w:type="spellEnd"/>
      <w:r w:rsidR="001D1A00">
        <w:rPr>
          <w:rFonts w:ascii="Times New Roman" w:hAnsi="Times New Roman" w:cs="Times New Roman"/>
          <w:sz w:val="28"/>
          <w:szCs w:val="28"/>
        </w:rPr>
        <w:t>,</w:t>
      </w:r>
      <w:r w:rsidR="00FF26C2">
        <w:rPr>
          <w:rFonts w:ascii="Times New Roman" w:hAnsi="Times New Roman" w:cs="Times New Roman"/>
          <w:sz w:val="28"/>
          <w:szCs w:val="28"/>
        </w:rPr>
        <w:t xml:space="preserve"> avanza una tesi </w:t>
      </w:r>
      <w:r w:rsidR="00FF26C2" w:rsidRPr="00A4497C">
        <w:rPr>
          <w:rFonts w:ascii="Times New Roman" w:hAnsi="Times New Roman" w:cs="Times New Roman"/>
          <w:i/>
          <w:iCs/>
          <w:sz w:val="28"/>
          <w:szCs w:val="28"/>
        </w:rPr>
        <w:t xml:space="preserve">sui </w:t>
      </w:r>
      <w:r w:rsidRPr="00A4497C">
        <w:rPr>
          <w:rFonts w:ascii="Times New Roman" w:hAnsi="Times New Roman" w:cs="Times New Roman"/>
          <w:i/>
          <w:iCs/>
          <w:sz w:val="28"/>
          <w:szCs w:val="28"/>
        </w:rPr>
        <w:t>generis</w:t>
      </w:r>
      <w:r>
        <w:rPr>
          <w:rFonts w:ascii="Times New Roman" w:hAnsi="Times New Roman" w:cs="Times New Roman"/>
          <w:sz w:val="28"/>
          <w:szCs w:val="28"/>
        </w:rPr>
        <w:t>:</w:t>
      </w:r>
      <w:r w:rsidR="00FF26C2">
        <w:rPr>
          <w:rFonts w:ascii="Times New Roman" w:hAnsi="Times New Roman" w:cs="Times New Roman"/>
          <w:sz w:val="28"/>
          <w:szCs w:val="28"/>
        </w:rPr>
        <w:t xml:space="preserve"> aprire a tutti l’accesso ai dati non è solo possibile, ma è fondamentale per rilanciare il progresso. </w:t>
      </w:r>
    </w:p>
    <w:p w14:paraId="17C5DC51" w14:textId="24BBC1C8" w:rsidR="001D1A00" w:rsidRDefault="00FF26C2" w:rsidP="003B7EB7">
      <w:pPr>
        <w:tabs>
          <w:tab w:val="left" w:pos="8364"/>
        </w:tabs>
        <w:jc w:val="both"/>
        <w:rPr>
          <w:rFonts w:ascii="Times New Roman" w:hAnsi="Times New Roman" w:cs="Times New Roman"/>
          <w:sz w:val="28"/>
          <w:szCs w:val="28"/>
        </w:rPr>
      </w:pPr>
      <w:r>
        <w:rPr>
          <w:rFonts w:ascii="Times New Roman" w:hAnsi="Times New Roman" w:cs="Times New Roman"/>
          <w:sz w:val="28"/>
          <w:szCs w:val="28"/>
        </w:rPr>
        <w:t xml:space="preserve">E </w:t>
      </w:r>
      <w:r w:rsidR="00A4497C">
        <w:rPr>
          <w:rFonts w:ascii="Times New Roman" w:hAnsi="Times New Roman" w:cs="Times New Roman"/>
          <w:sz w:val="28"/>
          <w:szCs w:val="28"/>
        </w:rPr>
        <w:t>l’Europa, oggi</w:t>
      </w:r>
      <w:r>
        <w:rPr>
          <w:rFonts w:ascii="Times New Roman" w:hAnsi="Times New Roman" w:cs="Times New Roman"/>
          <w:sz w:val="28"/>
          <w:szCs w:val="28"/>
        </w:rPr>
        <w:t xml:space="preserve"> schiacciata nella morsa della “</w:t>
      </w:r>
      <w:r w:rsidRPr="001D1A00">
        <w:rPr>
          <w:rFonts w:ascii="Times New Roman" w:hAnsi="Times New Roman" w:cs="Times New Roman"/>
          <w:i/>
          <w:iCs/>
          <w:sz w:val="28"/>
          <w:szCs w:val="28"/>
        </w:rPr>
        <w:t>guerra fredda tecnologica</w:t>
      </w:r>
      <w:r>
        <w:rPr>
          <w:rFonts w:ascii="Times New Roman" w:hAnsi="Times New Roman" w:cs="Times New Roman"/>
          <w:sz w:val="28"/>
          <w:szCs w:val="28"/>
        </w:rPr>
        <w:t xml:space="preserve">” tra Stati Uniti e Cina, può e deve giocare un ruolo da protagonista nella costruzione di </w:t>
      </w:r>
      <w:r w:rsidRPr="00CE7580">
        <w:rPr>
          <w:rFonts w:ascii="Times New Roman" w:hAnsi="Times New Roman" w:cs="Times New Roman"/>
          <w:sz w:val="28"/>
          <w:szCs w:val="28"/>
        </w:rPr>
        <w:t>un nuovo ecosistema digitale</w:t>
      </w:r>
      <w:r w:rsidR="001D1A00">
        <w:rPr>
          <w:rFonts w:ascii="Times New Roman" w:hAnsi="Times New Roman" w:cs="Times New Roman"/>
          <w:sz w:val="28"/>
          <w:szCs w:val="28"/>
        </w:rPr>
        <w:t>,</w:t>
      </w:r>
      <w:r w:rsidRPr="00CE7580">
        <w:rPr>
          <w:rFonts w:ascii="Times New Roman" w:hAnsi="Times New Roman" w:cs="Times New Roman"/>
          <w:sz w:val="28"/>
          <w:szCs w:val="28"/>
        </w:rPr>
        <w:t xml:space="preserve"> </w:t>
      </w:r>
      <w:r w:rsidR="006C76B4" w:rsidRPr="00CE7580">
        <w:rPr>
          <w:rFonts w:ascii="Times New Roman" w:hAnsi="Times New Roman" w:cs="Times New Roman"/>
          <w:sz w:val="28"/>
          <w:szCs w:val="28"/>
        </w:rPr>
        <w:t xml:space="preserve">fondato sulla libera circolazione delle informazioni, dando così inizio a una rivoluzione in grado di scardinare i monopoli che attualmente frenano le potenzialità di sviluppo di buona parte del pianeta. </w:t>
      </w:r>
    </w:p>
    <w:p w14:paraId="06401844" w14:textId="77777777" w:rsidR="001D1A00" w:rsidRDefault="006C76B4" w:rsidP="001D1A00">
      <w:pPr>
        <w:tabs>
          <w:tab w:val="left" w:pos="8364"/>
        </w:tabs>
        <w:spacing w:after="0"/>
        <w:jc w:val="both"/>
        <w:rPr>
          <w:rFonts w:ascii="Times New Roman" w:hAnsi="Times New Roman" w:cs="Times New Roman"/>
          <w:sz w:val="28"/>
          <w:szCs w:val="28"/>
        </w:rPr>
      </w:pPr>
      <w:r w:rsidRPr="00CE7580">
        <w:rPr>
          <w:rFonts w:ascii="Times New Roman" w:hAnsi="Times New Roman" w:cs="Times New Roman"/>
          <w:sz w:val="28"/>
          <w:szCs w:val="28"/>
        </w:rPr>
        <w:t xml:space="preserve">Il primo passo per riuscirci? Secondo Thomas </w:t>
      </w:r>
      <w:proofErr w:type="spellStart"/>
      <w:r w:rsidRPr="00CE7580">
        <w:rPr>
          <w:rFonts w:ascii="Times New Roman" w:hAnsi="Times New Roman" w:cs="Times New Roman"/>
          <w:sz w:val="28"/>
          <w:szCs w:val="28"/>
        </w:rPr>
        <w:t>Ramge</w:t>
      </w:r>
      <w:proofErr w:type="spellEnd"/>
      <w:r w:rsidRPr="00CE7580">
        <w:rPr>
          <w:rFonts w:ascii="Times New Roman" w:hAnsi="Times New Roman" w:cs="Times New Roman"/>
          <w:sz w:val="28"/>
          <w:szCs w:val="28"/>
        </w:rPr>
        <w:t xml:space="preserve"> e Viktor Mayer-</w:t>
      </w:r>
      <w:proofErr w:type="spellStart"/>
      <w:r w:rsidRPr="00CE7580">
        <w:rPr>
          <w:rFonts w:ascii="Times New Roman" w:hAnsi="Times New Roman" w:cs="Times New Roman"/>
          <w:sz w:val="28"/>
          <w:szCs w:val="28"/>
        </w:rPr>
        <w:t>Schonberger</w:t>
      </w:r>
      <w:proofErr w:type="spellEnd"/>
      <w:r w:rsidRPr="00CE7580">
        <w:rPr>
          <w:rFonts w:ascii="Times New Roman" w:hAnsi="Times New Roman" w:cs="Times New Roman"/>
          <w:sz w:val="28"/>
          <w:szCs w:val="28"/>
        </w:rPr>
        <w:t xml:space="preserve">, superare il Regolamento generale sulla protezione dei dati (GDPR) con un nuovo Regolamento generale sull’uso dei dati. </w:t>
      </w:r>
    </w:p>
    <w:p w14:paraId="7CAE868A" w14:textId="435477D6" w:rsidR="001D1A00" w:rsidRDefault="006C76B4" w:rsidP="001D1A00">
      <w:pPr>
        <w:tabs>
          <w:tab w:val="left" w:pos="8364"/>
        </w:tabs>
        <w:spacing w:after="0"/>
        <w:jc w:val="both"/>
        <w:rPr>
          <w:rFonts w:ascii="Times New Roman" w:hAnsi="Times New Roman" w:cs="Times New Roman"/>
          <w:sz w:val="28"/>
          <w:szCs w:val="28"/>
        </w:rPr>
      </w:pPr>
      <w:r w:rsidRPr="00CE7580">
        <w:rPr>
          <w:rFonts w:ascii="Times New Roman" w:hAnsi="Times New Roman" w:cs="Times New Roman"/>
          <w:sz w:val="28"/>
          <w:szCs w:val="28"/>
        </w:rPr>
        <w:t xml:space="preserve">I tempi sarebbero maturi per obbligare le “superstar digitali” a condividere il loro tesoro: una rivoluzione che non potrebbe partire né dagli Stati Uniti della </w:t>
      </w:r>
      <w:proofErr w:type="spellStart"/>
      <w:r w:rsidRPr="00CE7580">
        <w:rPr>
          <w:rFonts w:ascii="Times New Roman" w:hAnsi="Times New Roman" w:cs="Times New Roman"/>
          <w:sz w:val="28"/>
          <w:szCs w:val="28"/>
        </w:rPr>
        <w:t>Silicon</w:t>
      </w:r>
      <w:proofErr w:type="spellEnd"/>
      <w:r w:rsidRPr="00CE7580">
        <w:rPr>
          <w:rFonts w:ascii="Times New Roman" w:hAnsi="Times New Roman" w:cs="Times New Roman"/>
          <w:sz w:val="28"/>
          <w:szCs w:val="28"/>
        </w:rPr>
        <w:t xml:space="preserve"> Valley</w:t>
      </w:r>
      <w:r w:rsidR="001D1A00">
        <w:rPr>
          <w:rFonts w:ascii="Times New Roman" w:hAnsi="Times New Roman" w:cs="Times New Roman"/>
          <w:sz w:val="28"/>
          <w:szCs w:val="28"/>
        </w:rPr>
        <w:t>,</w:t>
      </w:r>
      <w:r w:rsidRPr="00CE7580">
        <w:rPr>
          <w:rFonts w:ascii="Times New Roman" w:hAnsi="Times New Roman" w:cs="Times New Roman"/>
          <w:sz w:val="28"/>
          <w:szCs w:val="28"/>
        </w:rPr>
        <w:t xml:space="preserve"> né dalla Cina</w:t>
      </w:r>
      <w:r w:rsidR="001D1A00">
        <w:rPr>
          <w:rFonts w:ascii="Times New Roman" w:hAnsi="Times New Roman" w:cs="Times New Roman"/>
          <w:sz w:val="28"/>
          <w:szCs w:val="28"/>
        </w:rPr>
        <w:t>,</w:t>
      </w:r>
      <w:r w:rsidRPr="00CE7580">
        <w:rPr>
          <w:rFonts w:ascii="Times New Roman" w:hAnsi="Times New Roman" w:cs="Times New Roman"/>
          <w:sz w:val="28"/>
          <w:szCs w:val="28"/>
        </w:rPr>
        <w:t xml:space="preserve"> impegnata a raggiungere lo </w:t>
      </w:r>
      <w:r w:rsidRPr="00AE0677">
        <w:rPr>
          <w:rFonts w:ascii="Times New Roman" w:hAnsi="Times New Roman" w:cs="Times New Roman"/>
          <w:i/>
          <w:iCs/>
          <w:sz w:val="28"/>
          <w:szCs w:val="28"/>
        </w:rPr>
        <w:t>status</w:t>
      </w:r>
      <w:r w:rsidRPr="00CE7580">
        <w:rPr>
          <w:rFonts w:ascii="Times New Roman" w:hAnsi="Times New Roman" w:cs="Times New Roman"/>
          <w:sz w:val="28"/>
          <w:szCs w:val="28"/>
        </w:rPr>
        <w:t xml:space="preserve"> di prima superpotenza digitale del globo</w:t>
      </w:r>
      <w:r w:rsidR="00AE0677">
        <w:rPr>
          <w:rStyle w:val="Rimandonotaapidipagina"/>
          <w:rFonts w:ascii="Times New Roman" w:hAnsi="Times New Roman" w:cs="Times New Roman"/>
          <w:sz w:val="28"/>
          <w:szCs w:val="28"/>
        </w:rPr>
        <w:footnoteReference w:id="102"/>
      </w:r>
      <w:r w:rsidR="00D2097E" w:rsidRPr="00CE7580">
        <w:rPr>
          <w:rFonts w:ascii="Times New Roman" w:hAnsi="Times New Roman" w:cs="Times New Roman"/>
          <w:sz w:val="28"/>
          <w:szCs w:val="28"/>
        </w:rPr>
        <w:t xml:space="preserve">. </w:t>
      </w:r>
    </w:p>
    <w:p w14:paraId="41D67DE6" w14:textId="4C7855F8" w:rsidR="001D1A00" w:rsidRDefault="00D2097E" w:rsidP="001D1A00">
      <w:pPr>
        <w:tabs>
          <w:tab w:val="left" w:pos="8364"/>
        </w:tabs>
        <w:spacing w:after="0"/>
        <w:jc w:val="both"/>
        <w:rPr>
          <w:rFonts w:ascii="Times New Roman" w:hAnsi="Times New Roman" w:cs="Times New Roman"/>
          <w:sz w:val="28"/>
          <w:szCs w:val="28"/>
        </w:rPr>
      </w:pPr>
      <w:r w:rsidRPr="00CE7580">
        <w:rPr>
          <w:rFonts w:ascii="Times New Roman" w:hAnsi="Times New Roman" w:cs="Times New Roman"/>
          <w:sz w:val="28"/>
          <w:szCs w:val="28"/>
        </w:rPr>
        <w:t>I</w:t>
      </w:r>
      <w:r w:rsidR="006C76B4" w:rsidRPr="00CE7580">
        <w:rPr>
          <w:rFonts w:ascii="Times New Roman" w:hAnsi="Times New Roman" w:cs="Times New Roman"/>
          <w:sz w:val="28"/>
          <w:szCs w:val="28"/>
        </w:rPr>
        <w:t>l compito, qui</w:t>
      </w:r>
      <w:r w:rsidR="00A75A26" w:rsidRPr="00CE7580">
        <w:rPr>
          <w:rFonts w:ascii="Times New Roman" w:hAnsi="Times New Roman" w:cs="Times New Roman"/>
          <w:sz w:val="28"/>
          <w:szCs w:val="28"/>
        </w:rPr>
        <w:t>n</w:t>
      </w:r>
      <w:r w:rsidR="006C76B4" w:rsidRPr="00CE7580">
        <w:rPr>
          <w:rFonts w:ascii="Times New Roman" w:hAnsi="Times New Roman" w:cs="Times New Roman"/>
          <w:sz w:val="28"/>
          <w:szCs w:val="28"/>
        </w:rPr>
        <w:t>di, spetterebbe a un’Europa che</w:t>
      </w:r>
      <w:r w:rsidRPr="00CE7580">
        <w:rPr>
          <w:rFonts w:ascii="Times New Roman" w:hAnsi="Times New Roman" w:cs="Times New Roman"/>
          <w:sz w:val="28"/>
          <w:szCs w:val="28"/>
        </w:rPr>
        <w:t>,</w:t>
      </w:r>
      <w:r w:rsidR="006C76B4" w:rsidRPr="00CE7580">
        <w:rPr>
          <w:rFonts w:ascii="Times New Roman" w:hAnsi="Times New Roman" w:cs="Times New Roman"/>
          <w:sz w:val="28"/>
          <w:szCs w:val="28"/>
        </w:rPr>
        <w:t xml:space="preserve"> se da un lato ha posto il tema della “sovranità digitale” e dell’innovazione tecnologica come una delle principali sfide da </w:t>
      </w:r>
      <w:r w:rsidR="006C76B4" w:rsidRPr="00CE7580">
        <w:rPr>
          <w:rFonts w:ascii="Times New Roman" w:hAnsi="Times New Roman" w:cs="Times New Roman"/>
          <w:sz w:val="28"/>
          <w:szCs w:val="28"/>
        </w:rPr>
        <w:lastRenderedPageBreak/>
        <w:t>affrontare per rilanciarsi</w:t>
      </w:r>
      <w:r w:rsidR="00F46A6E">
        <w:rPr>
          <w:rStyle w:val="Rimandonotaapidipagina"/>
          <w:rFonts w:ascii="Times New Roman" w:hAnsi="Times New Roman" w:cs="Times New Roman"/>
          <w:sz w:val="28"/>
          <w:szCs w:val="28"/>
        </w:rPr>
        <w:footnoteReference w:id="103"/>
      </w:r>
      <w:r w:rsidR="006C76B4" w:rsidRPr="00CE7580">
        <w:rPr>
          <w:rFonts w:ascii="Times New Roman" w:hAnsi="Times New Roman" w:cs="Times New Roman"/>
          <w:sz w:val="28"/>
          <w:szCs w:val="28"/>
        </w:rPr>
        <w:t>, dall’altr</w:t>
      </w:r>
      <w:r w:rsidR="001D1A00">
        <w:rPr>
          <w:rFonts w:ascii="Times New Roman" w:hAnsi="Times New Roman" w:cs="Times New Roman"/>
          <w:sz w:val="28"/>
          <w:szCs w:val="28"/>
        </w:rPr>
        <w:t>o</w:t>
      </w:r>
      <w:r w:rsidR="006C76B4" w:rsidRPr="00CE7580">
        <w:rPr>
          <w:rFonts w:ascii="Times New Roman" w:hAnsi="Times New Roman" w:cs="Times New Roman"/>
          <w:sz w:val="28"/>
          <w:szCs w:val="28"/>
        </w:rPr>
        <w:t xml:space="preserve"> deve confrontarsi con una “versione quasi religiosa della protezione dei dati”</w:t>
      </w:r>
      <w:r w:rsidRPr="00CE7580">
        <w:rPr>
          <w:rFonts w:ascii="Times New Roman" w:hAnsi="Times New Roman" w:cs="Times New Roman"/>
          <w:sz w:val="28"/>
          <w:szCs w:val="28"/>
        </w:rPr>
        <w:t>,</w:t>
      </w:r>
      <w:r w:rsidR="006C76B4" w:rsidRPr="00CE7580">
        <w:rPr>
          <w:rFonts w:ascii="Times New Roman" w:hAnsi="Times New Roman" w:cs="Times New Roman"/>
          <w:sz w:val="28"/>
          <w:szCs w:val="28"/>
        </w:rPr>
        <w:t xml:space="preserve"> che sta contribuendo a generare una disponibilità sempre più scarsa di questi ultimi. </w:t>
      </w:r>
    </w:p>
    <w:p w14:paraId="081D7045" w14:textId="00CF240A" w:rsidR="00A4497C" w:rsidRDefault="006C76B4" w:rsidP="00637B13">
      <w:pPr>
        <w:tabs>
          <w:tab w:val="left" w:pos="8364"/>
        </w:tabs>
        <w:spacing w:after="0"/>
        <w:jc w:val="both"/>
        <w:rPr>
          <w:rFonts w:ascii="Times New Roman" w:hAnsi="Times New Roman" w:cs="Times New Roman"/>
          <w:sz w:val="28"/>
          <w:szCs w:val="28"/>
        </w:rPr>
      </w:pPr>
      <w:r w:rsidRPr="00CE7580">
        <w:rPr>
          <w:rFonts w:ascii="Times New Roman" w:hAnsi="Times New Roman" w:cs="Times New Roman"/>
          <w:sz w:val="28"/>
          <w:szCs w:val="28"/>
        </w:rPr>
        <w:t>Integrando il GDPR con un nuovo Regolamento generale sull’uso dei dati, l’Europa potrebbe inaugurare un sistema che renda obbligatoriamente accessibili le informazioni, non soggette a vincoli di riservatezza, (da quelli personali ai segreti industriali)</w:t>
      </w:r>
      <w:r w:rsidR="00D2097E" w:rsidRPr="00CE7580">
        <w:rPr>
          <w:rFonts w:ascii="Times New Roman" w:hAnsi="Times New Roman" w:cs="Times New Roman"/>
          <w:sz w:val="28"/>
          <w:szCs w:val="28"/>
        </w:rPr>
        <w:t>,</w:t>
      </w:r>
      <w:r w:rsidRPr="00CE7580">
        <w:rPr>
          <w:rFonts w:ascii="Times New Roman" w:hAnsi="Times New Roman" w:cs="Times New Roman"/>
          <w:sz w:val="28"/>
          <w:szCs w:val="28"/>
        </w:rPr>
        <w:t xml:space="preserve"> in base a parametri ben definiti e progettati per favorirne la condivisione dai soggetti più grandi ai più piccoli.</w:t>
      </w:r>
      <w:r w:rsidR="00A4497C">
        <w:rPr>
          <w:rFonts w:ascii="Times New Roman" w:hAnsi="Times New Roman" w:cs="Times New Roman"/>
          <w:sz w:val="28"/>
          <w:szCs w:val="28"/>
        </w:rPr>
        <w:br w:type="page"/>
      </w:r>
    </w:p>
    <w:p w14:paraId="442E226D" w14:textId="74EF818E" w:rsidR="00A75A26" w:rsidRPr="00A4497C" w:rsidRDefault="00A75A26" w:rsidP="005A65A4">
      <w:pPr>
        <w:tabs>
          <w:tab w:val="left" w:pos="8364"/>
        </w:tabs>
        <w:jc w:val="both"/>
        <w:rPr>
          <w:rFonts w:ascii="Times New Roman" w:hAnsi="Times New Roman" w:cs="Times New Roman"/>
          <w:b/>
          <w:bCs/>
          <w:sz w:val="32"/>
          <w:szCs w:val="32"/>
        </w:rPr>
      </w:pPr>
      <w:r w:rsidRPr="00A4497C">
        <w:rPr>
          <w:rFonts w:ascii="Times New Roman" w:hAnsi="Times New Roman" w:cs="Times New Roman"/>
          <w:b/>
          <w:bCs/>
          <w:sz w:val="32"/>
          <w:szCs w:val="32"/>
        </w:rPr>
        <w:lastRenderedPageBreak/>
        <w:t>Capitolo</w:t>
      </w:r>
      <w:r w:rsidR="000A002B" w:rsidRPr="000A002B">
        <w:rPr>
          <w:rFonts w:ascii="Times New Roman" w:hAnsi="Times New Roman" w:cs="Times New Roman"/>
          <w:b/>
          <w:bCs/>
          <w:sz w:val="32"/>
          <w:szCs w:val="32"/>
        </w:rPr>
        <w:t xml:space="preserve"> </w:t>
      </w:r>
      <w:r w:rsidR="000A002B" w:rsidRPr="00A4497C">
        <w:rPr>
          <w:rFonts w:ascii="Times New Roman" w:hAnsi="Times New Roman" w:cs="Times New Roman"/>
          <w:b/>
          <w:bCs/>
          <w:sz w:val="32"/>
          <w:szCs w:val="32"/>
        </w:rPr>
        <w:t>VII</w:t>
      </w:r>
    </w:p>
    <w:p w14:paraId="20C18308" w14:textId="234A24B7" w:rsidR="00AB3CB3" w:rsidRPr="00A4497C" w:rsidRDefault="00AB3CB3" w:rsidP="005A65A4">
      <w:pPr>
        <w:tabs>
          <w:tab w:val="left" w:pos="8364"/>
        </w:tabs>
        <w:jc w:val="both"/>
        <w:rPr>
          <w:rFonts w:ascii="Times New Roman" w:hAnsi="Times New Roman" w:cs="Times New Roman"/>
          <w:b/>
          <w:bCs/>
          <w:sz w:val="32"/>
          <w:szCs w:val="32"/>
        </w:rPr>
      </w:pPr>
      <w:r w:rsidRPr="00A4497C">
        <w:rPr>
          <w:rFonts w:ascii="Times New Roman" w:hAnsi="Times New Roman" w:cs="Times New Roman"/>
          <w:b/>
          <w:bCs/>
          <w:sz w:val="32"/>
          <w:szCs w:val="32"/>
        </w:rPr>
        <w:t xml:space="preserve">Algoritmi, neuroscienze e </w:t>
      </w:r>
      <w:proofErr w:type="spellStart"/>
      <w:r w:rsidRPr="00A4497C">
        <w:rPr>
          <w:rFonts w:ascii="Times New Roman" w:hAnsi="Times New Roman" w:cs="Times New Roman"/>
          <w:b/>
          <w:bCs/>
          <w:sz w:val="32"/>
          <w:szCs w:val="32"/>
        </w:rPr>
        <w:t>neurodiritti</w:t>
      </w:r>
      <w:proofErr w:type="spellEnd"/>
      <w:r w:rsidRPr="00A4497C">
        <w:rPr>
          <w:rFonts w:ascii="Times New Roman" w:hAnsi="Times New Roman" w:cs="Times New Roman"/>
          <w:b/>
          <w:bCs/>
          <w:sz w:val="32"/>
          <w:szCs w:val="32"/>
        </w:rPr>
        <w:t>.</w:t>
      </w:r>
      <w:r w:rsidR="00E64824" w:rsidRPr="00A4497C">
        <w:rPr>
          <w:rFonts w:ascii="Times New Roman" w:hAnsi="Times New Roman" w:cs="Times New Roman"/>
          <w:b/>
          <w:bCs/>
          <w:sz w:val="32"/>
          <w:szCs w:val="32"/>
        </w:rPr>
        <w:t xml:space="preserve"> L’algoritmo e l’adolescenza</w:t>
      </w:r>
    </w:p>
    <w:p w14:paraId="4A33E670" w14:textId="44893B8B" w:rsidR="00AB3CB3" w:rsidRDefault="00AB3CB3" w:rsidP="00723BD7">
      <w:pPr>
        <w:tabs>
          <w:tab w:val="left" w:pos="8364"/>
        </w:tabs>
        <w:spacing w:after="0"/>
        <w:jc w:val="both"/>
        <w:rPr>
          <w:rFonts w:ascii="Times New Roman" w:hAnsi="Times New Roman" w:cs="Times New Roman"/>
          <w:sz w:val="28"/>
          <w:szCs w:val="28"/>
        </w:rPr>
      </w:pPr>
      <w:r w:rsidRPr="00AB3CB3">
        <w:rPr>
          <w:rFonts w:ascii="Times New Roman" w:hAnsi="Times New Roman" w:cs="Times New Roman"/>
          <w:sz w:val="28"/>
          <w:szCs w:val="28"/>
        </w:rPr>
        <w:t xml:space="preserve">Quando il 28 gennaio </w:t>
      </w:r>
      <w:r>
        <w:rPr>
          <w:rFonts w:ascii="Times New Roman" w:hAnsi="Times New Roman" w:cs="Times New Roman"/>
          <w:sz w:val="28"/>
          <w:szCs w:val="28"/>
        </w:rPr>
        <w:t>del 1981 fu firmata a Strasburgo la Convenzione n.</w:t>
      </w:r>
      <w:r w:rsidR="00B6794A">
        <w:rPr>
          <w:rFonts w:ascii="Times New Roman" w:hAnsi="Times New Roman" w:cs="Times New Roman"/>
          <w:sz w:val="28"/>
          <w:szCs w:val="28"/>
        </w:rPr>
        <w:t xml:space="preserve"> </w:t>
      </w:r>
      <w:r>
        <w:rPr>
          <w:rFonts w:ascii="Times New Roman" w:hAnsi="Times New Roman" w:cs="Times New Roman"/>
          <w:sz w:val="28"/>
          <w:szCs w:val="28"/>
        </w:rPr>
        <w:t>108, non si aveva idea</w:t>
      </w:r>
      <w:r w:rsidR="004355C1">
        <w:rPr>
          <w:rFonts w:ascii="Times New Roman" w:hAnsi="Times New Roman" w:cs="Times New Roman"/>
          <w:sz w:val="28"/>
          <w:szCs w:val="28"/>
        </w:rPr>
        <w:t xml:space="preserve"> </w:t>
      </w:r>
      <w:r>
        <w:rPr>
          <w:rFonts w:ascii="Times New Roman" w:hAnsi="Times New Roman" w:cs="Times New Roman"/>
          <w:sz w:val="28"/>
          <w:szCs w:val="28"/>
        </w:rPr>
        <w:t>di come l’intelligenza artificiale potesse acquisire una tale forza invasiva e pervasiva</w:t>
      </w:r>
      <w:r w:rsidR="00B6794A">
        <w:rPr>
          <w:rFonts w:ascii="Times New Roman" w:hAnsi="Times New Roman" w:cs="Times New Roman"/>
          <w:sz w:val="28"/>
          <w:szCs w:val="28"/>
        </w:rPr>
        <w:t>,</w:t>
      </w:r>
      <w:r>
        <w:rPr>
          <w:rFonts w:ascii="Times New Roman" w:hAnsi="Times New Roman" w:cs="Times New Roman"/>
          <w:sz w:val="28"/>
          <w:szCs w:val="28"/>
        </w:rPr>
        <w:t xml:space="preserve"> fino a condizionare lo stesso pensiero umano.</w:t>
      </w:r>
    </w:p>
    <w:p w14:paraId="040D8DE0" w14:textId="50E3091C" w:rsidR="00AB3CB3" w:rsidRDefault="00AB3CB3"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Gli algoritmi ci hanno allertato sui rischi del dominio della tecnica con un processo di mimesi e superamento della razionalità umana.</w:t>
      </w:r>
    </w:p>
    <w:p w14:paraId="30E15E80" w14:textId="3105241B" w:rsidR="00AB3CB3" w:rsidRDefault="00AB3CB3" w:rsidP="00723BD7">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Le neuroscienze aprono scenari inimmaginabili nel binomio “</w:t>
      </w:r>
      <w:r w:rsidRPr="00AB3CB3">
        <w:rPr>
          <w:rFonts w:ascii="Times New Roman" w:hAnsi="Times New Roman" w:cs="Times New Roman"/>
          <w:i/>
          <w:iCs/>
          <w:sz w:val="28"/>
          <w:szCs w:val="28"/>
        </w:rPr>
        <w:t>coscienza e identità</w:t>
      </w:r>
      <w:r w:rsidRPr="00B6794A">
        <w:rPr>
          <w:rFonts w:ascii="Times New Roman" w:hAnsi="Times New Roman" w:cs="Times New Roman"/>
          <w:sz w:val="28"/>
          <w:szCs w:val="28"/>
        </w:rPr>
        <w:t>”</w:t>
      </w:r>
      <w:r w:rsidRPr="00AB3CB3">
        <w:rPr>
          <w:rFonts w:ascii="Times New Roman" w:hAnsi="Times New Roman" w:cs="Times New Roman"/>
          <w:i/>
          <w:iCs/>
          <w:sz w:val="28"/>
          <w:szCs w:val="28"/>
        </w:rPr>
        <w:t>.</w:t>
      </w:r>
    </w:p>
    <w:p w14:paraId="0EDED7B8" w14:textId="77777777" w:rsidR="00723BD7" w:rsidRDefault="00AB3CB3" w:rsidP="00723BD7">
      <w:pPr>
        <w:tabs>
          <w:tab w:val="left" w:pos="8364"/>
        </w:tabs>
        <w:spacing w:after="0"/>
        <w:jc w:val="both"/>
        <w:rPr>
          <w:rFonts w:ascii="Times New Roman" w:hAnsi="Times New Roman" w:cs="Times New Roman"/>
          <w:sz w:val="28"/>
          <w:szCs w:val="28"/>
        </w:rPr>
      </w:pPr>
      <w:r w:rsidRPr="00AB3CB3">
        <w:rPr>
          <w:rFonts w:ascii="Times New Roman" w:hAnsi="Times New Roman" w:cs="Times New Roman"/>
          <w:sz w:val="28"/>
          <w:szCs w:val="28"/>
        </w:rPr>
        <w:t>Se Parmenide</w:t>
      </w:r>
      <w:r>
        <w:rPr>
          <w:rFonts w:ascii="Times New Roman" w:hAnsi="Times New Roman" w:cs="Times New Roman"/>
          <w:sz w:val="28"/>
          <w:szCs w:val="28"/>
        </w:rPr>
        <w:t xml:space="preserve"> affermava “</w:t>
      </w:r>
      <w:r w:rsidRPr="00AB3CB3">
        <w:rPr>
          <w:rFonts w:ascii="Times New Roman" w:hAnsi="Times New Roman" w:cs="Times New Roman"/>
          <w:i/>
          <w:iCs/>
          <w:sz w:val="28"/>
          <w:szCs w:val="28"/>
        </w:rPr>
        <w:t>il pensiero è essere</w:t>
      </w:r>
      <w:r w:rsidRPr="00857498">
        <w:rPr>
          <w:rFonts w:ascii="Times New Roman" w:hAnsi="Times New Roman" w:cs="Times New Roman"/>
          <w:sz w:val="28"/>
          <w:szCs w:val="28"/>
        </w:rPr>
        <w:t>”, “</w:t>
      </w:r>
      <w:r>
        <w:rPr>
          <w:rFonts w:ascii="Times New Roman" w:hAnsi="Times New Roman" w:cs="Times New Roman"/>
          <w:i/>
          <w:iCs/>
          <w:sz w:val="28"/>
          <w:szCs w:val="28"/>
        </w:rPr>
        <w:t>il cogito ergo sum</w:t>
      </w:r>
      <w:r w:rsidRPr="00857498">
        <w:rPr>
          <w:rFonts w:ascii="Times New Roman" w:hAnsi="Times New Roman" w:cs="Times New Roman"/>
          <w:sz w:val="28"/>
          <w:szCs w:val="28"/>
        </w:rPr>
        <w:t>”</w:t>
      </w:r>
      <w:r>
        <w:rPr>
          <w:rFonts w:ascii="Times New Roman" w:hAnsi="Times New Roman" w:cs="Times New Roman"/>
          <w:i/>
          <w:iCs/>
          <w:sz w:val="28"/>
          <w:szCs w:val="28"/>
        </w:rPr>
        <w:t xml:space="preserve"> </w:t>
      </w:r>
      <w:r w:rsidRPr="00AB3CB3">
        <w:rPr>
          <w:rFonts w:ascii="Times New Roman" w:hAnsi="Times New Roman" w:cs="Times New Roman"/>
          <w:sz w:val="28"/>
          <w:szCs w:val="28"/>
        </w:rPr>
        <w:t>di Cartesio</w:t>
      </w:r>
      <w:r>
        <w:rPr>
          <w:rFonts w:ascii="Times New Roman" w:hAnsi="Times New Roman" w:cs="Times New Roman"/>
          <w:sz w:val="28"/>
          <w:szCs w:val="28"/>
        </w:rPr>
        <w:t xml:space="preserve"> oggi diventa “</w:t>
      </w:r>
      <w:r w:rsidRPr="0023551F">
        <w:rPr>
          <w:rFonts w:ascii="Times New Roman" w:hAnsi="Times New Roman" w:cs="Times New Roman"/>
          <w:i/>
          <w:iCs/>
          <w:sz w:val="28"/>
          <w:szCs w:val="28"/>
        </w:rPr>
        <w:t>digito,</w:t>
      </w:r>
      <w:r w:rsidR="00397BBB">
        <w:rPr>
          <w:rFonts w:ascii="Times New Roman" w:hAnsi="Times New Roman" w:cs="Times New Roman"/>
          <w:i/>
          <w:iCs/>
          <w:sz w:val="28"/>
          <w:szCs w:val="28"/>
        </w:rPr>
        <w:t xml:space="preserve"> </w:t>
      </w:r>
      <w:proofErr w:type="spellStart"/>
      <w:r w:rsidRPr="0023551F">
        <w:rPr>
          <w:rFonts w:ascii="Times New Roman" w:hAnsi="Times New Roman" w:cs="Times New Roman"/>
          <w:i/>
          <w:iCs/>
          <w:sz w:val="28"/>
          <w:szCs w:val="28"/>
        </w:rPr>
        <w:t>videor</w:t>
      </w:r>
      <w:proofErr w:type="spellEnd"/>
      <w:r w:rsidRPr="0023551F">
        <w:rPr>
          <w:rFonts w:ascii="Times New Roman" w:hAnsi="Times New Roman" w:cs="Times New Roman"/>
          <w:i/>
          <w:iCs/>
          <w:sz w:val="28"/>
          <w:szCs w:val="28"/>
        </w:rPr>
        <w:t xml:space="preserve"> ergo sum</w:t>
      </w:r>
      <w:r>
        <w:rPr>
          <w:rFonts w:ascii="Times New Roman" w:hAnsi="Times New Roman" w:cs="Times New Roman"/>
          <w:sz w:val="28"/>
          <w:szCs w:val="28"/>
        </w:rPr>
        <w:t>”,</w:t>
      </w:r>
      <w:r w:rsidR="0023551F">
        <w:rPr>
          <w:rFonts w:ascii="Times New Roman" w:hAnsi="Times New Roman" w:cs="Times New Roman"/>
          <w:sz w:val="28"/>
          <w:szCs w:val="28"/>
        </w:rPr>
        <w:t xml:space="preserve"> </w:t>
      </w:r>
      <w:r>
        <w:rPr>
          <w:rFonts w:ascii="Times New Roman" w:hAnsi="Times New Roman" w:cs="Times New Roman"/>
          <w:sz w:val="28"/>
          <w:szCs w:val="28"/>
        </w:rPr>
        <w:t xml:space="preserve">lo </w:t>
      </w:r>
      <w:r w:rsidR="0023551F">
        <w:rPr>
          <w:rFonts w:ascii="Times New Roman" w:hAnsi="Times New Roman" w:cs="Times New Roman"/>
          <w:sz w:val="28"/>
          <w:szCs w:val="28"/>
        </w:rPr>
        <w:t xml:space="preserve">strumento digitale diventa lo strumento identificativo del </w:t>
      </w:r>
      <w:r w:rsidR="00723BD7">
        <w:rPr>
          <w:rFonts w:ascii="Times New Roman" w:hAnsi="Times New Roman" w:cs="Times New Roman"/>
          <w:sz w:val="28"/>
          <w:szCs w:val="28"/>
        </w:rPr>
        <w:t>sé</w:t>
      </w:r>
      <w:r w:rsidR="0023551F">
        <w:rPr>
          <w:rFonts w:ascii="Times New Roman" w:hAnsi="Times New Roman" w:cs="Times New Roman"/>
          <w:sz w:val="28"/>
          <w:szCs w:val="28"/>
        </w:rPr>
        <w:t xml:space="preserve">, del proprio essere. </w:t>
      </w:r>
    </w:p>
    <w:p w14:paraId="2E523C32" w14:textId="751D01B1" w:rsidR="00723BD7" w:rsidRDefault="0023551F"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Tale processo di identificazione diventa più evidente con i progetti di </w:t>
      </w:r>
      <w:proofErr w:type="spellStart"/>
      <w:r w:rsidRPr="0023551F">
        <w:rPr>
          <w:rFonts w:ascii="Times New Roman" w:hAnsi="Times New Roman" w:cs="Times New Roman"/>
          <w:i/>
          <w:iCs/>
          <w:sz w:val="28"/>
          <w:szCs w:val="28"/>
        </w:rPr>
        <w:t>neurolink</w:t>
      </w:r>
      <w:proofErr w:type="spellEnd"/>
      <w:r>
        <w:rPr>
          <w:rFonts w:ascii="Times New Roman" w:hAnsi="Times New Roman" w:cs="Times New Roman"/>
          <w:sz w:val="28"/>
          <w:szCs w:val="28"/>
        </w:rPr>
        <w:t xml:space="preserve">, utilizzati nell’ambito medico con l’installazione nel cervello di </w:t>
      </w:r>
      <w:r w:rsidRPr="00723BD7">
        <w:rPr>
          <w:rFonts w:ascii="Times New Roman" w:hAnsi="Times New Roman" w:cs="Times New Roman"/>
          <w:i/>
          <w:iCs/>
          <w:sz w:val="28"/>
          <w:szCs w:val="28"/>
        </w:rPr>
        <w:t>chip</w:t>
      </w:r>
      <w:r>
        <w:rPr>
          <w:rFonts w:ascii="Times New Roman" w:hAnsi="Times New Roman" w:cs="Times New Roman"/>
          <w:sz w:val="28"/>
          <w:szCs w:val="28"/>
        </w:rPr>
        <w:t xml:space="preserve"> per bloccare patologie cerebrali neurodegenerative. In questo modo</w:t>
      </w:r>
      <w:r w:rsidR="00723BD7">
        <w:rPr>
          <w:rFonts w:ascii="Times New Roman" w:hAnsi="Times New Roman" w:cs="Times New Roman"/>
          <w:sz w:val="28"/>
          <w:szCs w:val="28"/>
        </w:rPr>
        <w:t>,</w:t>
      </w:r>
      <w:r>
        <w:rPr>
          <w:rFonts w:ascii="Times New Roman" w:hAnsi="Times New Roman" w:cs="Times New Roman"/>
          <w:sz w:val="28"/>
          <w:szCs w:val="28"/>
        </w:rPr>
        <w:t xml:space="preserve"> la tecnologia può agire sulla formazione del pensiero e dei ricordi</w:t>
      </w:r>
      <w:r w:rsidR="003F5980">
        <w:rPr>
          <w:rStyle w:val="Rimandonotaapidipagina"/>
          <w:rFonts w:ascii="Times New Roman" w:hAnsi="Times New Roman" w:cs="Times New Roman"/>
          <w:sz w:val="28"/>
          <w:szCs w:val="28"/>
        </w:rPr>
        <w:footnoteReference w:id="104"/>
      </w:r>
      <w:r w:rsidR="003F5980">
        <w:rPr>
          <w:rFonts w:ascii="Times New Roman" w:hAnsi="Times New Roman" w:cs="Times New Roman"/>
          <w:sz w:val="28"/>
          <w:szCs w:val="28"/>
        </w:rPr>
        <w:t>.</w:t>
      </w:r>
    </w:p>
    <w:p w14:paraId="0DFC31A6" w14:textId="77777777" w:rsidR="00723BD7" w:rsidRDefault="0023551F"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 stanno, però, </w:t>
      </w:r>
      <w:proofErr w:type="gramStart"/>
      <w:r>
        <w:rPr>
          <w:rFonts w:ascii="Times New Roman" w:hAnsi="Times New Roman" w:cs="Times New Roman"/>
          <w:sz w:val="28"/>
          <w:szCs w:val="28"/>
        </w:rPr>
        <w:t>nel contempo</w:t>
      </w:r>
      <w:proofErr w:type="gramEnd"/>
      <w:r>
        <w:rPr>
          <w:rFonts w:ascii="Times New Roman" w:hAnsi="Times New Roman" w:cs="Times New Roman"/>
          <w:sz w:val="28"/>
          <w:szCs w:val="28"/>
        </w:rPr>
        <w:t xml:space="preserve"> sviluppando tecniche di “</w:t>
      </w:r>
      <w:r w:rsidRPr="0023551F">
        <w:rPr>
          <w:rFonts w:ascii="Times New Roman" w:hAnsi="Times New Roman" w:cs="Times New Roman"/>
          <w:i/>
          <w:iCs/>
          <w:sz w:val="28"/>
          <w:szCs w:val="28"/>
        </w:rPr>
        <w:t xml:space="preserve">brain </w:t>
      </w:r>
      <w:proofErr w:type="spellStart"/>
      <w:r w:rsidRPr="0023551F">
        <w:rPr>
          <w:rFonts w:ascii="Times New Roman" w:hAnsi="Times New Roman" w:cs="Times New Roman"/>
          <w:i/>
          <w:iCs/>
          <w:sz w:val="28"/>
          <w:szCs w:val="28"/>
        </w:rPr>
        <w:t>reading</w:t>
      </w:r>
      <w:proofErr w:type="spellEnd"/>
      <w:r w:rsidRPr="00723BD7">
        <w:rPr>
          <w:rFonts w:ascii="Times New Roman" w:hAnsi="Times New Roman" w:cs="Times New Roman"/>
          <w:sz w:val="28"/>
          <w:szCs w:val="28"/>
        </w:rPr>
        <w:t>”,</w:t>
      </w:r>
      <w:r>
        <w:rPr>
          <w:rFonts w:ascii="Times New Roman" w:hAnsi="Times New Roman" w:cs="Times New Roman"/>
          <w:i/>
          <w:iCs/>
          <w:sz w:val="28"/>
          <w:szCs w:val="28"/>
        </w:rPr>
        <w:t xml:space="preserve"> </w:t>
      </w:r>
      <w:r w:rsidRPr="0023551F">
        <w:rPr>
          <w:rFonts w:ascii="Times New Roman" w:hAnsi="Times New Roman" w:cs="Times New Roman"/>
          <w:sz w:val="28"/>
          <w:szCs w:val="28"/>
        </w:rPr>
        <w:t>interpretazione</w:t>
      </w:r>
      <w:r>
        <w:rPr>
          <w:rFonts w:ascii="Times New Roman" w:hAnsi="Times New Roman" w:cs="Times New Roman"/>
          <w:sz w:val="28"/>
          <w:szCs w:val="28"/>
        </w:rPr>
        <w:t xml:space="preserve"> funzionale del pensiero</w:t>
      </w:r>
      <w:r w:rsidR="00723BD7">
        <w:rPr>
          <w:rFonts w:ascii="Times New Roman" w:hAnsi="Times New Roman" w:cs="Times New Roman"/>
          <w:sz w:val="28"/>
          <w:szCs w:val="28"/>
        </w:rPr>
        <w:t>,</w:t>
      </w:r>
      <w:r>
        <w:rPr>
          <w:rFonts w:ascii="Times New Roman" w:hAnsi="Times New Roman" w:cs="Times New Roman"/>
          <w:sz w:val="28"/>
          <w:szCs w:val="28"/>
        </w:rPr>
        <w:t xml:space="preserve"> che pongono, però, il lim</w:t>
      </w:r>
      <w:r w:rsidR="00127127">
        <w:rPr>
          <w:rFonts w:ascii="Times New Roman" w:hAnsi="Times New Roman" w:cs="Times New Roman"/>
          <w:sz w:val="28"/>
          <w:szCs w:val="28"/>
        </w:rPr>
        <w:t>i</w:t>
      </w:r>
      <w:r>
        <w:rPr>
          <w:rFonts w:ascii="Times New Roman" w:hAnsi="Times New Roman" w:cs="Times New Roman"/>
          <w:sz w:val="28"/>
          <w:szCs w:val="28"/>
        </w:rPr>
        <w:t xml:space="preserve">te del rispetto dell’autodeterminazione individuale. </w:t>
      </w:r>
    </w:p>
    <w:p w14:paraId="2D46F740" w14:textId="4BC6356B" w:rsidR="00AB3CB3" w:rsidRDefault="0023551F"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Un riferimento normativo è rinvenibile nel codice di procedura penale e precisamente nell’art. 189 c</w:t>
      </w:r>
      <w:r w:rsidR="00926BEE">
        <w:rPr>
          <w:rFonts w:ascii="Times New Roman" w:hAnsi="Times New Roman" w:cs="Times New Roman"/>
          <w:sz w:val="28"/>
          <w:szCs w:val="28"/>
        </w:rPr>
        <w:t>.</w:t>
      </w:r>
      <w:r>
        <w:rPr>
          <w:rFonts w:ascii="Times New Roman" w:hAnsi="Times New Roman" w:cs="Times New Roman"/>
          <w:sz w:val="28"/>
          <w:szCs w:val="28"/>
        </w:rPr>
        <w:t>p</w:t>
      </w:r>
      <w:r w:rsidR="00926BEE">
        <w:rPr>
          <w:rFonts w:ascii="Times New Roman" w:hAnsi="Times New Roman" w:cs="Times New Roman"/>
          <w:sz w:val="28"/>
          <w:szCs w:val="28"/>
        </w:rPr>
        <w:t>.</w:t>
      </w:r>
      <w:r>
        <w:rPr>
          <w:rFonts w:ascii="Times New Roman" w:hAnsi="Times New Roman" w:cs="Times New Roman"/>
          <w:sz w:val="28"/>
          <w:szCs w:val="28"/>
        </w:rPr>
        <w:t>p</w:t>
      </w:r>
      <w:r w:rsidR="00926BEE">
        <w:rPr>
          <w:rFonts w:ascii="Times New Roman" w:hAnsi="Times New Roman" w:cs="Times New Roman"/>
          <w:sz w:val="28"/>
          <w:szCs w:val="28"/>
        </w:rPr>
        <w:t>.</w:t>
      </w:r>
      <w:r>
        <w:rPr>
          <w:rFonts w:ascii="Times New Roman" w:hAnsi="Times New Roman" w:cs="Times New Roman"/>
          <w:sz w:val="28"/>
          <w:szCs w:val="28"/>
        </w:rPr>
        <w:t>, spesso richiamato per l’utilizzo di materiale probatorio volto ad accertare la colpevolezza dell’imputato, come ad esempio il c</w:t>
      </w:r>
      <w:r w:rsidR="00B6794A">
        <w:rPr>
          <w:rFonts w:ascii="Times New Roman" w:hAnsi="Times New Roman" w:cs="Times New Roman"/>
          <w:sz w:val="28"/>
          <w:szCs w:val="28"/>
        </w:rPr>
        <w:t>.</w:t>
      </w:r>
      <w:r>
        <w:rPr>
          <w:rFonts w:ascii="Times New Roman" w:hAnsi="Times New Roman" w:cs="Times New Roman"/>
          <w:sz w:val="28"/>
          <w:szCs w:val="28"/>
        </w:rPr>
        <w:t>d</w:t>
      </w:r>
      <w:r w:rsidR="00B6794A">
        <w:rPr>
          <w:rFonts w:ascii="Times New Roman" w:hAnsi="Times New Roman" w:cs="Times New Roman"/>
          <w:sz w:val="28"/>
          <w:szCs w:val="28"/>
        </w:rPr>
        <w:t>.</w:t>
      </w:r>
      <w:r>
        <w:rPr>
          <w:rFonts w:ascii="Times New Roman" w:hAnsi="Times New Roman" w:cs="Times New Roman"/>
          <w:sz w:val="28"/>
          <w:szCs w:val="28"/>
        </w:rPr>
        <w:t xml:space="preserve"> siero della verità.</w:t>
      </w:r>
    </w:p>
    <w:p w14:paraId="24560730" w14:textId="1F0976BD" w:rsidR="0023551F" w:rsidRDefault="0023551F"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L’art.</w:t>
      </w:r>
      <w:r w:rsidR="00926BEE">
        <w:rPr>
          <w:rFonts w:ascii="Times New Roman" w:hAnsi="Times New Roman" w:cs="Times New Roman"/>
          <w:sz w:val="28"/>
          <w:szCs w:val="28"/>
        </w:rPr>
        <w:t xml:space="preserve"> 18</w:t>
      </w:r>
      <w:r>
        <w:rPr>
          <w:rFonts w:ascii="Times New Roman" w:hAnsi="Times New Roman" w:cs="Times New Roman"/>
          <w:sz w:val="28"/>
          <w:szCs w:val="28"/>
        </w:rPr>
        <w:t>9 c</w:t>
      </w:r>
      <w:r w:rsidR="00926BEE">
        <w:rPr>
          <w:rFonts w:ascii="Times New Roman" w:hAnsi="Times New Roman" w:cs="Times New Roman"/>
          <w:sz w:val="28"/>
          <w:szCs w:val="28"/>
        </w:rPr>
        <w:t>.</w:t>
      </w:r>
      <w:r>
        <w:rPr>
          <w:rFonts w:ascii="Times New Roman" w:hAnsi="Times New Roman" w:cs="Times New Roman"/>
          <w:sz w:val="28"/>
          <w:szCs w:val="28"/>
        </w:rPr>
        <w:t>p</w:t>
      </w:r>
      <w:r w:rsidR="00926BEE">
        <w:rPr>
          <w:rFonts w:ascii="Times New Roman" w:hAnsi="Times New Roman" w:cs="Times New Roman"/>
          <w:sz w:val="28"/>
          <w:szCs w:val="28"/>
        </w:rPr>
        <w:t>.</w:t>
      </w:r>
      <w:r>
        <w:rPr>
          <w:rFonts w:ascii="Times New Roman" w:hAnsi="Times New Roman" w:cs="Times New Roman"/>
          <w:sz w:val="28"/>
          <w:szCs w:val="28"/>
        </w:rPr>
        <w:t>p</w:t>
      </w:r>
      <w:r w:rsidR="00926BEE">
        <w:rPr>
          <w:rFonts w:ascii="Times New Roman" w:hAnsi="Times New Roman" w:cs="Times New Roman"/>
          <w:sz w:val="28"/>
          <w:szCs w:val="28"/>
        </w:rPr>
        <w:t>.</w:t>
      </w:r>
      <w:r>
        <w:rPr>
          <w:rFonts w:ascii="Times New Roman" w:hAnsi="Times New Roman" w:cs="Times New Roman"/>
          <w:sz w:val="28"/>
          <w:szCs w:val="28"/>
        </w:rPr>
        <w:t xml:space="preserve"> rubricato “</w:t>
      </w:r>
      <w:r w:rsidRPr="0023551F">
        <w:rPr>
          <w:rFonts w:ascii="Times New Roman" w:hAnsi="Times New Roman" w:cs="Times New Roman"/>
          <w:i/>
          <w:iCs/>
          <w:sz w:val="28"/>
          <w:szCs w:val="28"/>
        </w:rPr>
        <w:t>Prove non disciplinate dalla legge</w:t>
      </w:r>
      <w:r>
        <w:rPr>
          <w:rFonts w:ascii="Times New Roman" w:hAnsi="Times New Roman" w:cs="Times New Roman"/>
          <w:sz w:val="28"/>
          <w:szCs w:val="28"/>
        </w:rPr>
        <w:t>”</w:t>
      </w:r>
      <w:r w:rsidR="00723BD7">
        <w:rPr>
          <w:rFonts w:ascii="Times New Roman" w:hAnsi="Times New Roman" w:cs="Times New Roman"/>
          <w:sz w:val="28"/>
          <w:szCs w:val="28"/>
        </w:rPr>
        <w:t>,</w:t>
      </w:r>
      <w:r w:rsidR="00926BEE">
        <w:rPr>
          <w:rFonts w:ascii="Times New Roman" w:hAnsi="Times New Roman" w:cs="Times New Roman"/>
          <w:sz w:val="28"/>
          <w:szCs w:val="28"/>
        </w:rPr>
        <w:t xml:space="preserve"> </w:t>
      </w:r>
      <w:r>
        <w:rPr>
          <w:rFonts w:ascii="Times New Roman" w:hAnsi="Times New Roman" w:cs="Times New Roman"/>
          <w:sz w:val="28"/>
          <w:szCs w:val="28"/>
        </w:rPr>
        <w:t>recita espressamente:</w:t>
      </w:r>
      <w:r w:rsidR="00926BEE">
        <w:rPr>
          <w:rFonts w:ascii="Times New Roman" w:hAnsi="Times New Roman" w:cs="Times New Roman"/>
          <w:sz w:val="28"/>
          <w:szCs w:val="28"/>
        </w:rPr>
        <w:t xml:space="preserve"> </w:t>
      </w:r>
      <w:r w:rsidR="00857498">
        <w:rPr>
          <w:rFonts w:ascii="Times New Roman" w:hAnsi="Times New Roman" w:cs="Times New Roman"/>
          <w:sz w:val="28"/>
          <w:szCs w:val="28"/>
        </w:rPr>
        <w:t>«</w:t>
      </w:r>
      <w:r w:rsidRPr="0023551F">
        <w:rPr>
          <w:rFonts w:ascii="Times New Roman" w:hAnsi="Times New Roman" w:cs="Times New Roman"/>
          <w:i/>
          <w:iCs/>
          <w:sz w:val="28"/>
          <w:szCs w:val="28"/>
        </w:rPr>
        <w:t xml:space="preserve">Quando </w:t>
      </w:r>
      <w:r>
        <w:rPr>
          <w:rFonts w:ascii="Times New Roman" w:hAnsi="Times New Roman" w:cs="Times New Roman"/>
          <w:i/>
          <w:iCs/>
          <w:sz w:val="28"/>
          <w:szCs w:val="28"/>
        </w:rPr>
        <w:t>è richiesta una prova non disciplinata dalla legge, il giudice può assumerla se essa risulta idonea ad assicurare l’accertamento dei fatti e</w:t>
      </w:r>
      <w:r w:rsidR="00835628">
        <w:rPr>
          <w:rFonts w:ascii="Times New Roman" w:hAnsi="Times New Roman" w:cs="Times New Roman"/>
          <w:i/>
          <w:iCs/>
          <w:sz w:val="28"/>
          <w:szCs w:val="28"/>
        </w:rPr>
        <w:t xml:space="preserve"> non pregiudica la libertà morale della person</w:t>
      </w:r>
      <w:r w:rsidR="00857498">
        <w:rPr>
          <w:rFonts w:ascii="Times New Roman" w:hAnsi="Times New Roman" w:cs="Times New Roman"/>
          <w:i/>
          <w:iCs/>
          <w:sz w:val="28"/>
          <w:szCs w:val="28"/>
        </w:rPr>
        <w:t>a»</w:t>
      </w:r>
      <w:r w:rsidR="00835628">
        <w:rPr>
          <w:rFonts w:ascii="Times New Roman" w:hAnsi="Times New Roman" w:cs="Times New Roman"/>
          <w:i/>
          <w:iCs/>
          <w:sz w:val="28"/>
          <w:szCs w:val="28"/>
        </w:rPr>
        <w:t xml:space="preserve">. </w:t>
      </w:r>
    </w:p>
    <w:p w14:paraId="0E263A7D" w14:textId="37A2CA8D" w:rsidR="00835628" w:rsidRDefault="00835628" w:rsidP="00723BD7">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Tale riferimento normativo in materia penale ci induce a considerare senz’altro auspicabile l’utilizzo terapeutico della </w:t>
      </w:r>
      <w:proofErr w:type="spellStart"/>
      <w:r>
        <w:rPr>
          <w:rFonts w:ascii="Times New Roman" w:hAnsi="Times New Roman" w:cs="Times New Roman"/>
          <w:sz w:val="28"/>
          <w:szCs w:val="28"/>
        </w:rPr>
        <w:t>neurotecnologia</w:t>
      </w:r>
      <w:proofErr w:type="spellEnd"/>
      <w:r>
        <w:rPr>
          <w:rFonts w:ascii="Times New Roman" w:hAnsi="Times New Roman" w:cs="Times New Roman"/>
          <w:sz w:val="28"/>
          <w:szCs w:val="28"/>
        </w:rPr>
        <w:t xml:space="preserve"> per recuperare le funzionalità cerebrali perdute, più arduo è perimetrare gli ambiti di intervento per il c</w:t>
      </w:r>
      <w:r w:rsidR="00B6794A">
        <w:rPr>
          <w:rFonts w:ascii="Times New Roman" w:hAnsi="Times New Roman" w:cs="Times New Roman"/>
          <w:sz w:val="28"/>
          <w:szCs w:val="28"/>
        </w:rPr>
        <w:t>.</w:t>
      </w:r>
      <w:r>
        <w:rPr>
          <w:rFonts w:ascii="Times New Roman" w:hAnsi="Times New Roman" w:cs="Times New Roman"/>
          <w:sz w:val="28"/>
          <w:szCs w:val="28"/>
        </w:rPr>
        <w:t>d</w:t>
      </w:r>
      <w:r w:rsidR="00B6794A">
        <w:rPr>
          <w:rFonts w:ascii="Times New Roman" w:hAnsi="Times New Roman" w:cs="Times New Roman"/>
          <w:sz w:val="28"/>
          <w:szCs w:val="28"/>
        </w:rPr>
        <w:t>.</w:t>
      </w:r>
      <w:r>
        <w:rPr>
          <w:rFonts w:ascii="Times New Roman" w:hAnsi="Times New Roman" w:cs="Times New Roman"/>
          <w:sz w:val="28"/>
          <w:szCs w:val="28"/>
        </w:rPr>
        <w:t xml:space="preserve"> potenziamento ricognitivo, il </w:t>
      </w:r>
      <w:r w:rsidR="00926BEE">
        <w:rPr>
          <w:rFonts w:ascii="Times New Roman" w:hAnsi="Times New Roman" w:cs="Times New Roman"/>
          <w:sz w:val="28"/>
          <w:szCs w:val="28"/>
        </w:rPr>
        <w:t>c</w:t>
      </w:r>
      <w:r w:rsidR="00B6794A">
        <w:rPr>
          <w:rFonts w:ascii="Times New Roman" w:hAnsi="Times New Roman" w:cs="Times New Roman"/>
          <w:sz w:val="28"/>
          <w:szCs w:val="28"/>
        </w:rPr>
        <w:t>.</w:t>
      </w:r>
      <w:r w:rsidR="00926BEE">
        <w:rPr>
          <w:rFonts w:ascii="Times New Roman" w:hAnsi="Times New Roman" w:cs="Times New Roman"/>
          <w:sz w:val="28"/>
          <w:szCs w:val="28"/>
        </w:rPr>
        <w:t xml:space="preserve">d. </w:t>
      </w:r>
      <w:r w:rsidR="00926BEE" w:rsidRPr="00B6794A">
        <w:rPr>
          <w:rFonts w:ascii="Times New Roman" w:hAnsi="Times New Roman" w:cs="Times New Roman"/>
          <w:i/>
          <w:iCs/>
          <w:sz w:val="28"/>
          <w:szCs w:val="28"/>
        </w:rPr>
        <w:t>Brain</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enhancement</w:t>
      </w:r>
      <w:proofErr w:type="spellEnd"/>
      <w:r>
        <w:rPr>
          <w:rFonts w:ascii="Times New Roman" w:hAnsi="Times New Roman" w:cs="Times New Roman"/>
          <w:i/>
          <w:iCs/>
          <w:sz w:val="28"/>
          <w:szCs w:val="28"/>
        </w:rPr>
        <w:t>.</w:t>
      </w:r>
    </w:p>
    <w:p w14:paraId="7B41606E" w14:textId="77777777" w:rsidR="00AE057D" w:rsidRDefault="00AE057D" w:rsidP="00723BD7">
      <w:pPr>
        <w:tabs>
          <w:tab w:val="left" w:pos="8364"/>
        </w:tabs>
        <w:spacing w:after="0"/>
        <w:jc w:val="both"/>
        <w:rPr>
          <w:rFonts w:ascii="Times New Roman" w:hAnsi="Times New Roman" w:cs="Times New Roman"/>
          <w:i/>
          <w:iCs/>
          <w:sz w:val="28"/>
          <w:szCs w:val="28"/>
        </w:rPr>
      </w:pPr>
    </w:p>
    <w:p w14:paraId="08A27BB6" w14:textId="747463DE" w:rsidR="00835628" w:rsidRDefault="00835628" w:rsidP="00723BD7">
      <w:pPr>
        <w:tabs>
          <w:tab w:val="left" w:pos="8364"/>
        </w:tabs>
        <w:spacing w:after="0"/>
        <w:jc w:val="both"/>
        <w:rPr>
          <w:rFonts w:ascii="Times New Roman" w:hAnsi="Times New Roman" w:cs="Times New Roman"/>
          <w:sz w:val="28"/>
          <w:szCs w:val="28"/>
        </w:rPr>
      </w:pPr>
      <w:r w:rsidRPr="00835628">
        <w:rPr>
          <w:rFonts w:ascii="Times New Roman" w:hAnsi="Times New Roman" w:cs="Times New Roman"/>
          <w:sz w:val="28"/>
          <w:szCs w:val="28"/>
        </w:rPr>
        <w:lastRenderedPageBreak/>
        <w:t>Viene</w:t>
      </w:r>
      <w:r w:rsidR="00723BD7">
        <w:rPr>
          <w:rFonts w:ascii="Times New Roman" w:hAnsi="Times New Roman" w:cs="Times New Roman"/>
          <w:sz w:val="28"/>
          <w:szCs w:val="28"/>
        </w:rPr>
        <w:t>,</w:t>
      </w:r>
      <w:r w:rsidRPr="00835628">
        <w:rPr>
          <w:rFonts w:ascii="Times New Roman" w:hAnsi="Times New Roman" w:cs="Times New Roman"/>
          <w:sz w:val="28"/>
          <w:szCs w:val="28"/>
        </w:rPr>
        <w:t xml:space="preserve"> in tal caso</w:t>
      </w:r>
      <w:r w:rsidR="00723BD7">
        <w:rPr>
          <w:rFonts w:ascii="Times New Roman" w:hAnsi="Times New Roman" w:cs="Times New Roman"/>
          <w:sz w:val="28"/>
          <w:szCs w:val="28"/>
        </w:rPr>
        <w:t>,</w:t>
      </w:r>
      <w:r w:rsidRPr="00835628">
        <w:rPr>
          <w:rFonts w:ascii="Times New Roman" w:hAnsi="Times New Roman" w:cs="Times New Roman"/>
          <w:sz w:val="28"/>
          <w:szCs w:val="28"/>
        </w:rPr>
        <w:t xml:space="preserve"> </w:t>
      </w:r>
      <w:r>
        <w:rPr>
          <w:rFonts w:ascii="Times New Roman" w:hAnsi="Times New Roman" w:cs="Times New Roman"/>
          <w:sz w:val="28"/>
          <w:szCs w:val="28"/>
        </w:rPr>
        <w:t>in rilievo il rapporto tra neuroscienza e capitalismo digitale, dando origine al c</w:t>
      </w:r>
      <w:r w:rsidR="00B6794A">
        <w:rPr>
          <w:rFonts w:ascii="Times New Roman" w:hAnsi="Times New Roman" w:cs="Times New Roman"/>
          <w:sz w:val="28"/>
          <w:szCs w:val="28"/>
        </w:rPr>
        <w:t>.</w:t>
      </w:r>
      <w:r>
        <w:rPr>
          <w:rFonts w:ascii="Times New Roman" w:hAnsi="Times New Roman" w:cs="Times New Roman"/>
          <w:sz w:val="28"/>
          <w:szCs w:val="28"/>
        </w:rPr>
        <w:t>d</w:t>
      </w:r>
      <w:r w:rsidR="00B6794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35628">
        <w:rPr>
          <w:rFonts w:ascii="Times New Roman" w:hAnsi="Times New Roman" w:cs="Times New Roman"/>
          <w:i/>
          <w:iCs/>
          <w:sz w:val="28"/>
          <w:szCs w:val="28"/>
        </w:rPr>
        <w:t>neurocapitalismo</w:t>
      </w:r>
      <w:proofErr w:type="spellEnd"/>
      <w:r w:rsidR="00926BEE" w:rsidRPr="00B6794A">
        <w:rPr>
          <w:rStyle w:val="Rimandonotaapidipagina"/>
          <w:rFonts w:ascii="Times New Roman" w:hAnsi="Times New Roman" w:cs="Times New Roman"/>
          <w:sz w:val="28"/>
          <w:szCs w:val="28"/>
        </w:rPr>
        <w:footnoteReference w:id="105"/>
      </w:r>
      <w:r w:rsidR="00926BEE" w:rsidRPr="00B6794A">
        <w:rPr>
          <w:rFonts w:ascii="Times New Roman" w:hAnsi="Times New Roman" w:cs="Times New Roman"/>
          <w:sz w:val="28"/>
          <w:szCs w:val="28"/>
        </w:rPr>
        <w:t>.</w:t>
      </w:r>
      <w:r w:rsidR="00FB19CA" w:rsidRPr="00B6794A">
        <w:rPr>
          <w:rFonts w:ascii="Times New Roman" w:hAnsi="Times New Roman" w:cs="Times New Roman"/>
          <w:sz w:val="28"/>
          <w:szCs w:val="28"/>
        </w:rPr>
        <w:t xml:space="preserve"> </w:t>
      </w:r>
    </w:p>
    <w:p w14:paraId="246832D7" w14:textId="1ED88365" w:rsidR="00FB19CA" w:rsidRDefault="00FB19CA"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mediazione tecnologica è da sempre parte integrante del rapporto degli uomini con la natura e la società ed è a sua volta una costruzione sociale continuamente</w:t>
      </w:r>
      <w:r w:rsidR="00A87F93">
        <w:rPr>
          <w:rFonts w:ascii="Times New Roman" w:hAnsi="Times New Roman" w:cs="Times New Roman"/>
          <w:sz w:val="28"/>
          <w:szCs w:val="28"/>
        </w:rPr>
        <w:t xml:space="preserve"> attraversata da conflitti e biforcazioni. La razionalità economica del </w:t>
      </w:r>
      <w:proofErr w:type="spellStart"/>
      <w:r w:rsidR="00A87F93" w:rsidRPr="00127127">
        <w:rPr>
          <w:rFonts w:ascii="Times New Roman" w:hAnsi="Times New Roman" w:cs="Times New Roman"/>
          <w:i/>
          <w:iCs/>
          <w:sz w:val="28"/>
          <w:szCs w:val="28"/>
        </w:rPr>
        <w:t>Neurocapitalismo</w:t>
      </w:r>
      <w:proofErr w:type="spellEnd"/>
      <w:r w:rsidR="00A87F93">
        <w:rPr>
          <w:rFonts w:ascii="Times New Roman" w:hAnsi="Times New Roman" w:cs="Times New Roman"/>
          <w:sz w:val="28"/>
          <w:szCs w:val="28"/>
        </w:rPr>
        <w:t xml:space="preserve"> tende a plasmare le produzioni tecnologiche del “</w:t>
      </w:r>
      <w:r w:rsidR="00A87F93" w:rsidRPr="00A87F93">
        <w:rPr>
          <w:rFonts w:ascii="Times New Roman" w:hAnsi="Times New Roman" w:cs="Times New Roman"/>
          <w:i/>
          <w:iCs/>
          <w:sz w:val="28"/>
          <w:szCs w:val="28"/>
        </w:rPr>
        <w:t>comune</w:t>
      </w:r>
      <w:r w:rsidR="00A87F93">
        <w:rPr>
          <w:rFonts w:ascii="Times New Roman" w:hAnsi="Times New Roman" w:cs="Times New Roman"/>
          <w:sz w:val="28"/>
          <w:szCs w:val="28"/>
        </w:rPr>
        <w:t xml:space="preserve">”, come il </w:t>
      </w:r>
      <w:r w:rsidR="00A87F93" w:rsidRPr="00B6794A">
        <w:rPr>
          <w:rFonts w:ascii="Times New Roman" w:hAnsi="Times New Roman" w:cs="Times New Roman"/>
          <w:i/>
          <w:iCs/>
          <w:sz w:val="28"/>
          <w:szCs w:val="28"/>
        </w:rPr>
        <w:t>free</w:t>
      </w:r>
      <w:r w:rsidR="00A87F93">
        <w:rPr>
          <w:rFonts w:ascii="Times New Roman" w:hAnsi="Times New Roman" w:cs="Times New Roman"/>
          <w:sz w:val="28"/>
          <w:szCs w:val="28"/>
        </w:rPr>
        <w:t xml:space="preserve"> </w:t>
      </w:r>
      <w:r w:rsidR="00A87F93" w:rsidRPr="00B6794A">
        <w:rPr>
          <w:rFonts w:ascii="Times New Roman" w:hAnsi="Times New Roman" w:cs="Times New Roman"/>
          <w:i/>
          <w:iCs/>
          <w:sz w:val="28"/>
          <w:szCs w:val="28"/>
        </w:rPr>
        <w:t>software</w:t>
      </w:r>
      <w:r w:rsidR="00A87F93">
        <w:rPr>
          <w:rFonts w:ascii="Times New Roman" w:hAnsi="Times New Roman" w:cs="Times New Roman"/>
          <w:sz w:val="28"/>
          <w:szCs w:val="28"/>
        </w:rPr>
        <w:t xml:space="preserve">, trasformandole in dispositivi di mercificazione, di controllo automatico del pensiero umano, andando ben oltre “il principio di precauzione” per non ingenerare discriminazioni. Ciò è reso ancora più evidente dal ruolo crescente delle produzioni autonome del </w:t>
      </w:r>
      <w:r w:rsidR="00A87F93" w:rsidRPr="00A87F93">
        <w:rPr>
          <w:rFonts w:ascii="Times New Roman" w:hAnsi="Times New Roman" w:cs="Times New Roman"/>
          <w:i/>
          <w:iCs/>
          <w:sz w:val="28"/>
          <w:szCs w:val="28"/>
        </w:rPr>
        <w:t xml:space="preserve">General </w:t>
      </w:r>
      <w:proofErr w:type="spellStart"/>
      <w:r w:rsidR="00A87F93" w:rsidRPr="00A87F93">
        <w:rPr>
          <w:rFonts w:ascii="Times New Roman" w:hAnsi="Times New Roman" w:cs="Times New Roman"/>
          <w:i/>
          <w:iCs/>
          <w:sz w:val="28"/>
          <w:szCs w:val="28"/>
        </w:rPr>
        <w:t>intellect</w:t>
      </w:r>
      <w:proofErr w:type="spellEnd"/>
      <w:r w:rsidR="00A87F93">
        <w:rPr>
          <w:rFonts w:ascii="Times New Roman" w:hAnsi="Times New Roman" w:cs="Times New Roman"/>
          <w:i/>
          <w:iCs/>
          <w:sz w:val="28"/>
          <w:szCs w:val="28"/>
        </w:rPr>
        <w:t xml:space="preserve"> </w:t>
      </w:r>
      <w:r w:rsidR="00A87F93">
        <w:rPr>
          <w:rFonts w:ascii="Times New Roman" w:hAnsi="Times New Roman" w:cs="Times New Roman"/>
          <w:sz w:val="28"/>
          <w:szCs w:val="28"/>
        </w:rPr>
        <w:t xml:space="preserve">tramite lo sviluppo dei </w:t>
      </w:r>
      <w:proofErr w:type="spellStart"/>
      <w:r w:rsidR="00A87F93" w:rsidRPr="00397BBB">
        <w:rPr>
          <w:rFonts w:ascii="Times New Roman" w:hAnsi="Times New Roman" w:cs="Times New Roman"/>
          <w:i/>
          <w:iCs/>
          <w:sz w:val="28"/>
          <w:szCs w:val="28"/>
        </w:rPr>
        <w:t>commons</w:t>
      </w:r>
      <w:proofErr w:type="spellEnd"/>
      <w:r w:rsidR="00A87F93" w:rsidRPr="00397BBB">
        <w:rPr>
          <w:rFonts w:ascii="Times New Roman" w:hAnsi="Times New Roman" w:cs="Times New Roman"/>
          <w:i/>
          <w:iCs/>
          <w:sz w:val="28"/>
          <w:szCs w:val="28"/>
        </w:rPr>
        <w:t xml:space="preserve"> </w:t>
      </w:r>
      <w:r w:rsidR="00A87F93">
        <w:rPr>
          <w:rFonts w:ascii="Times New Roman" w:hAnsi="Times New Roman" w:cs="Times New Roman"/>
          <w:sz w:val="28"/>
          <w:szCs w:val="28"/>
        </w:rPr>
        <w:t>della conoscenza e degli usi alternativi e antagonisti delle nuove tecnologie.</w:t>
      </w:r>
    </w:p>
    <w:p w14:paraId="7F2C0B96" w14:textId="77777777" w:rsidR="00AE057D" w:rsidRDefault="00A87F93"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Non tutto ciò che è tecnologicamente possibile, è giuridicamente ed eticamente possibile. Occorre tener presente il </w:t>
      </w:r>
      <w:proofErr w:type="spellStart"/>
      <w:r w:rsidRPr="00A87F93">
        <w:rPr>
          <w:rFonts w:ascii="Times New Roman" w:hAnsi="Times New Roman" w:cs="Times New Roman"/>
          <w:i/>
          <w:iCs/>
          <w:sz w:val="28"/>
          <w:szCs w:val="28"/>
        </w:rPr>
        <w:t>catecòn</w:t>
      </w:r>
      <w:proofErr w:type="spellEnd"/>
      <w:r w:rsidRPr="00A87F93">
        <w:rPr>
          <w:rFonts w:ascii="Times New Roman" w:hAnsi="Times New Roman" w:cs="Times New Roman"/>
          <w:i/>
          <w:iCs/>
          <w:sz w:val="28"/>
          <w:szCs w:val="28"/>
        </w:rPr>
        <w:t>,</w:t>
      </w:r>
      <w:r w:rsidR="00926BEE">
        <w:rPr>
          <w:rFonts w:ascii="Times New Roman" w:hAnsi="Times New Roman" w:cs="Times New Roman"/>
          <w:i/>
          <w:iCs/>
          <w:sz w:val="28"/>
          <w:szCs w:val="28"/>
        </w:rPr>
        <w:t xml:space="preserve"> </w:t>
      </w:r>
      <w:r>
        <w:rPr>
          <w:rFonts w:ascii="Times New Roman" w:hAnsi="Times New Roman" w:cs="Times New Roman"/>
          <w:sz w:val="28"/>
          <w:szCs w:val="28"/>
        </w:rPr>
        <w:t>il limite di Prometeo</w:t>
      </w:r>
      <w:r w:rsidR="00B6794A">
        <w:rPr>
          <w:rFonts w:ascii="Times New Roman" w:hAnsi="Times New Roman" w:cs="Times New Roman"/>
          <w:sz w:val="28"/>
          <w:szCs w:val="28"/>
        </w:rPr>
        <w:t>,</w:t>
      </w:r>
      <w:r>
        <w:rPr>
          <w:rFonts w:ascii="Times New Roman" w:hAnsi="Times New Roman" w:cs="Times New Roman"/>
          <w:sz w:val="28"/>
          <w:szCs w:val="28"/>
        </w:rPr>
        <w:t xml:space="preserve"> che è il limite dell’ammissibilità etica, giuridica e sociale delle innovazioni tecnologiche. </w:t>
      </w:r>
    </w:p>
    <w:p w14:paraId="6C0180A6" w14:textId="57C585E8" w:rsidR="00A87F93" w:rsidRDefault="00A87F93"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Viene in rilievo il profilo della trasparenza e della visibilità del pensiero</w:t>
      </w:r>
      <w:r w:rsidR="00AE057D">
        <w:rPr>
          <w:rFonts w:ascii="Times New Roman" w:hAnsi="Times New Roman" w:cs="Times New Roman"/>
          <w:sz w:val="28"/>
          <w:szCs w:val="28"/>
        </w:rPr>
        <w:t>,</w:t>
      </w:r>
      <w:r>
        <w:rPr>
          <w:rFonts w:ascii="Times New Roman" w:hAnsi="Times New Roman" w:cs="Times New Roman"/>
          <w:sz w:val="28"/>
          <w:szCs w:val="28"/>
        </w:rPr>
        <w:t xml:space="preserve"> che attiene al foro interno dell’uomo sotto diversi profili: il diritto al silenzio dell’imputato, la segretezza del voto, il principio di materialità del comportamento sanzionabile.</w:t>
      </w:r>
    </w:p>
    <w:p w14:paraId="17E2D931" w14:textId="4FAEFE68" w:rsidR="00A87F93" w:rsidRDefault="00A87F93"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 pone il problema della libertà cognitiva come presupposto dell’autodeterminazione individuale, capacità di discernimento e imputabilità penale ben oltre la </w:t>
      </w:r>
      <w:proofErr w:type="spellStart"/>
      <w:r w:rsidR="00926BEE" w:rsidRPr="00A87F93">
        <w:rPr>
          <w:rFonts w:ascii="Times New Roman" w:hAnsi="Times New Roman" w:cs="Times New Roman"/>
          <w:i/>
          <w:iCs/>
          <w:sz w:val="28"/>
          <w:szCs w:val="28"/>
        </w:rPr>
        <w:t>suitas</w:t>
      </w:r>
      <w:proofErr w:type="spellEnd"/>
      <w:r w:rsidR="00926BEE" w:rsidRPr="00A87F93">
        <w:rPr>
          <w:rFonts w:ascii="Times New Roman" w:hAnsi="Times New Roman" w:cs="Times New Roman"/>
          <w:i/>
          <w:iCs/>
          <w:sz w:val="28"/>
          <w:szCs w:val="28"/>
        </w:rPr>
        <w:t>,</w:t>
      </w:r>
      <w:r w:rsidR="00127127">
        <w:rPr>
          <w:rFonts w:ascii="Times New Roman" w:hAnsi="Times New Roman" w:cs="Times New Roman"/>
          <w:i/>
          <w:iCs/>
          <w:sz w:val="28"/>
          <w:szCs w:val="28"/>
        </w:rPr>
        <w:t xml:space="preserve"> </w:t>
      </w:r>
      <w:r w:rsidR="00127127" w:rsidRPr="00127127">
        <w:rPr>
          <w:rFonts w:ascii="Times New Roman" w:hAnsi="Times New Roman" w:cs="Times New Roman"/>
          <w:sz w:val="28"/>
          <w:szCs w:val="28"/>
        </w:rPr>
        <w:t>ossia la partecipazione psi</w:t>
      </w:r>
      <w:r w:rsidR="00127127">
        <w:rPr>
          <w:rFonts w:ascii="Times New Roman" w:hAnsi="Times New Roman" w:cs="Times New Roman"/>
          <w:sz w:val="28"/>
          <w:szCs w:val="28"/>
        </w:rPr>
        <w:t>cologica del fatto a lui ascritto.</w:t>
      </w:r>
    </w:p>
    <w:p w14:paraId="0762AF8E" w14:textId="77777777" w:rsidR="00AE057D" w:rsidRDefault="00AE057D" w:rsidP="00723BD7">
      <w:pPr>
        <w:tabs>
          <w:tab w:val="left" w:pos="8364"/>
        </w:tabs>
        <w:spacing w:after="0"/>
        <w:jc w:val="both"/>
        <w:rPr>
          <w:rFonts w:ascii="Times New Roman" w:hAnsi="Times New Roman" w:cs="Times New Roman"/>
          <w:sz w:val="28"/>
          <w:szCs w:val="28"/>
        </w:rPr>
      </w:pPr>
    </w:p>
    <w:p w14:paraId="7B4A6B3F" w14:textId="31D534AA" w:rsidR="00127127" w:rsidRDefault="00127127"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Vi è allora da chiedersi</w:t>
      </w:r>
      <w:r w:rsidR="00B6794A">
        <w:rPr>
          <w:rFonts w:ascii="Times New Roman" w:hAnsi="Times New Roman" w:cs="Times New Roman"/>
          <w:sz w:val="28"/>
          <w:szCs w:val="28"/>
        </w:rPr>
        <w:t>:</w:t>
      </w:r>
      <w:r>
        <w:rPr>
          <w:rFonts w:ascii="Times New Roman" w:hAnsi="Times New Roman" w:cs="Times New Roman"/>
          <w:sz w:val="28"/>
          <w:szCs w:val="28"/>
        </w:rPr>
        <w:t xml:space="preserve"> </w:t>
      </w:r>
      <w:r w:rsidR="00926BEE">
        <w:rPr>
          <w:rFonts w:ascii="Times New Roman" w:hAnsi="Times New Roman" w:cs="Times New Roman"/>
          <w:sz w:val="28"/>
          <w:szCs w:val="28"/>
        </w:rPr>
        <w:t>le neuroscienze</w:t>
      </w:r>
      <w:r>
        <w:rPr>
          <w:rFonts w:ascii="Times New Roman" w:hAnsi="Times New Roman" w:cs="Times New Roman"/>
          <w:sz w:val="28"/>
          <w:szCs w:val="28"/>
        </w:rPr>
        <w:t xml:space="preserve"> saranno idonee a rimodulare il diritto penale?</w:t>
      </w:r>
      <w:r w:rsidR="005975EC">
        <w:rPr>
          <w:rStyle w:val="Rimandonotaapidipagina"/>
          <w:rFonts w:ascii="Times New Roman" w:hAnsi="Times New Roman" w:cs="Times New Roman"/>
          <w:sz w:val="28"/>
          <w:szCs w:val="28"/>
        </w:rPr>
        <w:footnoteReference w:id="106"/>
      </w:r>
      <w:r>
        <w:rPr>
          <w:rFonts w:ascii="Times New Roman" w:hAnsi="Times New Roman" w:cs="Times New Roman"/>
          <w:sz w:val="28"/>
          <w:szCs w:val="28"/>
        </w:rPr>
        <w:t xml:space="preserve"> </w:t>
      </w:r>
    </w:p>
    <w:p w14:paraId="3AC50892" w14:textId="77777777" w:rsidR="00AE057D" w:rsidRDefault="00127127"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 pensi al caso </w:t>
      </w:r>
      <w:proofErr w:type="spellStart"/>
      <w:r w:rsidRPr="00127127">
        <w:rPr>
          <w:rFonts w:ascii="Times New Roman" w:hAnsi="Times New Roman" w:cs="Times New Roman"/>
          <w:i/>
          <w:iCs/>
          <w:sz w:val="28"/>
          <w:szCs w:val="28"/>
        </w:rPr>
        <w:t>Albertani</w:t>
      </w:r>
      <w:proofErr w:type="spellEnd"/>
      <w:r w:rsidR="00B6794A">
        <w:rPr>
          <w:rFonts w:ascii="Times New Roman" w:hAnsi="Times New Roman" w:cs="Times New Roman"/>
          <w:i/>
          <w:iCs/>
          <w:sz w:val="28"/>
          <w:szCs w:val="28"/>
        </w:rPr>
        <w:t xml:space="preserve"> – </w:t>
      </w:r>
      <w:r w:rsidR="00571780" w:rsidRPr="00571780">
        <w:rPr>
          <w:rFonts w:ascii="Times New Roman" w:hAnsi="Times New Roman" w:cs="Times New Roman"/>
          <w:sz w:val="28"/>
          <w:szCs w:val="28"/>
        </w:rPr>
        <w:t>vicenda giudiziaria del 2009</w:t>
      </w:r>
      <w:r w:rsidR="00571780">
        <w:rPr>
          <w:rFonts w:ascii="Times New Roman" w:hAnsi="Times New Roman" w:cs="Times New Roman"/>
          <w:sz w:val="28"/>
          <w:szCs w:val="28"/>
        </w:rPr>
        <w:t xml:space="preserve"> svoltasi a Cirimido (Como)</w:t>
      </w:r>
      <w:r w:rsidR="00B6794A">
        <w:rPr>
          <w:rFonts w:ascii="Times New Roman" w:hAnsi="Times New Roman" w:cs="Times New Roman"/>
          <w:i/>
          <w:iCs/>
          <w:sz w:val="28"/>
          <w:szCs w:val="28"/>
        </w:rPr>
        <w:t xml:space="preserve"> – </w:t>
      </w:r>
      <w:r>
        <w:rPr>
          <w:rFonts w:ascii="Times New Roman" w:hAnsi="Times New Roman" w:cs="Times New Roman"/>
          <w:sz w:val="28"/>
          <w:szCs w:val="28"/>
        </w:rPr>
        <w:t>primo caso di riconoscimento in Italia</w:t>
      </w:r>
      <w:r w:rsidR="00B6794A">
        <w:rPr>
          <w:rFonts w:ascii="Times New Roman" w:hAnsi="Times New Roman" w:cs="Times New Roman"/>
          <w:sz w:val="28"/>
          <w:szCs w:val="28"/>
        </w:rPr>
        <w:t>,</w:t>
      </w:r>
      <w:r>
        <w:rPr>
          <w:rFonts w:ascii="Times New Roman" w:hAnsi="Times New Roman" w:cs="Times New Roman"/>
          <w:sz w:val="28"/>
          <w:szCs w:val="28"/>
        </w:rPr>
        <w:t xml:space="preserve"> e fra i primi al mondo</w:t>
      </w:r>
      <w:r w:rsidR="00B6794A">
        <w:rPr>
          <w:rFonts w:ascii="Times New Roman" w:hAnsi="Times New Roman" w:cs="Times New Roman"/>
          <w:sz w:val="28"/>
          <w:szCs w:val="28"/>
        </w:rPr>
        <w:t>,</w:t>
      </w:r>
      <w:r>
        <w:rPr>
          <w:rFonts w:ascii="Times New Roman" w:hAnsi="Times New Roman" w:cs="Times New Roman"/>
          <w:sz w:val="28"/>
          <w:szCs w:val="28"/>
        </w:rPr>
        <w:t xml:space="preserve"> della validità delle neuroscienze per l’accertamento dell’imputabilità: fu accertata la lesione della </w:t>
      </w:r>
      <w:r>
        <w:rPr>
          <w:rFonts w:ascii="Times New Roman" w:hAnsi="Times New Roman" w:cs="Times New Roman"/>
          <w:sz w:val="28"/>
          <w:szCs w:val="28"/>
        </w:rPr>
        <w:lastRenderedPageBreak/>
        <w:t>corteccia prefrontale come base dell’infermità mentale, attraverso indagini di “</w:t>
      </w:r>
      <w:proofErr w:type="spellStart"/>
      <w:r w:rsidRPr="00397BBB">
        <w:rPr>
          <w:rFonts w:ascii="Times New Roman" w:hAnsi="Times New Roman" w:cs="Times New Roman"/>
          <w:i/>
          <w:iCs/>
          <w:sz w:val="28"/>
          <w:szCs w:val="28"/>
        </w:rPr>
        <w:t>imaging</w:t>
      </w:r>
      <w:proofErr w:type="spellEnd"/>
      <w:r w:rsidRPr="00397BBB">
        <w:rPr>
          <w:rFonts w:ascii="Times New Roman" w:hAnsi="Times New Roman" w:cs="Times New Roman"/>
          <w:i/>
          <w:iCs/>
          <w:sz w:val="28"/>
          <w:szCs w:val="28"/>
        </w:rPr>
        <w:t xml:space="preserve"> cerebrale e di genetica molecolare</w:t>
      </w:r>
      <w:r w:rsidR="00397BBB" w:rsidRPr="00B6794A">
        <w:rPr>
          <w:rFonts w:ascii="Times New Roman" w:hAnsi="Times New Roman" w:cs="Times New Roman"/>
          <w:sz w:val="28"/>
          <w:szCs w:val="28"/>
        </w:rPr>
        <w:t>”</w:t>
      </w:r>
      <w:r w:rsidR="004F3F55" w:rsidRPr="00B6794A">
        <w:rPr>
          <w:rFonts w:ascii="Times New Roman" w:hAnsi="Times New Roman" w:cs="Times New Roman"/>
          <w:sz w:val="28"/>
          <w:szCs w:val="28"/>
        </w:rPr>
        <w:t>,</w:t>
      </w:r>
      <w:r w:rsidR="004F3F55">
        <w:rPr>
          <w:rFonts w:ascii="Times New Roman" w:hAnsi="Times New Roman" w:cs="Times New Roman"/>
          <w:i/>
          <w:iCs/>
          <w:sz w:val="28"/>
          <w:szCs w:val="28"/>
        </w:rPr>
        <w:t xml:space="preserve"> </w:t>
      </w:r>
      <w:r w:rsidR="004F3F55" w:rsidRPr="004F3F55">
        <w:rPr>
          <w:rFonts w:ascii="Times New Roman" w:hAnsi="Times New Roman" w:cs="Times New Roman"/>
          <w:sz w:val="28"/>
          <w:szCs w:val="28"/>
        </w:rPr>
        <w:t>accertamenti genetici</w:t>
      </w:r>
      <w:r w:rsidR="004F3F55">
        <w:rPr>
          <w:rFonts w:ascii="Times New Roman" w:hAnsi="Times New Roman" w:cs="Times New Roman"/>
          <w:sz w:val="28"/>
          <w:szCs w:val="28"/>
        </w:rPr>
        <w:t xml:space="preserve"> per verificare se la </w:t>
      </w:r>
      <w:proofErr w:type="spellStart"/>
      <w:r w:rsidR="004F3F55">
        <w:rPr>
          <w:rFonts w:ascii="Times New Roman" w:hAnsi="Times New Roman" w:cs="Times New Roman"/>
          <w:sz w:val="28"/>
          <w:szCs w:val="28"/>
        </w:rPr>
        <w:t>perizianda</w:t>
      </w:r>
      <w:proofErr w:type="spellEnd"/>
      <w:r w:rsidR="004F3F55">
        <w:rPr>
          <w:rFonts w:ascii="Times New Roman" w:hAnsi="Times New Roman" w:cs="Times New Roman"/>
          <w:sz w:val="28"/>
          <w:szCs w:val="28"/>
        </w:rPr>
        <w:t xml:space="preserve"> presentasse</w:t>
      </w:r>
      <w:r w:rsidR="00DD2358">
        <w:rPr>
          <w:rFonts w:ascii="Times New Roman" w:hAnsi="Times New Roman" w:cs="Times New Roman"/>
          <w:sz w:val="28"/>
          <w:szCs w:val="28"/>
        </w:rPr>
        <w:t xml:space="preserve"> “gli alleli” che</w:t>
      </w:r>
      <w:r w:rsidR="00B6794A">
        <w:rPr>
          <w:rFonts w:ascii="Times New Roman" w:hAnsi="Times New Roman" w:cs="Times New Roman"/>
          <w:sz w:val="28"/>
          <w:szCs w:val="28"/>
        </w:rPr>
        <w:t>,</w:t>
      </w:r>
      <w:r w:rsidR="00DD2358">
        <w:rPr>
          <w:rFonts w:ascii="Times New Roman" w:hAnsi="Times New Roman" w:cs="Times New Roman"/>
          <w:sz w:val="28"/>
          <w:szCs w:val="28"/>
        </w:rPr>
        <w:t xml:space="preserve"> secondo la letteratura scientifica internazionale</w:t>
      </w:r>
      <w:r w:rsidR="00B6794A">
        <w:rPr>
          <w:rFonts w:ascii="Times New Roman" w:hAnsi="Times New Roman" w:cs="Times New Roman"/>
          <w:sz w:val="28"/>
          <w:szCs w:val="28"/>
        </w:rPr>
        <w:t>,</w:t>
      </w:r>
      <w:r w:rsidR="00DD2358">
        <w:rPr>
          <w:rFonts w:ascii="Times New Roman" w:hAnsi="Times New Roman" w:cs="Times New Roman"/>
          <w:sz w:val="28"/>
          <w:szCs w:val="28"/>
        </w:rPr>
        <w:t xml:space="preserve"> sono significativamente associati ad un maggior comportamento impulsivo,</w:t>
      </w:r>
      <w:r w:rsidR="00571780">
        <w:rPr>
          <w:rFonts w:ascii="Times New Roman" w:hAnsi="Times New Roman" w:cs="Times New Roman"/>
          <w:sz w:val="28"/>
          <w:szCs w:val="28"/>
        </w:rPr>
        <w:t xml:space="preserve"> </w:t>
      </w:r>
      <w:r w:rsidR="00DD2358">
        <w:rPr>
          <w:rFonts w:ascii="Times New Roman" w:hAnsi="Times New Roman" w:cs="Times New Roman"/>
          <w:sz w:val="28"/>
          <w:szCs w:val="28"/>
        </w:rPr>
        <w:t>aggressivo e violento.</w:t>
      </w:r>
      <w:r w:rsidR="00571780">
        <w:rPr>
          <w:rFonts w:ascii="Times New Roman" w:hAnsi="Times New Roman" w:cs="Times New Roman"/>
          <w:sz w:val="28"/>
          <w:szCs w:val="28"/>
        </w:rPr>
        <w:t xml:space="preserve"> </w:t>
      </w:r>
    </w:p>
    <w:p w14:paraId="19D5B1C9" w14:textId="77777777" w:rsidR="00AE057D" w:rsidRDefault="00571780"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 reati commessi da Stefania </w:t>
      </w:r>
      <w:proofErr w:type="spellStart"/>
      <w:r>
        <w:rPr>
          <w:rFonts w:ascii="Times New Roman" w:hAnsi="Times New Roman" w:cs="Times New Roman"/>
          <w:sz w:val="28"/>
          <w:szCs w:val="28"/>
        </w:rPr>
        <w:t>Albertani</w:t>
      </w:r>
      <w:proofErr w:type="spellEnd"/>
      <w:r>
        <w:rPr>
          <w:rFonts w:ascii="Times New Roman" w:hAnsi="Times New Roman" w:cs="Times New Roman"/>
          <w:sz w:val="28"/>
          <w:szCs w:val="28"/>
        </w:rPr>
        <w:t xml:space="preserve"> erano gravissimi: quest’ultima uccise sua sorella maggiore, segregandola in casa e costringendola ad assumere psicofarmaci in dosi tali da causarne il decesso. Successivamente diede fuoco al cadavere. Indiziata per la morte della sorella e tenuta sotto controllo dalla polizia, durante un diverbio con la madre, tentò di strangolarla con una cintura. L’arrivo della polizia salvò la madre e portò all’arresto di Stefania. In </w:t>
      </w:r>
      <w:r w:rsidR="007F168A">
        <w:rPr>
          <w:rFonts w:ascii="Times New Roman" w:hAnsi="Times New Roman" w:cs="Times New Roman"/>
          <w:sz w:val="28"/>
          <w:szCs w:val="28"/>
        </w:rPr>
        <w:t>seguito</w:t>
      </w:r>
      <w:r w:rsidR="00AE057D">
        <w:rPr>
          <w:rFonts w:ascii="Times New Roman" w:hAnsi="Times New Roman" w:cs="Times New Roman"/>
          <w:sz w:val="28"/>
          <w:szCs w:val="28"/>
        </w:rPr>
        <w:t>,</w:t>
      </w:r>
      <w:r w:rsidR="007F168A">
        <w:rPr>
          <w:rFonts w:ascii="Times New Roman" w:hAnsi="Times New Roman" w:cs="Times New Roman"/>
          <w:sz w:val="28"/>
          <w:szCs w:val="28"/>
        </w:rPr>
        <w:t xml:space="preserve"> emerse un complesso disegno criminoso per cui l’imputata fu chiamata a rispondere del sequestro di persona e poi dell’omicidio della sorella, omicidio preceduto dalla somministrazione di benzodiazepine, che aveva indotto la vittima in uno stato di confusione mentale e di incapacità reattiva, nonché dei reati di soppressione e distruzione di cadavere, di quello di utilizzo indebito delle carte di </w:t>
      </w:r>
      <w:r w:rsidR="00FF0E52">
        <w:rPr>
          <w:rFonts w:ascii="Times New Roman" w:hAnsi="Times New Roman" w:cs="Times New Roman"/>
          <w:sz w:val="28"/>
          <w:szCs w:val="28"/>
        </w:rPr>
        <w:t>credito,</w:t>
      </w:r>
      <w:r w:rsidR="007F168A">
        <w:rPr>
          <w:rFonts w:ascii="Times New Roman" w:hAnsi="Times New Roman" w:cs="Times New Roman"/>
          <w:sz w:val="28"/>
          <w:szCs w:val="28"/>
        </w:rPr>
        <w:t xml:space="preserve"> del padre attraverso la somministrazione di medicinali che ne procurarono il ricovero in ospedale, di tentato omicidio di entrambi i genitori, avendo cercato di farne esplodere l’autovettura e del tentato omicidio della madre attraverso strangolamento. </w:t>
      </w:r>
    </w:p>
    <w:p w14:paraId="0DFC8FC1" w14:textId="0C3F6FCD" w:rsidR="00127127" w:rsidRDefault="007F168A" w:rsidP="00723BD7">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Il Gip di Como condannò Stefania a venti anni di reclusione, riconoscendole un vizio parziale di mente per la presenza di </w:t>
      </w:r>
      <w:r w:rsidR="00B818F9">
        <w:rPr>
          <w:rFonts w:ascii="Times New Roman" w:hAnsi="Times New Roman" w:cs="Times New Roman"/>
          <w:sz w:val="28"/>
          <w:szCs w:val="28"/>
        </w:rPr>
        <w:t>«</w:t>
      </w:r>
      <w:r w:rsidRPr="007F168A">
        <w:rPr>
          <w:rFonts w:ascii="Times New Roman" w:hAnsi="Times New Roman" w:cs="Times New Roman"/>
          <w:i/>
          <w:iCs/>
          <w:sz w:val="28"/>
          <w:szCs w:val="28"/>
        </w:rPr>
        <w:t>alterazioni, in un’area del cervello che ha la funzione</w:t>
      </w:r>
      <w:r>
        <w:rPr>
          <w:rFonts w:ascii="Times New Roman" w:hAnsi="Times New Roman" w:cs="Times New Roman"/>
          <w:i/>
          <w:iCs/>
          <w:sz w:val="28"/>
          <w:szCs w:val="28"/>
        </w:rPr>
        <w:t xml:space="preserve"> di regolare le azioni aggressive e, dal punto di vista genetico, di fattori significativamente associati ad un maggior rischio di comportamento impulsivo, aggressivo e violento</w:t>
      </w:r>
      <w:r w:rsidR="00B818F9">
        <w:rPr>
          <w:rFonts w:ascii="Times New Roman" w:hAnsi="Times New Roman" w:cs="Times New Roman"/>
          <w:i/>
          <w:iCs/>
          <w:sz w:val="28"/>
          <w:szCs w:val="28"/>
        </w:rPr>
        <w:t>»</w:t>
      </w:r>
      <w:r w:rsidR="00C81D0C">
        <w:rPr>
          <w:rStyle w:val="Rimandonotaapidipagina"/>
          <w:rFonts w:ascii="Times New Roman" w:hAnsi="Times New Roman" w:cs="Times New Roman"/>
          <w:i/>
          <w:iCs/>
          <w:sz w:val="28"/>
          <w:szCs w:val="28"/>
        </w:rPr>
        <w:footnoteReference w:id="107"/>
      </w:r>
      <w:r w:rsidR="00C81D0C">
        <w:rPr>
          <w:rFonts w:ascii="Times New Roman" w:hAnsi="Times New Roman" w:cs="Times New Roman"/>
          <w:i/>
          <w:iCs/>
          <w:sz w:val="28"/>
          <w:szCs w:val="28"/>
        </w:rPr>
        <w:t>.</w:t>
      </w:r>
    </w:p>
    <w:p w14:paraId="78B0B8F3" w14:textId="77777777" w:rsidR="00AE057D" w:rsidRDefault="00AE057D" w:rsidP="00723BD7">
      <w:pPr>
        <w:tabs>
          <w:tab w:val="left" w:pos="8364"/>
        </w:tabs>
        <w:spacing w:after="0"/>
        <w:jc w:val="both"/>
        <w:rPr>
          <w:rFonts w:ascii="Times New Roman" w:hAnsi="Times New Roman" w:cs="Times New Roman"/>
          <w:i/>
          <w:iCs/>
          <w:sz w:val="28"/>
          <w:szCs w:val="28"/>
        </w:rPr>
      </w:pPr>
    </w:p>
    <w:p w14:paraId="55DFC990" w14:textId="77777777" w:rsidR="00AE057D" w:rsidRDefault="00104895" w:rsidP="00723BD7">
      <w:pPr>
        <w:tabs>
          <w:tab w:val="left" w:pos="8364"/>
        </w:tabs>
        <w:spacing w:after="0"/>
        <w:jc w:val="both"/>
        <w:rPr>
          <w:rFonts w:ascii="Times New Roman" w:hAnsi="Times New Roman" w:cs="Times New Roman"/>
          <w:sz w:val="28"/>
          <w:szCs w:val="28"/>
        </w:rPr>
      </w:pPr>
      <w:r w:rsidRPr="00104895">
        <w:rPr>
          <w:rFonts w:ascii="Times New Roman" w:hAnsi="Times New Roman" w:cs="Times New Roman"/>
          <w:sz w:val="28"/>
          <w:szCs w:val="28"/>
        </w:rPr>
        <w:t>Si pone</w:t>
      </w:r>
      <w:r w:rsidR="00AE057D">
        <w:rPr>
          <w:rFonts w:ascii="Times New Roman" w:hAnsi="Times New Roman" w:cs="Times New Roman"/>
          <w:sz w:val="28"/>
          <w:szCs w:val="28"/>
        </w:rPr>
        <w:t>,</w:t>
      </w:r>
      <w:r w:rsidRPr="00104895">
        <w:rPr>
          <w:rFonts w:ascii="Times New Roman" w:hAnsi="Times New Roman" w:cs="Times New Roman"/>
          <w:sz w:val="28"/>
          <w:szCs w:val="28"/>
        </w:rPr>
        <w:t xml:space="preserve"> allora</w:t>
      </w:r>
      <w:r w:rsidR="00AE057D">
        <w:rPr>
          <w:rFonts w:ascii="Times New Roman" w:hAnsi="Times New Roman" w:cs="Times New Roman"/>
          <w:sz w:val="28"/>
          <w:szCs w:val="28"/>
        </w:rPr>
        <w:t>,</w:t>
      </w:r>
      <w:r w:rsidRPr="00104895">
        <w:rPr>
          <w:rFonts w:ascii="Times New Roman" w:hAnsi="Times New Roman" w:cs="Times New Roman"/>
          <w:sz w:val="28"/>
          <w:szCs w:val="28"/>
        </w:rPr>
        <w:t xml:space="preserve"> la questione </w:t>
      </w:r>
      <w:r>
        <w:rPr>
          <w:rFonts w:ascii="Times New Roman" w:hAnsi="Times New Roman" w:cs="Times New Roman"/>
          <w:sz w:val="28"/>
          <w:szCs w:val="28"/>
        </w:rPr>
        <w:t xml:space="preserve">del comportamento criminale in bilico tra libero arbitrio e determinismo. </w:t>
      </w:r>
    </w:p>
    <w:p w14:paraId="386FCA40" w14:textId="634C1585" w:rsidR="00104895" w:rsidRDefault="00104895"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Ora</w:t>
      </w:r>
      <w:r w:rsidR="00B818F9">
        <w:rPr>
          <w:rFonts w:ascii="Times New Roman" w:hAnsi="Times New Roman" w:cs="Times New Roman"/>
          <w:sz w:val="28"/>
          <w:szCs w:val="28"/>
        </w:rPr>
        <w:t>,</w:t>
      </w:r>
      <w:r>
        <w:rPr>
          <w:rFonts w:ascii="Times New Roman" w:hAnsi="Times New Roman" w:cs="Times New Roman"/>
          <w:sz w:val="28"/>
          <w:szCs w:val="28"/>
        </w:rPr>
        <w:t xml:space="preserve"> presupposto del sistema penale è che l’individuo sia dotato di libero arbitrio, ossia in grado di distinguere il bene dal male e di decidere se agire in un senso o nell’altro. Su tale presupposto si basa il principio dell’imputabilità, da non confondere con la non-punibilità. Ma cosa succede se ci si accorge che il crimine compiuto non è stato idealizzato e voluto consciamente dall’autore dello stesso, </w:t>
      </w:r>
      <w:r w:rsidR="00AE057D">
        <w:rPr>
          <w:rFonts w:ascii="Times New Roman" w:hAnsi="Times New Roman" w:cs="Times New Roman"/>
          <w:sz w:val="28"/>
          <w:szCs w:val="28"/>
        </w:rPr>
        <w:t>bensì</w:t>
      </w:r>
      <w:r>
        <w:rPr>
          <w:rFonts w:ascii="Times New Roman" w:hAnsi="Times New Roman" w:cs="Times New Roman"/>
          <w:sz w:val="28"/>
          <w:szCs w:val="28"/>
        </w:rPr>
        <w:t xml:space="preserve"> frutto di una serie predeterminata di cause innestata da processi algoritmici? Che succede se la genetica </w:t>
      </w:r>
      <w:r>
        <w:rPr>
          <w:rFonts w:ascii="Times New Roman" w:hAnsi="Times New Roman" w:cs="Times New Roman"/>
          <w:sz w:val="28"/>
          <w:szCs w:val="28"/>
        </w:rPr>
        <w:lastRenderedPageBreak/>
        <w:t xml:space="preserve">carica il fucile, la psicologia mira e l’algoritmo che incide sul percorso decisionale tira il grilletto? </w:t>
      </w:r>
    </w:p>
    <w:p w14:paraId="0410E9F3" w14:textId="77777777" w:rsidR="00AE057D" w:rsidRDefault="00104895"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Bisogna</w:t>
      </w:r>
      <w:r w:rsidR="00C81D0C">
        <w:rPr>
          <w:rFonts w:ascii="Times New Roman" w:hAnsi="Times New Roman" w:cs="Times New Roman"/>
          <w:sz w:val="28"/>
          <w:szCs w:val="28"/>
        </w:rPr>
        <w:t xml:space="preserve">, </w:t>
      </w:r>
      <w:r>
        <w:rPr>
          <w:rFonts w:ascii="Times New Roman" w:hAnsi="Times New Roman" w:cs="Times New Roman"/>
          <w:sz w:val="28"/>
          <w:szCs w:val="28"/>
        </w:rPr>
        <w:t>quindi, dare una breve definizione di neuroscienze</w:t>
      </w:r>
      <w:r w:rsidR="00FF0E52">
        <w:rPr>
          <w:rFonts w:ascii="Times New Roman" w:hAnsi="Times New Roman" w:cs="Times New Roman"/>
          <w:sz w:val="28"/>
          <w:szCs w:val="28"/>
        </w:rPr>
        <w:t>, intese queste come un gruppo eterogeneo di discipline scientifiche, accomunate dall’obiettivo di spiegare come le connessioni neuronali sovrintendano lo svolgimento di tutte le attività umane, non solo quelle estrinsecantesi in semplici movimenti corporei, ma anche più complesse</w:t>
      </w:r>
      <w:r w:rsidR="00654BFC">
        <w:rPr>
          <w:rFonts w:ascii="Times New Roman" w:hAnsi="Times New Roman" w:cs="Times New Roman"/>
          <w:sz w:val="28"/>
          <w:szCs w:val="28"/>
        </w:rPr>
        <w:t xml:space="preserve"> (la volizione, le emozioni, persino la formulazione di giudizi morali)</w:t>
      </w:r>
      <w:r w:rsidR="00AE057D">
        <w:rPr>
          <w:rFonts w:ascii="Times New Roman" w:hAnsi="Times New Roman" w:cs="Times New Roman"/>
          <w:sz w:val="28"/>
          <w:szCs w:val="28"/>
        </w:rPr>
        <w:t>,</w:t>
      </w:r>
      <w:r w:rsidR="00654BFC">
        <w:rPr>
          <w:rFonts w:ascii="Times New Roman" w:hAnsi="Times New Roman" w:cs="Times New Roman"/>
          <w:sz w:val="28"/>
          <w:szCs w:val="28"/>
        </w:rPr>
        <w:t xml:space="preserve"> tradizionalmente attribuite al dominio della mente e considerate inaccessibili all’indagine sperimentale. </w:t>
      </w:r>
    </w:p>
    <w:p w14:paraId="47C3F881" w14:textId="77777777" w:rsidR="00AE057D" w:rsidRDefault="00AE057D" w:rsidP="00723BD7">
      <w:pPr>
        <w:tabs>
          <w:tab w:val="left" w:pos="8364"/>
        </w:tabs>
        <w:spacing w:after="0"/>
        <w:jc w:val="both"/>
        <w:rPr>
          <w:rFonts w:ascii="Times New Roman" w:hAnsi="Times New Roman" w:cs="Times New Roman"/>
          <w:sz w:val="28"/>
          <w:szCs w:val="28"/>
        </w:rPr>
      </w:pPr>
    </w:p>
    <w:p w14:paraId="60D0BE70" w14:textId="17EBAFCD" w:rsidR="00104895" w:rsidRDefault="00654BFC"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Oggi esistono diversi tipi di neuroscienze (molecolari,</w:t>
      </w:r>
      <w:r w:rsidR="00C81D0C">
        <w:rPr>
          <w:rFonts w:ascii="Times New Roman" w:hAnsi="Times New Roman" w:cs="Times New Roman"/>
          <w:sz w:val="28"/>
          <w:szCs w:val="28"/>
        </w:rPr>
        <w:t xml:space="preserve"> </w:t>
      </w:r>
      <w:r>
        <w:rPr>
          <w:rFonts w:ascii="Times New Roman" w:hAnsi="Times New Roman" w:cs="Times New Roman"/>
          <w:sz w:val="28"/>
          <w:szCs w:val="28"/>
        </w:rPr>
        <w:t>cellulari, comportamentali, integrative), ma per la nostra analisi è opportuno illustrare il filone del c</w:t>
      </w:r>
      <w:r w:rsidR="00B818F9">
        <w:rPr>
          <w:rFonts w:ascii="Times New Roman" w:hAnsi="Times New Roman" w:cs="Times New Roman"/>
          <w:sz w:val="28"/>
          <w:szCs w:val="28"/>
        </w:rPr>
        <w:t>.</w:t>
      </w:r>
      <w:r>
        <w:rPr>
          <w:rFonts w:ascii="Times New Roman" w:hAnsi="Times New Roman" w:cs="Times New Roman"/>
          <w:sz w:val="28"/>
          <w:szCs w:val="28"/>
        </w:rPr>
        <w:t>d</w:t>
      </w:r>
      <w:r w:rsidR="00B818F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654BFC">
        <w:rPr>
          <w:rFonts w:ascii="Times New Roman" w:hAnsi="Times New Roman" w:cs="Times New Roman"/>
          <w:i/>
          <w:iCs/>
          <w:sz w:val="28"/>
          <w:szCs w:val="28"/>
        </w:rPr>
        <w:t>Neurodiritto</w:t>
      </w:r>
      <w:proofErr w:type="spellEnd"/>
      <w:r>
        <w:rPr>
          <w:rFonts w:ascii="Times New Roman" w:hAnsi="Times New Roman" w:cs="Times New Roman"/>
          <w:sz w:val="28"/>
          <w:szCs w:val="28"/>
        </w:rPr>
        <w:t>, ovvero le più aggiornate s</w:t>
      </w:r>
      <w:r w:rsidR="009C1D01">
        <w:rPr>
          <w:rFonts w:ascii="Times New Roman" w:hAnsi="Times New Roman" w:cs="Times New Roman"/>
          <w:sz w:val="28"/>
          <w:szCs w:val="28"/>
        </w:rPr>
        <w:t>c</w:t>
      </w:r>
      <w:r>
        <w:rPr>
          <w:rFonts w:ascii="Times New Roman" w:hAnsi="Times New Roman" w:cs="Times New Roman"/>
          <w:sz w:val="28"/>
          <w:szCs w:val="28"/>
        </w:rPr>
        <w:t xml:space="preserve">operte </w:t>
      </w:r>
      <w:proofErr w:type="spellStart"/>
      <w:r>
        <w:rPr>
          <w:rFonts w:ascii="Times New Roman" w:hAnsi="Times New Roman" w:cs="Times New Roman"/>
          <w:sz w:val="28"/>
          <w:szCs w:val="28"/>
        </w:rPr>
        <w:t>neuroscientifiche</w:t>
      </w:r>
      <w:proofErr w:type="spellEnd"/>
      <w:r>
        <w:rPr>
          <w:rFonts w:ascii="Times New Roman" w:hAnsi="Times New Roman" w:cs="Times New Roman"/>
          <w:sz w:val="28"/>
          <w:szCs w:val="28"/>
        </w:rPr>
        <w:t xml:space="preserve"> applicabili all’ordinamento normativo.</w:t>
      </w:r>
    </w:p>
    <w:p w14:paraId="103C212B" w14:textId="41ED845F" w:rsidR="00AA6C13" w:rsidRDefault="00AA6C13"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La sfida della prova </w:t>
      </w:r>
      <w:proofErr w:type="spellStart"/>
      <w:r w:rsidR="00DB7971">
        <w:rPr>
          <w:rFonts w:ascii="Times New Roman" w:hAnsi="Times New Roman" w:cs="Times New Roman"/>
          <w:sz w:val="28"/>
          <w:szCs w:val="28"/>
        </w:rPr>
        <w:t>neuroscientifica</w:t>
      </w:r>
      <w:proofErr w:type="spellEnd"/>
      <w:r w:rsidR="00DB7971">
        <w:rPr>
          <w:rFonts w:ascii="Times New Roman" w:hAnsi="Times New Roman" w:cs="Times New Roman"/>
          <w:sz w:val="28"/>
          <w:szCs w:val="28"/>
        </w:rPr>
        <w:t xml:space="preserve"> in ambito processuale penale, ai fini dell’attribuzione di responsabilità, è quella di:</w:t>
      </w:r>
    </w:p>
    <w:p w14:paraId="4FFBF765" w14:textId="17B99E39" w:rsidR="00DB7971" w:rsidRDefault="00B818F9" w:rsidP="00723BD7">
      <w:pPr>
        <w:pStyle w:val="Paragrafoelenco"/>
        <w:numPr>
          <w:ilvl w:val="0"/>
          <w:numId w:val="3"/>
        </w:num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w:t>
      </w:r>
      <w:r w:rsidR="00DB7971">
        <w:rPr>
          <w:rFonts w:ascii="Times New Roman" w:hAnsi="Times New Roman" w:cs="Times New Roman"/>
          <w:sz w:val="28"/>
          <w:szCs w:val="28"/>
        </w:rPr>
        <w:t>dentificare i circuiti cerebrali necessari alla formazione della consapevolezza e delle intenzioni;</w:t>
      </w:r>
    </w:p>
    <w:p w14:paraId="3EFA1691" w14:textId="265F655E" w:rsidR="00DB7971" w:rsidRDefault="00B818F9" w:rsidP="00723BD7">
      <w:pPr>
        <w:pStyle w:val="Paragrafoelenco"/>
        <w:numPr>
          <w:ilvl w:val="0"/>
          <w:numId w:val="3"/>
        </w:num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d</w:t>
      </w:r>
      <w:r w:rsidR="001146DF">
        <w:rPr>
          <w:rFonts w:ascii="Times New Roman" w:hAnsi="Times New Roman" w:cs="Times New Roman"/>
          <w:sz w:val="28"/>
          <w:szCs w:val="28"/>
        </w:rPr>
        <w:t>imostrare se e in che misura i circuiti cerebrali dell’imputato fossero difettosi al momento di pianificare l’azione e di controllare un impulso;</w:t>
      </w:r>
    </w:p>
    <w:p w14:paraId="6EA2C699" w14:textId="5A40BA5C" w:rsidR="001146DF" w:rsidRDefault="00B818F9" w:rsidP="00723BD7">
      <w:pPr>
        <w:pStyle w:val="Paragrafoelenco"/>
        <w:numPr>
          <w:ilvl w:val="0"/>
          <w:numId w:val="3"/>
        </w:num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v</w:t>
      </w:r>
      <w:r w:rsidR="001146DF">
        <w:rPr>
          <w:rFonts w:ascii="Times New Roman" w:hAnsi="Times New Roman" w:cs="Times New Roman"/>
          <w:sz w:val="28"/>
          <w:szCs w:val="28"/>
        </w:rPr>
        <w:t xml:space="preserve">alutare quanto l’eventuale </w:t>
      </w:r>
      <w:r w:rsidR="001146DF" w:rsidRPr="00B818F9">
        <w:rPr>
          <w:rFonts w:ascii="Times New Roman" w:hAnsi="Times New Roman" w:cs="Times New Roman"/>
          <w:i/>
          <w:iCs/>
          <w:sz w:val="28"/>
          <w:szCs w:val="28"/>
        </w:rPr>
        <w:t>deficit</w:t>
      </w:r>
      <w:r w:rsidR="001146DF">
        <w:rPr>
          <w:rFonts w:ascii="Times New Roman" w:hAnsi="Times New Roman" w:cs="Times New Roman"/>
          <w:sz w:val="28"/>
          <w:szCs w:val="28"/>
        </w:rPr>
        <w:t xml:space="preserve"> possa ver influito sul compimento dell’azione illecita.</w:t>
      </w:r>
    </w:p>
    <w:p w14:paraId="4CA4162C" w14:textId="77777777" w:rsidR="000B410F" w:rsidRDefault="001146DF"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Le neuroscienze, avendo come oggetto di analisi qualcosa di molto complesso come il cervello e i vari e articolati meccanismi di funzionamento cerebrale e neuronale, suscitano molti interrogativi e dubbi</w:t>
      </w:r>
      <w:r w:rsidR="000B410F">
        <w:rPr>
          <w:rFonts w:ascii="Times New Roman" w:hAnsi="Times New Roman" w:cs="Times New Roman"/>
          <w:sz w:val="28"/>
          <w:szCs w:val="28"/>
        </w:rPr>
        <w:t>,</w:t>
      </w:r>
      <w:r>
        <w:rPr>
          <w:rFonts w:ascii="Times New Roman" w:hAnsi="Times New Roman" w:cs="Times New Roman"/>
          <w:sz w:val="28"/>
          <w:szCs w:val="28"/>
        </w:rPr>
        <w:t xml:space="preserve"> non solo di carattere strettamente scientifico, ma, per quanto</w:t>
      </w:r>
      <w:r w:rsidR="00B818F9">
        <w:rPr>
          <w:rFonts w:ascii="Times New Roman" w:hAnsi="Times New Roman" w:cs="Times New Roman"/>
          <w:sz w:val="28"/>
          <w:szCs w:val="28"/>
        </w:rPr>
        <w:t xml:space="preserve"> ci</w:t>
      </w:r>
      <w:r>
        <w:rPr>
          <w:rFonts w:ascii="Times New Roman" w:hAnsi="Times New Roman" w:cs="Times New Roman"/>
          <w:sz w:val="28"/>
          <w:szCs w:val="28"/>
        </w:rPr>
        <w:t xml:space="preserve"> riguarda, essendo operatori di diritto, dubbi di natura giuridico-etico: è il tema affrontato già da Lombroso nell’ambito dell’antropologia criminale, ma l’ambito dell’analisi deve essere circoscritto al criterio dell’imputabilità da distinguere dalla non-punibilità. </w:t>
      </w:r>
    </w:p>
    <w:p w14:paraId="05C28B8E" w14:textId="77777777" w:rsidR="000B410F" w:rsidRDefault="001146DF"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Tra le varie </w:t>
      </w:r>
      <w:r w:rsidR="00B914B7">
        <w:rPr>
          <w:rFonts w:ascii="Times New Roman" w:hAnsi="Times New Roman" w:cs="Times New Roman"/>
          <w:sz w:val="28"/>
          <w:szCs w:val="28"/>
        </w:rPr>
        <w:t>problematiche che</w:t>
      </w:r>
      <w:r>
        <w:rPr>
          <w:rFonts w:ascii="Times New Roman" w:hAnsi="Times New Roman" w:cs="Times New Roman"/>
          <w:sz w:val="28"/>
          <w:szCs w:val="28"/>
        </w:rPr>
        <w:t xml:space="preserve"> sono stati affrontate</w:t>
      </w:r>
      <w:r w:rsidR="000B410F">
        <w:rPr>
          <w:rFonts w:ascii="Times New Roman" w:hAnsi="Times New Roman" w:cs="Times New Roman"/>
          <w:sz w:val="28"/>
          <w:szCs w:val="28"/>
        </w:rPr>
        <w:t>,</w:t>
      </w:r>
      <w:r>
        <w:rPr>
          <w:rFonts w:ascii="Times New Roman" w:hAnsi="Times New Roman" w:cs="Times New Roman"/>
          <w:sz w:val="28"/>
          <w:szCs w:val="28"/>
        </w:rPr>
        <w:t xml:space="preserve"> ci si è chiesti se l’avvento delle neuroscienze possa </w:t>
      </w:r>
      <w:r w:rsidR="004F7812">
        <w:rPr>
          <w:rFonts w:ascii="Times New Roman" w:hAnsi="Times New Roman" w:cs="Times New Roman"/>
          <w:sz w:val="28"/>
          <w:szCs w:val="28"/>
        </w:rPr>
        <w:t xml:space="preserve">in qualche modo rimodulare alcuni capisaldi del diritto penale, quali il concetto di libero arbitrio, </w:t>
      </w:r>
      <w:r w:rsidR="00B914B7">
        <w:rPr>
          <w:rFonts w:ascii="Times New Roman" w:hAnsi="Times New Roman" w:cs="Times New Roman"/>
          <w:sz w:val="28"/>
          <w:szCs w:val="28"/>
        </w:rPr>
        <w:t>coscienza,</w:t>
      </w:r>
      <w:r w:rsidR="004F7812">
        <w:rPr>
          <w:rFonts w:ascii="Times New Roman" w:hAnsi="Times New Roman" w:cs="Times New Roman"/>
          <w:sz w:val="28"/>
          <w:szCs w:val="28"/>
        </w:rPr>
        <w:t xml:space="preserve"> volontà e responsabilità. </w:t>
      </w:r>
    </w:p>
    <w:p w14:paraId="4FEC1FA7" w14:textId="113DAA7F" w:rsidR="001146DF" w:rsidRDefault="004F7812"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Secondo i fautori del c</w:t>
      </w:r>
      <w:r w:rsidR="00B818F9">
        <w:rPr>
          <w:rFonts w:ascii="Times New Roman" w:hAnsi="Times New Roman" w:cs="Times New Roman"/>
          <w:sz w:val="28"/>
          <w:szCs w:val="28"/>
        </w:rPr>
        <w:t>.</w:t>
      </w:r>
      <w:r>
        <w:rPr>
          <w:rFonts w:ascii="Times New Roman" w:hAnsi="Times New Roman" w:cs="Times New Roman"/>
          <w:sz w:val="28"/>
          <w:szCs w:val="28"/>
        </w:rPr>
        <w:t>d</w:t>
      </w:r>
      <w:r w:rsidR="00B818F9">
        <w:rPr>
          <w:rFonts w:ascii="Times New Roman" w:hAnsi="Times New Roman" w:cs="Times New Roman"/>
          <w:sz w:val="28"/>
          <w:szCs w:val="28"/>
        </w:rPr>
        <w:t>.</w:t>
      </w:r>
      <w:r>
        <w:rPr>
          <w:rFonts w:ascii="Times New Roman" w:hAnsi="Times New Roman" w:cs="Times New Roman"/>
          <w:sz w:val="28"/>
          <w:szCs w:val="28"/>
        </w:rPr>
        <w:t xml:space="preserve"> determinismo</w:t>
      </w:r>
      <w:r w:rsidR="00B818F9">
        <w:rPr>
          <w:rFonts w:ascii="Times New Roman" w:hAnsi="Times New Roman" w:cs="Times New Roman"/>
          <w:sz w:val="28"/>
          <w:szCs w:val="28"/>
        </w:rPr>
        <w:t>,</w:t>
      </w:r>
      <w:r>
        <w:rPr>
          <w:rFonts w:ascii="Times New Roman" w:hAnsi="Times New Roman" w:cs="Times New Roman"/>
          <w:sz w:val="28"/>
          <w:szCs w:val="28"/>
        </w:rPr>
        <w:t xml:space="preserve"> ogni comportamento umano è solo l’esito meccanicistico di un processo cerebrale.</w:t>
      </w:r>
    </w:p>
    <w:p w14:paraId="5A9205CE" w14:textId="77777777" w:rsidR="000B410F" w:rsidRDefault="004F7812"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La rimodulazione del diritto penale su basi deterministiche è una strada percorribile, con la naturale conseguenza che si dovrebbe operare una completa rimodulazione delle sanzioni, sganciate da qualsiasi nucleo </w:t>
      </w:r>
      <w:proofErr w:type="spellStart"/>
      <w:r>
        <w:rPr>
          <w:rFonts w:ascii="Times New Roman" w:hAnsi="Times New Roman" w:cs="Times New Roman"/>
          <w:sz w:val="28"/>
          <w:szCs w:val="28"/>
        </w:rPr>
        <w:t>retribuzionistico</w:t>
      </w:r>
      <w:proofErr w:type="spellEnd"/>
      <w:r>
        <w:rPr>
          <w:rFonts w:ascii="Times New Roman" w:hAnsi="Times New Roman" w:cs="Times New Roman"/>
          <w:sz w:val="28"/>
          <w:szCs w:val="28"/>
        </w:rPr>
        <w:t xml:space="preserve"> e proiettate esclusivamente in funzione di cura e di controllo del soggetto predisposto al crimine. </w:t>
      </w:r>
    </w:p>
    <w:p w14:paraId="1FA38182" w14:textId="77777777" w:rsidR="000B410F" w:rsidRDefault="004F7812"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Tale conclusione, però, suscita molte perplessità e avanza due critiche. </w:t>
      </w:r>
    </w:p>
    <w:p w14:paraId="6C7FE4F8" w14:textId="548B91FB" w:rsidR="004F7812" w:rsidRDefault="004F7812"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La prima è che la concezione deterministica potrebbe voler solamente fornire una spiegazione </w:t>
      </w:r>
      <w:proofErr w:type="spellStart"/>
      <w:r>
        <w:rPr>
          <w:rFonts w:ascii="Times New Roman" w:hAnsi="Times New Roman" w:cs="Times New Roman"/>
          <w:sz w:val="28"/>
          <w:szCs w:val="28"/>
        </w:rPr>
        <w:t>unicausale</w:t>
      </w:r>
      <w:proofErr w:type="spellEnd"/>
      <w:r>
        <w:rPr>
          <w:rFonts w:ascii="Times New Roman" w:hAnsi="Times New Roman" w:cs="Times New Roman"/>
          <w:sz w:val="28"/>
          <w:szCs w:val="28"/>
        </w:rPr>
        <w:t xml:space="preserve"> della criminalità. In passato si è sempre sostenuto che la causa della criminalità è da rinvenirsi in vari fattori quali la povertà, la razza, il ceto sociale, il livello di istruzione, la conformazione del cranio. Ora la causa si individua nella conformazione cerebrale e nelle interconnessioni neuronali dell’individuo.</w:t>
      </w:r>
    </w:p>
    <w:p w14:paraId="10FA6F48" w14:textId="222B8260" w:rsidR="004F7812" w:rsidRDefault="004F7812"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Le teorie </w:t>
      </w:r>
      <w:proofErr w:type="spellStart"/>
      <w:r w:rsidRPr="003D3D55">
        <w:rPr>
          <w:rFonts w:ascii="Times New Roman" w:hAnsi="Times New Roman" w:cs="Times New Roman"/>
          <w:i/>
          <w:iCs/>
          <w:sz w:val="28"/>
          <w:szCs w:val="28"/>
        </w:rPr>
        <w:t>unicausali</w:t>
      </w:r>
      <w:proofErr w:type="spellEnd"/>
      <w:r w:rsidRPr="003D3D55">
        <w:rPr>
          <w:rFonts w:ascii="Times New Roman" w:hAnsi="Times New Roman" w:cs="Times New Roman"/>
          <w:i/>
          <w:iCs/>
          <w:sz w:val="28"/>
          <w:szCs w:val="28"/>
        </w:rPr>
        <w:t xml:space="preserve"> </w:t>
      </w:r>
      <w:r>
        <w:rPr>
          <w:rFonts w:ascii="Times New Roman" w:hAnsi="Times New Roman" w:cs="Times New Roman"/>
          <w:sz w:val="28"/>
          <w:szCs w:val="28"/>
        </w:rPr>
        <w:t>della criminalità</w:t>
      </w:r>
      <w:r w:rsidR="00B818F9">
        <w:rPr>
          <w:rFonts w:ascii="Times New Roman" w:hAnsi="Times New Roman" w:cs="Times New Roman"/>
          <w:sz w:val="28"/>
          <w:szCs w:val="28"/>
        </w:rPr>
        <w:t xml:space="preserve"> – </w:t>
      </w:r>
      <w:r>
        <w:rPr>
          <w:rFonts w:ascii="Times New Roman" w:hAnsi="Times New Roman" w:cs="Times New Roman"/>
          <w:sz w:val="28"/>
          <w:szCs w:val="28"/>
        </w:rPr>
        <w:t xml:space="preserve">compresa la teoria </w:t>
      </w:r>
      <w:proofErr w:type="spellStart"/>
      <w:r>
        <w:rPr>
          <w:rFonts w:ascii="Times New Roman" w:hAnsi="Times New Roman" w:cs="Times New Roman"/>
          <w:sz w:val="28"/>
          <w:szCs w:val="28"/>
        </w:rPr>
        <w:t>neuroscientifica</w:t>
      </w:r>
      <w:proofErr w:type="spellEnd"/>
      <w:r w:rsidR="00B818F9">
        <w:rPr>
          <w:rFonts w:ascii="Times New Roman" w:hAnsi="Times New Roman" w:cs="Times New Roman"/>
          <w:sz w:val="28"/>
          <w:szCs w:val="28"/>
        </w:rPr>
        <w:t xml:space="preserve"> – </w:t>
      </w:r>
      <w:r w:rsidR="00FF1E0F">
        <w:rPr>
          <w:rFonts w:ascii="Times New Roman" w:hAnsi="Times New Roman" w:cs="Times New Roman"/>
          <w:sz w:val="28"/>
          <w:szCs w:val="28"/>
        </w:rPr>
        <w:t>oscurano, insomma, altri possibili fattori, di natura personale (che vanno dall’indole all’educazione) e/o ambientale (che a loro volta variano dalla cultura alla società, alla famiglia alla scuola,</w:t>
      </w:r>
      <w:r w:rsidR="00B914B7">
        <w:rPr>
          <w:rFonts w:ascii="Times New Roman" w:hAnsi="Times New Roman" w:cs="Times New Roman"/>
          <w:sz w:val="28"/>
          <w:szCs w:val="28"/>
        </w:rPr>
        <w:t xml:space="preserve"> </w:t>
      </w:r>
      <w:r w:rsidR="00FF1E0F">
        <w:rPr>
          <w:rFonts w:ascii="Times New Roman" w:hAnsi="Times New Roman" w:cs="Times New Roman"/>
          <w:sz w:val="28"/>
          <w:szCs w:val="28"/>
        </w:rPr>
        <w:t>e</w:t>
      </w:r>
      <w:r w:rsidR="000B410F">
        <w:rPr>
          <w:rFonts w:ascii="Times New Roman" w:hAnsi="Times New Roman" w:cs="Times New Roman"/>
          <w:sz w:val="28"/>
          <w:szCs w:val="28"/>
        </w:rPr>
        <w:t>c</w:t>
      </w:r>
      <w:r w:rsidR="00FF1E0F">
        <w:rPr>
          <w:rFonts w:ascii="Times New Roman" w:hAnsi="Times New Roman" w:cs="Times New Roman"/>
          <w:sz w:val="28"/>
          <w:szCs w:val="28"/>
        </w:rPr>
        <w:t>c</w:t>
      </w:r>
      <w:r w:rsidR="00B914B7">
        <w:rPr>
          <w:rFonts w:ascii="Times New Roman" w:hAnsi="Times New Roman" w:cs="Times New Roman"/>
          <w:sz w:val="28"/>
          <w:szCs w:val="28"/>
        </w:rPr>
        <w:t>.</w:t>
      </w:r>
      <w:r w:rsidR="00FF1E0F">
        <w:rPr>
          <w:rFonts w:ascii="Times New Roman" w:hAnsi="Times New Roman" w:cs="Times New Roman"/>
          <w:sz w:val="28"/>
          <w:szCs w:val="28"/>
        </w:rPr>
        <w:t>), i quali esercitano indubbiamente un ruolo importante, per lo meno in funzione di creazione dell’occasione o di innesco del comportamento criminale: ammesso</w:t>
      </w:r>
      <w:r w:rsidR="00B914B7">
        <w:rPr>
          <w:rFonts w:ascii="Times New Roman" w:hAnsi="Times New Roman" w:cs="Times New Roman"/>
          <w:sz w:val="28"/>
          <w:szCs w:val="28"/>
        </w:rPr>
        <w:t xml:space="preserve">, </w:t>
      </w:r>
      <w:r w:rsidR="00FF1E0F">
        <w:rPr>
          <w:rFonts w:ascii="Times New Roman" w:hAnsi="Times New Roman" w:cs="Times New Roman"/>
          <w:sz w:val="28"/>
          <w:szCs w:val="28"/>
        </w:rPr>
        <w:t>quindi, che le neuroscienze riescano davvero a mappare una predisposizione neuronale al crimine, non disponiamo ancora di alcun elemento per affermare se e quando tale predisposizione si trasformerà effettivamente in realizzazione concreta.</w:t>
      </w:r>
    </w:p>
    <w:p w14:paraId="33B221D1" w14:textId="6C699955" w:rsidR="00FF1E0F" w:rsidRDefault="00FF1E0F"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La seconda critica ad una possibile rimodulazione del diritto penale si basa sul fatto che, almeno ad oggi, le acquisizioni dei </w:t>
      </w:r>
      <w:proofErr w:type="spellStart"/>
      <w:r>
        <w:rPr>
          <w:rFonts w:ascii="Times New Roman" w:hAnsi="Times New Roman" w:cs="Times New Roman"/>
          <w:sz w:val="28"/>
          <w:szCs w:val="28"/>
        </w:rPr>
        <w:t>neuroscienziati</w:t>
      </w:r>
      <w:proofErr w:type="spellEnd"/>
      <w:r w:rsidR="003D3D55">
        <w:rPr>
          <w:rFonts w:ascii="Times New Roman" w:hAnsi="Times New Roman" w:cs="Times New Roman"/>
          <w:sz w:val="28"/>
          <w:szCs w:val="28"/>
        </w:rPr>
        <w:t xml:space="preserve"> non giustificano alcun cambiamento della legge penale, obiettivo che, peraltro, la comunità </w:t>
      </w:r>
      <w:proofErr w:type="spellStart"/>
      <w:r w:rsidR="003D3D55">
        <w:rPr>
          <w:rFonts w:ascii="Times New Roman" w:hAnsi="Times New Roman" w:cs="Times New Roman"/>
          <w:sz w:val="28"/>
          <w:szCs w:val="28"/>
        </w:rPr>
        <w:t>neuroscientifica</w:t>
      </w:r>
      <w:proofErr w:type="spellEnd"/>
      <w:r w:rsidR="003D3D55">
        <w:rPr>
          <w:rFonts w:ascii="Times New Roman" w:hAnsi="Times New Roman" w:cs="Times New Roman"/>
          <w:sz w:val="28"/>
          <w:szCs w:val="28"/>
        </w:rPr>
        <w:t xml:space="preserve"> nemmeno si pone, puntando, invece, essa solo a mettere a disposizione del diritto penale metodi e tecniche atti a meglio valutare aspetti come l’imputabilità, la pericolosità sociale, la eventuale falsità delle dichiarazioni processuali.</w:t>
      </w:r>
    </w:p>
    <w:p w14:paraId="647BC217" w14:textId="77777777" w:rsidR="00167A84" w:rsidRDefault="00980183"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Se le neuroscienze non possono incidere oltre un certo limite sul concetto di imputabilità, l’algoritmo può rappresentare l’elemento di </w:t>
      </w:r>
      <w:proofErr w:type="spellStart"/>
      <w:r>
        <w:rPr>
          <w:rFonts w:ascii="Times New Roman" w:hAnsi="Times New Roman" w:cs="Times New Roman"/>
          <w:sz w:val="28"/>
          <w:szCs w:val="28"/>
        </w:rPr>
        <w:t>eterodeterminazione</w:t>
      </w:r>
      <w:proofErr w:type="spellEnd"/>
      <w:r>
        <w:rPr>
          <w:rFonts w:ascii="Times New Roman" w:hAnsi="Times New Roman" w:cs="Times New Roman"/>
          <w:sz w:val="28"/>
          <w:szCs w:val="28"/>
        </w:rPr>
        <w:t xml:space="preserve"> della volontà umana, ponendo la questione della legittimità di un intervento eteronomo sul processo cognitivo e volitivo dell’uomo. </w:t>
      </w:r>
    </w:p>
    <w:p w14:paraId="1692A468" w14:textId="7AD1CB96" w:rsidR="00980183" w:rsidRDefault="00980183" w:rsidP="00723BD7">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Si pensi al programma di interfaccia cervello-computer elaborato da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nel 2018 </w:t>
      </w:r>
      <w:r w:rsidR="00B818F9">
        <w:rPr>
          <w:rFonts w:ascii="Times New Roman" w:hAnsi="Times New Roman" w:cs="Times New Roman"/>
          <w:sz w:val="28"/>
          <w:szCs w:val="28"/>
        </w:rPr>
        <w:t xml:space="preserve">(il </w:t>
      </w:r>
      <w:r>
        <w:rPr>
          <w:rFonts w:ascii="Times New Roman" w:hAnsi="Times New Roman" w:cs="Times New Roman"/>
          <w:sz w:val="28"/>
          <w:szCs w:val="28"/>
        </w:rPr>
        <w:t>c</w:t>
      </w:r>
      <w:r w:rsidR="00B818F9">
        <w:rPr>
          <w:rFonts w:ascii="Times New Roman" w:hAnsi="Times New Roman" w:cs="Times New Roman"/>
          <w:sz w:val="28"/>
          <w:szCs w:val="28"/>
        </w:rPr>
        <w:t>.</w:t>
      </w:r>
      <w:r>
        <w:rPr>
          <w:rFonts w:ascii="Times New Roman" w:hAnsi="Times New Roman" w:cs="Times New Roman"/>
          <w:sz w:val="28"/>
          <w:szCs w:val="28"/>
        </w:rPr>
        <w:t>d</w:t>
      </w:r>
      <w:r w:rsidR="00B818F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80183">
        <w:rPr>
          <w:rFonts w:ascii="Times New Roman" w:hAnsi="Times New Roman" w:cs="Times New Roman"/>
          <w:i/>
          <w:iCs/>
          <w:sz w:val="28"/>
          <w:szCs w:val="28"/>
        </w:rPr>
        <w:t>neuromarketing</w:t>
      </w:r>
      <w:proofErr w:type="spellEnd"/>
      <w:r w:rsidR="00B818F9" w:rsidRPr="00B818F9">
        <w:rPr>
          <w:rFonts w:ascii="Times New Roman" w:hAnsi="Times New Roman" w:cs="Times New Roman"/>
          <w:sz w:val="28"/>
          <w:szCs w:val="28"/>
        </w:rPr>
        <w:t>)</w:t>
      </w:r>
      <w:r w:rsidRPr="00B818F9">
        <w:rPr>
          <w:rFonts w:ascii="Times New Roman" w:hAnsi="Times New Roman" w:cs="Times New Roman"/>
          <w:sz w:val="28"/>
          <w:szCs w:val="28"/>
        </w:rPr>
        <w:t xml:space="preserve"> </w:t>
      </w:r>
      <w:r>
        <w:rPr>
          <w:rFonts w:ascii="Times New Roman" w:hAnsi="Times New Roman" w:cs="Times New Roman"/>
          <w:sz w:val="28"/>
          <w:szCs w:val="28"/>
        </w:rPr>
        <w:t xml:space="preserve">con parametri psicometrici basati sulla </w:t>
      </w:r>
      <w:proofErr w:type="spellStart"/>
      <w:r>
        <w:rPr>
          <w:rFonts w:ascii="Times New Roman" w:hAnsi="Times New Roman" w:cs="Times New Roman"/>
          <w:sz w:val="28"/>
          <w:szCs w:val="28"/>
        </w:rPr>
        <w:t>profilazione</w:t>
      </w:r>
      <w:proofErr w:type="spellEnd"/>
      <w:r>
        <w:rPr>
          <w:rFonts w:ascii="Times New Roman" w:hAnsi="Times New Roman" w:cs="Times New Roman"/>
          <w:sz w:val="28"/>
          <w:szCs w:val="28"/>
        </w:rPr>
        <w:t xml:space="preserve"> predittiva a carattere </w:t>
      </w:r>
      <w:proofErr w:type="spellStart"/>
      <w:r>
        <w:rPr>
          <w:rFonts w:ascii="Times New Roman" w:hAnsi="Times New Roman" w:cs="Times New Roman"/>
          <w:sz w:val="28"/>
          <w:szCs w:val="28"/>
        </w:rPr>
        <w:t>neuroscientifico</w:t>
      </w:r>
      <w:proofErr w:type="spellEnd"/>
      <w:r w:rsidR="00B818F9">
        <w:rPr>
          <w:rFonts w:ascii="Times New Roman" w:hAnsi="Times New Roman" w:cs="Times New Roman"/>
          <w:sz w:val="28"/>
          <w:szCs w:val="28"/>
        </w:rPr>
        <w:t xml:space="preserve"> (</w:t>
      </w:r>
      <w:r>
        <w:rPr>
          <w:rFonts w:ascii="Times New Roman" w:hAnsi="Times New Roman" w:cs="Times New Roman"/>
          <w:sz w:val="28"/>
          <w:szCs w:val="28"/>
        </w:rPr>
        <w:t>c</w:t>
      </w:r>
      <w:r w:rsidR="00B818F9">
        <w:rPr>
          <w:rFonts w:ascii="Times New Roman" w:hAnsi="Times New Roman" w:cs="Times New Roman"/>
          <w:sz w:val="28"/>
          <w:szCs w:val="28"/>
        </w:rPr>
        <w:t>.</w:t>
      </w:r>
      <w:r>
        <w:rPr>
          <w:rFonts w:ascii="Times New Roman" w:hAnsi="Times New Roman" w:cs="Times New Roman"/>
          <w:sz w:val="28"/>
          <w:szCs w:val="28"/>
        </w:rPr>
        <w:t>d</w:t>
      </w:r>
      <w:r w:rsidR="00B818F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80183">
        <w:rPr>
          <w:rFonts w:ascii="Times New Roman" w:hAnsi="Times New Roman" w:cs="Times New Roman"/>
          <w:i/>
          <w:iCs/>
          <w:sz w:val="28"/>
          <w:szCs w:val="28"/>
        </w:rPr>
        <w:t>brainreading</w:t>
      </w:r>
      <w:proofErr w:type="spellEnd"/>
      <w:r w:rsidR="00B818F9">
        <w:rPr>
          <w:rFonts w:ascii="Times New Roman" w:hAnsi="Times New Roman" w:cs="Times New Roman"/>
          <w:sz w:val="28"/>
          <w:szCs w:val="28"/>
        </w:rPr>
        <w:t xml:space="preserve">), </w:t>
      </w:r>
      <w:r>
        <w:rPr>
          <w:rFonts w:ascii="Times New Roman" w:hAnsi="Times New Roman" w:cs="Times New Roman"/>
          <w:sz w:val="28"/>
          <w:szCs w:val="28"/>
        </w:rPr>
        <w:t xml:space="preserve">con sfruttamento a scopi </w:t>
      </w:r>
      <w:r w:rsidR="00B914B7">
        <w:rPr>
          <w:rFonts w:ascii="Times New Roman" w:hAnsi="Times New Roman" w:cs="Times New Roman"/>
          <w:sz w:val="28"/>
          <w:szCs w:val="28"/>
        </w:rPr>
        <w:t>commerciali.</w:t>
      </w:r>
      <w:r>
        <w:rPr>
          <w:rFonts w:ascii="Times New Roman" w:hAnsi="Times New Roman" w:cs="Times New Roman"/>
          <w:sz w:val="28"/>
          <w:szCs w:val="28"/>
        </w:rPr>
        <w:t xml:space="preserve"> In tal caso occorre distinguere tra </w:t>
      </w:r>
      <w:r w:rsidRPr="00980183">
        <w:rPr>
          <w:rFonts w:ascii="Times New Roman" w:hAnsi="Times New Roman" w:cs="Times New Roman"/>
          <w:i/>
          <w:iCs/>
          <w:sz w:val="28"/>
          <w:szCs w:val="28"/>
        </w:rPr>
        <w:t>persuasione, suggestione e soggezione psichica</w:t>
      </w:r>
      <w:r>
        <w:rPr>
          <w:rFonts w:ascii="Times New Roman" w:hAnsi="Times New Roman" w:cs="Times New Roman"/>
          <w:i/>
          <w:iCs/>
          <w:sz w:val="28"/>
          <w:szCs w:val="28"/>
        </w:rPr>
        <w:t>.</w:t>
      </w:r>
    </w:p>
    <w:p w14:paraId="5D7C3486" w14:textId="77777777" w:rsidR="00167A84" w:rsidRDefault="00167A84" w:rsidP="00723BD7">
      <w:pPr>
        <w:tabs>
          <w:tab w:val="left" w:pos="8364"/>
        </w:tabs>
        <w:spacing w:after="0"/>
        <w:jc w:val="both"/>
        <w:rPr>
          <w:rFonts w:ascii="Times New Roman" w:hAnsi="Times New Roman" w:cs="Times New Roman"/>
          <w:i/>
          <w:iCs/>
          <w:sz w:val="28"/>
          <w:szCs w:val="28"/>
        </w:rPr>
      </w:pPr>
    </w:p>
    <w:p w14:paraId="09749277" w14:textId="56244D58" w:rsidR="00980183" w:rsidRDefault="00980183" w:rsidP="00723BD7">
      <w:pPr>
        <w:tabs>
          <w:tab w:val="left" w:pos="8364"/>
        </w:tabs>
        <w:spacing w:after="0"/>
        <w:jc w:val="both"/>
        <w:rPr>
          <w:rFonts w:ascii="Times New Roman" w:hAnsi="Times New Roman" w:cs="Times New Roman"/>
          <w:sz w:val="28"/>
          <w:szCs w:val="28"/>
        </w:rPr>
      </w:pPr>
      <w:r w:rsidRPr="00980183">
        <w:rPr>
          <w:rFonts w:ascii="Times New Roman" w:hAnsi="Times New Roman" w:cs="Times New Roman"/>
          <w:sz w:val="28"/>
          <w:szCs w:val="28"/>
        </w:rPr>
        <w:t xml:space="preserve">Il </w:t>
      </w:r>
      <w:proofErr w:type="gramStart"/>
      <w:r w:rsidRPr="00980183">
        <w:rPr>
          <w:rFonts w:ascii="Times New Roman" w:hAnsi="Times New Roman" w:cs="Times New Roman"/>
          <w:sz w:val="28"/>
          <w:szCs w:val="28"/>
        </w:rPr>
        <w:t>codice penale</w:t>
      </w:r>
      <w:proofErr w:type="gramEnd"/>
      <w:r>
        <w:rPr>
          <w:rFonts w:ascii="Times New Roman" w:hAnsi="Times New Roman" w:cs="Times New Roman"/>
          <w:sz w:val="28"/>
          <w:szCs w:val="28"/>
        </w:rPr>
        <w:t>, pur non prevedendo più il reato di plagio, sanziona la manipolazione psicologica</w:t>
      </w:r>
      <w:r w:rsidR="0079196A">
        <w:rPr>
          <w:rFonts w:ascii="Times New Roman" w:hAnsi="Times New Roman" w:cs="Times New Roman"/>
          <w:sz w:val="28"/>
          <w:szCs w:val="28"/>
        </w:rPr>
        <w:t xml:space="preserve"> quando presenta gli estremi della violenza privata.</w:t>
      </w:r>
    </w:p>
    <w:p w14:paraId="2A83F582" w14:textId="52218558" w:rsidR="00C81A4B" w:rsidRDefault="00C81A4B"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Ma può oggi l’algoritmo plagiare la mente umana?</w:t>
      </w:r>
    </w:p>
    <w:p w14:paraId="2A92B1C5" w14:textId="1204A755" w:rsidR="00EE3CF2" w:rsidRDefault="0079196A"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Si ricorderà il caso</w:t>
      </w:r>
      <w:r w:rsidR="00DA7868">
        <w:rPr>
          <w:rFonts w:ascii="Times New Roman" w:hAnsi="Times New Roman" w:cs="Times New Roman"/>
          <w:sz w:val="28"/>
          <w:szCs w:val="28"/>
        </w:rPr>
        <w:t xml:space="preserve"> di </w:t>
      </w:r>
      <w:r w:rsidR="00DA7868" w:rsidRPr="00DA7868">
        <w:rPr>
          <w:rFonts w:ascii="Times New Roman" w:hAnsi="Times New Roman" w:cs="Times New Roman"/>
          <w:i/>
          <w:iCs/>
          <w:sz w:val="28"/>
          <w:szCs w:val="28"/>
        </w:rPr>
        <w:t>Aldo</w:t>
      </w:r>
      <w:r>
        <w:rPr>
          <w:rFonts w:ascii="Times New Roman" w:hAnsi="Times New Roman" w:cs="Times New Roman"/>
          <w:sz w:val="28"/>
          <w:szCs w:val="28"/>
        </w:rPr>
        <w:t xml:space="preserve"> </w:t>
      </w:r>
      <w:proofErr w:type="spellStart"/>
      <w:r w:rsidRPr="0079196A">
        <w:rPr>
          <w:rFonts w:ascii="Times New Roman" w:hAnsi="Times New Roman" w:cs="Times New Roman"/>
          <w:i/>
          <w:iCs/>
          <w:sz w:val="28"/>
          <w:szCs w:val="28"/>
        </w:rPr>
        <w:t>Braibanti</w:t>
      </w:r>
      <w:proofErr w:type="spellEnd"/>
      <w:r w:rsidR="00F2781E">
        <w:rPr>
          <w:rFonts w:ascii="Times New Roman" w:hAnsi="Times New Roman" w:cs="Times New Roman"/>
          <w:i/>
          <w:iCs/>
          <w:sz w:val="28"/>
          <w:szCs w:val="28"/>
        </w:rPr>
        <w:t xml:space="preserve">, </w:t>
      </w:r>
      <w:r w:rsidR="00F2781E" w:rsidRPr="00DA7868">
        <w:rPr>
          <w:rFonts w:ascii="Times New Roman" w:hAnsi="Times New Roman" w:cs="Times New Roman"/>
          <w:sz w:val="28"/>
          <w:szCs w:val="28"/>
        </w:rPr>
        <w:t>scrittore</w:t>
      </w:r>
      <w:r w:rsidR="00DA7868">
        <w:rPr>
          <w:rFonts w:ascii="Times New Roman" w:hAnsi="Times New Roman" w:cs="Times New Roman"/>
          <w:sz w:val="28"/>
          <w:szCs w:val="28"/>
        </w:rPr>
        <w:t>, fine intellettuale,</w:t>
      </w:r>
      <w:r w:rsidR="00F2781E" w:rsidRPr="00DA7868">
        <w:rPr>
          <w:rFonts w:ascii="Times New Roman" w:hAnsi="Times New Roman" w:cs="Times New Roman"/>
          <w:sz w:val="28"/>
          <w:szCs w:val="28"/>
        </w:rPr>
        <w:t xml:space="preserve"> accusato di aver plagiato un giovane</w:t>
      </w:r>
      <w:r w:rsidR="00DA7868">
        <w:rPr>
          <w:rFonts w:ascii="Times New Roman" w:hAnsi="Times New Roman" w:cs="Times New Roman"/>
          <w:sz w:val="28"/>
          <w:szCs w:val="28"/>
        </w:rPr>
        <w:t>, Giovanni Sanfratello</w:t>
      </w:r>
      <w:r w:rsidR="00DA7868">
        <w:rPr>
          <w:rFonts w:ascii="Times New Roman" w:hAnsi="Times New Roman" w:cs="Times New Roman"/>
          <w:i/>
          <w:iCs/>
          <w:sz w:val="28"/>
          <w:szCs w:val="28"/>
        </w:rPr>
        <w:t xml:space="preserve">, </w:t>
      </w:r>
      <w:r w:rsidR="00DA7868" w:rsidRPr="00DA7868">
        <w:rPr>
          <w:rFonts w:ascii="Times New Roman" w:hAnsi="Times New Roman" w:cs="Times New Roman"/>
          <w:sz w:val="28"/>
          <w:szCs w:val="28"/>
        </w:rPr>
        <w:t xml:space="preserve">inculcandogli le sue idee e soggiogandolo da un punto di vista </w:t>
      </w:r>
      <w:r w:rsidR="00DA7868" w:rsidRPr="00B818F9">
        <w:rPr>
          <w:rFonts w:ascii="Times New Roman" w:hAnsi="Times New Roman" w:cs="Times New Roman"/>
          <w:sz w:val="28"/>
          <w:szCs w:val="28"/>
        </w:rPr>
        <w:t>psicologico</w:t>
      </w:r>
      <w:r w:rsidRPr="00B818F9">
        <w:rPr>
          <w:rFonts w:ascii="Times New Roman" w:hAnsi="Times New Roman" w:cs="Times New Roman"/>
          <w:sz w:val="28"/>
          <w:szCs w:val="28"/>
        </w:rPr>
        <w:t>: la</w:t>
      </w:r>
      <w:r w:rsidRPr="0079196A">
        <w:rPr>
          <w:rFonts w:ascii="Times New Roman" w:hAnsi="Times New Roman" w:cs="Times New Roman"/>
          <w:sz w:val="28"/>
          <w:szCs w:val="28"/>
        </w:rPr>
        <w:t xml:space="preserve"> Corte costituzionale</w:t>
      </w:r>
      <w:r w:rsidR="00B818F9">
        <w:rPr>
          <w:rFonts w:ascii="Times New Roman" w:hAnsi="Times New Roman" w:cs="Times New Roman"/>
          <w:sz w:val="28"/>
          <w:szCs w:val="28"/>
        </w:rPr>
        <w:t>,</w:t>
      </w:r>
      <w:r w:rsidRPr="0079196A">
        <w:rPr>
          <w:rFonts w:ascii="Times New Roman" w:hAnsi="Times New Roman" w:cs="Times New Roman"/>
          <w:sz w:val="28"/>
          <w:szCs w:val="28"/>
        </w:rPr>
        <w:t xml:space="preserve"> con la sentenza n.</w:t>
      </w:r>
      <w:r w:rsidR="00B914B7">
        <w:rPr>
          <w:rFonts w:ascii="Times New Roman" w:hAnsi="Times New Roman" w:cs="Times New Roman"/>
          <w:sz w:val="28"/>
          <w:szCs w:val="28"/>
        </w:rPr>
        <w:t xml:space="preserve"> </w:t>
      </w:r>
      <w:r w:rsidRPr="0079196A">
        <w:rPr>
          <w:rFonts w:ascii="Times New Roman" w:hAnsi="Times New Roman" w:cs="Times New Roman"/>
          <w:sz w:val="28"/>
          <w:szCs w:val="28"/>
        </w:rPr>
        <w:t xml:space="preserve">96 del 9 </w:t>
      </w:r>
      <w:proofErr w:type="gramStart"/>
      <w:r w:rsidRPr="0079196A">
        <w:rPr>
          <w:rFonts w:ascii="Times New Roman" w:hAnsi="Times New Roman" w:cs="Times New Roman"/>
          <w:sz w:val="28"/>
          <w:szCs w:val="28"/>
        </w:rPr>
        <w:t>Aprile</w:t>
      </w:r>
      <w:proofErr w:type="gramEnd"/>
      <w:r w:rsidRPr="0079196A">
        <w:rPr>
          <w:rFonts w:ascii="Times New Roman" w:hAnsi="Times New Roman" w:cs="Times New Roman"/>
          <w:sz w:val="28"/>
          <w:szCs w:val="28"/>
        </w:rPr>
        <w:t xml:space="preserve"> 1981</w:t>
      </w:r>
      <w:r w:rsidR="00B818F9">
        <w:rPr>
          <w:rFonts w:ascii="Times New Roman" w:hAnsi="Times New Roman" w:cs="Times New Roman"/>
          <w:sz w:val="28"/>
          <w:szCs w:val="28"/>
        </w:rPr>
        <w:t>,</w:t>
      </w:r>
      <w:r>
        <w:rPr>
          <w:rFonts w:ascii="Times New Roman" w:hAnsi="Times New Roman" w:cs="Times New Roman"/>
          <w:sz w:val="28"/>
          <w:szCs w:val="28"/>
        </w:rPr>
        <w:t xml:space="preserve"> dichiarò illegittimo il reato di plagio di cui all’art.</w:t>
      </w:r>
      <w:r w:rsidR="00B914B7">
        <w:rPr>
          <w:rFonts w:ascii="Times New Roman" w:hAnsi="Times New Roman" w:cs="Times New Roman"/>
          <w:sz w:val="28"/>
          <w:szCs w:val="28"/>
        </w:rPr>
        <w:t xml:space="preserve"> </w:t>
      </w:r>
      <w:r>
        <w:rPr>
          <w:rFonts w:ascii="Times New Roman" w:hAnsi="Times New Roman" w:cs="Times New Roman"/>
          <w:sz w:val="28"/>
          <w:szCs w:val="28"/>
        </w:rPr>
        <w:t>603 c</w:t>
      </w:r>
      <w:r w:rsidR="00B914B7">
        <w:rPr>
          <w:rFonts w:ascii="Times New Roman" w:hAnsi="Times New Roman" w:cs="Times New Roman"/>
          <w:sz w:val="28"/>
          <w:szCs w:val="28"/>
        </w:rPr>
        <w:t>.</w:t>
      </w:r>
      <w:r>
        <w:rPr>
          <w:rFonts w:ascii="Times New Roman" w:hAnsi="Times New Roman" w:cs="Times New Roman"/>
          <w:sz w:val="28"/>
          <w:szCs w:val="28"/>
        </w:rPr>
        <w:t>p</w:t>
      </w:r>
      <w:r w:rsidR="00B914B7">
        <w:rPr>
          <w:rFonts w:ascii="Times New Roman" w:hAnsi="Times New Roman" w:cs="Times New Roman"/>
          <w:sz w:val="28"/>
          <w:szCs w:val="28"/>
        </w:rPr>
        <w:t>.</w:t>
      </w:r>
      <w:r w:rsidR="005B4075">
        <w:rPr>
          <w:rFonts w:ascii="Times New Roman" w:hAnsi="Times New Roman" w:cs="Times New Roman"/>
          <w:sz w:val="28"/>
          <w:szCs w:val="28"/>
        </w:rPr>
        <w:t xml:space="preserve"> per indeterminatezza della </w:t>
      </w:r>
      <w:r w:rsidR="00B914B7">
        <w:rPr>
          <w:rFonts w:ascii="Times New Roman" w:hAnsi="Times New Roman" w:cs="Times New Roman"/>
          <w:sz w:val="28"/>
          <w:szCs w:val="28"/>
        </w:rPr>
        <w:t>fattispecie.</w:t>
      </w:r>
      <w:r>
        <w:rPr>
          <w:rFonts w:ascii="Times New Roman" w:hAnsi="Times New Roman" w:cs="Times New Roman"/>
          <w:sz w:val="28"/>
          <w:szCs w:val="28"/>
        </w:rPr>
        <w:t xml:space="preserve"> In tale sentenza la Corte precisò:</w:t>
      </w:r>
    </w:p>
    <w:p w14:paraId="2D8DB3CF" w14:textId="66CAD0A9" w:rsidR="003340D7" w:rsidRDefault="00B818F9" w:rsidP="00167A84">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w:t>
      </w:r>
      <w:r w:rsidR="0079196A" w:rsidRPr="0079196A">
        <w:rPr>
          <w:rFonts w:ascii="Times New Roman" w:hAnsi="Times New Roman" w:cs="Times New Roman"/>
          <w:i/>
          <w:iCs/>
          <w:sz w:val="28"/>
          <w:szCs w:val="28"/>
        </w:rPr>
        <w:t>Per la configurazione del reato</w:t>
      </w:r>
      <w:r w:rsidR="0079196A">
        <w:rPr>
          <w:rFonts w:ascii="Times New Roman" w:hAnsi="Times New Roman" w:cs="Times New Roman"/>
          <w:sz w:val="28"/>
          <w:szCs w:val="28"/>
        </w:rPr>
        <w:t xml:space="preserve"> </w:t>
      </w:r>
      <w:r w:rsidR="0079196A" w:rsidRPr="0079196A">
        <w:rPr>
          <w:rFonts w:ascii="Times New Roman" w:hAnsi="Times New Roman" w:cs="Times New Roman"/>
          <w:i/>
          <w:iCs/>
          <w:sz w:val="28"/>
          <w:szCs w:val="28"/>
        </w:rPr>
        <w:t>e per l’analisi oggettiva</w:t>
      </w:r>
      <w:r w:rsidR="0079196A">
        <w:rPr>
          <w:rFonts w:ascii="Times New Roman" w:hAnsi="Times New Roman" w:cs="Times New Roman"/>
          <w:i/>
          <w:iCs/>
          <w:sz w:val="28"/>
          <w:szCs w:val="28"/>
        </w:rPr>
        <w:t xml:space="preserve"> dell’attività illecita e degli effetti di questa la recente letteratura ha anche fatto ricorso e si è avvalsa di dati forniti </w:t>
      </w:r>
      <w:r w:rsidR="0079196A">
        <w:rPr>
          <w:rFonts w:ascii="Times New Roman" w:hAnsi="Times New Roman" w:cs="Times New Roman"/>
          <w:i/>
          <w:iCs/>
          <w:sz w:val="28"/>
          <w:szCs w:val="28"/>
        </w:rPr>
        <w:lastRenderedPageBreak/>
        <w:t>da moderni trattati di neurologia e psichiatria, cercando di individuare a fini giuridic</w:t>
      </w:r>
      <w:r w:rsidR="003340D7">
        <w:rPr>
          <w:rFonts w:ascii="Times New Roman" w:hAnsi="Times New Roman" w:cs="Times New Roman"/>
          <w:i/>
          <w:iCs/>
          <w:sz w:val="28"/>
          <w:szCs w:val="28"/>
        </w:rPr>
        <w:t>i, i concetti medici, peraltro non ancora pacifici, di suggestione, convincimento, di persuasione, di soggezione, di determinismo, di annientamento della volontà e di trasferimento della personalità umana da parte di un soggetto ad altro soggetto. Ciò al fine di determinare oggettivamente quale sia in realtà il totale stato di soggezione indicato nella norma, di indicare i possibili mezzi per accertarlo concretamente e di fissare i confini della sfera giuridica entro cui manifestarsi. La varietà delle numerose opinioni avanzate e i mutamenti della dottrina costituiscono anch’essi una conferma dell’indeterminatezza della norma e dell’impossibilità di dare ad essa un’univoca applicazione concreta.</w:t>
      </w:r>
    </w:p>
    <w:p w14:paraId="20B04288" w14:textId="0DB3D943" w:rsidR="003340D7" w:rsidRDefault="003340D7" w:rsidP="00167A84">
      <w:pPr>
        <w:tabs>
          <w:tab w:val="left" w:pos="8364"/>
        </w:tabs>
        <w:spacing w:after="0"/>
        <w:jc w:val="both"/>
        <w:rPr>
          <w:rFonts w:ascii="Times New Roman" w:hAnsi="Times New Roman" w:cs="Times New Roman"/>
          <w:i/>
          <w:iCs/>
          <w:sz w:val="28"/>
          <w:szCs w:val="28"/>
        </w:rPr>
      </w:pPr>
      <w:r>
        <w:rPr>
          <w:rFonts w:ascii="Times New Roman" w:hAnsi="Times New Roman" w:cs="Times New Roman"/>
          <w:i/>
          <w:iCs/>
          <w:sz w:val="28"/>
          <w:szCs w:val="28"/>
        </w:rPr>
        <w:t>L’analisi del testo dell’art.</w:t>
      </w:r>
      <w:r w:rsidR="00B818F9">
        <w:rPr>
          <w:rFonts w:ascii="Times New Roman" w:hAnsi="Times New Roman" w:cs="Times New Roman"/>
          <w:i/>
          <w:iCs/>
          <w:sz w:val="28"/>
          <w:szCs w:val="28"/>
        </w:rPr>
        <w:t xml:space="preserve"> </w:t>
      </w:r>
      <w:r>
        <w:rPr>
          <w:rFonts w:ascii="Times New Roman" w:hAnsi="Times New Roman" w:cs="Times New Roman"/>
          <w:i/>
          <w:iCs/>
          <w:sz w:val="28"/>
          <w:szCs w:val="28"/>
        </w:rPr>
        <w:t>603 e i vari tentativi di distinguere il reato dagli altri delitti contro la libertà individuale, quale figura autonoma, non hanno permesso di precisare in modo razionalmente sicuro le sue caratteristiche specifiche.</w:t>
      </w:r>
    </w:p>
    <w:p w14:paraId="39451391" w14:textId="59994F0E" w:rsidR="0079196A" w:rsidRDefault="003340D7" w:rsidP="00167A84">
      <w:pPr>
        <w:tabs>
          <w:tab w:val="left" w:pos="8364"/>
        </w:tabs>
        <w:spacing w:after="0"/>
        <w:jc w:val="both"/>
        <w:rPr>
          <w:rFonts w:ascii="Times New Roman" w:hAnsi="Times New Roman" w:cs="Times New Roman"/>
          <w:i/>
          <w:iCs/>
          <w:sz w:val="28"/>
          <w:szCs w:val="28"/>
        </w:rPr>
      </w:pPr>
      <w:r>
        <w:rPr>
          <w:rFonts w:ascii="Times New Roman" w:hAnsi="Times New Roman" w:cs="Times New Roman"/>
          <w:i/>
          <w:iCs/>
          <w:sz w:val="28"/>
          <w:szCs w:val="28"/>
        </w:rPr>
        <w:t>Formalmente appare come un reato a condotta libera che dovrebbe essere diverso dalla riduzione in schiavitù o in condizione analoga. …Questo potrebbe essere attuato con mezzi psichici, cioè attraverso un’attività psichica del plagiante esercitata direttamente sul plagiato. L’effetto dell’attività psichic</w:t>
      </w:r>
      <w:r w:rsidR="002D58B1">
        <w:rPr>
          <w:rFonts w:ascii="Times New Roman" w:hAnsi="Times New Roman" w:cs="Times New Roman"/>
          <w:i/>
          <w:iCs/>
          <w:sz w:val="28"/>
          <w:szCs w:val="28"/>
        </w:rPr>
        <w:t>a del plagiante dovrebbe essere non già quello di ridurre un individuo in stato di incapacità di intendere o di volere (previsto espressamente nell’art</w:t>
      </w:r>
      <w:r w:rsidR="00B818F9">
        <w:rPr>
          <w:rFonts w:ascii="Times New Roman" w:hAnsi="Times New Roman" w:cs="Times New Roman"/>
          <w:i/>
          <w:iCs/>
          <w:sz w:val="28"/>
          <w:szCs w:val="28"/>
        </w:rPr>
        <w:t xml:space="preserve">. </w:t>
      </w:r>
      <w:r w:rsidR="002D58B1">
        <w:rPr>
          <w:rFonts w:ascii="Times New Roman" w:hAnsi="Times New Roman" w:cs="Times New Roman"/>
          <w:i/>
          <w:iCs/>
          <w:sz w:val="28"/>
          <w:szCs w:val="28"/>
        </w:rPr>
        <w:t>613 c</w:t>
      </w:r>
      <w:r w:rsidR="00B818F9">
        <w:rPr>
          <w:rFonts w:ascii="Times New Roman" w:hAnsi="Times New Roman" w:cs="Times New Roman"/>
          <w:i/>
          <w:iCs/>
          <w:sz w:val="28"/>
          <w:szCs w:val="28"/>
        </w:rPr>
        <w:t>.</w:t>
      </w:r>
      <w:r w:rsidR="002D58B1">
        <w:rPr>
          <w:rFonts w:ascii="Times New Roman" w:hAnsi="Times New Roman" w:cs="Times New Roman"/>
          <w:i/>
          <w:iCs/>
          <w:sz w:val="28"/>
          <w:szCs w:val="28"/>
        </w:rPr>
        <w:t>p</w:t>
      </w:r>
      <w:r w:rsidR="00B818F9">
        <w:rPr>
          <w:rFonts w:ascii="Times New Roman" w:hAnsi="Times New Roman" w:cs="Times New Roman"/>
          <w:i/>
          <w:iCs/>
          <w:sz w:val="28"/>
          <w:szCs w:val="28"/>
        </w:rPr>
        <w:t>.</w:t>
      </w:r>
      <w:r w:rsidR="002D58B1">
        <w:rPr>
          <w:rFonts w:ascii="Times New Roman" w:hAnsi="Times New Roman" w:cs="Times New Roman"/>
          <w:i/>
          <w:iCs/>
          <w:sz w:val="28"/>
          <w:szCs w:val="28"/>
        </w:rPr>
        <w:t>), bensì quello di ridurre la vittima da persona capace a persona in totale stato di soggezione. Questo totale stato di soggezione indicato dall’art.</w:t>
      </w:r>
      <w:r w:rsidR="00B818F9">
        <w:rPr>
          <w:rFonts w:ascii="Times New Roman" w:hAnsi="Times New Roman" w:cs="Times New Roman"/>
          <w:i/>
          <w:iCs/>
          <w:sz w:val="28"/>
          <w:szCs w:val="28"/>
        </w:rPr>
        <w:t xml:space="preserve"> </w:t>
      </w:r>
      <w:r w:rsidR="002D58B1">
        <w:rPr>
          <w:rFonts w:ascii="Times New Roman" w:hAnsi="Times New Roman" w:cs="Times New Roman"/>
          <w:i/>
          <w:iCs/>
          <w:sz w:val="28"/>
          <w:szCs w:val="28"/>
        </w:rPr>
        <w:t>603 c</w:t>
      </w:r>
      <w:r w:rsidR="00B818F9">
        <w:rPr>
          <w:rFonts w:ascii="Times New Roman" w:hAnsi="Times New Roman" w:cs="Times New Roman"/>
          <w:i/>
          <w:iCs/>
          <w:sz w:val="28"/>
          <w:szCs w:val="28"/>
        </w:rPr>
        <w:t>.</w:t>
      </w:r>
      <w:r w:rsidR="002D58B1">
        <w:rPr>
          <w:rFonts w:ascii="Times New Roman" w:hAnsi="Times New Roman" w:cs="Times New Roman"/>
          <w:i/>
          <w:iCs/>
          <w:sz w:val="28"/>
          <w:szCs w:val="28"/>
        </w:rPr>
        <w:t>p</w:t>
      </w:r>
      <w:r w:rsidR="00B818F9">
        <w:rPr>
          <w:rFonts w:ascii="Times New Roman" w:hAnsi="Times New Roman" w:cs="Times New Roman"/>
          <w:i/>
          <w:iCs/>
          <w:sz w:val="28"/>
          <w:szCs w:val="28"/>
        </w:rPr>
        <w:t>.</w:t>
      </w:r>
      <w:r w:rsidR="002D58B1">
        <w:rPr>
          <w:rFonts w:ascii="Times New Roman" w:hAnsi="Times New Roman" w:cs="Times New Roman"/>
          <w:i/>
          <w:iCs/>
          <w:sz w:val="28"/>
          <w:szCs w:val="28"/>
        </w:rPr>
        <w:t xml:space="preserve"> annienterebbe il determinismo della vittima, sostituendo il determinismo del plagiante a quello del plagiato in guisa da ridurre questo ultimo nello stato di cosa che pensa e agisce come pensa e agisce il plagiante.</w:t>
      </w:r>
      <w:r w:rsidR="00C30C3A">
        <w:rPr>
          <w:rFonts w:ascii="Times New Roman" w:hAnsi="Times New Roman" w:cs="Times New Roman"/>
          <w:i/>
          <w:iCs/>
          <w:sz w:val="28"/>
          <w:szCs w:val="28"/>
        </w:rPr>
        <w:t xml:space="preserve"> </w:t>
      </w:r>
      <w:r w:rsidR="00B818F9">
        <w:rPr>
          <w:rFonts w:ascii="Times New Roman" w:hAnsi="Times New Roman" w:cs="Times New Roman"/>
          <w:i/>
          <w:iCs/>
          <w:sz w:val="28"/>
          <w:szCs w:val="28"/>
        </w:rPr>
        <w:t>In altre parole,</w:t>
      </w:r>
      <w:r w:rsidR="00C30C3A">
        <w:rPr>
          <w:rFonts w:ascii="Times New Roman" w:hAnsi="Times New Roman" w:cs="Times New Roman"/>
          <w:i/>
          <w:iCs/>
          <w:sz w:val="28"/>
          <w:szCs w:val="28"/>
        </w:rPr>
        <w:t xml:space="preserve"> sarebbe il plagiante a formare la volontà sua e del plagiato, questi essendo solo un mezzo fisico per compere le attività volute dal plagiante. Non si conoscono né sono accertabili i modi con i quali si può effettuare l’azione psichica del plagio, né come è raggiungibile il totale stato di soggezione che qualifica tale reato, né se per l’esistenza di questo sia necessaria la continuità dell’azione plagiante nel senso che, se la volontà del plagiante non si dirige più verso il plagiato, cessi lo stato di totale soggezione di questo.</w:t>
      </w:r>
      <w:r w:rsidR="005B4075">
        <w:rPr>
          <w:rFonts w:ascii="Times New Roman" w:hAnsi="Times New Roman" w:cs="Times New Roman"/>
          <w:i/>
          <w:iCs/>
          <w:sz w:val="28"/>
          <w:szCs w:val="28"/>
        </w:rPr>
        <w:t xml:space="preserve"> Non è </w:t>
      </w:r>
      <w:r w:rsidR="00B818F9">
        <w:rPr>
          <w:rFonts w:ascii="Times New Roman" w:hAnsi="Times New Roman" w:cs="Times New Roman"/>
          <w:i/>
          <w:iCs/>
          <w:sz w:val="28"/>
          <w:szCs w:val="28"/>
        </w:rPr>
        <w:t>dato, pertanto</w:t>
      </w:r>
      <w:r w:rsidR="005B4075">
        <w:rPr>
          <w:rFonts w:ascii="Times New Roman" w:hAnsi="Times New Roman" w:cs="Times New Roman"/>
          <w:i/>
          <w:iCs/>
          <w:sz w:val="28"/>
          <w:szCs w:val="28"/>
        </w:rPr>
        <w:t>, conoscere se l’effetto dell’azione plagiante sia permanente e duraturo o se può venir meno in qualunque momento per volontà del plagiante o anche perché non persiste l’attività di questo o per altre cause. Nemmeno si conosce se il risorgere della facoltà di determinismo del plagiato possa essere la conseguenza di un mutamento del determinismo del plagiante o di una diversa direzione data al determinismo di questo. Quanto all’elemento psichico si tratta di un delitto a dolo generico… La scienza medica ha accuratamente indagato intorno alla formazione e al meccanismo della persuasione, della suggestione e della soggezione psichica.</w:t>
      </w:r>
    </w:p>
    <w:p w14:paraId="01E6FECB" w14:textId="329112F8" w:rsidR="005B4075" w:rsidRDefault="005B4075" w:rsidP="00167A84">
      <w:pPr>
        <w:tabs>
          <w:tab w:val="left" w:pos="8364"/>
        </w:tabs>
        <w:spacing w:after="0"/>
        <w:jc w:val="both"/>
        <w:rPr>
          <w:rFonts w:ascii="Times New Roman" w:hAnsi="Times New Roman" w:cs="Times New Roman"/>
          <w:i/>
          <w:iCs/>
          <w:sz w:val="28"/>
          <w:szCs w:val="28"/>
        </w:rPr>
      </w:pPr>
      <w:r>
        <w:rPr>
          <w:rFonts w:ascii="Times New Roman" w:hAnsi="Times New Roman" w:cs="Times New Roman"/>
          <w:i/>
          <w:iCs/>
          <w:sz w:val="28"/>
          <w:szCs w:val="28"/>
        </w:rPr>
        <w:t xml:space="preserve">Fra individui psichicamente normali, l’esternazione da parte di un essere umano di idee e di convinzioni su altri essere umani può provocare l’accettazione delle idee e </w:t>
      </w:r>
      <w:r>
        <w:rPr>
          <w:rFonts w:ascii="Times New Roman" w:hAnsi="Times New Roman" w:cs="Times New Roman"/>
          <w:i/>
          <w:iCs/>
          <w:sz w:val="28"/>
          <w:szCs w:val="28"/>
        </w:rPr>
        <w:lastRenderedPageBreak/>
        <w:t xml:space="preserve">delle convinzioni così esternate e dar luogo ad uno stato di soggezione psichica dell’agente e, pertanto, una limitazione del determinismo del soggetto. Questa limitazione, come è stato scientificamente individuato ed accertato, può dar luogo </w:t>
      </w:r>
      <w:r w:rsidR="00DA3399">
        <w:rPr>
          <w:rFonts w:ascii="Times New Roman" w:hAnsi="Times New Roman" w:cs="Times New Roman"/>
          <w:i/>
          <w:iCs/>
          <w:sz w:val="28"/>
          <w:szCs w:val="28"/>
        </w:rPr>
        <w:t xml:space="preserve">a tipiche situazioni di dipendenza psichica che possono raggiungere, per periodi più o meno lunghi, gradi elevati, come nel caso del rapporto amoroso, del rapporto fra il sacerdote e il credente, fra il Maestro e l’allievo, fra il medico e il paziente ed anche dar luogo a rapporti di influenza reciproca. Ma è estremamente difficile se non impossibile individuare sul piano pratico e distinguere a fini di conseguenze giuridiche l’attività psichica di persuasione da quella anche essa psichica di suggestione. Non vi sono criteri sicuri per separare e qualificare l’una e l’altra attività e per accertare l’esatto confine fra esse. L’affermare che nella persuasione il soggetto passivo conserva la facoltà di scegliere in base alle argomentazioni rivoltegli ed è pertanto, in grado di rifiutare e criticare, mentre nella suggestione la convinzione avviene in maniera </w:t>
      </w:r>
      <w:r w:rsidR="00B818F9">
        <w:rPr>
          <w:rFonts w:ascii="Times New Roman" w:hAnsi="Times New Roman" w:cs="Times New Roman"/>
          <w:i/>
          <w:iCs/>
          <w:sz w:val="28"/>
          <w:szCs w:val="28"/>
        </w:rPr>
        <w:t>diretta e</w:t>
      </w:r>
      <w:r w:rsidR="00DA3399">
        <w:rPr>
          <w:rFonts w:ascii="Times New Roman" w:hAnsi="Times New Roman" w:cs="Times New Roman"/>
          <w:i/>
          <w:iCs/>
          <w:sz w:val="28"/>
          <w:szCs w:val="28"/>
        </w:rPr>
        <w:t xml:space="preserve"> irresistibile, profittando dell’altrui impossibilità di critica e scelta, implica necessariamente una valutazione non solo dell’intensità dell’attività psichica del soggetto attivo, ma anche </w:t>
      </w:r>
      <w:r w:rsidR="00B00C17">
        <w:rPr>
          <w:rFonts w:ascii="Times New Roman" w:hAnsi="Times New Roman" w:cs="Times New Roman"/>
          <w:i/>
          <w:iCs/>
          <w:sz w:val="28"/>
          <w:szCs w:val="28"/>
        </w:rPr>
        <w:t xml:space="preserve">della qualità e dei risultati di essa. Quanto all’intensità, dai testi psichiatrici, psicologici e psicoanalitici e dalle ampie descrizioni mediche di condizionamento psichico risulta che ogni individuo è più o meno suggestionabile, ma che non è possibile graduare ed accertare in modo concreto sino a qual punto l’attività psichica del soggetto esternante idee e concetti possa impedire ad altri il libero esercizio della propria volontà. Quanto alla qualità non è acquisito sino a qual punto l’attività del soggetto attivo non riguardi direttive e suggerimenti che il soggetto passivo sia </w:t>
      </w:r>
      <w:r w:rsidR="00B818F9">
        <w:rPr>
          <w:rFonts w:ascii="Times New Roman" w:hAnsi="Times New Roman" w:cs="Times New Roman"/>
          <w:i/>
          <w:iCs/>
          <w:sz w:val="28"/>
          <w:szCs w:val="28"/>
        </w:rPr>
        <w:t>già disposto</w:t>
      </w:r>
      <w:r w:rsidR="00B00C17">
        <w:rPr>
          <w:rFonts w:ascii="Times New Roman" w:hAnsi="Times New Roman" w:cs="Times New Roman"/>
          <w:i/>
          <w:iCs/>
          <w:sz w:val="28"/>
          <w:szCs w:val="28"/>
        </w:rPr>
        <w:t xml:space="preserve"> ad accettare. Quanto alla valutazione dei risultati essa non potrà che essere sintomatica e concludere positivamente o negativamente a seconda che l’attività esercitata sul soggetto passivo porti a comportamenti conformi o a comportamenti devianti rispetto a modelli di etica sociale e giuridica. L’accertamento se l’attività psichica possa essere qualificata come persuasione o suggestione con gli eventuali effetti giuridici a questa connessi, nel caso di plagio non potrà che essere del tutto incerto e affidato all’arbitrio del giudic</w:t>
      </w:r>
      <w:r w:rsidR="00DB19B5">
        <w:rPr>
          <w:rFonts w:ascii="Times New Roman" w:hAnsi="Times New Roman" w:cs="Times New Roman"/>
          <w:i/>
          <w:iCs/>
          <w:sz w:val="28"/>
          <w:szCs w:val="28"/>
        </w:rPr>
        <w:t>e. Infatti, in applicazione dell’art.</w:t>
      </w:r>
      <w:r w:rsidR="00B818F9">
        <w:rPr>
          <w:rFonts w:ascii="Times New Roman" w:hAnsi="Times New Roman" w:cs="Times New Roman"/>
          <w:i/>
          <w:iCs/>
          <w:sz w:val="28"/>
          <w:szCs w:val="28"/>
        </w:rPr>
        <w:t xml:space="preserve"> </w:t>
      </w:r>
      <w:r w:rsidR="00DB19B5">
        <w:rPr>
          <w:rFonts w:ascii="Times New Roman" w:hAnsi="Times New Roman" w:cs="Times New Roman"/>
          <w:i/>
          <w:iCs/>
          <w:sz w:val="28"/>
          <w:szCs w:val="28"/>
        </w:rPr>
        <w:t>603 c</w:t>
      </w:r>
      <w:r w:rsidR="00B818F9">
        <w:rPr>
          <w:rFonts w:ascii="Times New Roman" w:hAnsi="Times New Roman" w:cs="Times New Roman"/>
          <w:i/>
          <w:iCs/>
          <w:sz w:val="28"/>
          <w:szCs w:val="28"/>
        </w:rPr>
        <w:t>.</w:t>
      </w:r>
      <w:r w:rsidR="00DB19B5">
        <w:rPr>
          <w:rFonts w:ascii="Times New Roman" w:hAnsi="Times New Roman" w:cs="Times New Roman"/>
          <w:i/>
          <w:iCs/>
          <w:sz w:val="28"/>
          <w:szCs w:val="28"/>
        </w:rPr>
        <w:t>p</w:t>
      </w:r>
      <w:r w:rsidR="00B818F9">
        <w:rPr>
          <w:rFonts w:ascii="Times New Roman" w:hAnsi="Times New Roman" w:cs="Times New Roman"/>
          <w:i/>
          <w:iCs/>
          <w:sz w:val="28"/>
          <w:szCs w:val="28"/>
        </w:rPr>
        <w:t>.</w:t>
      </w:r>
      <w:r w:rsidR="00DB19B5">
        <w:rPr>
          <w:rFonts w:ascii="Times New Roman" w:hAnsi="Times New Roman" w:cs="Times New Roman"/>
          <w:i/>
          <w:iCs/>
          <w:sz w:val="28"/>
          <w:szCs w:val="28"/>
        </w:rPr>
        <w:t xml:space="preserve">, qualunque rapporto sia amoroso, sia di professione religiosa, sia di partecipazione a movimenti ideologici, sia di altra natura, se sorretto da un’aderenza </w:t>
      </w:r>
      <w:r w:rsidR="00B818F9">
        <w:rPr>
          <w:rFonts w:ascii="Times New Roman" w:hAnsi="Times New Roman" w:cs="Times New Roman"/>
          <w:i/>
          <w:iCs/>
          <w:sz w:val="28"/>
          <w:szCs w:val="28"/>
        </w:rPr>
        <w:t>«</w:t>
      </w:r>
      <w:r w:rsidR="00DB19B5">
        <w:rPr>
          <w:rFonts w:ascii="Times New Roman" w:hAnsi="Times New Roman" w:cs="Times New Roman"/>
          <w:i/>
          <w:iCs/>
          <w:sz w:val="28"/>
          <w:szCs w:val="28"/>
        </w:rPr>
        <w:t>cieca e totale</w:t>
      </w:r>
      <w:r w:rsidR="00B818F9">
        <w:rPr>
          <w:rFonts w:ascii="Times New Roman" w:hAnsi="Times New Roman" w:cs="Times New Roman"/>
          <w:i/>
          <w:iCs/>
          <w:sz w:val="28"/>
          <w:szCs w:val="28"/>
        </w:rPr>
        <w:t>»</w:t>
      </w:r>
      <w:r w:rsidR="00DB19B5">
        <w:rPr>
          <w:rFonts w:ascii="Times New Roman" w:hAnsi="Times New Roman" w:cs="Times New Roman"/>
          <w:i/>
          <w:iCs/>
          <w:sz w:val="28"/>
          <w:szCs w:val="28"/>
        </w:rPr>
        <w:t xml:space="preserve"> di un soggetto ad un altro soggetto e sia considerato socialmente deviante, potrebbe essere perseguito penalmente come plagio. Anche sotto questi profili risulta, pertanto, l’indeterminatezza della norma e della sua interpretazione. La formulazione letterale dell’art.</w:t>
      </w:r>
      <w:r w:rsidR="000B4BA0">
        <w:rPr>
          <w:rFonts w:ascii="Times New Roman" w:hAnsi="Times New Roman" w:cs="Times New Roman"/>
          <w:i/>
          <w:iCs/>
          <w:sz w:val="28"/>
          <w:szCs w:val="28"/>
        </w:rPr>
        <w:t xml:space="preserve"> </w:t>
      </w:r>
      <w:r w:rsidR="00DB19B5">
        <w:rPr>
          <w:rFonts w:ascii="Times New Roman" w:hAnsi="Times New Roman" w:cs="Times New Roman"/>
          <w:i/>
          <w:iCs/>
          <w:sz w:val="28"/>
          <w:szCs w:val="28"/>
        </w:rPr>
        <w:t>603 c</w:t>
      </w:r>
      <w:r w:rsidR="000B4BA0">
        <w:rPr>
          <w:rFonts w:ascii="Times New Roman" w:hAnsi="Times New Roman" w:cs="Times New Roman"/>
          <w:i/>
          <w:iCs/>
          <w:sz w:val="28"/>
          <w:szCs w:val="28"/>
        </w:rPr>
        <w:t>.</w:t>
      </w:r>
      <w:r w:rsidR="00DB19B5">
        <w:rPr>
          <w:rFonts w:ascii="Times New Roman" w:hAnsi="Times New Roman" w:cs="Times New Roman"/>
          <w:i/>
          <w:iCs/>
          <w:sz w:val="28"/>
          <w:szCs w:val="28"/>
        </w:rPr>
        <w:t>p</w:t>
      </w:r>
      <w:r w:rsidR="000B4BA0">
        <w:rPr>
          <w:rFonts w:ascii="Times New Roman" w:hAnsi="Times New Roman" w:cs="Times New Roman"/>
          <w:i/>
          <w:iCs/>
          <w:sz w:val="28"/>
          <w:szCs w:val="28"/>
        </w:rPr>
        <w:t>.</w:t>
      </w:r>
      <w:r w:rsidR="00DB19B5">
        <w:rPr>
          <w:rFonts w:ascii="Times New Roman" w:hAnsi="Times New Roman" w:cs="Times New Roman"/>
          <w:i/>
          <w:iCs/>
          <w:sz w:val="28"/>
          <w:szCs w:val="28"/>
        </w:rPr>
        <w:t xml:space="preserve"> prevede, pertanto, un’ipotesi non verificabile nella sua effettuazione e nel risultato, non essendo né individuabili né accertabili le attività che potrebbero concretamente esplicarsi per ridurre una persona in totale stato di soggezione, né come sarebbe oggettivamente qualificabile questo stato, la cui totalità, legislativamente dichiarata, non è mai stata giudizialmente accertata.</w:t>
      </w:r>
    </w:p>
    <w:p w14:paraId="0E77DE15" w14:textId="340F0EAB" w:rsidR="00DB19B5" w:rsidRDefault="00DB19B5" w:rsidP="00167A84">
      <w:pPr>
        <w:tabs>
          <w:tab w:val="left" w:pos="8364"/>
        </w:tabs>
        <w:spacing w:after="0"/>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Presupponendo la natura psichica dell’azione plagiante è chiaro che questa, per raggiungere l’effetto di porre la vittima in stato di totale soggezione, dovrebbe essere esercitata da persona che possiede una </w:t>
      </w:r>
      <w:r w:rsidR="00FC7AC7">
        <w:rPr>
          <w:rFonts w:ascii="Times New Roman" w:hAnsi="Times New Roman" w:cs="Times New Roman"/>
          <w:i/>
          <w:iCs/>
          <w:sz w:val="28"/>
          <w:szCs w:val="28"/>
        </w:rPr>
        <w:t>vigoria psichica capace di compiere un siffatto risultato. Non esistono, però, elementi o modalità per poter accertare queste particolari ed eccezionali qualità né è possibile ricorrere ad accertamenti di cui all’art.</w:t>
      </w:r>
      <w:r w:rsidR="000B4BA0">
        <w:rPr>
          <w:rFonts w:ascii="Times New Roman" w:hAnsi="Times New Roman" w:cs="Times New Roman"/>
          <w:i/>
          <w:iCs/>
          <w:sz w:val="28"/>
          <w:szCs w:val="28"/>
        </w:rPr>
        <w:t xml:space="preserve"> </w:t>
      </w:r>
      <w:r w:rsidR="00FC7AC7">
        <w:rPr>
          <w:rFonts w:ascii="Times New Roman" w:hAnsi="Times New Roman" w:cs="Times New Roman"/>
          <w:i/>
          <w:iCs/>
          <w:sz w:val="28"/>
          <w:szCs w:val="28"/>
        </w:rPr>
        <w:t>314 c</w:t>
      </w:r>
      <w:r w:rsidR="000B4BA0">
        <w:rPr>
          <w:rFonts w:ascii="Times New Roman" w:hAnsi="Times New Roman" w:cs="Times New Roman"/>
          <w:i/>
          <w:iCs/>
          <w:sz w:val="28"/>
          <w:szCs w:val="28"/>
        </w:rPr>
        <w:t>.</w:t>
      </w:r>
      <w:r w:rsidR="00FC7AC7">
        <w:rPr>
          <w:rFonts w:ascii="Times New Roman" w:hAnsi="Times New Roman" w:cs="Times New Roman"/>
          <w:i/>
          <w:iCs/>
          <w:sz w:val="28"/>
          <w:szCs w:val="28"/>
        </w:rPr>
        <w:t>p</w:t>
      </w:r>
      <w:r w:rsidR="000B4BA0">
        <w:rPr>
          <w:rFonts w:ascii="Times New Roman" w:hAnsi="Times New Roman" w:cs="Times New Roman"/>
          <w:i/>
          <w:iCs/>
          <w:sz w:val="28"/>
          <w:szCs w:val="28"/>
        </w:rPr>
        <w:t>.</w:t>
      </w:r>
      <w:r w:rsidR="00FC7AC7">
        <w:rPr>
          <w:rFonts w:ascii="Times New Roman" w:hAnsi="Times New Roman" w:cs="Times New Roman"/>
          <w:i/>
          <w:iCs/>
          <w:sz w:val="28"/>
          <w:szCs w:val="28"/>
        </w:rPr>
        <w:t>p</w:t>
      </w:r>
      <w:r w:rsidR="000B4BA0">
        <w:rPr>
          <w:rFonts w:ascii="Times New Roman" w:hAnsi="Times New Roman" w:cs="Times New Roman"/>
          <w:i/>
          <w:iCs/>
          <w:sz w:val="28"/>
          <w:szCs w:val="28"/>
        </w:rPr>
        <w:t>.</w:t>
      </w:r>
      <w:r w:rsidR="00FC7AC7">
        <w:rPr>
          <w:rFonts w:ascii="Times New Roman" w:hAnsi="Times New Roman" w:cs="Times New Roman"/>
          <w:i/>
          <w:iCs/>
          <w:sz w:val="28"/>
          <w:szCs w:val="28"/>
        </w:rPr>
        <w:t>, non essendo ammesse nel nostro ordinamento perizie sulle qualità psichiche indipendenti da cause patologiche.</w:t>
      </w:r>
    </w:p>
    <w:p w14:paraId="7F024FE6" w14:textId="79DA161E" w:rsidR="00FC7AC7" w:rsidRDefault="00FC7AC7" w:rsidP="00167A84">
      <w:pPr>
        <w:tabs>
          <w:tab w:val="left" w:pos="8364"/>
        </w:tabs>
        <w:spacing w:after="0"/>
        <w:jc w:val="both"/>
        <w:rPr>
          <w:rFonts w:ascii="Times New Roman" w:hAnsi="Times New Roman" w:cs="Times New Roman"/>
          <w:i/>
          <w:iCs/>
          <w:sz w:val="28"/>
          <w:szCs w:val="28"/>
        </w:rPr>
      </w:pPr>
      <w:r>
        <w:rPr>
          <w:rFonts w:ascii="Times New Roman" w:hAnsi="Times New Roman" w:cs="Times New Roman"/>
          <w:i/>
          <w:iCs/>
          <w:sz w:val="28"/>
          <w:szCs w:val="28"/>
        </w:rPr>
        <w:t>Né è dimostrabile</w:t>
      </w:r>
      <w:r w:rsidR="00167A84">
        <w:rPr>
          <w:rFonts w:ascii="Times New Roman" w:hAnsi="Times New Roman" w:cs="Times New Roman"/>
          <w:i/>
          <w:iCs/>
          <w:sz w:val="28"/>
          <w:szCs w:val="28"/>
        </w:rPr>
        <w:t>, i</w:t>
      </w:r>
      <w:r>
        <w:rPr>
          <w:rFonts w:ascii="Times New Roman" w:hAnsi="Times New Roman" w:cs="Times New Roman"/>
          <w:i/>
          <w:iCs/>
          <w:sz w:val="28"/>
          <w:szCs w:val="28"/>
        </w:rPr>
        <w:t>n base alle attuali conoscenze ed esperienze</w:t>
      </w:r>
      <w:r w:rsidR="00167A84">
        <w:rPr>
          <w:rFonts w:ascii="Times New Roman" w:hAnsi="Times New Roman" w:cs="Times New Roman"/>
          <w:i/>
          <w:iCs/>
          <w:sz w:val="28"/>
          <w:szCs w:val="28"/>
        </w:rPr>
        <w:t>,</w:t>
      </w:r>
      <w:r>
        <w:rPr>
          <w:rFonts w:ascii="Times New Roman" w:hAnsi="Times New Roman" w:cs="Times New Roman"/>
          <w:i/>
          <w:iCs/>
          <w:sz w:val="28"/>
          <w:szCs w:val="28"/>
        </w:rPr>
        <w:t xml:space="preserve"> che possano esistere esseri capaci di ottenere con soli mezzi psichici l’asservimento totale di una persona</w:t>
      </w:r>
      <w:r w:rsidR="000B4BA0">
        <w:rPr>
          <w:rFonts w:ascii="Times New Roman" w:hAnsi="Times New Roman" w:cs="Times New Roman"/>
          <w:i/>
          <w:iCs/>
          <w:sz w:val="28"/>
          <w:szCs w:val="28"/>
        </w:rPr>
        <w:t>»</w:t>
      </w:r>
      <w:r>
        <w:rPr>
          <w:rFonts w:ascii="Times New Roman" w:hAnsi="Times New Roman" w:cs="Times New Roman"/>
          <w:i/>
          <w:iCs/>
          <w:sz w:val="28"/>
          <w:szCs w:val="28"/>
        </w:rPr>
        <w:t xml:space="preserve">. </w:t>
      </w:r>
    </w:p>
    <w:p w14:paraId="0FE731ED" w14:textId="661E9E5D" w:rsidR="00FC7AC7" w:rsidRDefault="00FC7AC7" w:rsidP="00723BD7">
      <w:pPr>
        <w:tabs>
          <w:tab w:val="left" w:pos="8364"/>
        </w:tabs>
        <w:spacing w:after="0"/>
        <w:jc w:val="both"/>
        <w:rPr>
          <w:rFonts w:ascii="Times New Roman" w:hAnsi="Times New Roman" w:cs="Times New Roman"/>
          <w:sz w:val="28"/>
          <w:szCs w:val="28"/>
        </w:rPr>
      </w:pPr>
      <w:r w:rsidRPr="00FC7AC7">
        <w:rPr>
          <w:rFonts w:ascii="Times New Roman" w:hAnsi="Times New Roman" w:cs="Times New Roman"/>
          <w:sz w:val="28"/>
          <w:szCs w:val="28"/>
        </w:rPr>
        <w:t xml:space="preserve">Così si esprimeva la </w:t>
      </w:r>
      <w:proofErr w:type="gramStart"/>
      <w:r w:rsidRPr="00FC7AC7">
        <w:rPr>
          <w:rFonts w:ascii="Times New Roman" w:hAnsi="Times New Roman" w:cs="Times New Roman"/>
          <w:sz w:val="28"/>
          <w:szCs w:val="28"/>
        </w:rPr>
        <w:t>Corte Costituzionale</w:t>
      </w:r>
      <w:proofErr w:type="gramEnd"/>
      <w:r w:rsidRPr="00FC7AC7">
        <w:rPr>
          <w:rFonts w:ascii="Times New Roman" w:hAnsi="Times New Roman" w:cs="Times New Roman"/>
          <w:sz w:val="28"/>
          <w:szCs w:val="28"/>
        </w:rPr>
        <w:t xml:space="preserve"> nell’anno </w:t>
      </w:r>
      <w:r w:rsidR="00B914B7" w:rsidRPr="00FC7AC7">
        <w:rPr>
          <w:rFonts w:ascii="Times New Roman" w:hAnsi="Times New Roman" w:cs="Times New Roman"/>
          <w:sz w:val="28"/>
          <w:szCs w:val="28"/>
        </w:rPr>
        <w:t>1981</w:t>
      </w:r>
      <w:r w:rsidR="00B914B7">
        <w:rPr>
          <w:rFonts w:ascii="Times New Roman" w:hAnsi="Times New Roman" w:cs="Times New Roman"/>
          <w:sz w:val="28"/>
          <w:szCs w:val="28"/>
        </w:rPr>
        <w:t>:</w:t>
      </w:r>
      <w:r>
        <w:rPr>
          <w:rFonts w:ascii="Times New Roman" w:hAnsi="Times New Roman" w:cs="Times New Roman"/>
          <w:sz w:val="28"/>
          <w:szCs w:val="28"/>
        </w:rPr>
        <w:t xml:space="preserve"> ma oggi non sono gli esseri umani a porre in essere attività di persuasione e suggestione, bensì le grandi piattaforme digitali </w:t>
      </w:r>
      <w:r w:rsidR="00B914B7">
        <w:rPr>
          <w:rFonts w:ascii="Times New Roman" w:hAnsi="Times New Roman" w:cs="Times New Roman"/>
          <w:sz w:val="28"/>
          <w:szCs w:val="28"/>
        </w:rPr>
        <w:t>che, utilizzando</w:t>
      </w:r>
      <w:r>
        <w:rPr>
          <w:rFonts w:ascii="Times New Roman" w:hAnsi="Times New Roman" w:cs="Times New Roman"/>
          <w:sz w:val="28"/>
          <w:szCs w:val="28"/>
        </w:rPr>
        <w:t xml:space="preserve"> gli algoritmi e </w:t>
      </w:r>
      <w:r w:rsidRPr="00167A84">
        <w:rPr>
          <w:rFonts w:ascii="Times New Roman" w:hAnsi="Times New Roman" w:cs="Times New Roman"/>
          <w:i/>
          <w:iCs/>
          <w:sz w:val="28"/>
          <w:szCs w:val="28"/>
        </w:rPr>
        <w:t>software</w:t>
      </w:r>
      <w:r>
        <w:rPr>
          <w:rFonts w:ascii="Times New Roman" w:hAnsi="Times New Roman" w:cs="Times New Roman"/>
          <w:sz w:val="28"/>
          <w:szCs w:val="28"/>
        </w:rPr>
        <w:t xml:space="preserve"> sofisticati, hanno una straordinaria forza invasiva e persuasiva sulla psiche umana.</w:t>
      </w:r>
    </w:p>
    <w:p w14:paraId="3FAE4CD9" w14:textId="77777777" w:rsidR="00167A84" w:rsidRDefault="00167A84" w:rsidP="00723BD7">
      <w:pPr>
        <w:tabs>
          <w:tab w:val="left" w:pos="8364"/>
        </w:tabs>
        <w:spacing w:after="0"/>
        <w:jc w:val="both"/>
        <w:rPr>
          <w:rFonts w:ascii="Times New Roman" w:hAnsi="Times New Roman" w:cs="Times New Roman"/>
          <w:sz w:val="28"/>
          <w:szCs w:val="28"/>
        </w:rPr>
      </w:pPr>
    </w:p>
    <w:p w14:paraId="3A5DBAB4" w14:textId="62CEC32D" w:rsidR="00FC7AC7" w:rsidRDefault="00FC7AC7" w:rsidP="00723BD7">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Se leggiamo la parte finale di tale nota sentenza, altre riflessioni sorgeranno spontanee in noi.</w:t>
      </w:r>
    </w:p>
    <w:p w14:paraId="312277BB" w14:textId="216EA3D1" w:rsidR="00FC7AC7" w:rsidRDefault="00FC7AC7" w:rsidP="00723BD7">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A pag.</w:t>
      </w:r>
      <w:r w:rsidR="00B914B7">
        <w:rPr>
          <w:rFonts w:ascii="Times New Roman" w:hAnsi="Times New Roman" w:cs="Times New Roman"/>
          <w:sz w:val="28"/>
          <w:szCs w:val="28"/>
        </w:rPr>
        <w:t xml:space="preserve"> </w:t>
      </w:r>
      <w:r>
        <w:rPr>
          <w:rFonts w:ascii="Times New Roman" w:hAnsi="Times New Roman" w:cs="Times New Roman"/>
          <w:sz w:val="28"/>
          <w:szCs w:val="28"/>
        </w:rPr>
        <w:t xml:space="preserve">40 di tale storica pronunzia la </w:t>
      </w:r>
      <w:proofErr w:type="gramStart"/>
      <w:r>
        <w:rPr>
          <w:rFonts w:ascii="Times New Roman" w:hAnsi="Times New Roman" w:cs="Times New Roman"/>
          <w:sz w:val="28"/>
          <w:szCs w:val="28"/>
        </w:rPr>
        <w:t>Corte Costituzionale</w:t>
      </w:r>
      <w:proofErr w:type="gramEnd"/>
      <w:r>
        <w:rPr>
          <w:rFonts w:ascii="Times New Roman" w:hAnsi="Times New Roman" w:cs="Times New Roman"/>
          <w:sz w:val="28"/>
          <w:szCs w:val="28"/>
        </w:rPr>
        <w:t xml:space="preserve"> afferma</w:t>
      </w:r>
      <w:r w:rsidRPr="008B4B80">
        <w:rPr>
          <w:rFonts w:ascii="Times New Roman" w:hAnsi="Times New Roman" w:cs="Times New Roman"/>
          <w:i/>
          <w:iCs/>
          <w:sz w:val="28"/>
          <w:szCs w:val="28"/>
        </w:rPr>
        <w:t>:</w:t>
      </w:r>
      <w:r w:rsidR="00B914B7">
        <w:rPr>
          <w:rFonts w:ascii="Times New Roman" w:hAnsi="Times New Roman" w:cs="Times New Roman"/>
          <w:i/>
          <w:iCs/>
          <w:sz w:val="28"/>
          <w:szCs w:val="28"/>
        </w:rPr>
        <w:t xml:space="preserve"> </w:t>
      </w:r>
      <w:r w:rsidR="000B4BA0">
        <w:rPr>
          <w:rFonts w:ascii="Times New Roman" w:hAnsi="Times New Roman" w:cs="Times New Roman"/>
          <w:i/>
          <w:iCs/>
          <w:sz w:val="28"/>
          <w:szCs w:val="28"/>
        </w:rPr>
        <w:t>«</w:t>
      </w:r>
      <w:r w:rsidRPr="008B4B80">
        <w:rPr>
          <w:rFonts w:ascii="Times New Roman" w:hAnsi="Times New Roman" w:cs="Times New Roman"/>
          <w:i/>
          <w:iCs/>
          <w:sz w:val="28"/>
          <w:szCs w:val="28"/>
        </w:rPr>
        <w:t>Dinanzi alla perplessità che ha dato luogo l’unica sentenza di condanna per il delitto di plagio</w:t>
      </w:r>
      <w:r>
        <w:rPr>
          <w:rFonts w:ascii="Times New Roman" w:hAnsi="Times New Roman" w:cs="Times New Roman"/>
          <w:sz w:val="28"/>
          <w:szCs w:val="28"/>
        </w:rPr>
        <w:t xml:space="preserve"> </w:t>
      </w:r>
      <w:r w:rsidRPr="008B4B80">
        <w:rPr>
          <w:rFonts w:ascii="Times New Roman" w:hAnsi="Times New Roman" w:cs="Times New Roman"/>
          <w:i/>
          <w:iCs/>
          <w:sz w:val="28"/>
          <w:szCs w:val="28"/>
        </w:rPr>
        <w:t>pronunziata nel nostro ordinamento in oltre 50 anni dall’emanazione del codice penale, parte della dottrina ha tentato di rinvenire connotazioni tipich</w:t>
      </w:r>
      <w:r w:rsidR="00EE3CF2" w:rsidRPr="008B4B80">
        <w:rPr>
          <w:rFonts w:ascii="Times New Roman" w:hAnsi="Times New Roman" w:cs="Times New Roman"/>
          <w:i/>
          <w:iCs/>
          <w:sz w:val="28"/>
          <w:szCs w:val="28"/>
        </w:rPr>
        <w:t>e di tale figura criminosa, richiamandosi anche ad elementi tratti da ipotesi psichiatriche.</w:t>
      </w:r>
      <w:r w:rsidR="008B4B80">
        <w:rPr>
          <w:rFonts w:ascii="Times New Roman" w:hAnsi="Times New Roman" w:cs="Times New Roman"/>
          <w:i/>
          <w:iCs/>
          <w:sz w:val="28"/>
          <w:szCs w:val="28"/>
        </w:rPr>
        <w:t xml:space="preserve"> Alcuni, infatti, interpretando limitativamente la norma nel senso che il suo scopo sarebbe quello di proteggere da fenomeni ossessivi o da psicosi indotta, vorrebbero ravvisare tale delitto nella concorrenza di altri elementi. Uno esteriore consistente nell’allontanamento dai terzi del plagiato ad opera del plagiante anche attraverso un sequestro di persona o fatti simili. Uno interiore consistente nel senso di </w:t>
      </w:r>
      <w:r w:rsidR="008B4B80" w:rsidRPr="00167A84">
        <w:rPr>
          <w:rFonts w:ascii="Times New Roman" w:hAnsi="Times New Roman" w:cs="Times New Roman"/>
          <w:i/>
          <w:iCs/>
          <w:sz w:val="28"/>
          <w:szCs w:val="28"/>
        </w:rPr>
        <w:t>deprivazione psichica in cui deve versare il plagiato una volta interrotto il rapporto con</w:t>
      </w:r>
      <w:r w:rsidR="008B4B80">
        <w:rPr>
          <w:rFonts w:ascii="Times New Roman" w:hAnsi="Times New Roman" w:cs="Times New Roman"/>
          <w:i/>
          <w:iCs/>
          <w:sz w:val="28"/>
          <w:szCs w:val="28"/>
        </w:rPr>
        <w:t xml:space="preserve"> il plagiante, deprivazione che, secondo l’ipotesi prospettata, mostrerebbe come il soggetto passivo era stato ridotto ad uno stato di soggezione totale…</w:t>
      </w:r>
    </w:p>
    <w:p w14:paraId="445874D7" w14:textId="3EB18E6C" w:rsidR="008B4B80" w:rsidRDefault="008B4B80" w:rsidP="00167A84">
      <w:pPr>
        <w:tabs>
          <w:tab w:val="left" w:pos="8364"/>
        </w:tabs>
        <w:spacing w:after="0"/>
        <w:jc w:val="both"/>
        <w:rPr>
          <w:rFonts w:ascii="Times New Roman" w:hAnsi="Times New Roman" w:cs="Times New Roman"/>
          <w:i/>
          <w:iCs/>
          <w:sz w:val="28"/>
          <w:szCs w:val="28"/>
        </w:rPr>
      </w:pPr>
      <w:r w:rsidRPr="008B4B80">
        <w:rPr>
          <w:rFonts w:ascii="Times New Roman" w:hAnsi="Times New Roman" w:cs="Times New Roman"/>
          <w:i/>
          <w:iCs/>
          <w:sz w:val="28"/>
          <w:szCs w:val="28"/>
        </w:rPr>
        <w:t xml:space="preserve">Va osservato che il concetto </w:t>
      </w:r>
      <w:r>
        <w:rPr>
          <w:rFonts w:ascii="Times New Roman" w:hAnsi="Times New Roman" w:cs="Times New Roman"/>
          <w:i/>
          <w:iCs/>
          <w:sz w:val="28"/>
          <w:szCs w:val="28"/>
        </w:rPr>
        <w:t xml:space="preserve">di </w:t>
      </w:r>
      <w:r w:rsidR="000B4BA0">
        <w:rPr>
          <w:rFonts w:ascii="Times New Roman" w:hAnsi="Times New Roman" w:cs="Times New Roman"/>
          <w:i/>
          <w:iCs/>
          <w:sz w:val="28"/>
          <w:szCs w:val="28"/>
        </w:rPr>
        <w:t>«</w:t>
      </w:r>
      <w:r>
        <w:rPr>
          <w:rFonts w:ascii="Times New Roman" w:hAnsi="Times New Roman" w:cs="Times New Roman"/>
          <w:i/>
          <w:iCs/>
          <w:sz w:val="28"/>
          <w:szCs w:val="28"/>
        </w:rPr>
        <w:t>deprivazione psichica</w:t>
      </w:r>
      <w:r w:rsidR="000B4BA0">
        <w:rPr>
          <w:rFonts w:ascii="Times New Roman" w:hAnsi="Times New Roman" w:cs="Times New Roman"/>
          <w:i/>
          <w:iCs/>
          <w:sz w:val="28"/>
          <w:szCs w:val="28"/>
        </w:rPr>
        <w:t>»</w:t>
      </w:r>
      <w:r>
        <w:rPr>
          <w:rFonts w:ascii="Times New Roman" w:hAnsi="Times New Roman" w:cs="Times New Roman"/>
          <w:i/>
          <w:iCs/>
          <w:sz w:val="28"/>
          <w:szCs w:val="28"/>
        </w:rPr>
        <w:t xml:space="preserve"> che si identifica con il senso di aver bisogno di qualcuno, è essenzialmente quantitativo, instaurandosi in qualsiasi rapporto affettivo una sorta di quello che gli psicologi chiamano </w:t>
      </w:r>
      <w:r w:rsidR="000B4BA0">
        <w:rPr>
          <w:rFonts w:ascii="Times New Roman" w:hAnsi="Times New Roman" w:cs="Times New Roman"/>
          <w:i/>
          <w:iCs/>
          <w:sz w:val="28"/>
          <w:szCs w:val="28"/>
        </w:rPr>
        <w:t>«</w:t>
      </w:r>
      <w:r>
        <w:rPr>
          <w:rFonts w:ascii="Times New Roman" w:hAnsi="Times New Roman" w:cs="Times New Roman"/>
          <w:i/>
          <w:iCs/>
          <w:sz w:val="28"/>
          <w:szCs w:val="28"/>
        </w:rPr>
        <w:t>transfert</w:t>
      </w:r>
      <w:r w:rsidR="000B4BA0">
        <w:rPr>
          <w:rFonts w:ascii="Times New Roman" w:hAnsi="Times New Roman" w:cs="Times New Roman"/>
          <w:i/>
          <w:iCs/>
          <w:sz w:val="28"/>
          <w:szCs w:val="28"/>
        </w:rPr>
        <w:t>»</w:t>
      </w:r>
      <w:r w:rsidR="00DB756C">
        <w:rPr>
          <w:rFonts w:ascii="Times New Roman" w:hAnsi="Times New Roman" w:cs="Times New Roman"/>
          <w:i/>
          <w:iCs/>
          <w:sz w:val="28"/>
          <w:szCs w:val="28"/>
        </w:rPr>
        <w:t xml:space="preserve"> o anche di rapporto psicologico reciproco. Ma per valutare se l’interruzione del rapporto con altri faccia arguire la preesistenza di uno stato di </w:t>
      </w:r>
      <w:r w:rsidR="000B4BA0">
        <w:rPr>
          <w:rFonts w:ascii="Times New Roman" w:hAnsi="Times New Roman" w:cs="Times New Roman"/>
          <w:i/>
          <w:iCs/>
          <w:sz w:val="28"/>
          <w:szCs w:val="28"/>
        </w:rPr>
        <w:t>«</w:t>
      </w:r>
      <w:r w:rsidR="00DB756C">
        <w:rPr>
          <w:rFonts w:ascii="Times New Roman" w:hAnsi="Times New Roman" w:cs="Times New Roman"/>
          <w:i/>
          <w:iCs/>
          <w:sz w:val="28"/>
          <w:szCs w:val="28"/>
        </w:rPr>
        <w:t>totale soggezione</w:t>
      </w:r>
      <w:r w:rsidR="000B4BA0">
        <w:rPr>
          <w:rFonts w:ascii="Times New Roman" w:hAnsi="Times New Roman" w:cs="Times New Roman"/>
          <w:i/>
          <w:iCs/>
          <w:sz w:val="28"/>
          <w:szCs w:val="28"/>
        </w:rPr>
        <w:t>»</w:t>
      </w:r>
      <w:r w:rsidR="00DB756C">
        <w:rPr>
          <w:rFonts w:ascii="Times New Roman" w:hAnsi="Times New Roman" w:cs="Times New Roman"/>
          <w:i/>
          <w:iCs/>
          <w:sz w:val="28"/>
          <w:szCs w:val="28"/>
        </w:rPr>
        <w:t>, è necessario conoscere l’intensità dolorosa dell’interruzione. Quesito questo a cui può darsi solo una risposta soggettiva e quindi, di per sé convalidante l’arbitrarietà di una simile soluzione concettuale.</w:t>
      </w:r>
    </w:p>
    <w:p w14:paraId="4D4C41A1" w14:textId="71010A19" w:rsidR="00DB756C" w:rsidRDefault="000B4BA0" w:rsidP="00167A84">
      <w:pPr>
        <w:tabs>
          <w:tab w:val="left" w:pos="8364"/>
        </w:tabs>
        <w:spacing w:after="0"/>
        <w:jc w:val="both"/>
        <w:rPr>
          <w:rFonts w:ascii="Times New Roman" w:hAnsi="Times New Roman" w:cs="Times New Roman"/>
          <w:i/>
          <w:iCs/>
          <w:sz w:val="28"/>
          <w:szCs w:val="28"/>
        </w:rPr>
      </w:pPr>
      <w:r>
        <w:rPr>
          <w:rFonts w:ascii="Times New Roman" w:hAnsi="Times New Roman" w:cs="Times New Roman"/>
          <w:i/>
          <w:iCs/>
          <w:sz w:val="28"/>
          <w:szCs w:val="28"/>
        </w:rPr>
        <w:t>D’altra parte,</w:t>
      </w:r>
      <w:r w:rsidR="00DB756C">
        <w:rPr>
          <w:rFonts w:ascii="Times New Roman" w:hAnsi="Times New Roman" w:cs="Times New Roman"/>
          <w:i/>
          <w:iCs/>
          <w:sz w:val="28"/>
          <w:szCs w:val="28"/>
        </w:rPr>
        <w:t xml:space="preserve"> l’elemento esteriore consistente nell’allontanamento da terzi, se non sorretto dall’elemento interiore o se sorretto da un elemento interiore non determinato, </w:t>
      </w:r>
      <w:r w:rsidR="00DB756C">
        <w:rPr>
          <w:rFonts w:ascii="Times New Roman" w:hAnsi="Times New Roman" w:cs="Times New Roman"/>
          <w:i/>
          <w:iCs/>
          <w:sz w:val="28"/>
          <w:szCs w:val="28"/>
        </w:rPr>
        <w:lastRenderedPageBreak/>
        <w:t>quale la deprivazione di cui si è detto, perde ogni connotazione significativa ai fini di una tipizzazione del delitto.</w:t>
      </w:r>
    </w:p>
    <w:p w14:paraId="2A474AFB" w14:textId="423C8EF6" w:rsidR="00C61666" w:rsidRDefault="00DB756C" w:rsidP="00167A84">
      <w:pPr>
        <w:tabs>
          <w:tab w:val="left" w:pos="8364"/>
        </w:tabs>
        <w:spacing w:after="0"/>
        <w:jc w:val="both"/>
        <w:rPr>
          <w:rFonts w:ascii="Times New Roman" w:hAnsi="Times New Roman" w:cs="Times New Roman"/>
          <w:i/>
          <w:iCs/>
          <w:sz w:val="28"/>
          <w:szCs w:val="28"/>
        </w:rPr>
      </w:pPr>
      <w:r>
        <w:rPr>
          <w:rFonts w:ascii="Times New Roman" w:hAnsi="Times New Roman" w:cs="Times New Roman"/>
          <w:i/>
          <w:iCs/>
          <w:sz w:val="28"/>
          <w:szCs w:val="28"/>
        </w:rPr>
        <w:t>L’art.</w:t>
      </w:r>
      <w:r w:rsidR="000B4BA0">
        <w:rPr>
          <w:rFonts w:ascii="Times New Roman" w:hAnsi="Times New Roman" w:cs="Times New Roman"/>
          <w:i/>
          <w:iCs/>
          <w:sz w:val="28"/>
          <w:szCs w:val="28"/>
        </w:rPr>
        <w:t xml:space="preserve"> </w:t>
      </w:r>
      <w:r>
        <w:rPr>
          <w:rFonts w:ascii="Times New Roman" w:hAnsi="Times New Roman" w:cs="Times New Roman"/>
          <w:i/>
          <w:iCs/>
          <w:sz w:val="28"/>
          <w:szCs w:val="28"/>
        </w:rPr>
        <w:t>603 c.p</w:t>
      </w:r>
      <w:r w:rsidR="000B4BA0">
        <w:rPr>
          <w:rFonts w:ascii="Times New Roman" w:hAnsi="Times New Roman" w:cs="Times New Roman"/>
          <w:i/>
          <w:iCs/>
          <w:sz w:val="28"/>
          <w:szCs w:val="28"/>
        </w:rPr>
        <w:t>.</w:t>
      </w:r>
      <w:r>
        <w:rPr>
          <w:rFonts w:ascii="Times New Roman" w:hAnsi="Times New Roman" w:cs="Times New Roman"/>
          <w:i/>
          <w:iCs/>
          <w:sz w:val="28"/>
          <w:szCs w:val="28"/>
        </w:rPr>
        <w:t>, in quanto contrasta con il principio di tassatività della fattispecie contenuto nella riserva assoluta di legge in materia penale, consacrato nell’art.</w:t>
      </w:r>
      <w:r w:rsidR="000B4BA0">
        <w:rPr>
          <w:rFonts w:ascii="Times New Roman" w:hAnsi="Times New Roman" w:cs="Times New Roman"/>
          <w:i/>
          <w:iCs/>
          <w:sz w:val="28"/>
          <w:szCs w:val="28"/>
        </w:rPr>
        <w:t xml:space="preserve"> </w:t>
      </w:r>
      <w:r>
        <w:rPr>
          <w:rFonts w:ascii="Times New Roman" w:hAnsi="Times New Roman" w:cs="Times New Roman"/>
          <w:i/>
          <w:iCs/>
          <w:sz w:val="28"/>
          <w:szCs w:val="28"/>
        </w:rPr>
        <w:t xml:space="preserve">25 </w:t>
      </w:r>
      <w:proofErr w:type="spellStart"/>
      <w:r>
        <w:rPr>
          <w:rFonts w:ascii="Times New Roman" w:hAnsi="Times New Roman" w:cs="Times New Roman"/>
          <w:i/>
          <w:iCs/>
          <w:sz w:val="28"/>
          <w:szCs w:val="28"/>
        </w:rPr>
        <w:t>Cost</w:t>
      </w:r>
      <w:proofErr w:type="spellEnd"/>
      <w:r>
        <w:rPr>
          <w:rFonts w:ascii="Times New Roman" w:hAnsi="Times New Roman" w:cs="Times New Roman"/>
          <w:i/>
          <w:iCs/>
          <w:sz w:val="28"/>
          <w:szCs w:val="28"/>
        </w:rPr>
        <w:t>., deve, pertanto, ritenersi costituzionalmente illegittimo</w:t>
      </w:r>
      <w:r w:rsidR="000B4BA0">
        <w:rPr>
          <w:rFonts w:ascii="Times New Roman" w:hAnsi="Times New Roman" w:cs="Times New Roman"/>
          <w:i/>
          <w:iCs/>
          <w:sz w:val="28"/>
          <w:szCs w:val="28"/>
        </w:rPr>
        <w:t>»</w:t>
      </w:r>
      <w:r>
        <w:rPr>
          <w:rFonts w:ascii="Times New Roman" w:hAnsi="Times New Roman" w:cs="Times New Roman"/>
          <w:i/>
          <w:iCs/>
          <w:sz w:val="28"/>
          <w:szCs w:val="28"/>
        </w:rPr>
        <w:t>.</w:t>
      </w:r>
    </w:p>
    <w:p w14:paraId="4C88BBEC" w14:textId="1398FE71" w:rsidR="00190B97" w:rsidRPr="00943B79" w:rsidRDefault="00DB756C" w:rsidP="00943B79">
      <w:pPr>
        <w:tabs>
          <w:tab w:val="left" w:pos="8364"/>
        </w:tabs>
        <w:spacing w:after="0"/>
        <w:jc w:val="both"/>
        <w:rPr>
          <w:rFonts w:ascii="Times New Roman" w:hAnsi="Times New Roman" w:cs="Times New Roman"/>
          <w:sz w:val="28"/>
          <w:szCs w:val="28"/>
        </w:rPr>
      </w:pPr>
      <w:r w:rsidRPr="00943B79">
        <w:rPr>
          <w:rFonts w:ascii="Times New Roman" w:hAnsi="Times New Roman" w:cs="Times New Roman"/>
          <w:sz w:val="28"/>
          <w:szCs w:val="28"/>
        </w:rPr>
        <w:t xml:space="preserve">Tale pronunzia ci illustra il concetto di </w:t>
      </w:r>
      <w:r w:rsidR="000B4BA0" w:rsidRPr="00943B79">
        <w:rPr>
          <w:rFonts w:ascii="Times New Roman" w:hAnsi="Times New Roman" w:cs="Times New Roman"/>
          <w:sz w:val="28"/>
          <w:szCs w:val="28"/>
        </w:rPr>
        <w:t>«</w:t>
      </w:r>
      <w:r w:rsidRPr="00943B79">
        <w:rPr>
          <w:rFonts w:ascii="Times New Roman" w:hAnsi="Times New Roman" w:cs="Times New Roman"/>
          <w:i/>
          <w:iCs/>
          <w:sz w:val="28"/>
          <w:szCs w:val="28"/>
        </w:rPr>
        <w:t>deprivazione psicologica</w:t>
      </w:r>
      <w:r w:rsidR="000B4BA0" w:rsidRPr="00943B79">
        <w:rPr>
          <w:rFonts w:ascii="Times New Roman" w:hAnsi="Times New Roman" w:cs="Times New Roman"/>
          <w:i/>
          <w:iCs/>
          <w:sz w:val="28"/>
          <w:szCs w:val="28"/>
        </w:rPr>
        <w:t>»</w:t>
      </w:r>
      <w:r w:rsidRPr="00943B79">
        <w:rPr>
          <w:rFonts w:ascii="Times New Roman" w:hAnsi="Times New Roman" w:cs="Times New Roman"/>
          <w:i/>
          <w:iCs/>
          <w:sz w:val="28"/>
          <w:szCs w:val="28"/>
        </w:rPr>
        <w:t xml:space="preserve">, </w:t>
      </w:r>
      <w:r w:rsidRPr="00943B79">
        <w:rPr>
          <w:rFonts w:ascii="Times New Roman" w:hAnsi="Times New Roman" w:cs="Times New Roman"/>
          <w:sz w:val="28"/>
          <w:szCs w:val="28"/>
        </w:rPr>
        <w:t>ossia la</w:t>
      </w:r>
      <w:r w:rsidRPr="00943B79">
        <w:rPr>
          <w:rFonts w:ascii="Times New Roman" w:hAnsi="Times New Roman" w:cs="Times New Roman"/>
          <w:i/>
          <w:iCs/>
          <w:sz w:val="28"/>
          <w:szCs w:val="28"/>
        </w:rPr>
        <w:t xml:space="preserve"> </w:t>
      </w:r>
      <w:r w:rsidRPr="00943B79">
        <w:rPr>
          <w:rFonts w:ascii="Times New Roman" w:hAnsi="Times New Roman" w:cs="Times New Roman"/>
          <w:sz w:val="28"/>
          <w:szCs w:val="28"/>
        </w:rPr>
        <w:t>dipendenza da un soggetto plagiante</w:t>
      </w:r>
      <w:r w:rsidRPr="00943B79">
        <w:rPr>
          <w:rFonts w:ascii="Times New Roman" w:hAnsi="Times New Roman" w:cs="Times New Roman"/>
          <w:i/>
          <w:iCs/>
          <w:sz w:val="28"/>
          <w:szCs w:val="28"/>
        </w:rPr>
        <w:t xml:space="preserve">: </w:t>
      </w:r>
      <w:r w:rsidRPr="00943B79">
        <w:rPr>
          <w:rFonts w:ascii="Times New Roman" w:hAnsi="Times New Roman" w:cs="Times New Roman"/>
          <w:sz w:val="28"/>
          <w:szCs w:val="28"/>
        </w:rPr>
        <w:t xml:space="preserve">ma </w:t>
      </w:r>
      <w:r w:rsidR="00B914B7" w:rsidRPr="00943B79">
        <w:rPr>
          <w:rFonts w:ascii="Times New Roman" w:hAnsi="Times New Roman" w:cs="Times New Roman"/>
          <w:sz w:val="28"/>
          <w:szCs w:val="28"/>
        </w:rPr>
        <w:t>oggi,</w:t>
      </w:r>
      <w:r w:rsidRPr="00943B79">
        <w:rPr>
          <w:rFonts w:ascii="Times New Roman" w:hAnsi="Times New Roman" w:cs="Times New Roman"/>
          <w:sz w:val="28"/>
          <w:szCs w:val="28"/>
        </w:rPr>
        <w:t xml:space="preserve"> se pensiamo soprattutto agli adolescenti, tale fenomeno di dipendenza, c</w:t>
      </w:r>
      <w:r w:rsidR="000B4BA0" w:rsidRPr="00943B79">
        <w:rPr>
          <w:rFonts w:ascii="Times New Roman" w:hAnsi="Times New Roman" w:cs="Times New Roman"/>
          <w:sz w:val="28"/>
          <w:szCs w:val="28"/>
        </w:rPr>
        <w:t>.</w:t>
      </w:r>
      <w:r w:rsidRPr="00943B79">
        <w:rPr>
          <w:rFonts w:ascii="Times New Roman" w:hAnsi="Times New Roman" w:cs="Times New Roman"/>
          <w:sz w:val="28"/>
          <w:szCs w:val="28"/>
        </w:rPr>
        <w:t>d</w:t>
      </w:r>
      <w:r w:rsidR="000B4BA0" w:rsidRPr="00943B79">
        <w:rPr>
          <w:rFonts w:ascii="Times New Roman" w:hAnsi="Times New Roman" w:cs="Times New Roman"/>
          <w:sz w:val="28"/>
          <w:szCs w:val="28"/>
        </w:rPr>
        <w:t>.</w:t>
      </w:r>
      <w:r w:rsidRPr="00943B79">
        <w:rPr>
          <w:rFonts w:ascii="Times New Roman" w:hAnsi="Times New Roman" w:cs="Times New Roman"/>
          <w:i/>
          <w:iCs/>
          <w:sz w:val="28"/>
          <w:szCs w:val="28"/>
        </w:rPr>
        <w:t xml:space="preserve"> </w:t>
      </w:r>
      <w:proofErr w:type="spellStart"/>
      <w:r w:rsidRPr="00943B79">
        <w:rPr>
          <w:rFonts w:ascii="Times New Roman" w:hAnsi="Times New Roman" w:cs="Times New Roman"/>
          <w:i/>
          <w:iCs/>
          <w:sz w:val="28"/>
          <w:szCs w:val="28"/>
        </w:rPr>
        <w:t>addiction</w:t>
      </w:r>
      <w:proofErr w:type="spellEnd"/>
      <w:r w:rsidRPr="00943B79">
        <w:rPr>
          <w:rFonts w:ascii="Times New Roman" w:hAnsi="Times New Roman" w:cs="Times New Roman"/>
          <w:sz w:val="28"/>
          <w:szCs w:val="28"/>
        </w:rPr>
        <w:t>, si registra nel rapporto con il cellulare e in genere con lo strumento digitale</w:t>
      </w:r>
      <w:r w:rsidR="00190B97" w:rsidRPr="00943B79">
        <w:rPr>
          <w:rFonts w:ascii="Times New Roman" w:hAnsi="Times New Roman" w:cs="Times New Roman"/>
          <w:sz w:val="28"/>
          <w:szCs w:val="28"/>
        </w:rPr>
        <w:t>.</w:t>
      </w:r>
    </w:p>
    <w:p w14:paraId="6133CF6D" w14:textId="77777777" w:rsidR="00943B79" w:rsidRDefault="00943B79" w:rsidP="00943B79">
      <w:pPr>
        <w:spacing w:after="0" w:line="240" w:lineRule="auto"/>
        <w:jc w:val="both"/>
        <w:rPr>
          <w:rFonts w:ascii="Times New Roman" w:hAnsi="Times New Roman" w:cs="Times New Roman"/>
          <w:sz w:val="28"/>
          <w:szCs w:val="28"/>
        </w:rPr>
      </w:pPr>
      <w:r w:rsidRPr="00943B79">
        <w:rPr>
          <w:rFonts w:ascii="Times New Roman" w:hAnsi="Times New Roman" w:cs="Times New Roman"/>
          <w:sz w:val="28"/>
          <w:szCs w:val="28"/>
        </w:rPr>
        <w:t xml:space="preserve">Con il </w:t>
      </w:r>
      <w:proofErr w:type="spellStart"/>
      <w:r w:rsidRPr="00943B79">
        <w:rPr>
          <w:rFonts w:ascii="Times New Roman" w:hAnsi="Times New Roman" w:cs="Times New Roman"/>
          <w:sz w:val="28"/>
          <w:szCs w:val="28"/>
        </w:rPr>
        <w:t>Metaverso</w:t>
      </w:r>
      <w:proofErr w:type="spellEnd"/>
      <w:r w:rsidRPr="00943B79">
        <w:rPr>
          <w:rFonts w:ascii="Times New Roman" w:hAnsi="Times New Roman" w:cs="Times New Roman"/>
          <w:sz w:val="28"/>
          <w:szCs w:val="28"/>
        </w:rPr>
        <w:t xml:space="preserve"> verranno introdotti degli avatar virtuali per interagire sulle varie piattaforme in internet</w:t>
      </w:r>
      <w:r>
        <w:rPr>
          <w:rFonts w:ascii="Times New Roman" w:hAnsi="Times New Roman" w:cs="Times New Roman"/>
          <w:sz w:val="28"/>
          <w:szCs w:val="28"/>
        </w:rPr>
        <w:t xml:space="preserve"> </w:t>
      </w:r>
      <w:r w:rsidRPr="00943B79">
        <w:rPr>
          <w:rFonts w:ascii="Times New Roman" w:hAnsi="Times New Roman" w:cs="Times New Roman"/>
          <w:sz w:val="28"/>
          <w:szCs w:val="28"/>
        </w:rPr>
        <w:t xml:space="preserve">e si passerà ad una realtà virtuale ancora più avanzata di quella già presente nei vari </w:t>
      </w:r>
      <w:r w:rsidRPr="00943B79">
        <w:rPr>
          <w:rFonts w:ascii="Times New Roman" w:hAnsi="Times New Roman" w:cs="Times New Roman"/>
          <w:i/>
          <w:iCs/>
          <w:sz w:val="28"/>
          <w:szCs w:val="28"/>
        </w:rPr>
        <w:t>social network</w:t>
      </w:r>
      <w:r w:rsidRPr="00943B79">
        <w:rPr>
          <w:rFonts w:ascii="Times New Roman" w:hAnsi="Times New Roman" w:cs="Times New Roman"/>
          <w:sz w:val="28"/>
          <w:szCs w:val="28"/>
        </w:rPr>
        <w:t xml:space="preserve">. Tuttavia, bisogna porre attenzione al modo in cui questa esperienza virtuale potrebbe influenzare il modo di percepire i nostri corpi. </w:t>
      </w:r>
    </w:p>
    <w:p w14:paraId="13F56838" w14:textId="4FA8B862" w:rsidR="00943B79" w:rsidRPr="00943B79" w:rsidRDefault="00943B79" w:rsidP="00943B79">
      <w:pPr>
        <w:spacing w:after="0" w:line="240" w:lineRule="auto"/>
        <w:jc w:val="both"/>
        <w:rPr>
          <w:rFonts w:ascii="Times New Roman" w:hAnsi="Times New Roman" w:cs="Times New Roman"/>
          <w:sz w:val="28"/>
          <w:szCs w:val="28"/>
        </w:rPr>
      </w:pPr>
      <w:r w:rsidRPr="00943B79">
        <w:rPr>
          <w:rFonts w:ascii="Times New Roman" w:hAnsi="Times New Roman" w:cs="Times New Roman"/>
          <w:sz w:val="28"/>
          <w:szCs w:val="28"/>
        </w:rPr>
        <w:t xml:space="preserve">Il rischio paventato è quello di acuire le problematiche relative alla tossicità di Instagram e </w:t>
      </w:r>
      <w:proofErr w:type="spellStart"/>
      <w:r w:rsidRPr="00943B79">
        <w:rPr>
          <w:rFonts w:ascii="Times New Roman" w:hAnsi="Times New Roman" w:cs="Times New Roman"/>
          <w:sz w:val="28"/>
          <w:szCs w:val="28"/>
        </w:rPr>
        <w:t>Facebook</w:t>
      </w:r>
      <w:proofErr w:type="spellEnd"/>
      <w:r w:rsidRPr="00943B79">
        <w:rPr>
          <w:rFonts w:ascii="Times New Roman" w:hAnsi="Times New Roman" w:cs="Times New Roman"/>
          <w:sz w:val="28"/>
          <w:szCs w:val="28"/>
        </w:rPr>
        <w:t xml:space="preserve">, già parzialmente affrontate e non ancora risolte, anzi bypassate. Per capire meglio di cosa </w:t>
      </w:r>
      <w:r>
        <w:rPr>
          <w:rFonts w:ascii="Times New Roman" w:hAnsi="Times New Roman" w:cs="Times New Roman"/>
          <w:sz w:val="28"/>
          <w:szCs w:val="28"/>
        </w:rPr>
        <w:t>si parla</w:t>
      </w:r>
      <w:r w:rsidRPr="00943B79">
        <w:rPr>
          <w:rFonts w:ascii="Times New Roman" w:hAnsi="Times New Roman" w:cs="Times New Roman"/>
          <w:sz w:val="28"/>
          <w:szCs w:val="28"/>
        </w:rPr>
        <w:t>, bisogna avvicinarsi agli studi sulle neuroscienze</w:t>
      </w:r>
      <w:r w:rsidRPr="00943B79">
        <w:rPr>
          <w:rStyle w:val="Rimandonotaapidipagina"/>
          <w:rFonts w:ascii="Times New Roman" w:hAnsi="Times New Roman" w:cs="Times New Roman"/>
          <w:sz w:val="28"/>
          <w:szCs w:val="28"/>
        </w:rPr>
        <w:footnoteReference w:id="108"/>
      </w:r>
      <w:r w:rsidRPr="00943B79">
        <w:rPr>
          <w:rFonts w:ascii="Times New Roman" w:hAnsi="Times New Roman" w:cs="Times New Roman"/>
          <w:sz w:val="28"/>
          <w:szCs w:val="28"/>
        </w:rPr>
        <w:t xml:space="preserve">. </w:t>
      </w:r>
    </w:p>
    <w:p w14:paraId="48ABEAD5" w14:textId="7F41CA5F" w:rsidR="00943B79" w:rsidRPr="00943B79" w:rsidRDefault="00943B79" w:rsidP="00943B79">
      <w:pPr>
        <w:spacing w:after="0" w:line="240" w:lineRule="auto"/>
        <w:jc w:val="both"/>
        <w:rPr>
          <w:rFonts w:ascii="Times New Roman" w:hAnsi="Times New Roman" w:cs="Times New Roman"/>
          <w:sz w:val="28"/>
          <w:szCs w:val="28"/>
        </w:rPr>
      </w:pPr>
      <w:r w:rsidRPr="00943B79">
        <w:rPr>
          <w:rFonts w:ascii="Times New Roman" w:hAnsi="Times New Roman" w:cs="Times New Roman"/>
          <w:sz w:val="28"/>
          <w:szCs w:val="28"/>
        </w:rPr>
        <w:t>Ad affrontare questo argomento, ad esempio, è stata la Dottoressa Barbara Collevecchio, psicologa ad orientamento junghiano, autrice de “</w:t>
      </w:r>
      <w:r w:rsidRPr="00943B79">
        <w:rPr>
          <w:rFonts w:ascii="Times New Roman" w:hAnsi="Times New Roman" w:cs="Times New Roman"/>
          <w:i/>
          <w:iCs/>
          <w:sz w:val="28"/>
          <w:szCs w:val="28"/>
        </w:rPr>
        <w:t>Il male che cura</w:t>
      </w:r>
      <w:r w:rsidRPr="00943B79">
        <w:rPr>
          <w:rFonts w:ascii="Times New Roman" w:hAnsi="Times New Roman" w:cs="Times New Roman"/>
          <w:sz w:val="28"/>
          <w:szCs w:val="28"/>
        </w:rPr>
        <w:t>”, che ci dice che «</w:t>
      </w:r>
      <w:r w:rsidRPr="00943B79">
        <w:rPr>
          <w:rFonts w:ascii="Times New Roman" w:hAnsi="Times New Roman" w:cs="Times New Roman"/>
          <w:i/>
          <w:iCs/>
          <w:sz w:val="28"/>
          <w:szCs w:val="28"/>
        </w:rPr>
        <w:t>oggi grazie alla grande evoluzione delle ricerche scientifiche che sono state portate avanti soprattutto in questo ultimo decennio</w:t>
      </w:r>
      <w:r w:rsidR="00FA6CAB">
        <w:rPr>
          <w:rFonts w:ascii="Times New Roman" w:hAnsi="Times New Roman" w:cs="Times New Roman"/>
          <w:i/>
          <w:iCs/>
          <w:sz w:val="28"/>
          <w:szCs w:val="28"/>
        </w:rPr>
        <w:t>,</w:t>
      </w:r>
      <w:r w:rsidRPr="00943B79">
        <w:rPr>
          <w:rFonts w:ascii="Times New Roman" w:hAnsi="Times New Roman" w:cs="Times New Roman"/>
          <w:i/>
          <w:iCs/>
          <w:sz w:val="28"/>
          <w:szCs w:val="28"/>
        </w:rPr>
        <w:t xml:space="preserve"> dove le neuroscienze hanno addirittura aperto un nuovo filone che si chiama neuro psicanalisi, sappiamo che il corpo è fondamentale</w:t>
      </w:r>
      <w:r w:rsidR="00FA6CAB">
        <w:rPr>
          <w:rFonts w:ascii="Times New Roman" w:hAnsi="Times New Roman" w:cs="Times New Roman"/>
          <w:i/>
          <w:iCs/>
          <w:sz w:val="28"/>
          <w:szCs w:val="28"/>
        </w:rPr>
        <w:t>;</w:t>
      </w:r>
      <w:r w:rsidRPr="00943B79">
        <w:rPr>
          <w:rFonts w:ascii="Times New Roman" w:hAnsi="Times New Roman" w:cs="Times New Roman"/>
          <w:i/>
          <w:iCs/>
          <w:sz w:val="28"/>
          <w:szCs w:val="28"/>
        </w:rPr>
        <w:t xml:space="preserve"> il corpo e il cervello sono alla base del collegamento che c’è tra gli esseri umani</w:t>
      </w:r>
      <w:r w:rsidRPr="00943B79">
        <w:rPr>
          <w:rFonts w:ascii="Times New Roman" w:hAnsi="Times New Roman" w:cs="Times New Roman"/>
          <w:sz w:val="28"/>
          <w:szCs w:val="28"/>
        </w:rPr>
        <w:t xml:space="preserve">». </w:t>
      </w:r>
    </w:p>
    <w:p w14:paraId="065CD9F4" w14:textId="54C733F9" w:rsidR="00943B79" w:rsidRPr="00943B79" w:rsidRDefault="00943B79" w:rsidP="00943B79">
      <w:pPr>
        <w:spacing w:after="0" w:line="240" w:lineRule="auto"/>
        <w:jc w:val="both"/>
        <w:rPr>
          <w:rFonts w:ascii="Times New Roman" w:hAnsi="Times New Roman" w:cs="Times New Roman"/>
          <w:sz w:val="28"/>
          <w:szCs w:val="28"/>
        </w:rPr>
      </w:pPr>
      <w:r w:rsidRPr="00943B79">
        <w:rPr>
          <w:rFonts w:ascii="Times New Roman" w:hAnsi="Times New Roman" w:cs="Times New Roman"/>
          <w:sz w:val="28"/>
          <w:szCs w:val="28"/>
        </w:rPr>
        <w:t>Partendo dall’origine della percezione corporea di sé, la psicologa illustra le cause profonde del rischio di c.d. dismorfofobia o dismorfismo, ossia il rischio che corrono oggi gli adolescenti quando passano (quotidianamente) dal reale al virtuale: «</w:t>
      </w:r>
      <w:r w:rsidRPr="00943B79">
        <w:rPr>
          <w:rFonts w:ascii="Times New Roman" w:hAnsi="Times New Roman" w:cs="Times New Roman"/>
          <w:i/>
          <w:iCs/>
          <w:sz w:val="28"/>
          <w:szCs w:val="28"/>
        </w:rPr>
        <w:t xml:space="preserve">Sappiamo addirittura che la giunzione </w:t>
      </w:r>
      <w:proofErr w:type="spellStart"/>
      <w:r w:rsidRPr="00943B79">
        <w:rPr>
          <w:rFonts w:ascii="Times New Roman" w:hAnsi="Times New Roman" w:cs="Times New Roman"/>
          <w:i/>
          <w:iCs/>
          <w:sz w:val="28"/>
          <w:szCs w:val="28"/>
        </w:rPr>
        <w:t>temporo</w:t>
      </w:r>
      <w:proofErr w:type="spellEnd"/>
      <w:r w:rsidRPr="00943B79">
        <w:rPr>
          <w:rFonts w:ascii="Times New Roman" w:hAnsi="Times New Roman" w:cs="Times New Roman"/>
          <w:i/>
          <w:iCs/>
          <w:sz w:val="28"/>
          <w:szCs w:val="28"/>
        </w:rPr>
        <w:t>-parietale destra è preposta alla percezione che il soggetto ha del proprio corpo ed è all’origine della sensazione corporea del sé e dipende dallo sviluppo delle aree corticali</w:t>
      </w:r>
      <w:r w:rsidR="00FA6CAB">
        <w:rPr>
          <w:rFonts w:ascii="Times New Roman" w:hAnsi="Times New Roman" w:cs="Times New Roman"/>
          <w:i/>
          <w:iCs/>
          <w:sz w:val="28"/>
          <w:szCs w:val="28"/>
        </w:rPr>
        <w:t xml:space="preserve"> e</w:t>
      </w:r>
      <w:r w:rsidRPr="00943B79">
        <w:rPr>
          <w:rFonts w:ascii="Times New Roman" w:hAnsi="Times New Roman" w:cs="Times New Roman"/>
          <w:i/>
          <w:iCs/>
          <w:sz w:val="28"/>
          <w:szCs w:val="28"/>
        </w:rPr>
        <w:t xml:space="preserve"> subcorticali che sono influenzate dalle relazioni primarie. Le relazioni primarie sono quelle con il nostro care </w:t>
      </w:r>
      <w:proofErr w:type="spellStart"/>
      <w:r w:rsidRPr="00943B79">
        <w:rPr>
          <w:rFonts w:ascii="Times New Roman" w:hAnsi="Times New Roman" w:cs="Times New Roman"/>
          <w:i/>
          <w:iCs/>
          <w:sz w:val="28"/>
          <w:szCs w:val="28"/>
        </w:rPr>
        <w:t>giver</w:t>
      </w:r>
      <w:proofErr w:type="spellEnd"/>
      <w:r w:rsidR="00FA6CAB">
        <w:rPr>
          <w:rFonts w:ascii="Times New Roman" w:hAnsi="Times New Roman" w:cs="Times New Roman"/>
          <w:i/>
          <w:iCs/>
          <w:sz w:val="28"/>
          <w:szCs w:val="28"/>
        </w:rPr>
        <w:t>,</w:t>
      </w:r>
      <w:r w:rsidRPr="00943B79">
        <w:rPr>
          <w:rFonts w:ascii="Times New Roman" w:hAnsi="Times New Roman" w:cs="Times New Roman"/>
          <w:i/>
          <w:iCs/>
          <w:sz w:val="28"/>
          <w:szCs w:val="28"/>
        </w:rPr>
        <w:t xml:space="preserve"> quindi con i nostri familiari, soprattutto nei primi due anni, la mamma</w:t>
      </w:r>
      <w:r w:rsidR="00FA6CAB">
        <w:rPr>
          <w:rFonts w:ascii="Times New Roman" w:hAnsi="Times New Roman" w:cs="Times New Roman"/>
          <w:i/>
          <w:iCs/>
          <w:sz w:val="28"/>
          <w:szCs w:val="28"/>
        </w:rPr>
        <w:t>…</w:t>
      </w:r>
      <w:r w:rsidRPr="00943B79">
        <w:rPr>
          <w:rFonts w:ascii="Times New Roman" w:hAnsi="Times New Roman" w:cs="Times New Roman"/>
          <w:i/>
          <w:iCs/>
          <w:sz w:val="28"/>
          <w:szCs w:val="28"/>
        </w:rPr>
        <w:t xml:space="preserve">La relazione madre – bambino, crea un network implicato nell’integrazione multisensoriali delle esperienze di sé e degli altri e quindi questo network e questa capacità di </w:t>
      </w:r>
      <w:proofErr w:type="spellStart"/>
      <w:r w:rsidRPr="00943B79">
        <w:rPr>
          <w:rFonts w:ascii="Times New Roman" w:hAnsi="Times New Roman" w:cs="Times New Roman"/>
          <w:i/>
          <w:iCs/>
          <w:sz w:val="28"/>
          <w:szCs w:val="28"/>
        </w:rPr>
        <w:t>interrelazionarsi</w:t>
      </w:r>
      <w:proofErr w:type="spellEnd"/>
      <w:r w:rsidRPr="00943B79">
        <w:rPr>
          <w:rFonts w:ascii="Times New Roman" w:hAnsi="Times New Roman" w:cs="Times New Roman"/>
          <w:i/>
          <w:iCs/>
          <w:sz w:val="28"/>
          <w:szCs w:val="28"/>
        </w:rPr>
        <w:t xml:space="preserve"> con gli altri crea anche la capacità di </w:t>
      </w:r>
      <w:proofErr w:type="spellStart"/>
      <w:r w:rsidRPr="00943B79">
        <w:rPr>
          <w:rFonts w:ascii="Times New Roman" w:hAnsi="Times New Roman" w:cs="Times New Roman"/>
          <w:i/>
          <w:iCs/>
          <w:sz w:val="28"/>
          <w:szCs w:val="28"/>
        </w:rPr>
        <w:t>mentalizzare</w:t>
      </w:r>
      <w:proofErr w:type="spellEnd"/>
      <w:r w:rsidRPr="00943B79">
        <w:rPr>
          <w:rFonts w:ascii="Times New Roman" w:hAnsi="Times New Roman" w:cs="Times New Roman"/>
          <w:i/>
          <w:iCs/>
          <w:sz w:val="28"/>
          <w:szCs w:val="28"/>
        </w:rPr>
        <w:t xml:space="preserve"> del bambino e quindi una primaria sintonizzazione intersoggettiva</w:t>
      </w:r>
      <w:r w:rsidRPr="00943B79">
        <w:rPr>
          <w:rFonts w:ascii="Times New Roman" w:hAnsi="Times New Roman" w:cs="Times New Roman"/>
          <w:sz w:val="28"/>
          <w:szCs w:val="28"/>
        </w:rPr>
        <w:t>».</w:t>
      </w:r>
    </w:p>
    <w:p w14:paraId="332220AF" w14:textId="1D143CDA" w:rsidR="00943B79" w:rsidRPr="00943B79" w:rsidRDefault="00943B79" w:rsidP="00943B79">
      <w:pPr>
        <w:spacing w:after="0" w:line="240" w:lineRule="auto"/>
        <w:jc w:val="both"/>
        <w:rPr>
          <w:rFonts w:ascii="Times New Roman" w:hAnsi="Times New Roman" w:cs="Times New Roman"/>
          <w:i/>
          <w:iCs/>
          <w:sz w:val="28"/>
          <w:szCs w:val="28"/>
        </w:rPr>
      </w:pPr>
      <w:r w:rsidRPr="00943B79">
        <w:rPr>
          <w:rFonts w:ascii="Times New Roman" w:hAnsi="Times New Roman" w:cs="Times New Roman"/>
          <w:sz w:val="28"/>
          <w:szCs w:val="28"/>
        </w:rPr>
        <w:lastRenderedPageBreak/>
        <w:t>Ciò significa che «</w:t>
      </w:r>
      <w:r w:rsidRPr="00943B79">
        <w:rPr>
          <w:rFonts w:ascii="Times New Roman" w:hAnsi="Times New Roman" w:cs="Times New Roman"/>
          <w:i/>
          <w:iCs/>
          <w:sz w:val="28"/>
          <w:szCs w:val="28"/>
        </w:rPr>
        <w:t>c’è un’interrelazione molto importante tra natura, corpo e società e quindi innanzitutto le nostre relazioni primarie sono mediate dal corpo</w:t>
      </w:r>
      <w:r w:rsidR="00FA6CAB">
        <w:rPr>
          <w:rFonts w:ascii="Times New Roman" w:hAnsi="Times New Roman" w:cs="Times New Roman"/>
          <w:i/>
          <w:iCs/>
          <w:sz w:val="28"/>
          <w:szCs w:val="28"/>
        </w:rPr>
        <w:t>,</w:t>
      </w:r>
      <w:r w:rsidRPr="00943B79">
        <w:rPr>
          <w:rFonts w:ascii="Times New Roman" w:hAnsi="Times New Roman" w:cs="Times New Roman"/>
          <w:i/>
          <w:iCs/>
          <w:sz w:val="28"/>
          <w:szCs w:val="28"/>
        </w:rPr>
        <w:t xml:space="preserve"> cioè quanto la mamma e quanto i care </w:t>
      </w:r>
      <w:proofErr w:type="spellStart"/>
      <w:r w:rsidRPr="00943B79">
        <w:rPr>
          <w:rFonts w:ascii="Times New Roman" w:hAnsi="Times New Roman" w:cs="Times New Roman"/>
          <w:i/>
          <w:iCs/>
          <w:sz w:val="28"/>
          <w:szCs w:val="28"/>
        </w:rPr>
        <w:t>giver</w:t>
      </w:r>
      <w:proofErr w:type="spellEnd"/>
      <w:r w:rsidRPr="00943B79">
        <w:rPr>
          <w:rFonts w:ascii="Times New Roman" w:hAnsi="Times New Roman" w:cs="Times New Roman"/>
          <w:i/>
          <w:iCs/>
          <w:sz w:val="28"/>
          <w:szCs w:val="28"/>
        </w:rPr>
        <w:t xml:space="preserve"> primari sono capaci di relazionarsi a noi e di mediare le esigenze, i bisogni e le pulsioni che derivano dal corpo, che ci arrivano dal corpo. Se questa intermediazione e interrelazione c’è stata e questa sincronizzazione è stata sana</w:t>
      </w:r>
      <w:r w:rsidR="00FA6CAB">
        <w:rPr>
          <w:rFonts w:ascii="Times New Roman" w:hAnsi="Times New Roman" w:cs="Times New Roman"/>
          <w:i/>
          <w:iCs/>
          <w:sz w:val="28"/>
          <w:szCs w:val="28"/>
        </w:rPr>
        <w:t>,</w:t>
      </w:r>
      <w:r w:rsidRPr="00943B79">
        <w:rPr>
          <w:rFonts w:ascii="Times New Roman" w:hAnsi="Times New Roman" w:cs="Times New Roman"/>
          <w:i/>
          <w:iCs/>
          <w:sz w:val="28"/>
          <w:szCs w:val="28"/>
        </w:rPr>
        <w:t xml:space="preserve"> allora noi avremo anche una regolazione degli affetti sana. Se questo non avviene, abbiamo </w:t>
      </w:r>
      <w:proofErr w:type="spellStart"/>
      <w:r w:rsidRPr="00943B79">
        <w:rPr>
          <w:rFonts w:ascii="Times New Roman" w:hAnsi="Times New Roman" w:cs="Times New Roman"/>
          <w:i/>
          <w:iCs/>
          <w:sz w:val="28"/>
          <w:szCs w:val="28"/>
        </w:rPr>
        <w:t>disregolazioni</w:t>
      </w:r>
      <w:proofErr w:type="spellEnd"/>
      <w:r w:rsidRPr="00943B79">
        <w:rPr>
          <w:rFonts w:ascii="Times New Roman" w:hAnsi="Times New Roman" w:cs="Times New Roman"/>
          <w:i/>
          <w:iCs/>
          <w:sz w:val="28"/>
          <w:szCs w:val="28"/>
        </w:rPr>
        <w:t xml:space="preserve"> emotive che si riversano sul corpo, e purtroppo lo vediamo in tanti pazienti borderline o con problemi di dismorfofobia eccetera, dove ci sono somatizzazioni e addirittura dei veri e propri attacchi sul corpo</w:t>
      </w:r>
      <w:r w:rsidRPr="00943B79">
        <w:rPr>
          <w:rFonts w:ascii="Times New Roman" w:hAnsi="Times New Roman" w:cs="Times New Roman"/>
          <w:sz w:val="28"/>
          <w:szCs w:val="28"/>
        </w:rPr>
        <w:t>».</w:t>
      </w:r>
    </w:p>
    <w:p w14:paraId="3F4CB882" w14:textId="77777777" w:rsidR="00943B79" w:rsidRPr="00943B79" w:rsidRDefault="00943B79" w:rsidP="00943B79">
      <w:pPr>
        <w:spacing w:after="0" w:line="240" w:lineRule="auto"/>
        <w:jc w:val="both"/>
        <w:rPr>
          <w:rFonts w:ascii="Times New Roman" w:hAnsi="Times New Roman" w:cs="Times New Roman"/>
          <w:i/>
          <w:iCs/>
          <w:sz w:val="28"/>
          <w:szCs w:val="28"/>
        </w:rPr>
      </w:pPr>
      <w:r w:rsidRPr="00943B79">
        <w:rPr>
          <w:rFonts w:ascii="Times New Roman" w:hAnsi="Times New Roman" w:cs="Times New Roman"/>
          <w:sz w:val="28"/>
          <w:szCs w:val="28"/>
        </w:rPr>
        <w:t>Un ruolo fondamentale lo rivestono il narcisismo e la spettacolarizzazione del proprio corpo: «</w:t>
      </w:r>
      <w:r w:rsidRPr="00943B79">
        <w:rPr>
          <w:rFonts w:ascii="Times New Roman" w:hAnsi="Times New Roman" w:cs="Times New Roman"/>
          <w:i/>
          <w:iCs/>
          <w:sz w:val="28"/>
          <w:szCs w:val="28"/>
        </w:rPr>
        <w:t xml:space="preserve">È stato lanciato anche un allarme dal primario di neuropsichiatria dell’Ospedale </w:t>
      </w:r>
      <w:proofErr w:type="spellStart"/>
      <w:r w:rsidRPr="00943B79">
        <w:rPr>
          <w:rFonts w:ascii="Times New Roman" w:hAnsi="Times New Roman" w:cs="Times New Roman"/>
          <w:i/>
          <w:iCs/>
          <w:sz w:val="28"/>
          <w:szCs w:val="28"/>
        </w:rPr>
        <w:t>Bambin</w:t>
      </w:r>
      <w:proofErr w:type="spellEnd"/>
      <w:r w:rsidRPr="00943B79">
        <w:rPr>
          <w:rFonts w:ascii="Times New Roman" w:hAnsi="Times New Roman" w:cs="Times New Roman"/>
          <w:i/>
          <w:iCs/>
          <w:sz w:val="28"/>
          <w:szCs w:val="28"/>
        </w:rPr>
        <w:t xml:space="preserve"> Gesù di Roma: abbiamo veramente un aumento incredibile di giovani adolescenti che hanno questo problema e appunto le nuove ricerche ipotizzano che siano dovute ad un problema di regolazione degli affetti e dalle disfunzioni delle cure primarie di attaccamento, ma le ricerche ci dimostrano anche che appunto il corpo è legato anche al concetto di cultura perché la cultura e i mass-media di un periodo storico raccontano e immaginano un ideale di corpo e anche questo influenza come noi percepiamo il nostro corpo. Quindi non a caso in questo periodo di grande narcisismo e di spettacolarizzazione del corpo è possibile che queste continue visioni e narrazioni di corpi perfetti, postati sui social media anche dagli adolescenti, tutti questi filtri che possono modificare parti del corpo e deformare l’immagine, insomma tutto questo può acuire e portare ad una </w:t>
      </w:r>
      <w:proofErr w:type="spellStart"/>
      <w:r w:rsidRPr="00943B79">
        <w:rPr>
          <w:rFonts w:ascii="Times New Roman" w:hAnsi="Times New Roman" w:cs="Times New Roman"/>
          <w:i/>
          <w:iCs/>
          <w:sz w:val="28"/>
          <w:szCs w:val="28"/>
        </w:rPr>
        <w:t>dis</w:t>
      </w:r>
      <w:proofErr w:type="spellEnd"/>
      <w:r w:rsidRPr="00943B79">
        <w:rPr>
          <w:rFonts w:ascii="Times New Roman" w:hAnsi="Times New Roman" w:cs="Times New Roman"/>
          <w:i/>
          <w:iCs/>
          <w:sz w:val="28"/>
          <w:szCs w:val="28"/>
        </w:rPr>
        <w:t>-percezione del proprio corpo e alla dismorfofobia e nei casi più gravi anche un attacco al corpo, vissuto come non all’altezza degli standard che ci sono</w:t>
      </w:r>
      <w:r w:rsidRPr="00943B79">
        <w:rPr>
          <w:rFonts w:ascii="Times New Roman" w:hAnsi="Times New Roman" w:cs="Times New Roman"/>
          <w:sz w:val="28"/>
          <w:szCs w:val="28"/>
        </w:rPr>
        <w:t>»</w:t>
      </w:r>
    </w:p>
    <w:p w14:paraId="7D4F3262" w14:textId="327BEE56" w:rsidR="00943B79" w:rsidRPr="00943B79" w:rsidRDefault="00943B79" w:rsidP="00943B79">
      <w:pPr>
        <w:spacing w:after="0" w:line="240" w:lineRule="auto"/>
        <w:jc w:val="both"/>
        <w:rPr>
          <w:rFonts w:ascii="Times New Roman" w:hAnsi="Times New Roman" w:cs="Times New Roman"/>
          <w:sz w:val="28"/>
          <w:szCs w:val="28"/>
        </w:rPr>
      </w:pPr>
      <w:r w:rsidRPr="00943B79">
        <w:rPr>
          <w:rFonts w:ascii="Times New Roman" w:hAnsi="Times New Roman" w:cs="Times New Roman"/>
          <w:sz w:val="28"/>
          <w:szCs w:val="28"/>
        </w:rPr>
        <w:t>Secondo la psicologa Collevecchio, dunque, è fondamentale «</w:t>
      </w:r>
      <w:r w:rsidRPr="00943B79">
        <w:rPr>
          <w:rFonts w:ascii="Times New Roman" w:hAnsi="Times New Roman" w:cs="Times New Roman"/>
          <w:i/>
          <w:iCs/>
          <w:sz w:val="28"/>
          <w:szCs w:val="28"/>
        </w:rPr>
        <w:t>rendersi conto che alla base delle nostre relazioni c’è anche il corpo e le nostre relazioni non possono non essere mediate da una corporeità vera, dove deve esserci un corpo vero, non uno idealizzato o disincarnato</w:t>
      </w:r>
      <w:r w:rsidRPr="00943B79">
        <w:rPr>
          <w:rFonts w:ascii="Times New Roman" w:hAnsi="Times New Roman" w:cs="Times New Roman"/>
          <w:sz w:val="28"/>
          <w:szCs w:val="28"/>
        </w:rPr>
        <w:t>»</w:t>
      </w:r>
      <w:r w:rsidR="00FA6CAB">
        <w:rPr>
          <w:rStyle w:val="Rimandonotaapidipagina"/>
          <w:rFonts w:ascii="Times New Roman" w:hAnsi="Times New Roman" w:cs="Times New Roman"/>
          <w:sz w:val="28"/>
          <w:szCs w:val="28"/>
        </w:rPr>
        <w:footnoteReference w:id="109"/>
      </w:r>
      <w:r w:rsidR="00FA6CAB">
        <w:rPr>
          <w:rFonts w:ascii="Times New Roman" w:hAnsi="Times New Roman" w:cs="Times New Roman"/>
          <w:sz w:val="28"/>
          <w:szCs w:val="28"/>
        </w:rPr>
        <w:t>.</w:t>
      </w:r>
    </w:p>
    <w:p w14:paraId="624CCDAA" w14:textId="640C9BD1" w:rsidR="00943B79" w:rsidRPr="00943B79" w:rsidRDefault="00943B79" w:rsidP="00943B79">
      <w:pPr>
        <w:jc w:val="both"/>
        <w:rPr>
          <w:rFonts w:ascii="Times New Roman" w:hAnsi="Times New Roman" w:cs="Times New Roman"/>
          <w:sz w:val="28"/>
          <w:szCs w:val="28"/>
        </w:rPr>
      </w:pPr>
      <w:r w:rsidRPr="00943B79">
        <w:rPr>
          <w:rFonts w:ascii="Times New Roman" w:hAnsi="Times New Roman" w:cs="Times New Roman"/>
          <w:sz w:val="28"/>
          <w:szCs w:val="28"/>
        </w:rPr>
        <w:t xml:space="preserve">Ecco che invece ciò su cui punta il </w:t>
      </w:r>
      <w:proofErr w:type="spellStart"/>
      <w:r w:rsidRPr="00943B79">
        <w:rPr>
          <w:rFonts w:ascii="Times New Roman" w:hAnsi="Times New Roman" w:cs="Times New Roman"/>
          <w:sz w:val="28"/>
          <w:szCs w:val="28"/>
        </w:rPr>
        <w:t>Metaverso</w:t>
      </w:r>
      <w:proofErr w:type="spellEnd"/>
      <w:r w:rsidRPr="00943B79">
        <w:rPr>
          <w:rFonts w:ascii="Times New Roman" w:hAnsi="Times New Roman" w:cs="Times New Roman"/>
          <w:sz w:val="28"/>
          <w:szCs w:val="28"/>
        </w:rPr>
        <w:t xml:space="preserve"> con i suoi avatar è proprio l’opposto, un corpo virtuale, perfetto, idealizzato. Nell’era dei </w:t>
      </w:r>
      <w:r w:rsidRPr="00AC53A0">
        <w:rPr>
          <w:rFonts w:ascii="Times New Roman" w:hAnsi="Times New Roman" w:cs="Times New Roman"/>
          <w:i/>
          <w:iCs/>
          <w:sz w:val="28"/>
          <w:szCs w:val="28"/>
        </w:rPr>
        <w:t>social</w:t>
      </w:r>
      <w:r w:rsidRPr="00943B79">
        <w:rPr>
          <w:rFonts w:ascii="Times New Roman" w:hAnsi="Times New Roman" w:cs="Times New Roman"/>
          <w:sz w:val="28"/>
          <w:szCs w:val="28"/>
        </w:rPr>
        <w:t xml:space="preserve"> ciò potrebbe avere conseguenze </w:t>
      </w:r>
      <w:r w:rsidR="00AC53A0">
        <w:rPr>
          <w:rFonts w:ascii="Times New Roman" w:hAnsi="Times New Roman" w:cs="Times New Roman"/>
          <w:sz w:val="28"/>
          <w:szCs w:val="28"/>
        </w:rPr>
        <w:t>a</w:t>
      </w:r>
      <w:r w:rsidRPr="00943B79">
        <w:rPr>
          <w:rFonts w:ascii="Times New Roman" w:hAnsi="Times New Roman" w:cs="Times New Roman"/>
          <w:sz w:val="28"/>
          <w:szCs w:val="28"/>
        </w:rPr>
        <w:t xml:space="preserve"> vari </w:t>
      </w:r>
      <w:r w:rsidR="00AC53A0">
        <w:rPr>
          <w:rFonts w:ascii="Times New Roman" w:hAnsi="Times New Roman" w:cs="Times New Roman"/>
          <w:sz w:val="28"/>
          <w:szCs w:val="28"/>
        </w:rPr>
        <w:t>livelli</w:t>
      </w:r>
      <w:r w:rsidRPr="00943B79">
        <w:rPr>
          <w:rFonts w:ascii="Times New Roman" w:hAnsi="Times New Roman" w:cs="Times New Roman"/>
          <w:sz w:val="28"/>
          <w:szCs w:val="28"/>
        </w:rPr>
        <w:t>.</w:t>
      </w:r>
    </w:p>
    <w:p w14:paraId="377ADA89" w14:textId="131C09C8" w:rsidR="00943B79" w:rsidRPr="00943B79" w:rsidRDefault="00943B79" w:rsidP="00943B79">
      <w:pPr>
        <w:jc w:val="both"/>
        <w:rPr>
          <w:rFonts w:ascii="Times New Roman" w:hAnsi="Times New Roman" w:cs="Times New Roman"/>
          <w:sz w:val="28"/>
          <w:szCs w:val="28"/>
        </w:rPr>
      </w:pPr>
      <w:r w:rsidRPr="00943B79">
        <w:rPr>
          <w:rFonts w:ascii="Times New Roman" w:hAnsi="Times New Roman" w:cs="Times New Roman"/>
          <w:sz w:val="28"/>
          <w:szCs w:val="28"/>
        </w:rPr>
        <w:t>Come ha sottolineato Giuseppe Riva</w:t>
      </w:r>
      <w:r w:rsidR="00AC53A0">
        <w:rPr>
          <w:rStyle w:val="Rimandonotaapidipagina"/>
          <w:rFonts w:ascii="Times New Roman" w:hAnsi="Times New Roman" w:cs="Times New Roman"/>
          <w:sz w:val="28"/>
          <w:szCs w:val="28"/>
        </w:rPr>
        <w:footnoteReference w:id="110"/>
      </w:r>
      <w:r w:rsidRPr="00943B79">
        <w:rPr>
          <w:rFonts w:ascii="Times New Roman" w:hAnsi="Times New Roman" w:cs="Times New Roman"/>
          <w:sz w:val="28"/>
          <w:szCs w:val="28"/>
        </w:rPr>
        <w:t>, professore di Psicologia della comunicazione all’Università Cattolica di Milano, autore del libro “</w:t>
      </w:r>
      <w:proofErr w:type="spellStart"/>
      <w:r w:rsidRPr="00AC53A0">
        <w:rPr>
          <w:rFonts w:ascii="Times New Roman" w:hAnsi="Times New Roman" w:cs="Times New Roman"/>
          <w:i/>
          <w:iCs/>
          <w:sz w:val="28"/>
          <w:szCs w:val="28"/>
        </w:rPr>
        <w:t>Selfie</w:t>
      </w:r>
      <w:proofErr w:type="spellEnd"/>
      <w:r w:rsidRPr="00AC53A0">
        <w:rPr>
          <w:rFonts w:ascii="Times New Roman" w:hAnsi="Times New Roman" w:cs="Times New Roman"/>
          <w:i/>
          <w:iCs/>
          <w:sz w:val="28"/>
          <w:szCs w:val="28"/>
        </w:rPr>
        <w:t>. Narcisismo e identità</w:t>
      </w:r>
      <w:r w:rsidRPr="00943B79">
        <w:rPr>
          <w:rFonts w:ascii="Times New Roman" w:hAnsi="Times New Roman" w:cs="Times New Roman"/>
          <w:sz w:val="28"/>
          <w:szCs w:val="28"/>
        </w:rPr>
        <w:t>”, «</w:t>
      </w:r>
      <w:r w:rsidRPr="00AC53A0">
        <w:rPr>
          <w:rFonts w:ascii="Times New Roman" w:hAnsi="Times New Roman" w:cs="Times New Roman"/>
          <w:i/>
          <w:iCs/>
          <w:sz w:val="28"/>
          <w:szCs w:val="28"/>
        </w:rPr>
        <w:t>il successo dei filtri di Instagram sottolinea il desiderio di moltissimi utenti di mostrare sui social un corpo perfetto</w:t>
      </w:r>
      <w:r w:rsidRPr="00943B79">
        <w:rPr>
          <w:rFonts w:ascii="Times New Roman" w:hAnsi="Times New Roman" w:cs="Times New Roman"/>
          <w:sz w:val="28"/>
          <w:szCs w:val="28"/>
        </w:rPr>
        <w:t>» e la «</w:t>
      </w:r>
      <w:r w:rsidRPr="00AC53A0">
        <w:rPr>
          <w:rFonts w:ascii="Times New Roman" w:hAnsi="Times New Roman" w:cs="Times New Roman"/>
          <w:i/>
          <w:iCs/>
          <w:sz w:val="28"/>
          <w:szCs w:val="28"/>
        </w:rPr>
        <w:t xml:space="preserve">capacità del </w:t>
      </w:r>
      <w:proofErr w:type="spellStart"/>
      <w:r w:rsidRPr="00AC53A0">
        <w:rPr>
          <w:rFonts w:ascii="Times New Roman" w:hAnsi="Times New Roman" w:cs="Times New Roman"/>
          <w:i/>
          <w:iCs/>
          <w:sz w:val="28"/>
          <w:szCs w:val="28"/>
        </w:rPr>
        <w:t>Metaverso</w:t>
      </w:r>
      <w:proofErr w:type="spellEnd"/>
      <w:r w:rsidRPr="00AC53A0">
        <w:rPr>
          <w:rFonts w:ascii="Times New Roman" w:hAnsi="Times New Roman" w:cs="Times New Roman"/>
          <w:i/>
          <w:iCs/>
          <w:sz w:val="28"/>
          <w:szCs w:val="28"/>
        </w:rPr>
        <w:t xml:space="preserve"> di mostrare corpi esteticamente perfetti, che non sono soggetti all’invecchiamento, potrebbe spingere molti soggetti a decidere di apparire online solo con un corpo digitalmente ritoccato</w:t>
      </w:r>
      <w:r w:rsidRPr="00943B79">
        <w:rPr>
          <w:rFonts w:ascii="Times New Roman" w:hAnsi="Times New Roman" w:cs="Times New Roman"/>
          <w:sz w:val="28"/>
          <w:szCs w:val="28"/>
        </w:rPr>
        <w:t xml:space="preserve">». </w:t>
      </w:r>
      <w:r w:rsidRPr="00943B79">
        <w:rPr>
          <w:rFonts w:ascii="Times New Roman" w:hAnsi="Times New Roman" w:cs="Times New Roman"/>
          <w:sz w:val="28"/>
          <w:szCs w:val="28"/>
        </w:rPr>
        <w:lastRenderedPageBreak/>
        <w:t>Ed ecco che il pericolo è dietro l’angolo, dal momento che</w:t>
      </w:r>
      <w:r w:rsidR="00AC53A0">
        <w:rPr>
          <w:rFonts w:ascii="Times New Roman" w:hAnsi="Times New Roman" w:cs="Times New Roman"/>
          <w:sz w:val="28"/>
          <w:szCs w:val="28"/>
        </w:rPr>
        <w:t>,</w:t>
      </w:r>
      <w:r w:rsidRPr="00943B79">
        <w:rPr>
          <w:rFonts w:ascii="Times New Roman" w:hAnsi="Times New Roman" w:cs="Times New Roman"/>
          <w:sz w:val="28"/>
          <w:szCs w:val="28"/>
        </w:rPr>
        <w:t xml:space="preserve"> con il </w:t>
      </w:r>
      <w:proofErr w:type="spellStart"/>
      <w:r w:rsidRPr="00943B79">
        <w:rPr>
          <w:rFonts w:ascii="Times New Roman" w:hAnsi="Times New Roman" w:cs="Times New Roman"/>
          <w:sz w:val="28"/>
          <w:szCs w:val="28"/>
        </w:rPr>
        <w:t>Metaverso</w:t>
      </w:r>
      <w:proofErr w:type="spellEnd"/>
      <w:r w:rsidRPr="00943B79">
        <w:rPr>
          <w:rFonts w:ascii="Times New Roman" w:hAnsi="Times New Roman" w:cs="Times New Roman"/>
          <w:sz w:val="28"/>
          <w:szCs w:val="28"/>
        </w:rPr>
        <w:t xml:space="preserve"> che sostituisce Instagram e </w:t>
      </w:r>
      <w:proofErr w:type="spellStart"/>
      <w:r w:rsidRPr="00943B79">
        <w:rPr>
          <w:rFonts w:ascii="Times New Roman" w:hAnsi="Times New Roman" w:cs="Times New Roman"/>
          <w:sz w:val="28"/>
          <w:szCs w:val="28"/>
        </w:rPr>
        <w:t>Facebook</w:t>
      </w:r>
      <w:proofErr w:type="spellEnd"/>
      <w:r w:rsidR="00AC53A0">
        <w:rPr>
          <w:rFonts w:ascii="Times New Roman" w:hAnsi="Times New Roman" w:cs="Times New Roman"/>
          <w:sz w:val="28"/>
          <w:szCs w:val="28"/>
        </w:rPr>
        <w:t>,</w:t>
      </w:r>
      <w:r w:rsidRPr="00943B79">
        <w:rPr>
          <w:rFonts w:ascii="Times New Roman" w:hAnsi="Times New Roman" w:cs="Times New Roman"/>
          <w:sz w:val="28"/>
          <w:szCs w:val="28"/>
        </w:rPr>
        <w:t xml:space="preserve"> gli utenti potrebbero cominciare a desiderare, più che una copia di sé stessi, una rappresentazione idealistica. Si potrebbe arrivare ad avatar completamente diversi dalle persone fisiche, che giocano il ruolo di chi, a tutti i costi, vuole apparire perfetto agli</w:t>
      </w:r>
      <w:r w:rsidR="00AC53A0">
        <w:rPr>
          <w:rFonts w:ascii="Times New Roman" w:hAnsi="Times New Roman" w:cs="Times New Roman"/>
          <w:sz w:val="28"/>
          <w:szCs w:val="28"/>
        </w:rPr>
        <w:t xml:space="preserve"> occhi degli</w:t>
      </w:r>
      <w:r w:rsidRPr="00943B79">
        <w:rPr>
          <w:rFonts w:ascii="Times New Roman" w:hAnsi="Times New Roman" w:cs="Times New Roman"/>
          <w:sz w:val="28"/>
          <w:szCs w:val="28"/>
        </w:rPr>
        <w:t xml:space="preserve"> altri, con buona pace delle tendenze </w:t>
      </w:r>
      <w:r w:rsidRPr="00AC53A0">
        <w:rPr>
          <w:rFonts w:ascii="Times New Roman" w:hAnsi="Times New Roman" w:cs="Times New Roman"/>
          <w:i/>
          <w:iCs/>
          <w:sz w:val="28"/>
          <w:szCs w:val="28"/>
        </w:rPr>
        <w:t xml:space="preserve">body </w:t>
      </w:r>
      <w:proofErr w:type="spellStart"/>
      <w:r w:rsidRPr="00AC53A0">
        <w:rPr>
          <w:rFonts w:ascii="Times New Roman" w:hAnsi="Times New Roman" w:cs="Times New Roman"/>
          <w:i/>
          <w:iCs/>
          <w:sz w:val="28"/>
          <w:szCs w:val="28"/>
        </w:rPr>
        <w:t>positivity</w:t>
      </w:r>
      <w:proofErr w:type="spellEnd"/>
      <w:r w:rsidRPr="00943B79">
        <w:rPr>
          <w:rFonts w:ascii="Times New Roman" w:hAnsi="Times New Roman" w:cs="Times New Roman"/>
          <w:sz w:val="28"/>
          <w:szCs w:val="28"/>
        </w:rPr>
        <w:t xml:space="preserve"> che, almeno negli ultimi tempi, facevano sperare in una presa di coscienza delle diversità che caratterizzano i corpi degli esseri umani. Il rischio è che alterare la propria identità digitale possa sfociare nella dismorfofobia</w:t>
      </w:r>
      <w:r w:rsidR="006F174D">
        <w:rPr>
          <w:rStyle w:val="Rimandonotaapidipagina"/>
          <w:rFonts w:ascii="Times New Roman" w:hAnsi="Times New Roman" w:cs="Times New Roman"/>
          <w:sz w:val="28"/>
          <w:szCs w:val="28"/>
        </w:rPr>
        <w:footnoteReference w:id="111"/>
      </w:r>
      <w:r w:rsidRPr="00943B79">
        <w:rPr>
          <w:rFonts w:ascii="Times New Roman" w:hAnsi="Times New Roman" w:cs="Times New Roman"/>
          <w:sz w:val="28"/>
          <w:szCs w:val="28"/>
        </w:rPr>
        <w:t>.</w:t>
      </w:r>
    </w:p>
    <w:p w14:paraId="68E83F87" w14:textId="77777777" w:rsidR="00B44C1A" w:rsidRPr="00190B97" w:rsidRDefault="00B44C1A" w:rsidP="00190B97">
      <w:pPr>
        <w:spacing w:after="0" w:line="240" w:lineRule="auto"/>
        <w:jc w:val="both"/>
        <w:rPr>
          <w:rFonts w:ascii="Times New Roman" w:hAnsi="Times New Roman" w:cs="Times New Roman"/>
          <w:sz w:val="24"/>
          <w:szCs w:val="24"/>
        </w:rPr>
      </w:pPr>
    </w:p>
    <w:p w14:paraId="69A9C514" w14:textId="77777777" w:rsidR="00DE7967" w:rsidRDefault="00DB756C" w:rsidP="00C61666">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Si verifica</w:t>
      </w:r>
      <w:r w:rsidR="00F2781E">
        <w:rPr>
          <w:rFonts w:ascii="Times New Roman" w:hAnsi="Times New Roman" w:cs="Times New Roman"/>
          <w:sz w:val="28"/>
          <w:szCs w:val="28"/>
        </w:rPr>
        <w:t xml:space="preserve"> sia</w:t>
      </w:r>
      <w:r>
        <w:rPr>
          <w:rFonts w:ascii="Times New Roman" w:hAnsi="Times New Roman" w:cs="Times New Roman"/>
          <w:sz w:val="28"/>
          <w:szCs w:val="28"/>
        </w:rPr>
        <w:t xml:space="preserve"> l’elemento esteriore, ossia l’isolamento dal mondo esterno</w:t>
      </w:r>
      <w:r w:rsidR="00C61666">
        <w:rPr>
          <w:rFonts w:ascii="Times New Roman" w:hAnsi="Times New Roman" w:cs="Times New Roman"/>
          <w:sz w:val="28"/>
          <w:szCs w:val="28"/>
        </w:rPr>
        <w:t>,</w:t>
      </w:r>
      <w:r>
        <w:rPr>
          <w:rFonts w:ascii="Times New Roman" w:hAnsi="Times New Roman" w:cs="Times New Roman"/>
          <w:sz w:val="28"/>
          <w:szCs w:val="28"/>
        </w:rPr>
        <w:t xml:space="preserve"> </w:t>
      </w:r>
      <w:r w:rsidR="00C61666">
        <w:rPr>
          <w:rFonts w:ascii="Times New Roman" w:hAnsi="Times New Roman" w:cs="Times New Roman"/>
          <w:sz w:val="28"/>
          <w:szCs w:val="28"/>
        </w:rPr>
        <w:t>ch</w:t>
      </w:r>
      <w:r>
        <w:rPr>
          <w:rFonts w:ascii="Times New Roman" w:hAnsi="Times New Roman" w:cs="Times New Roman"/>
          <w:sz w:val="28"/>
          <w:szCs w:val="28"/>
        </w:rPr>
        <w:t>e l’elemento interiore, la stretta dipendenza dallo strumento digitale, fino a configurare il c</w:t>
      </w:r>
      <w:r w:rsidR="000B4BA0">
        <w:rPr>
          <w:rFonts w:ascii="Times New Roman" w:hAnsi="Times New Roman" w:cs="Times New Roman"/>
          <w:sz w:val="28"/>
          <w:szCs w:val="28"/>
        </w:rPr>
        <w:t>.</w:t>
      </w:r>
      <w:r>
        <w:rPr>
          <w:rFonts w:ascii="Times New Roman" w:hAnsi="Times New Roman" w:cs="Times New Roman"/>
          <w:sz w:val="28"/>
          <w:szCs w:val="28"/>
        </w:rPr>
        <w:t>d</w:t>
      </w:r>
      <w:r w:rsidR="000B4BA0">
        <w:rPr>
          <w:rFonts w:ascii="Times New Roman" w:hAnsi="Times New Roman" w:cs="Times New Roman"/>
          <w:sz w:val="28"/>
          <w:szCs w:val="28"/>
        </w:rPr>
        <w:t>.</w:t>
      </w:r>
      <w:r>
        <w:rPr>
          <w:rFonts w:ascii="Times New Roman" w:hAnsi="Times New Roman" w:cs="Times New Roman"/>
          <w:sz w:val="28"/>
          <w:szCs w:val="28"/>
        </w:rPr>
        <w:t xml:space="preserve"> </w:t>
      </w:r>
      <w:r w:rsidRPr="00DB756C">
        <w:rPr>
          <w:rFonts w:ascii="Times New Roman" w:hAnsi="Times New Roman" w:cs="Times New Roman"/>
          <w:i/>
          <w:iCs/>
          <w:sz w:val="28"/>
          <w:szCs w:val="28"/>
        </w:rPr>
        <w:t>effetto dopamina</w:t>
      </w:r>
      <w:r>
        <w:rPr>
          <w:rFonts w:ascii="Times New Roman" w:hAnsi="Times New Roman" w:cs="Times New Roman"/>
          <w:i/>
          <w:iCs/>
          <w:sz w:val="28"/>
          <w:szCs w:val="28"/>
        </w:rPr>
        <w:t xml:space="preserve"> </w:t>
      </w:r>
      <w:r w:rsidRPr="00DB756C">
        <w:rPr>
          <w:rFonts w:ascii="Times New Roman" w:hAnsi="Times New Roman" w:cs="Times New Roman"/>
          <w:sz w:val="28"/>
          <w:szCs w:val="28"/>
        </w:rPr>
        <w:t>sul cervello.</w:t>
      </w:r>
      <w:r>
        <w:rPr>
          <w:rFonts w:ascii="Times New Roman" w:hAnsi="Times New Roman" w:cs="Times New Roman"/>
          <w:sz w:val="28"/>
          <w:szCs w:val="28"/>
        </w:rPr>
        <w:t xml:space="preserve"> </w:t>
      </w:r>
    </w:p>
    <w:p w14:paraId="33566D93" w14:textId="29496099" w:rsidR="00DB756C" w:rsidRDefault="000B4BA0" w:rsidP="00C61666">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altre parole,</w:t>
      </w:r>
      <w:r w:rsidR="00DB756C">
        <w:rPr>
          <w:rFonts w:ascii="Times New Roman" w:hAnsi="Times New Roman" w:cs="Times New Roman"/>
          <w:sz w:val="28"/>
          <w:szCs w:val="28"/>
        </w:rPr>
        <w:t xml:space="preserve"> lo strumento digitale crea una totale dipendenza, </w:t>
      </w:r>
      <w:r w:rsidR="00F2781E">
        <w:rPr>
          <w:rFonts w:ascii="Times New Roman" w:hAnsi="Times New Roman" w:cs="Times New Roman"/>
          <w:sz w:val="28"/>
          <w:szCs w:val="28"/>
        </w:rPr>
        <w:t>come se un adolescente assumesse droga all’interno del suo organismo. Ma vi è di più:</w:t>
      </w:r>
      <w:r w:rsidR="00A56B80">
        <w:rPr>
          <w:rFonts w:ascii="Times New Roman" w:hAnsi="Times New Roman" w:cs="Times New Roman"/>
          <w:sz w:val="28"/>
          <w:szCs w:val="28"/>
        </w:rPr>
        <w:t xml:space="preserve"> </w:t>
      </w:r>
      <w:r w:rsidR="00F2781E">
        <w:rPr>
          <w:rFonts w:ascii="Times New Roman" w:hAnsi="Times New Roman" w:cs="Times New Roman"/>
          <w:sz w:val="28"/>
          <w:szCs w:val="28"/>
        </w:rPr>
        <w:t>l’uso eccessivo del cellulare crea il c</w:t>
      </w:r>
      <w:r>
        <w:rPr>
          <w:rFonts w:ascii="Times New Roman" w:hAnsi="Times New Roman" w:cs="Times New Roman"/>
          <w:sz w:val="28"/>
          <w:szCs w:val="28"/>
        </w:rPr>
        <w:t>.</w:t>
      </w:r>
      <w:r w:rsidR="00F2781E">
        <w:rPr>
          <w:rFonts w:ascii="Times New Roman" w:hAnsi="Times New Roman" w:cs="Times New Roman"/>
          <w:sz w:val="28"/>
          <w:szCs w:val="28"/>
        </w:rPr>
        <w:t>d</w:t>
      </w:r>
      <w:r>
        <w:rPr>
          <w:rFonts w:ascii="Times New Roman" w:hAnsi="Times New Roman" w:cs="Times New Roman"/>
          <w:sz w:val="28"/>
          <w:szCs w:val="28"/>
        </w:rPr>
        <w:t>.</w:t>
      </w:r>
      <w:r w:rsidR="00F2781E">
        <w:rPr>
          <w:rFonts w:ascii="Times New Roman" w:hAnsi="Times New Roman" w:cs="Times New Roman"/>
          <w:sz w:val="28"/>
          <w:szCs w:val="28"/>
        </w:rPr>
        <w:t xml:space="preserve"> effetto </w:t>
      </w:r>
      <w:proofErr w:type="spellStart"/>
      <w:r w:rsidR="00F2781E" w:rsidRPr="00F2781E">
        <w:rPr>
          <w:rFonts w:ascii="Times New Roman" w:hAnsi="Times New Roman" w:cs="Times New Roman"/>
          <w:i/>
          <w:iCs/>
          <w:sz w:val="28"/>
          <w:szCs w:val="28"/>
        </w:rPr>
        <w:t>pruning</w:t>
      </w:r>
      <w:proofErr w:type="spellEnd"/>
      <w:r w:rsidR="00F2781E">
        <w:rPr>
          <w:rFonts w:ascii="Times New Roman" w:hAnsi="Times New Roman" w:cs="Times New Roman"/>
          <w:sz w:val="28"/>
          <w:szCs w:val="28"/>
        </w:rPr>
        <w:t xml:space="preserve">, ossia la potatura neuronale. </w:t>
      </w:r>
      <w:r>
        <w:rPr>
          <w:rFonts w:ascii="Times New Roman" w:hAnsi="Times New Roman" w:cs="Times New Roman"/>
          <w:sz w:val="28"/>
          <w:szCs w:val="28"/>
        </w:rPr>
        <w:t>In altre parole,</w:t>
      </w:r>
      <w:r w:rsidR="00F2781E">
        <w:rPr>
          <w:rFonts w:ascii="Times New Roman" w:hAnsi="Times New Roman" w:cs="Times New Roman"/>
          <w:sz w:val="28"/>
          <w:szCs w:val="28"/>
        </w:rPr>
        <w:t xml:space="preserve"> il cervello degli adolescenti, privo ancora della corteccia cerebrale ancora in formazione, si presenta caratterizzato dalla c</w:t>
      </w:r>
      <w:r>
        <w:rPr>
          <w:rFonts w:ascii="Times New Roman" w:hAnsi="Times New Roman" w:cs="Times New Roman"/>
          <w:sz w:val="28"/>
          <w:szCs w:val="28"/>
        </w:rPr>
        <w:t>.</w:t>
      </w:r>
      <w:r w:rsidR="00F2781E">
        <w:rPr>
          <w:rFonts w:ascii="Times New Roman" w:hAnsi="Times New Roman" w:cs="Times New Roman"/>
          <w:sz w:val="28"/>
          <w:szCs w:val="28"/>
        </w:rPr>
        <w:t>d</w:t>
      </w:r>
      <w:r>
        <w:rPr>
          <w:rFonts w:ascii="Times New Roman" w:hAnsi="Times New Roman" w:cs="Times New Roman"/>
          <w:sz w:val="28"/>
          <w:szCs w:val="28"/>
        </w:rPr>
        <w:t>.</w:t>
      </w:r>
      <w:r w:rsidR="00F2781E">
        <w:rPr>
          <w:rFonts w:ascii="Times New Roman" w:hAnsi="Times New Roman" w:cs="Times New Roman"/>
          <w:sz w:val="28"/>
          <w:szCs w:val="28"/>
        </w:rPr>
        <w:t xml:space="preserve"> </w:t>
      </w:r>
      <w:r w:rsidR="00F2781E" w:rsidRPr="00F2781E">
        <w:rPr>
          <w:rFonts w:ascii="Times New Roman" w:hAnsi="Times New Roman" w:cs="Times New Roman"/>
          <w:i/>
          <w:iCs/>
          <w:sz w:val="28"/>
          <w:szCs w:val="28"/>
        </w:rPr>
        <w:t>plasticità</w:t>
      </w:r>
      <w:r>
        <w:rPr>
          <w:rFonts w:ascii="Times New Roman" w:hAnsi="Times New Roman" w:cs="Times New Roman"/>
          <w:i/>
          <w:iCs/>
          <w:sz w:val="28"/>
          <w:szCs w:val="28"/>
        </w:rPr>
        <w:t>,</w:t>
      </w:r>
      <w:r w:rsidR="00F2781E">
        <w:rPr>
          <w:rFonts w:ascii="Times New Roman" w:hAnsi="Times New Roman" w:cs="Times New Roman"/>
          <w:sz w:val="28"/>
          <w:szCs w:val="28"/>
        </w:rPr>
        <w:t xml:space="preserve"> basata sul modello </w:t>
      </w:r>
      <w:proofErr w:type="spellStart"/>
      <w:r w:rsidR="00F2781E" w:rsidRPr="00F2781E">
        <w:rPr>
          <w:rFonts w:ascii="Times New Roman" w:hAnsi="Times New Roman" w:cs="Times New Roman"/>
          <w:i/>
          <w:iCs/>
          <w:sz w:val="28"/>
          <w:szCs w:val="28"/>
        </w:rPr>
        <w:t>experience</w:t>
      </w:r>
      <w:proofErr w:type="spellEnd"/>
      <w:r w:rsidR="00F2781E" w:rsidRPr="00F2781E">
        <w:rPr>
          <w:rFonts w:ascii="Times New Roman" w:hAnsi="Times New Roman" w:cs="Times New Roman"/>
          <w:i/>
          <w:iCs/>
          <w:sz w:val="28"/>
          <w:szCs w:val="28"/>
        </w:rPr>
        <w:t xml:space="preserve"> </w:t>
      </w:r>
      <w:proofErr w:type="spellStart"/>
      <w:r w:rsidR="00B914B7" w:rsidRPr="00F2781E">
        <w:rPr>
          <w:rFonts w:ascii="Times New Roman" w:hAnsi="Times New Roman" w:cs="Times New Roman"/>
          <w:i/>
          <w:iCs/>
          <w:sz w:val="28"/>
          <w:szCs w:val="28"/>
        </w:rPr>
        <w:t>dependent</w:t>
      </w:r>
      <w:proofErr w:type="spellEnd"/>
      <w:r w:rsidR="00B914B7">
        <w:rPr>
          <w:rFonts w:ascii="Times New Roman" w:hAnsi="Times New Roman" w:cs="Times New Roman"/>
          <w:sz w:val="28"/>
          <w:szCs w:val="28"/>
        </w:rPr>
        <w:t>,</w:t>
      </w:r>
      <w:r w:rsidR="00F2781E">
        <w:rPr>
          <w:rFonts w:ascii="Times New Roman" w:hAnsi="Times New Roman" w:cs="Times New Roman"/>
          <w:sz w:val="28"/>
          <w:szCs w:val="28"/>
        </w:rPr>
        <w:t xml:space="preserve"> ossia si forma in base alle esperienze che vive. L’uso del cellulare non consente di sviluppare la parte del cervello preposta alla riflessione e alla meditazione, stante la velocità delle informazioni che l’adolescente riceve in tempi brevissimi. Per tale processo</w:t>
      </w:r>
      <w:r>
        <w:rPr>
          <w:rFonts w:ascii="Times New Roman" w:hAnsi="Times New Roman" w:cs="Times New Roman"/>
          <w:sz w:val="28"/>
          <w:szCs w:val="28"/>
        </w:rPr>
        <w:t>,</w:t>
      </w:r>
      <w:r w:rsidR="00F2781E">
        <w:rPr>
          <w:rFonts w:ascii="Times New Roman" w:hAnsi="Times New Roman" w:cs="Times New Roman"/>
          <w:sz w:val="28"/>
          <w:szCs w:val="28"/>
        </w:rPr>
        <w:t xml:space="preserve"> non sviluppando determinate facoltà cognitive di rielaborazione concettuale, le perde progressivamente: è il principio </w:t>
      </w:r>
      <w:proofErr w:type="spellStart"/>
      <w:r w:rsidR="00F2781E" w:rsidRPr="00F2781E">
        <w:rPr>
          <w:rFonts w:ascii="Times New Roman" w:hAnsi="Times New Roman" w:cs="Times New Roman"/>
          <w:i/>
          <w:iCs/>
          <w:sz w:val="28"/>
          <w:szCs w:val="28"/>
        </w:rPr>
        <w:t>dont’use</w:t>
      </w:r>
      <w:proofErr w:type="spellEnd"/>
      <w:r w:rsidR="00F2781E" w:rsidRPr="00F2781E">
        <w:rPr>
          <w:rFonts w:ascii="Times New Roman" w:hAnsi="Times New Roman" w:cs="Times New Roman"/>
          <w:i/>
          <w:iCs/>
          <w:sz w:val="28"/>
          <w:szCs w:val="28"/>
        </w:rPr>
        <w:t xml:space="preserve"> </w:t>
      </w:r>
      <w:proofErr w:type="spellStart"/>
      <w:r w:rsidR="00F2781E" w:rsidRPr="00F2781E">
        <w:rPr>
          <w:rFonts w:ascii="Times New Roman" w:hAnsi="Times New Roman" w:cs="Times New Roman"/>
          <w:i/>
          <w:iCs/>
          <w:sz w:val="28"/>
          <w:szCs w:val="28"/>
        </w:rPr>
        <w:t>it</w:t>
      </w:r>
      <w:proofErr w:type="spellEnd"/>
      <w:r w:rsidR="00F2781E" w:rsidRPr="00F2781E">
        <w:rPr>
          <w:rFonts w:ascii="Times New Roman" w:hAnsi="Times New Roman" w:cs="Times New Roman"/>
          <w:i/>
          <w:iCs/>
          <w:sz w:val="28"/>
          <w:szCs w:val="28"/>
        </w:rPr>
        <w:t xml:space="preserve">, </w:t>
      </w:r>
      <w:proofErr w:type="spellStart"/>
      <w:r w:rsidR="00F2781E" w:rsidRPr="00F2781E">
        <w:rPr>
          <w:rFonts w:ascii="Times New Roman" w:hAnsi="Times New Roman" w:cs="Times New Roman"/>
          <w:i/>
          <w:iCs/>
          <w:sz w:val="28"/>
          <w:szCs w:val="28"/>
        </w:rPr>
        <w:t>lose</w:t>
      </w:r>
      <w:proofErr w:type="spellEnd"/>
      <w:r w:rsidR="00F2781E" w:rsidRPr="00F2781E">
        <w:rPr>
          <w:rFonts w:ascii="Times New Roman" w:hAnsi="Times New Roman" w:cs="Times New Roman"/>
          <w:i/>
          <w:iCs/>
          <w:sz w:val="28"/>
          <w:szCs w:val="28"/>
        </w:rPr>
        <w:t xml:space="preserve"> </w:t>
      </w:r>
      <w:proofErr w:type="spellStart"/>
      <w:r w:rsidR="00F2781E" w:rsidRPr="00F2781E">
        <w:rPr>
          <w:rFonts w:ascii="Times New Roman" w:hAnsi="Times New Roman" w:cs="Times New Roman"/>
          <w:i/>
          <w:iCs/>
          <w:sz w:val="28"/>
          <w:szCs w:val="28"/>
        </w:rPr>
        <w:t>it</w:t>
      </w:r>
      <w:proofErr w:type="spellEnd"/>
      <w:r w:rsidR="00F2781E">
        <w:rPr>
          <w:rFonts w:ascii="Times New Roman" w:hAnsi="Times New Roman" w:cs="Times New Roman"/>
          <w:i/>
          <w:iCs/>
          <w:sz w:val="28"/>
          <w:szCs w:val="28"/>
        </w:rPr>
        <w:t xml:space="preserve"> </w:t>
      </w:r>
      <w:r w:rsidR="00F2781E" w:rsidRPr="00F2781E">
        <w:rPr>
          <w:rFonts w:ascii="Times New Roman" w:hAnsi="Times New Roman" w:cs="Times New Roman"/>
          <w:sz w:val="28"/>
          <w:szCs w:val="28"/>
        </w:rPr>
        <w:t>(se non usi una facoltà cognitiva, la perdi).</w:t>
      </w:r>
    </w:p>
    <w:p w14:paraId="7F0B8EEA" w14:textId="77777777" w:rsidR="0085296A" w:rsidRDefault="0085296A" w:rsidP="00C61666">
      <w:pPr>
        <w:tabs>
          <w:tab w:val="left" w:pos="8364"/>
        </w:tabs>
        <w:spacing w:after="0"/>
        <w:jc w:val="both"/>
        <w:rPr>
          <w:rFonts w:ascii="Times New Roman" w:hAnsi="Times New Roman" w:cs="Times New Roman"/>
          <w:sz w:val="28"/>
          <w:szCs w:val="28"/>
        </w:rPr>
      </w:pPr>
    </w:p>
    <w:p w14:paraId="450D4629" w14:textId="77777777" w:rsidR="0085296A" w:rsidRDefault="00A56B80" w:rsidP="0085296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L’incidenza sulla mente dell’adolescente è ancora più significativa se solo si pensa ai possibili attacchi </w:t>
      </w:r>
      <w:proofErr w:type="spellStart"/>
      <w:r w:rsidRPr="00A56B80">
        <w:rPr>
          <w:rFonts w:ascii="Times New Roman" w:hAnsi="Times New Roman" w:cs="Times New Roman"/>
          <w:i/>
          <w:iCs/>
          <w:sz w:val="28"/>
          <w:szCs w:val="28"/>
        </w:rPr>
        <w:t>ramsonware</w:t>
      </w:r>
      <w:proofErr w:type="spellEnd"/>
      <w:r w:rsidR="000B4BA0">
        <w:rPr>
          <w:rFonts w:ascii="Times New Roman" w:hAnsi="Times New Roman" w:cs="Times New Roman"/>
          <w:i/>
          <w:iCs/>
          <w:sz w:val="28"/>
          <w:szCs w:val="28"/>
        </w:rPr>
        <w:t>,</w:t>
      </w:r>
      <w:r>
        <w:rPr>
          <w:rFonts w:ascii="Times New Roman" w:hAnsi="Times New Roman" w:cs="Times New Roman"/>
          <w:sz w:val="28"/>
          <w:szCs w:val="28"/>
        </w:rPr>
        <w:t xml:space="preserve"> che mettono in luce tutta la debolezza dei sistemi di sicurezza dei nostri computer. Molto spesso gli adolescenti, ma anche i sistemi informatici della Pubblica Amministrazione o di grandi società</w:t>
      </w:r>
      <w:r w:rsidR="000B4BA0">
        <w:rPr>
          <w:rFonts w:ascii="Times New Roman" w:hAnsi="Times New Roman" w:cs="Times New Roman"/>
          <w:sz w:val="28"/>
          <w:szCs w:val="28"/>
        </w:rPr>
        <w:t>,</w:t>
      </w:r>
      <w:r>
        <w:rPr>
          <w:rFonts w:ascii="Times New Roman" w:hAnsi="Times New Roman" w:cs="Times New Roman"/>
          <w:sz w:val="28"/>
          <w:szCs w:val="28"/>
        </w:rPr>
        <w:t xml:space="preserve"> sono attaccati da </w:t>
      </w:r>
      <w:r w:rsidRPr="00BF50C0">
        <w:rPr>
          <w:rFonts w:ascii="Times New Roman" w:hAnsi="Times New Roman" w:cs="Times New Roman"/>
          <w:i/>
          <w:iCs/>
          <w:sz w:val="28"/>
          <w:szCs w:val="28"/>
        </w:rPr>
        <w:t>hacker</w:t>
      </w:r>
      <w:r>
        <w:rPr>
          <w:rFonts w:ascii="Times New Roman" w:hAnsi="Times New Roman" w:cs="Times New Roman"/>
          <w:sz w:val="28"/>
          <w:szCs w:val="28"/>
        </w:rPr>
        <w:t xml:space="preserve"> che chiedono un riscatto per poter superare il blocco</w:t>
      </w:r>
      <w:r w:rsidR="00BF50C0">
        <w:rPr>
          <w:rFonts w:ascii="Times New Roman" w:hAnsi="Times New Roman" w:cs="Times New Roman"/>
          <w:sz w:val="28"/>
          <w:szCs w:val="28"/>
        </w:rPr>
        <w:t xml:space="preserve"> e per poter restituire tutti i dati rubati e conservati nella loro interezza. Oltre all’attacco </w:t>
      </w:r>
      <w:proofErr w:type="spellStart"/>
      <w:r w:rsidR="00BF50C0" w:rsidRPr="00BF50C0">
        <w:rPr>
          <w:rFonts w:ascii="Times New Roman" w:hAnsi="Times New Roman" w:cs="Times New Roman"/>
          <w:i/>
          <w:iCs/>
          <w:sz w:val="28"/>
          <w:szCs w:val="28"/>
        </w:rPr>
        <w:t>ramsonware</w:t>
      </w:r>
      <w:proofErr w:type="spellEnd"/>
      <w:r w:rsidR="0085296A">
        <w:rPr>
          <w:rFonts w:ascii="Times New Roman" w:hAnsi="Times New Roman" w:cs="Times New Roman"/>
          <w:i/>
          <w:iCs/>
          <w:sz w:val="28"/>
          <w:szCs w:val="28"/>
        </w:rPr>
        <w:t>,</w:t>
      </w:r>
      <w:r w:rsidR="00BF50C0">
        <w:rPr>
          <w:rFonts w:ascii="Times New Roman" w:hAnsi="Times New Roman" w:cs="Times New Roman"/>
          <w:sz w:val="28"/>
          <w:szCs w:val="28"/>
        </w:rPr>
        <w:t xml:space="preserve"> nel caso in cui un utente o una società si rifiuti interamente di pagare, il passo successivo è un attacco </w:t>
      </w:r>
      <w:proofErr w:type="spellStart"/>
      <w:r w:rsidR="00BF50C0">
        <w:rPr>
          <w:rFonts w:ascii="Times New Roman" w:hAnsi="Times New Roman" w:cs="Times New Roman"/>
          <w:sz w:val="28"/>
          <w:szCs w:val="28"/>
        </w:rPr>
        <w:t>DD</w:t>
      </w:r>
      <w:r w:rsidR="00E7709C">
        <w:rPr>
          <w:rFonts w:ascii="Times New Roman" w:hAnsi="Times New Roman" w:cs="Times New Roman"/>
          <w:sz w:val="28"/>
          <w:szCs w:val="28"/>
        </w:rPr>
        <w:t>o</w:t>
      </w:r>
      <w:r w:rsidR="00BF50C0">
        <w:rPr>
          <w:rFonts w:ascii="Times New Roman" w:hAnsi="Times New Roman" w:cs="Times New Roman"/>
          <w:sz w:val="28"/>
          <w:szCs w:val="28"/>
        </w:rPr>
        <w:t>S</w:t>
      </w:r>
      <w:proofErr w:type="spellEnd"/>
      <w:r w:rsidR="00BF50C0">
        <w:rPr>
          <w:rFonts w:ascii="Times New Roman" w:hAnsi="Times New Roman" w:cs="Times New Roman"/>
          <w:sz w:val="28"/>
          <w:szCs w:val="28"/>
        </w:rPr>
        <w:t xml:space="preserve">, </w:t>
      </w:r>
      <w:proofErr w:type="spellStart"/>
      <w:r w:rsidR="00BF50C0" w:rsidRPr="00BF50C0">
        <w:rPr>
          <w:rFonts w:ascii="Times New Roman" w:hAnsi="Times New Roman" w:cs="Times New Roman"/>
          <w:i/>
          <w:iCs/>
          <w:sz w:val="28"/>
          <w:szCs w:val="28"/>
        </w:rPr>
        <w:t>distributed</w:t>
      </w:r>
      <w:proofErr w:type="spellEnd"/>
      <w:r w:rsidR="00BF50C0" w:rsidRPr="00BF50C0">
        <w:rPr>
          <w:rFonts w:ascii="Times New Roman" w:hAnsi="Times New Roman" w:cs="Times New Roman"/>
          <w:i/>
          <w:iCs/>
          <w:sz w:val="28"/>
          <w:szCs w:val="28"/>
        </w:rPr>
        <w:t xml:space="preserve"> </w:t>
      </w:r>
      <w:proofErr w:type="spellStart"/>
      <w:r w:rsidR="00BF50C0" w:rsidRPr="00BF50C0">
        <w:rPr>
          <w:rFonts w:ascii="Times New Roman" w:hAnsi="Times New Roman" w:cs="Times New Roman"/>
          <w:i/>
          <w:iCs/>
          <w:sz w:val="28"/>
          <w:szCs w:val="28"/>
        </w:rPr>
        <w:t>denial</w:t>
      </w:r>
      <w:proofErr w:type="spellEnd"/>
      <w:r w:rsidR="00BF50C0" w:rsidRPr="00BF50C0">
        <w:rPr>
          <w:rFonts w:ascii="Times New Roman" w:hAnsi="Times New Roman" w:cs="Times New Roman"/>
          <w:i/>
          <w:iCs/>
          <w:sz w:val="28"/>
          <w:szCs w:val="28"/>
        </w:rPr>
        <w:t xml:space="preserve"> of service</w:t>
      </w:r>
      <w:r w:rsidR="00BF50C0">
        <w:rPr>
          <w:rFonts w:ascii="Times New Roman" w:hAnsi="Times New Roman" w:cs="Times New Roman"/>
          <w:i/>
          <w:iCs/>
          <w:sz w:val="28"/>
          <w:szCs w:val="28"/>
        </w:rPr>
        <w:t xml:space="preserve">, </w:t>
      </w:r>
      <w:r w:rsidR="00BF50C0" w:rsidRPr="00BF50C0">
        <w:rPr>
          <w:rFonts w:ascii="Times New Roman" w:hAnsi="Times New Roman" w:cs="Times New Roman"/>
          <w:sz w:val="28"/>
          <w:szCs w:val="28"/>
        </w:rPr>
        <w:t xml:space="preserve">un </w:t>
      </w:r>
      <w:r w:rsidR="00BF50C0">
        <w:rPr>
          <w:rFonts w:ascii="Times New Roman" w:hAnsi="Times New Roman" w:cs="Times New Roman"/>
          <w:sz w:val="28"/>
          <w:szCs w:val="28"/>
        </w:rPr>
        <w:t xml:space="preserve">sistema che blocca gli accessi, facendo collassare il sito web con un fenomeno susseguente che prende il nome di </w:t>
      </w:r>
      <w:proofErr w:type="spellStart"/>
      <w:r w:rsidR="00BF50C0" w:rsidRPr="00BF50C0">
        <w:rPr>
          <w:rFonts w:ascii="Times New Roman" w:hAnsi="Times New Roman" w:cs="Times New Roman"/>
          <w:i/>
          <w:iCs/>
          <w:sz w:val="28"/>
          <w:szCs w:val="28"/>
        </w:rPr>
        <w:t>digital</w:t>
      </w:r>
      <w:proofErr w:type="spellEnd"/>
      <w:r w:rsidR="00BF50C0" w:rsidRPr="00BF50C0">
        <w:rPr>
          <w:rFonts w:ascii="Times New Roman" w:hAnsi="Times New Roman" w:cs="Times New Roman"/>
          <w:i/>
          <w:iCs/>
          <w:sz w:val="28"/>
          <w:szCs w:val="28"/>
        </w:rPr>
        <w:t xml:space="preserve"> </w:t>
      </w:r>
      <w:proofErr w:type="spellStart"/>
      <w:r w:rsidR="00BF50C0" w:rsidRPr="00BF50C0">
        <w:rPr>
          <w:rFonts w:ascii="Times New Roman" w:hAnsi="Times New Roman" w:cs="Times New Roman"/>
          <w:i/>
          <w:iCs/>
          <w:sz w:val="28"/>
          <w:szCs w:val="28"/>
        </w:rPr>
        <w:t>shaming</w:t>
      </w:r>
      <w:proofErr w:type="spellEnd"/>
      <w:r w:rsidR="00BF50C0">
        <w:rPr>
          <w:rFonts w:ascii="Times New Roman" w:hAnsi="Times New Roman" w:cs="Times New Roman"/>
          <w:i/>
          <w:iCs/>
          <w:sz w:val="28"/>
          <w:szCs w:val="28"/>
        </w:rPr>
        <w:t xml:space="preserve">: </w:t>
      </w:r>
      <w:proofErr w:type="spellStart"/>
      <w:r w:rsidR="00BF50C0">
        <w:rPr>
          <w:rFonts w:ascii="Times New Roman" w:hAnsi="Times New Roman" w:cs="Times New Roman"/>
          <w:i/>
          <w:iCs/>
          <w:sz w:val="28"/>
          <w:szCs w:val="28"/>
        </w:rPr>
        <w:t>dominio.rip</w:t>
      </w:r>
      <w:proofErr w:type="spellEnd"/>
      <w:r w:rsidR="000B4BA0">
        <w:rPr>
          <w:rFonts w:ascii="Times New Roman" w:hAnsi="Times New Roman" w:cs="Times New Roman"/>
          <w:i/>
          <w:iCs/>
          <w:sz w:val="28"/>
          <w:szCs w:val="28"/>
        </w:rPr>
        <w:t>,</w:t>
      </w:r>
      <w:r w:rsidR="00BF50C0">
        <w:rPr>
          <w:rFonts w:ascii="Times New Roman" w:hAnsi="Times New Roman" w:cs="Times New Roman"/>
          <w:i/>
          <w:iCs/>
          <w:sz w:val="28"/>
          <w:szCs w:val="28"/>
        </w:rPr>
        <w:t xml:space="preserve"> </w:t>
      </w:r>
      <w:r w:rsidR="00BF50C0" w:rsidRPr="00BF50C0">
        <w:rPr>
          <w:rFonts w:ascii="Times New Roman" w:hAnsi="Times New Roman" w:cs="Times New Roman"/>
          <w:sz w:val="28"/>
          <w:szCs w:val="28"/>
        </w:rPr>
        <w:t>una nuova modalità di estorsione del cyber-crimine</w:t>
      </w:r>
      <w:r w:rsidR="00BF50C0">
        <w:rPr>
          <w:rFonts w:ascii="Times New Roman" w:hAnsi="Times New Roman" w:cs="Times New Roman"/>
          <w:sz w:val="28"/>
          <w:szCs w:val="28"/>
        </w:rPr>
        <w:t xml:space="preserve">. </w:t>
      </w:r>
    </w:p>
    <w:p w14:paraId="693D7207" w14:textId="77777777" w:rsidR="0085296A" w:rsidRDefault="00BF50C0" w:rsidP="0085296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In pratica i cyber criminali</w:t>
      </w:r>
      <w:r w:rsidR="000B4BA0">
        <w:rPr>
          <w:rFonts w:ascii="Times New Roman" w:hAnsi="Times New Roman" w:cs="Times New Roman"/>
          <w:sz w:val="28"/>
          <w:szCs w:val="28"/>
        </w:rPr>
        <w:t>,</w:t>
      </w:r>
      <w:r>
        <w:rPr>
          <w:rFonts w:ascii="Times New Roman" w:hAnsi="Times New Roman" w:cs="Times New Roman"/>
          <w:sz w:val="28"/>
          <w:szCs w:val="28"/>
        </w:rPr>
        <w:t xml:space="preserve"> iniziando a inviare </w:t>
      </w:r>
      <w:r w:rsidR="0085296A">
        <w:rPr>
          <w:rFonts w:ascii="Times New Roman" w:hAnsi="Times New Roman" w:cs="Times New Roman"/>
          <w:sz w:val="28"/>
          <w:szCs w:val="28"/>
        </w:rPr>
        <w:t>e-</w:t>
      </w:r>
      <w:r>
        <w:rPr>
          <w:rFonts w:ascii="Times New Roman" w:hAnsi="Times New Roman" w:cs="Times New Roman"/>
          <w:sz w:val="28"/>
          <w:szCs w:val="28"/>
        </w:rPr>
        <w:t>mail a tutti i contatti di chi è stato colpito</w:t>
      </w:r>
      <w:r w:rsidR="000B4BA0">
        <w:rPr>
          <w:rFonts w:ascii="Times New Roman" w:hAnsi="Times New Roman" w:cs="Times New Roman"/>
          <w:sz w:val="28"/>
          <w:szCs w:val="28"/>
        </w:rPr>
        <w:t>,</w:t>
      </w:r>
      <w:r>
        <w:rPr>
          <w:rFonts w:ascii="Times New Roman" w:hAnsi="Times New Roman" w:cs="Times New Roman"/>
          <w:sz w:val="28"/>
          <w:szCs w:val="28"/>
        </w:rPr>
        <w:t xml:space="preserve"> preannunciando l’imminente pubblicazione dei dati </w:t>
      </w:r>
      <w:r w:rsidRPr="0085296A">
        <w:rPr>
          <w:rFonts w:ascii="Times New Roman" w:hAnsi="Times New Roman" w:cs="Times New Roman"/>
          <w:i/>
          <w:iCs/>
          <w:sz w:val="28"/>
          <w:szCs w:val="28"/>
        </w:rPr>
        <w:t>online</w:t>
      </w:r>
      <w:r>
        <w:rPr>
          <w:rFonts w:ascii="Times New Roman" w:hAnsi="Times New Roman" w:cs="Times New Roman"/>
          <w:sz w:val="28"/>
          <w:szCs w:val="28"/>
        </w:rPr>
        <w:t>, quando la vittima non vuole collaborare</w:t>
      </w:r>
      <w:r w:rsidR="0085296A">
        <w:rPr>
          <w:rFonts w:ascii="Times New Roman" w:hAnsi="Times New Roman" w:cs="Times New Roman"/>
          <w:sz w:val="28"/>
          <w:szCs w:val="28"/>
        </w:rPr>
        <w:t>,</w:t>
      </w:r>
      <w:r>
        <w:rPr>
          <w:rFonts w:ascii="Times New Roman" w:hAnsi="Times New Roman" w:cs="Times New Roman"/>
          <w:sz w:val="28"/>
          <w:szCs w:val="28"/>
        </w:rPr>
        <w:t xml:space="preserve"> mettono in atto una doppia estorsione, la prima per sbloccare i dati, la seconda per non divulgarli. </w:t>
      </w:r>
    </w:p>
    <w:p w14:paraId="0D6C5D7D" w14:textId="77777777" w:rsidR="0085296A" w:rsidRDefault="00BF50C0" w:rsidP="0085296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Ciò che incide in maniera ancora più negativa sugli adolescenti è che queste organizzazioni prendono anche in giro le vittime che non pagano il riscatto. </w:t>
      </w:r>
    </w:p>
    <w:p w14:paraId="10DC2C69" w14:textId="77777777" w:rsidR="0085296A" w:rsidRDefault="00BF50C0" w:rsidP="0085296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Nel </w:t>
      </w:r>
      <w:r w:rsidR="00CC7157">
        <w:rPr>
          <w:rFonts w:ascii="Times New Roman" w:hAnsi="Times New Roman" w:cs="Times New Roman"/>
          <w:sz w:val="28"/>
          <w:szCs w:val="28"/>
        </w:rPr>
        <w:t>ca</w:t>
      </w:r>
      <w:r>
        <w:rPr>
          <w:rFonts w:ascii="Times New Roman" w:hAnsi="Times New Roman" w:cs="Times New Roman"/>
          <w:sz w:val="28"/>
          <w:szCs w:val="28"/>
        </w:rPr>
        <w:t xml:space="preserve">so di attaccati che rifiutano qualsiasi contatto e che resistono </w:t>
      </w:r>
      <w:r w:rsidR="00B914B7">
        <w:rPr>
          <w:rFonts w:ascii="Times New Roman" w:hAnsi="Times New Roman" w:cs="Times New Roman"/>
          <w:sz w:val="28"/>
          <w:szCs w:val="28"/>
        </w:rPr>
        <w:t>ad</w:t>
      </w:r>
      <w:r>
        <w:rPr>
          <w:rFonts w:ascii="Times New Roman" w:hAnsi="Times New Roman" w:cs="Times New Roman"/>
          <w:sz w:val="28"/>
          <w:szCs w:val="28"/>
        </w:rPr>
        <w:t xml:space="preserve"> attacchi </w:t>
      </w:r>
      <w:proofErr w:type="spellStart"/>
      <w:r>
        <w:rPr>
          <w:rFonts w:ascii="Times New Roman" w:hAnsi="Times New Roman" w:cs="Times New Roman"/>
          <w:sz w:val="28"/>
          <w:szCs w:val="28"/>
        </w:rPr>
        <w:t>DD</w:t>
      </w:r>
      <w:r w:rsidR="00E7709C">
        <w:rPr>
          <w:rFonts w:ascii="Times New Roman" w:hAnsi="Times New Roman" w:cs="Times New Roman"/>
          <w:sz w:val="28"/>
          <w:szCs w:val="28"/>
        </w:rPr>
        <w:t>o</w:t>
      </w:r>
      <w:r>
        <w:rPr>
          <w:rFonts w:ascii="Times New Roman" w:hAnsi="Times New Roman" w:cs="Times New Roman"/>
          <w:sz w:val="28"/>
          <w:szCs w:val="28"/>
        </w:rPr>
        <w:t>S</w:t>
      </w:r>
      <w:proofErr w:type="spellEnd"/>
      <w:r w:rsidR="00762A9F">
        <w:rPr>
          <w:rFonts w:ascii="Times New Roman" w:hAnsi="Times New Roman" w:cs="Times New Roman"/>
          <w:sz w:val="28"/>
          <w:szCs w:val="28"/>
        </w:rPr>
        <w:t>, p</w:t>
      </w:r>
      <w:r w:rsidR="00E7709C">
        <w:rPr>
          <w:rFonts w:ascii="Times New Roman" w:hAnsi="Times New Roman" w:cs="Times New Roman"/>
          <w:sz w:val="28"/>
          <w:szCs w:val="28"/>
        </w:rPr>
        <w:t xml:space="preserve">ubblicano tutti i dati su un sito uguale a quello ufficiale, ma con suffisso differente, il soprarichiamato </w:t>
      </w:r>
      <w:proofErr w:type="spellStart"/>
      <w:r w:rsidR="00E7709C" w:rsidRPr="00E7709C">
        <w:rPr>
          <w:rFonts w:ascii="Times New Roman" w:hAnsi="Times New Roman" w:cs="Times New Roman"/>
          <w:i/>
          <w:iCs/>
          <w:sz w:val="28"/>
          <w:szCs w:val="28"/>
        </w:rPr>
        <w:t>digital</w:t>
      </w:r>
      <w:proofErr w:type="spellEnd"/>
      <w:r w:rsidR="00E7709C" w:rsidRPr="00E7709C">
        <w:rPr>
          <w:rFonts w:ascii="Times New Roman" w:hAnsi="Times New Roman" w:cs="Times New Roman"/>
          <w:i/>
          <w:iCs/>
          <w:sz w:val="28"/>
          <w:szCs w:val="28"/>
        </w:rPr>
        <w:t xml:space="preserve"> </w:t>
      </w:r>
      <w:proofErr w:type="spellStart"/>
      <w:r w:rsidR="00E7709C" w:rsidRPr="00E7709C">
        <w:rPr>
          <w:rFonts w:ascii="Times New Roman" w:hAnsi="Times New Roman" w:cs="Times New Roman"/>
          <w:i/>
          <w:iCs/>
          <w:sz w:val="28"/>
          <w:szCs w:val="28"/>
        </w:rPr>
        <w:t>shaming</w:t>
      </w:r>
      <w:proofErr w:type="spellEnd"/>
      <w:r w:rsidR="00E7709C">
        <w:rPr>
          <w:rFonts w:ascii="Times New Roman" w:hAnsi="Times New Roman" w:cs="Times New Roman"/>
          <w:sz w:val="28"/>
          <w:szCs w:val="28"/>
        </w:rPr>
        <w:t xml:space="preserve">, pubblicandolo poi sul sito web visibile, così che sia verificabile da tutti: il danno </w:t>
      </w:r>
      <w:proofErr w:type="spellStart"/>
      <w:r w:rsidR="00E7709C">
        <w:rPr>
          <w:rFonts w:ascii="Times New Roman" w:hAnsi="Times New Roman" w:cs="Times New Roman"/>
          <w:sz w:val="28"/>
          <w:szCs w:val="28"/>
        </w:rPr>
        <w:t>reputazionale</w:t>
      </w:r>
      <w:proofErr w:type="spellEnd"/>
      <w:r w:rsidR="00E7709C">
        <w:rPr>
          <w:rFonts w:ascii="Times New Roman" w:hAnsi="Times New Roman" w:cs="Times New Roman"/>
          <w:sz w:val="28"/>
          <w:szCs w:val="28"/>
        </w:rPr>
        <w:t xml:space="preserve"> diventa ancora più grave di quello dei dati persi.</w:t>
      </w:r>
      <w:r w:rsidR="00763FAF">
        <w:rPr>
          <w:rFonts w:ascii="Times New Roman" w:hAnsi="Times New Roman" w:cs="Times New Roman"/>
          <w:sz w:val="28"/>
          <w:szCs w:val="28"/>
        </w:rPr>
        <w:t xml:space="preserve"> </w:t>
      </w:r>
      <w:r w:rsidR="00E7709C">
        <w:rPr>
          <w:rFonts w:ascii="Times New Roman" w:hAnsi="Times New Roman" w:cs="Times New Roman"/>
          <w:sz w:val="28"/>
          <w:szCs w:val="28"/>
        </w:rPr>
        <w:t xml:space="preserve">La beffa nasce dal fatto che questi siti hanno un </w:t>
      </w:r>
      <w:proofErr w:type="spellStart"/>
      <w:r w:rsidR="00E7709C" w:rsidRPr="00763FAF">
        <w:rPr>
          <w:rFonts w:ascii="Times New Roman" w:hAnsi="Times New Roman" w:cs="Times New Roman"/>
          <w:i/>
          <w:iCs/>
          <w:sz w:val="28"/>
          <w:szCs w:val="28"/>
        </w:rPr>
        <w:t>dominio.rip</w:t>
      </w:r>
      <w:proofErr w:type="spellEnd"/>
      <w:r w:rsidR="00E7709C" w:rsidRPr="00763FAF">
        <w:rPr>
          <w:rFonts w:ascii="Times New Roman" w:hAnsi="Times New Roman" w:cs="Times New Roman"/>
          <w:i/>
          <w:iCs/>
          <w:sz w:val="28"/>
          <w:szCs w:val="28"/>
        </w:rPr>
        <w:t>,</w:t>
      </w:r>
      <w:r w:rsidR="00E7709C">
        <w:rPr>
          <w:rFonts w:ascii="Times New Roman" w:hAnsi="Times New Roman" w:cs="Times New Roman"/>
          <w:sz w:val="28"/>
          <w:szCs w:val="28"/>
        </w:rPr>
        <w:t xml:space="preserve"> così da ridicolizzare chi ha subito questo ricatto pesantissimo. </w:t>
      </w:r>
    </w:p>
    <w:p w14:paraId="377A60C5" w14:textId="5B6ACCD0" w:rsidR="0085296A" w:rsidRDefault="00E7709C" w:rsidP="0085296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Nell’età evolutiva dell’adolescenza</w:t>
      </w:r>
      <w:r w:rsidR="0085296A">
        <w:rPr>
          <w:rFonts w:ascii="Times New Roman" w:hAnsi="Times New Roman" w:cs="Times New Roman"/>
          <w:sz w:val="28"/>
          <w:szCs w:val="28"/>
        </w:rPr>
        <w:t>,</w:t>
      </w:r>
      <w:r>
        <w:rPr>
          <w:rFonts w:ascii="Times New Roman" w:hAnsi="Times New Roman" w:cs="Times New Roman"/>
          <w:sz w:val="28"/>
          <w:szCs w:val="28"/>
        </w:rPr>
        <w:t xml:space="preserve"> i danni sulla psiche dei giovani scaturent</w:t>
      </w:r>
      <w:r w:rsidR="0085296A">
        <w:rPr>
          <w:rFonts w:ascii="Times New Roman" w:hAnsi="Times New Roman" w:cs="Times New Roman"/>
          <w:sz w:val="28"/>
          <w:szCs w:val="28"/>
        </w:rPr>
        <w:t>i</w:t>
      </w:r>
      <w:r>
        <w:rPr>
          <w:rFonts w:ascii="Times New Roman" w:hAnsi="Times New Roman" w:cs="Times New Roman"/>
          <w:sz w:val="28"/>
          <w:szCs w:val="28"/>
        </w:rPr>
        <w:t xml:space="preserve"> da tali eventi possono raggiungere un certo livello di gravità. Nell’adolescenza, infatti, è in corso un processo di soggettivazione che si snoda sul campo edipico e sul campo </w:t>
      </w:r>
      <w:proofErr w:type="spellStart"/>
      <w:r>
        <w:rPr>
          <w:rFonts w:ascii="Times New Roman" w:hAnsi="Times New Roman" w:cs="Times New Roman"/>
          <w:sz w:val="28"/>
          <w:szCs w:val="28"/>
        </w:rPr>
        <w:t>narcistico</w:t>
      </w:r>
      <w:proofErr w:type="spellEnd"/>
      <w:r>
        <w:rPr>
          <w:rFonts w:ascii="Times New Roman" w:hAnsi="Times New Roman" w:cs="Times New Roman"/>
          <w:sz w:val="28"/>
          <w:szCs w:val="28"/>
        </w:rPr>
        <w:t xml:space="preserve"> secondo la psicologia dell’età evolutiva più accreditat</w:t>
      </w:r>
      <w:r w:rsidR="006365A7">
        <w:rPr>
          <w:rFonts w:ascii="Times New Roman" w:hAnsi="Times New Roman" w:cs="Times New Roman"/>
          <w:sz w:val="28"/>
          <w:szCs w:val="28"/>
        </w:rPr>
        <w:t>a.</w:t>
      </w:r>
      <w:r>
        <w:rPr>
          <w:rFonts w:ascii="Times New Roman" w:hAnsi="Times New Roman" w:cs="Times New Roman"/>
          <w:sz w:val="28"/>
          <w:szCs w:val="28"/>
        </w:rPr>
        <w:t xml:space="preserve"> </w:t>
      </w:r>
    </w:p>
    <w:p w14:paraId="03C6CD10" w14:textId="77777777" w:rsidR="0085296A" w:rsidRDefault="00E7709C" w:rsidP="0085296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Patologia e normalità si pongono in un rapporto antinomico</w:t>
      </w:r>
      <w:r w:rsidR="00763FAF">
        <w:rPr>
          <w:rFonts w:ascii="Times New Roman" w:hAnsi="Times New Roman" w:cs="Times New Roman"/>
          <w:sz w:val="28"/>
          <w:szCs w:val="28"/>
        </w:rPr>
        <w:t xml:space="preserve"> nella duplicità dei modelli familiari che si dividono in famiglia </w:t>
      </w:r>
      <w:r w:rsidR="00B914B7">
        <w:rPr>
          <w:rFonts w:ascii="Times New Roman" w:hAnsi="Times New Roman" w:cs="Times New Roman"/>
          <w:sz w:val="28"/>
          <w:szCs w:val="28"/>
        </w:rPr>
        <w:t>etica (</w:t>
      </w:r>
      <w:r w:rsidR="00763FAF">
        <w:rPr>
          <w:rFonts w:ascii="Times New Roman" w:hAnsi="Times New Roman" w:cs="Times New Roman"/>
          <w:sz w:val="28"/>
          <w:szCs w:val="28"/>
        </w:rPr>
        <w:t>in cui prevale il primato di regole e</w:t>
      </w:r>
      <w:r w:rsidR="00762A9F">
        <w:rPr>
          <w:rFonts w:ascii="Times New Roman" w:hAnsi="Times New Roman" w:cs="Times New Roman"/>
          <w:sz w:val="28"/>
          <w:szCs w:val="28"/>
        </w:rPr>
        <w:t xml:space="preserve"> </w:t>
      </w:r>
      <w:r w:rsidR="00763FAF">
        <w:rPr>
          <w:rFonts w:ascii="Times New Roman" w:hAnsi="Times New Roman" w:cs="Times New Roman"/>
          <w:sz w:val="28"/>
          <w:szCs w:val="28"/>
        </w:rPr>
        <w:t>norme) e famigli affettiva (in cui l’affetto genitoriale prevale sul criterio della regola educativa). Una quota di emozioni negative è parte integrante del processo di crescita dell’adolescente, ma la crisi della genitorialità</w:t>
      </w:r>
      <w:r w:rsidR="00762A9F">
        <w:rPr>
          <w:rFonts w:ascii="Times New Roman" w:hAnsi="Times New Roman" w:cs="Times New Roman"/>
          <w:sz w:val="28"/>
          <w:szCs w:val="28"/>
        </w:rPr>
        <w:t>,</w:t>
      </w:r>
      <w:r w:rsidR="00763FAF">
        <w:rPr>
          <w:rFonts w:ascii="Times New Roman" w:hAnsi="Times New Roman" w:cs="Times New Roman"/>
          <w:sz w:val="28"/>
          <w:szCs w:val="28"/>
        </w:rPr>
        <w:t xml:space="preserve"> e il c</w:t>
      </w:r>
      <w:r w:rsidR="00762A9F">
        <w:rPr>
          <w:rFonts w:ascii="Times New Roman" w:hAnsi="Times New Roman" w:cs="Times New Roman"/>
          <w:sz w:val="28"/>
          <w:szCs w:val="28"/>
        </w:rPr>
        <w:t>.</w:t>
      </w:r>
      <w:r w:rsidR="00763FAF">
        <w:rPr>
          <w:rFonts w:ascii="Times New Roman" w:hAnsi="Times New Roman" w:cs="Times New Roman"/>
          <w:sz w:val="28"/>
          <w:szCs w:val="28"/>
        </w:rPr>
        <w:t>d.</w:t>
      </w:r>
      <w:r w:rsidR="00B914B7">
        <w:rPr>
          <w:rFonts w:ascii="Times New Roman" w:hAnsi="Times New Roman" w:cs="Times New Roman"/>
          <w:sz w:val="28"/>
          <w:szCs w:val="28"/>
        </w:rPr>
        <w:t xml:space="preserve"> </w:t>
      </w:r>
      <w:r w:rsidR="00763FAF">
        <w:rPr>
          <w:rFonts w:ascii="Times New Roman" w:hAnsi="Times New Roman" w:cs="Times New Roman"/>
          <w:sz w:val="28"/>
          <w:szCs w:val="28"/>
        </w:rPr>
        <w:t xml:space="preserve">lutto </w:t>
      </w:r>
      <w:proofErr w:type="spellStart"/>
      <w:r w:rsidR="00763FAF">
        <w:rPr>
          <w:rFonts w:ascii="Times New Roman" w:hAnsi="Times New Roman" w:cs="Times New Roman"/>
          <w:sz w:val="28"/>
          <w:szCs w:val="28"/>
        </w:rPr>
        <w:t>narcistico</w:t>
      </w:r>
      <w:proofErr w:type="spellEnd"/>
      <w:r w:rsidR="00762A9F">
        <w:rPr>
          <w:rFonts w:ascii="Times New Roman" w:hAnsi="Times New Roman" w:cs="Times New Roman"/>
          <w:sz w:val="28"/>
          <w:szCs w:val="28"/>
        </w:rPr>
        <w:t>,</w:t>
      </w:r>
      <w:r w:rsidR="00763FAF">
        <w:rPr>
          <w:rFonts w:ascii="Times New Roman" w:hAnsi="Times New Roman" w:cs="Times New Roman"/>
          <w:sz w:val="28"/>
          <w:szCs w:val="28"/>
        </w:rPr>
        <w:t xml:space="preserve"> possono presentare segnali di difficoltà nel processo di separazione-individuazione che i </w:t>
      </w:r>
      <w:r w:rsidR="00763FAF" w:rsidRPr="0085296A">
        <w:rPr>
          <w:rFonts w:ascii="Times New Roman" w:hAnsi="Times New Roman" w:cs="Times New Roman"/>
          <w:i/>
          <w:iCs/>
          <w:sz w:val="28"/>
          <w:szCs w:val="28"/>
        </w:rPr>
        <w:t>social</w:t>
      </w:r>
      <w:r w:rsidR="00763FAF">
        <w:rPr>
          <w:rFonts w:ascii="Times New Roman" w:hAnsi="Times New Roman" w:cs="Times New Roman"/>
          <w:sz w:val="28"/>
          <w:szCs w:val="28"/>
        </w:rPr>
        <w:t xml:space="preserve"> </w:t>
      </w:r>
      <w:r w:rsidR="00763FAF" w:rsidRPr="0085296A">
        <w:rPr>
          <w:rFonts w:ascii="Times New Roman" w:hAnsi="Times New Roman" w:cs="Times New Roman"/>
          <w:i/>
          <w:iCs/>
          <w:sz w:val="28"/>
          <w:szCs w:val="28"/>
        </w:rPr>
        <w:t>network</w:t>
      </w:r>
      <w:r w:rsidR="00763FAF">
        <w:rPr>
          <w:rFonts w:ascii="Times New Roman" w:hAnsi="Times New Roman" w:cs="Times New Roman"/>
          <w:sz w:val="28"/>
          <w:szCs w:val="28"/>
        </w:rPr>
        <w:t xml:space="preserve"> accentuano negli individui in età evolutiva, causando sempre più spesso sintomi depressivi, ansiosi, e reazioni aggressive. </w:t>
      </w:r>
    </w:p>
    <w:p w14:paraId="7118C0A0" w14:textId="77777777" w:rsidR="0085296A" w:rsidRDefault="00763FAF" w:rsidP="0085296A">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L’ansia stimolata dai </w:t>
      </w:r>
      <w:r w:rsidRPr="0085296A">
        <w:rPr>
          <w:rFonts w:ascii="Times New Roman" w:hAnsi="Times New Roman" w:cs="Times New Roman"/>
          <w:i/>
          <w:iCs/>
          <w:sz w:val="28"/>
          <w:szCs w:val="28"/>
        </w:rPr>
        <w:t>social</w:t>
      </w:r>
      <w:r>
        <w:rPr>
          <w:rFonts w:ascii="Times New Roman" w:hAnsi="Times New Roman" w:cs="Times New Roman"/>
          <w:sz w:val="28"/>
          <w:szCs w:val="28"/>
        </w:rPr>
        <w:t xml:space="preserve"> </w:t>
      </w:r>
      <w:r w:rsidRPr="0085296A">
        <w:rPr>
          <w:rFonts w:ascii="Times New Roman" w:hAnsi="Times New Roman" w:cs="Times New Roman"/>
          <w:i/>
          <w:iCs/>
          <w:sz w:val="28"/>
          <w:szCs w:val="28"/>
        </w:rPr>
        <w:t>network</w:t>
      </w:r>
      <w:r w:rsidR="0085296A">
        <w:rPr>
          <w:rFonts w:ascii="Times New Roman" w:hAnsi="Times New Roman" w:cs="Times New Roman"/>
          <w:i/>
          <w:iCs/>
          <w:sz w:val="28"/>
          <w:szCs w:val="28"/>
        </w:rPr>
        <w:t>,</w:t>
      </w:r>
      <w:r>
        <w:rPr>
          <w:rFonts w:ascii="Times New Roman" w:hAnsi="Times New Roman" w:cs="Times New Roman"/>
          <w:sz w:val="28"/>
          <w:szCs w:val="28"/>
        </w:rPr>
        <w:t xml:space="preserve"> per i continui </w:t>
      </w:r>
      <w:r w:rsidR="00B914B7" w:rsidRPr="00763FAF">
        <w:rPr>
          <w:rFonts w:ascii="Times New Roman" w:hAnsi="Times New Roman" w:cs="Times New Roman"/>
          <w:i/>
          <w:iCs/>
          <w:sz w:val="28"/>
          <w:szCs w:val="28"/>
        </w:rPr>
        <w:t>i</w:t>
      </w:r>
      <w:r w:rsidR="00B914B7">
        <w:rPr>
          <w:rFonts w:ascii="Times New Roman" w:hAnsi="Times New Roman" w:cs="Times New Roman"/>
          <w:i/>
          <w:iCs/>
          <w:sz w:val="28"/>
          <w:szCs w:val="28"/>
        </w:rPr>
        <w:t>n</w:t>
      </w:r>
      <w:r w:rsidR="00B914B7" w:rsidRPr="00763FAF">
        <w:rPr>
          <w:rFonts w:ascii="Times New Roman" w:hAnsi="Times New Roman" w:cs="Times New Roman"/>
          <w:i/>
          <w:iCs/>
          <w:sz w:val="28"/>
          <w:szCs w:val="28"/>
        </w:rPr>
        <w:t>put</w:t>
      </w:r>
      <w:r w:rsidR="00B914B7">
        <w:rPr>
          <w:rFonts w:ascii="Times New Roman" w:hAnsi="Times New Roman" w:cs="Times New Roman"/>
          <w:sz w:val="28"/>
          <w:szCs w:val="28"/>
        </w:rPr>
        <w:t xml:space="preserve"> scaricati</w:t>
      </w:r>
      <w:r>
        <w:rPr>
          <w:rFonts w:ascii="Times New Roman" w:hAnsi="Times New Roman" w:cs="Times New Roman"/>
          <w:sz w:val="28"/>
          <w:szCs w:val="28"/>
        </w:rPr>
        <w:t xml:space="preserve"> sul cervello adolescenziale</w:t>
      </w:r>
      <w:r w:rsidR="0085296A">
        <w:rPr>
          <w:rFonts w:ascii="Times New Roman" w:hAnsi="Times New Roman" w:cs="Times New Roman"/>
          <w:sz w:val="28"/>
          <w:szCs w:val="28"/>
        </w:rPr>
        <w:t>,</w:t>
      </w:r>
      <w:r>
        <w:rPr>
          <w:rFonts w:ascii="Times New Roman" w:hAnsi="Times New Roman" w:cs="Times New Roman"/>
          <w:sz w:val="28"/>
          <w:szCs w:val="28"/>
        </w:rPr>
        <w:t xml:space="preserve"> privo della corteccia prefrontale</w:t>
      </w:r>
      <w:r w:rsidR="0085296A">
        <w:rPr>
          <w:rFonts w:ascii="Times New Roman" w:hAnsi="Times New Roman" w:cs="Times New Roman"/>
          <w:sz w:val="28"/>
          <w:szCs w:val="28"/>
        </w:rPr>
        <w:t>,</w:t>
      </w:r>
      <w:r>
        <w:rPr>
          <w:rFonts w:ascii="Times New Roman" w:hAnsi="Times New Roman" w:cs="Times New Roman"/>
          <w:sz w:val="28"/>
          <w:szCs w:val="28"/>
        </w:rPr>
        <w:t xml:space="preserve"> non è un’ansia adattiva, positiva e propulsiva, volta a far superare le difficoltà</w:t>
      </w:r>
      <w:r w:rsidR="00003004">
        <w:rPr>
          <w:rFonts w:ascii="Times New Roman" w:hAnsi="Times New Roman" w:cs="Times New Roman"/>
          <w:sz w:val="28"/>
          <w:szCs w:val="28"/>
        </w:rPr>
        <w:t xml:space="preserve"> della crescita</w:t>
      </w:r>
      <w:r>
        <w:rPr>
          <w:rFonts w:ascii="Times New Roman" w:hAnsi="Times New Roman" w:cs="Times New Roman"/>
          <w:sz w:val="28"/>
          <w:szCs w:val="28"/>
        </w:rPr>
        <w:t xml:space="preserve">, ma è un’ansia di stato </w:t>
      </w:r>
      <w:r w:rsidR="00003004">
        <w:rPr>
          <w:rFonts w:ascii="Times New Roman" w:hAnsi="Times New Roman" w:cs="Times New Roman"/>
          <w:sz w:val="28"/>
          <w:szCs w:val="28"/>
        </w:rPr>
        <w:t>che si riversa</w:t>
      </w:r>
      <w:r>
        <w:rPr>
          <w:rFonts w:ascii="Times New Roman" w:hAnsi="Times New Roman" w:cs="Times New Roman"/>
          <w:sz w:val="28"/>
          <w:szCs w:val="28"/>
        </w:rPr>
        <w:t xml:space="preserve"> sulle aree relative ai circuiti della </w:t>
      </w:r>
      <w:r w:rsidRPr="00763FAF">
        <w:rPr>
          <w:rFonts w:ascii="Times New Roman" w:hAnsi="Times New Roman" w:cs="Times New Roman"/>
          <w:i/>
          <w:iCs/>
          <w:sz w:val="28"/>
          <w:szCs w:val="28"/>
        </w:rPr>
        <w:t>ricompensa, regolazione e relazione.</w:t>
      </w:r>
      <w:r w:rsidR="00003004">
        <w:rPr>
          <w:rFonts w:ascii="Times New Roman" w:hAnsi="Times New Roman" w:cs="Times New Roman"/>
          <w:i/>
          <w:iCs/>
          <w:sz w:val="28"/>
          <w:szCs w:val="28"/>
        </w:rPr>
        <w:t xml:space="preserve"> </w:t>
      </w:r>
    </w:p>
    <w:p w14:paraId="048CDC4C" w14:textId="230200C9" w:rsidR="00A46E23" w:rsidRDefault="00003004" w:rsidP="0085296A">
      <w:pPr>
        <w:tabs>
          <w:tab w:val="left" w:pos="8364"/>
        </w:tabs>
        <w:spacing w:after="0"/>
        <w:jc w:val="both"/>
        <w:rPr>
          <w:rFonts w:ascii="Times New Roman" w:hAnsi="Times New Roman" w:cs="Times New Roman"/>
          <w:sz w:val="28"/>
          <w:szCs w:val="28"/>
        </w:rPr>
      </w:pPr>
      <w:r w:rsidRPr="00003004">
        <w:rPr>
          <w:rFonts w:ascii="Times New Roman" w:hAnsi="Times New Roman" w:cs="Times New Roman"/>
          <w:sz w:val="28"/>
          <w:szCs w:val="28"/>
        </w:rPr>
        <w:t>Tale incidenza</w:t>
      </w:r>
      <w:r>
        <w:rPr>
          <w:rFonts w:ascii="Times New Roman" w:hAnsi="Times New Roman" w:cs="Times New Roman"/>
          <w:sz w:val="28"/>
          <w:szCs w:val="28"/>
        </w:rPr>
        <w:t xml:space="preserve"> sulla c</w:t>
      </w:r>
      <w:r w:rsidR="00762A9F">
        <w:rPr>
          <w:rFonts w:ascii="Times New Roman" w:hAnsi="Times New Roman" w:cs="Times New Roman"/>
          <w:sz w:val="28"/>
          <w:szCs w:val="28"/>
        </w:rPr>
        <w:t>.</w:t>
      </w:r>
      <w:r>
        <w:rPr>
          <w:rFonts w:ascii="Times New Roman" w:hAnsi="Times New Roman" w:cs="Times New Roman"/>
          <w:sz w:val="28"/>
          <w:szCs w:val="28"/>
        </w:rPr>
        <w:t>d</w:t>
      </w:r>
      <w:r w:rsidR="00762A9F">
        <w:rPr>
          <w:rFonts w:ascii="Times New Roman" w:hAnsi="Times New Roman" w:cs="Times New Roman"/>
          <w:sz w:val="28"/>
          <w:szCs w:val="28"/>
        </w:rPr>
        <w:t>.</w:t>
      </w:r>
      <w:r>
        <w:rPr>
          <w:rFonts w:ascii="Times New Roman" w:hAnsi="Times New Roman" w:cs="Times New Roman"/>
          <w:sz w:val="28"/>
          <w:szCs w:val="28"/>
        </w:rPr>
        <w:t xml:space="preserve"> plasticità del cervello in formazione può avere degli effetti negativi lungo il percorso verso l’autonomia, l’individuazione e la soggettivazione in età adulta. La formazione, infatti, della corteccia prefrontale nel sistema limbico può avvenire in tempi </w:t>
      </w:r>
      <w:r w:rsidR="00B914B7">
        <w:rPr>
          <w:rFonts w:ascii="Times New Roman" w:hAnsi="Times New Roman" w:cs="Times New Roman"/>
          <w:sz w:val="28"/>
          <w:szCs w:val="28"/>
        </w:rPr>
        <w:t>diversi:</w:t>
      </w:r>
      <w:r>
        <w:rPr>
          <w:rFonts w:ascii="Times New Roman" w:hAnsi="Times New Roman" w:cs="Times New Roman"/>
          <w:sz w:val="28"/>
          <w:szCs w:val="28"/>
        </w:rPr>
        <w:t xml:space="preserve"> infatti, si distingue tra prima adolescenza, media adolescenza e tarda adolescenza</w:t>
      </w:r>
      <w:r w:rsidR="004638C0">
        <w:rPr>
          <w:rStyle w:val="Rimandonotaapidipagina"/>
          <w:rFonts w:ascii="Times New Roman" w:hAnsi="Times New Roman" w:cs="Times New Roman"/>
          <w:sz w:val="28"/>
          <w:szCs w:val="28"/>
        </w:rPr>
        <w:footnoteReference w:id="112"/>
      </w:r>
      <w:r>
        <w:rPr>
          <w:rFonts w:ascii="Times New Roman" w:hAnsi="Times New Roman" w:cs="Times New Roman"/>
          <w:sz w:val="28"/>
          <w:szCs w:val="28"/>
        </w:rPr>
        <w:t xml:space="preserve">. </w:t>
      </w:r>
    </w:p>
    <w:p w14:paraId="7EA7CEE6" w14:textId="77777777" w:rsidR="004D7EB2" w:rsidRDefault="00003004" w:rsidP="0085296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Nella nostra epoca digitale noi assistiamo all’anticipo dell’inizio dell’adolescenza e allo sfumare del momento della sua conclusione. La contrapposizione famiglia affettiva </w:t>
      </w:r>
      <w:r w:rsidRPr="00762A9F">
        <w:rPr>
          <w:rFonts w:ascii="Times New Roman" w:hAnsi="Times New Roman" w:cs="Times New Roman"/>
          <w:i/>
          <w:iCs/>
          <w:sz w:val="28"/>
          <w:szCs w:val="28"/>
        </w:rPr>
        <w:t>versus</w:t>
      </w:r>
      <w:r>
        <w:rPr>
          <w:rFonts w:ascii="Times New Roman" w:hAnsi="Times New Roman" w:cs="Times New Roman"/>
          <w:sz w:val="28"/>
          <w:szCs w:val="28"/>
        </w:rPr>
        <w:t xml:space="preserve"> famiglia etica</w:t>
      </w:r>
      <w:r w:rsidR="00873D29">
        <w:rPr>
          <w:rStyle w:val="Rimandonotaapidipagina"/>
          <w:rFonts w:ascii="Times New Roman" w:hAnsi="Times New Roman" w:cs="Times New Roman"/>
          <w:sz w:val="28"/>
          <w:szCs w:val="28"/>
        </w:rPr>
        <w:footnoteReference w:id="113"/>
      </w:r>
      <w:r w:rsidR="00873D29">
        <w:rPr>
          <w:rFonts w:ascii="Times New Roman" w:hAnsi="Times New Roman" w:cs="Times New Roman"/>
          <w:sz w:val="28"/>
          <w:szCs w:val="28"/>
        </w:rPr>
        <w:t>.</w:t>
      </w:r>
      <w:r w:rsidR="00DC2DF9">
        <w:rPr>
          <w:rFonts w:ascii="Times New Roman" w:hAnsi="Times New Roman" w:cs="Times New Roman"/>
          <w:sz w:val="28"/>
          <w:szCs w:val="28"/>
        </w:rPr>
        <w:t xml:space="preserve"> </w:t>
      </w:r>
    </w:p>
    <w:p w14:paraId="0EC35366" w14:textId="77777777" w:rsidR="004D7EB2" w:rsidRDefault="00D6395B" w:rsidP="0085296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Gli adolescenti attuali vivono il passaggio da un’infanzia privilegiata all’età adulta con grande intensità emotiva, la dittatu</w:t>
      </w:r>
      <w:r w:rsidR="00E065CB">
        <w:rPr>
          <w:rFonts w:ascii="Times New Roman" w:hAnsi="Times New Roman" w:cs="Times New Roman"/>
          <w:sz w:val="28"/>
          <w:szCs w:val="28"/>
        </w:rPr>
        <w:t>r</w:t>
      </w:r>
      <w:r>
        <w:rPr>
          <w:rFonts w:ascii="Times New Roman" w:hAnsi="Times New Roman" w:cs="Times New Roman"/>
          <w:sz w:val="28"/>
          <w:szCs w:val="28"/>
        </w:rPr>
        <w:t>a del presente</w:t>
      </w:r>
      <w:r w:rsidR="00DC2DF9">
        <w:rPr>
          <w:rStyle w:val="Rimandonotaapidipagina"/>
          <w:rFonts w:ascii="Times New Roman" w:hAnsi="Times New Roman" w:cs="Times New Roman"/>
          <w:sz w:val="28"/>
          <w:szCs w:val="28"/>
        </w:rPr>
        <w:footnoteReference w:id="114"/>
      </w:r>
      <w:r w:rsidR="00E065CB">
        <w:rPr>
          <w:rFonts w:ascii="Times New Roman" w:hAnsi="Times New Roman" w:cs="Times New Roman"/>
          <w:sz w:val="28"/>
          <w:szCs w:val="28"/>
        </w:rPr>
        <w:t>, l’angoscia legata al “furto del futuro”, la scomparsa del principio di autorità-anteriorità</w:t>
      </w:r>
      <w:r w:rsidR="00DC2DF9">
        <w:rPr>
          <w:rStyle w:val="Rimandonotaapidipagina"/>
          <w:rFonts w:ascii="Times New Roman" w:hAnsi="Times New Roman" w:cs="Times New Roman"/>
          <w:sz w:val="28"/>
          <w:szCs w:val="28"/>
        </w:rPr>
        <w:footnoteReference w:id="115"/>
      </w:r>
      <w:r w:rsidR="00173239">
        <w:rPr>
          <w:rFonts w:ascii="Times New Roman" w:hAnsi="Times New Roman" w:cs="Times New Roman"/>
          <w:sz w:val="28"/>
          <w:szCs w:val="28"/>
        </w:rPr>
        <w:t>;</w:t>
      </w:r>
      <w:r w:rsidR="0030752A">
        <w:rPr>
          <w:rFonts w:ascii="Times New Roman" w:hAnsi="Times New Roman" w:cs="Times New Roman"/>
          <w:sz w:val="28"/>
          <w:szCs w:val="28"/>
        </w:rPr>
        <w:t xml:space="preserve"> l’indebolimento della funzione regolativa esercitata dagli adulti nel porre dei limiti</w:t>
      </w:r>
      <w:r w:rsidR="00DC2DF9">
        <w:rPr>
          <w:rStyle w:val="Rimandonotaapidipagina"/>
          <w:rFonts w:ascii="Times New Roman" w:hAnsi="Times New Roman" w:cs="Times New Roman"/>
          <w:sz w:val="28"/>
          <w:szCs w:val="28"/>
        </w:rPr>
        <w:footnoteReference w:id="116"/>
      </w:r>
      <w:r w:rsidR="00DC2DF9">
        <w:rPr>
          <w:rFonts w:ascii="Times New Roman" w:hAnsi="Times New Roman" w:cs="Times New Roman"/>
          <w:sz w:val="28"/>
          <w:szCs w:val="28"/>
        </w:rPr>
        <w:t xml:space="preserve"> </w:t>
      </w:r>
      <w:r w:rsidR="0030752A">
        <w:rPr>
          <w:rFonts w:ascii="Times New Roman" w:hAnsi="Times New Roman" w:cs="Times New Roman"/>
          <w:sz w:val="28"/>
          <w:szCs w:val="28"/>
        </w:rPr>
        <w:t>e nel modulare la distanza ha determinato</w:t>
      </w:r>
      <w:r w:rsidR="00173239">
        <w:rPr>
          <w:rFonts w:ascii="Times New Roman" w:hAnsi="Times New Roman" w:cs="Times New Roman"/>
          <w:sz w:val="28"/>
          <w:szCs w:val="28"/>
        </w:rPr>
        <w:t>,</w:t>
      </w:r>
      <w:r w:rsidR="0030752A">
        <w:rPr>
          <w:rFonts w:ascii="Times New Roman" w:hAnsi="Times New Roman" w:cs="Times New Roman"/>
          <w:sz w:val="28"/>
          <w:szCs w:val="28"/>
        </w:rPr>
        <w:t xml:space="preserve"> insieme alla cultura della dimensione digitale</w:t>
      </w:r>
      <w:r w:rsidR="00173239">
        <w:rPr>
          <w:rFonts w:ascii="Times New Roman" w:hAnsi="Times New Roman" w:cs="Times New Roman"/>
          <w:sz w:val="28"/>
          <w:szCs w:val="28"/>
        </w:rPr>
        <w:t>,</w:t>
      </w:r>
      <w:r w:rsidR="0030752A">
        <w:rPr>
          <w:rFonts w:ascii="Times New Roman" w:hAnsi="Times New Roman" w:cs="Times New Roman"/>
          <w:sz w:val="28"/>
          <w:szCs w:val="28"/>
        </w:rPr>
        <w:t xml:space="preserve"> un mutamento della crisi adolescenziale</w:t>
      </w:r>
      <w:r w:rsidR="00E728EB">
        <w:rPr>
          <w:rFonts w:ascii="Times New Roman" w:hAnsi="Times New Roman" w:cs="Times New Roman"/>
          <w:sz w:val="28"/>
          <w:szCs w:val="28"/>
        </w:rPr>
        <w:t>, potenziandone gli aspetti patologici</w:t>
      </w:r>
      <w:r w:rsidR="0030752A">
        <w:rPr>
          <w:rFonts w:ascii="Times New Roman" w:hAnsi="Times New Roman" w:cs="Times New Roman"/>
          <w:sz w:val="28"/>
          <w:szCs w:val="28"/>
        </w:rPr>
        <w:t>.</w:t>
      </w:r>
      <w:r w:rsidR="008F6576">
        <w:rPr>
          <w:rFonts w:ascii="Times New Roman" w:hAnsi="Times New Roman" w:cs="Times New Roman"/>
          <w:sz w:val="28"/>
          <w:szCs w:val="28"/>
        </w:rPr>
        <w:t xml:space="preserve"> </w:t>
      </w:r>
    </w:p>
    <w:p w14:paraId="43634464" w14:textId="06B95375" w:rsidR="00182A21" w:rsidRDefault="008F6576" w:rsidP="0085296A">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P.</w:t>
      </w:r>
      <w:r w:rsidR="00DC2DF9">
        <w:rPr>
          <w:rFonts w:ascii="Times New Roman" w:hAnsi="Times New Roman" w:cs="Times New Roman"/>
          <w:sz w:val="28"/>
          <w:szCs w:val="28"/>
        </w:rPr>
        <w:t xml:space="preserve"> </w:t>
      </w:r>
      <w:proofErr w:type="spellStart"/>
      <w:r w:rsidR="00DC2DF9" w:rsidRPr="00173239">
        <w:rPr>
          <w:rFonts w:ascii="Times New Roman" w:hAnsi="Times New Roman" w:cs="Times New Roman"/>
          <w:i/>
          <w:iCs/>
          <w:sz w:val="28"/>
          <w:szCs w:val="28"/>
        </w:rPr>
        <w:t>Jeammet</w:t>
      </w:r>
      <w:proofErr w:type="spellEnd"/>
      <w:r w:rsidR="00DC2DF9">
        <w:rPr>
          <w:rFonts w:ascii="Times New Roman" w:hAnsi="Times New Roman" w:cs="Times New Roman"/>
          <w:sz w:val="28"/>
          <w:szCs w:val="28"/>
        </w:rPr>
        <w:t>,</w:t>
      </w:r>
      <w:r>
        <w:rPr>
          <w:rFonts w:ascii="Times New Roman" w:hAnsi="Times New Roman" w:cs="Times New Roman"/>
          <w:sz w:val="28"/>
          <w:szCs w:val="28"/>
        </w:rPr>
        <w:t xml:space="preserve"> psicologo e psicoterapeuta, propone un modello psicopatologico dell’adolescenza basato su diversi elementi: la complessità che in senso operativo si esplica nell’utilizzo dei contributi dell’approccio ecologico, della teoria sistemico-relazionale, della teoria dinamica dei sistemi; la prospettiva </w:t>
      </w:r>
      <w:r w:rsidRPr="008F6576">
        <w:rPr>
          <w:rFonts w:ascii="Times New Roman" w:hAnsi="Times New Roman" w:cs="Times New Roman"/>
          <w:i/>
          <w:iCs/>
          <w:sz w:val="28"/>
          <w:szCs w:val="28"/>
        </w:rPr>
        <w:t>life</w:t>
      </w:r>
      <w:r w:rsidRPr="008F6576">
        <w:rPr>
          <w:rFonts w:ascii="Times New Roman" w:hAnsi="Times New Roman" w:cs="Times New Roman"/>
          <w:sz w:val="28"/>
          <w:szCs w:val="28"/>
        </w:rPr>
        <w:t xml:space="preserve"> </w:t>
      </w:r>
      <w:proofErr w:type="spellStart"/>
      <w:r w:rsidRPr="008F6576">
        <w:rPr>
          <w:rFonts w:ascii="Times New Roman" w:hAnsi="Times New Roman" w:cs="Times New Roman"/>
          <w:i/>
          <w:iCs/>
          <w:sz w:val="28"/>
          <w:szCs w:val="28"/>
        </w:rPr>
        <w:t>span</w:t>
      </w:r>
      <w:proofErr w:type="spellEnd"/>
      <w:r>
        <w:rPr>
          <w:rFonts w:ascii="Times New Roman" w:hAnsi="Times New Roman" w:cs="Times New Roman"/>
          <w:sz w:val="28"/>
          <w:szCs w:val="28"/>
        </w:rPr>
        <w:t>; “la visione biografica” della psicopatologia in adolescenza.</w:t>
      </w:r>
      <w:r w:rsidR="00E728EB">
        <w:rPr>
          <w:rFonts w:ascii="Times New Roman" w:hAnsi="Times New Roman" w:cs="Times New Roman"/>
          <w:sz w:val="28"/>
          <w:szCs w:val="28"/>
        </w:rPr>
        <w:t xml:space="preserve"> </w:t>
      </w:r>
    </w:p>
    <w:p w14:paraId="21C90BAE" w14:textId="2117B487" w:rsidR="00003004" w:rsidRDefault="00E728EB" w:rsidP="004F2AE8">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Ma come è cambiata la funzione educativa dei genitori nella dimensione digitale in cui si trovano a vivere gli adolescenti?</w:t>
      </w:r>
      <w:r w:rsidR="004F2AE8">
        <w:rPr>
          <w:rStyle w:val="Rimandonotaapidipagina"/>
          <w:rFonts w:ascii="Times New Roman" w:hAnsi="Times New Roman" w:cs="Times New Roman"/>
          <w:sz w:val="28"/>
          <w:szCs w:val="28"/>
        </w:rPr>
        <w:footnoteReference w:id="117"/>
      </w:r>
    </w:p>
    <w:p w14:paraId="6106B921" w14:textId="77777777" w:rsidR="00A46E23" w:rsidRDefault="00182A21" w:rsidP="004F2AE8">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Secondo </w:t>
      </w:r>
      <w:r w:rsidRPr="00B80C44">
        <w:rPr>
          <w:rFonts w:ascii="Times New Roman" w:hAnsi="Times New Roman" w:cs="Times New Roman"/>
          <w:i/>
          <w:iCs/>
          <w:sz w:val="28"/>
          <w:szCs w:val="28"/>
        </w:rPr>
        <w:t>L</w:t>
      </w:r>
      <w:r w:rsidR="00906288" w:rsidRPr="00B80C44">
        <w:rPr>
          <w:rFonts w:ascii="Times New Roman" w:hAnsi="Times New Roman" w:cs="Times New Roman"/>
          <w:i/>
          <w:iCs/>
          <w:sz w:val="28"/>
          <w:szCs w:val="28"/>
        </w:rPr>
        <w:t>aurence</w:t>
      </w:r>
      <w:r w:rsidRPr="00CE7580">
        <w:rPr>
          <w:rFonts w:ascii="Times New Roman" w:hAnsi="Times New Roman" w:cs="Times New Roman"/>
          <w:sz w:val="28"/>
          <w:szCs w:val="28"/>
        </w:rPr>
        <w:t xml:space="preserve"> </w:t>
      </w:r>
      <w:proofErr w:type="spellStart"/>
      <w:r w:rsidRPr="00A46E23">
        <w:rPr>
          <w:rFonts w:ascii="Times New Roman" w:hAnsi="Times New Roman" w:cs="Times New Roman"/>
          <w:i/>
          <w:iCs/>
          <w:sz w:val="28"/>
          <w:szCs w:val="28"/>
        </w:rPr>
        <w:t>Steinberg</w:t>
      </w:r>
      <w:proofErr w:type="spellEnd"/>
      <w:r w:rsidR="00285F3C" w:rsidRPr="00CE7580">
        <w:rPr>
          <w:rStyle w:val="Rimandonotaapidipagina"/>
          <w:rFonts w:ascii="Times New Roman" w:hAnsi="Times New Roman" w:cs="Times New Roman"/>
          <w:sz w:val="28"/>
          <w:szCs w:val="28"/>
        </w:rPr>
        <w:footnoteReference w:id="118"/>
      </w:r>
      <w:r w:rsidRPr="00CE7580">
        <w:rPr>
          <w:rFonts w:ascii="Times New Roman" w:hAnsi="Times New Roman" w:cs="Times New Roman"/>
          <w:sz w:val="28"/>
          <w:szCs w:val="28"/>
        </w:rPr>
        <w:t>, uno</w:t>
      </w:r>
      <w:r w:rsidRPr="00182A21">
        <w:rPr>
          <w:rFonts w:ascii="Times New Roman" w:hAnsi="Times New Roman" w:cs="Times New Roman"/>
          <w:sz w:val="28"/>
          <w:szCs w:val="28"/>
        </w:rPr>
        <w:t xml:space="preserve"> dei più importanti esperti di adolescenza al mondo</w:t>
      </w:r>
      <w:r w:rsidR="00906288">
        <w:rPr>
          <w:rFonts w:ascii="Times New Roman" w:hAnsi="Times New Roman" w:cs="Times New Roman"/>
          <w:i/>
          <w:iCs/>
          <w:sz w:val="28"/>
          <w:szCs w:val="28"/>
        </w:rPr>
        <w:t xml:space="preserve">, </w:t>
      </w:r>
      <w:r w:rsidR="00906288" w:rsidRPr="00906288">
        <w:rPr>
          <w:rFonts w:ascii="Times New Roman" w:hAnsi="Times New Roman" w:cs="Times New Roman"/>
          <w:sz w:val="28"/>
          <w:szCs w:val="28"/>
        </w:rPr>
        <w:t xml:space="preserve">i genitori </w:t>
      </w:r>
      <w:r w:rsidR="00906288">
        <w:rPr>
          <w:rFonts w:ascii="Times New Roman" w:hAnsi="Times New Roman" w:cs="Times New Roman"/>
          <w:sz w:val="28"/>
          <w:szCs w:val="28"/>
        </w:rPr>
        <w:t>di figli adolescenti devono essere 1) affettuosi,</w:t>
      </w:r>
      <w:r w:rsidR="00DA4AC6">
        <w:rPr>
          <w:rFonts w:ascii="Times New Roman" w:hAnsi="Times New Roman" w:cs="Times New Roman"/>
          <w:sz w:val="28"/>
          <w:szCs w:val="28"/>
        </w:rPr>
        <w:t xml:space="preserve"> </w:t>
      </w:r>
      <w:r w:rsidR="00906288">
        <w:rPr>
          <w:rFonts w:ascii="Times New Roman" w:hAnsi="Times New Roman" w:cs="Times New Roman"/>
          <w:sz w:val="28"/>
          <w:szCs w:val="28"/>
        </w:rPr>
        <w:t>2) risoluti,</w:t>
      </w:r>
      <w:r w:rsidR="00DA4AC6">
        <w:rPr>
          <w:rFonts w:ascii="Times New Roman" w:hAnsi="Times New Roman" w:cs="Times New Roman"/>
          <w:sz w:val="28"/>
          <w:szCs w:val="28"/>
        </w:rPr>
        <w:t xml:space="preserve"> </w:t>
      </w:r>
      <w:r w:rsidR="00906288">
        <w:rPr>
          <w:rFonts w:ascii="Times New Roman" w:hAnsi="Times New Roman" w:cs="Times New Roman"/>
          <w:sz w:val="28"/>
          <w:szCs w:val="28"/>
        </w:rPr>
        <w:t xml:space="preserve">3) incoraggianti nei confronti delle loro potenzialità. </w:t>
      </w:r>
    </w:p>
    <w:p w14:paraId="07B9D0BD" w14:textId="77777777" w:rsidR="00A46E23" w:rsidRDefault="00906288" w:rsidP="00A46E23">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Sembra ovvio, eppure la parola educare deriva dal latino </w:t>
      </w:r>
      <w:r w:rsidRPr="00906288">
        <w:rPr>
          <w:rFonts w:ascii="Times New Roman" w:hAnsi="Times New Roman" w:cs="Times New Roman"/>
          <w:i/>
          <w:iCs/>
          <w:sz w:val="28"/>
          <w:szCs w:val="28"/>
        </w:rPr>
        <w:t>ex duco</w:t>
      </w:r>
      <w:r>
        <w:rPr>
          <w:rFonts w:ascii="Times New Roman" w:hAnsi="Times New Roman" w:cs="Times New Roman"/>
          <w:i/>
          <w:iCs/>
          <w:sz w:val="28"/>
          <w:szCs w:val="28"/>
        </w:rPr>
        <w:t xml:space="preserve">, “tirare fuori”, </w:t>
      </w:r>
      <w:r w:rsidRPr="00906288">
        <w:rPr>
          <w:rFonts w:ascii="Times New Roman" w:hAnsi="Times New Roman" w:cs="Times New Roman"/>
          <w:sz w:val="28"/>
          <w:szCs w:val="28"/>
        </w:rPr>
        <w:t>ossia estrarre le capacità innate dei figli</w:t>
      </w:r>
      <w:r>
        <w:rPr>
          <w:rFonts w:ascii="Times New Roman" w:hAnsi="Times New Roman" w:cs="Times New Roman"/>
          <w:sz w:val="28"/>
          <w:szCs w:val="28"/>
        </w:rPr>
        <w:t xml:space="preserve">, far evolvere la loro autostima secondo le loro propensioni naturali per farne degli adulti felici. </w:t>
      </w:r>
    </w:p>
    <w:p w14:paraId="3B534573" w14:textId="77777777" w:rsidR="00A46E23" w:rsidRDefault="00906288" w:rsidP="00A46E23">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Don Bosco diceva che la migliore educazione è data dall’esempio, eppure le figure genitoriali durante l’adolescenza non sono </w:t>
      </w:r>
      <w:r w:rsidR="00DA4AC6">
        <w:rPr>
          <w:rFonts w:ascii="Times New Roman" w:hAnsi="Times New Roman" w:cs="Times New Roman"/>
          <w:sz w:val="28"/>
          <w:szCs w:val="28"/>
        </w:rPr>
        <w:t>sufficienti:</w:t>
      </w:r>
      <w:r>
        <w:rPr>
          <w:rFonts w:ascii="Times New Roman" w:hAnsi="Times New Roman" w:cs="Times New Roman"/>
          <w:sz w:val="28"/>
          <w:szCs w:val="28"/>
        </w:rPr>
        <w:t xml:space="preserve"> occorre che </w:t>
      </w:r>
      <w:r w:rsidR="00DA4AC6">
        <w:rPr>
          <w:rFonts w:ascii="Times New Roman" w:hAnsi="Times New Roman" w:cs="Times New Roman"/>
          <w:sz w:val="28"/>
          <w:szCs w:val="28"/>
        </w:rPr>
        <w:t>alcune funzioni educative</w:t>
      </w:r>
      <w:r>
        <w:rPr>
          <w:rFonts w:ascii="Times New Roman" w:hAnsi="Times New Roman" w:cs="Times New Roman"/>
          <w:sz w:val="28"/>
          <w:szCs w:val="28"/>
        </w:rPr>
        <w:t xml:space="preserve"> siano svolte dai c</w:t>
      </w:r>
      <w:r w:rsidR="00A46E23">
        <w:rPr>
          <w:rFonts w:ascii="Times New Roman" w:hAnsi="Times New Roman" w:cs="Times New Roman"/>
          <w:sz w:val="28"/>
          <w:szCs w:val="28"/>
        </w:rPr>
        <w:t>.</w:t>
      </w:r>
      <w:r>
        <w:rPr>
          <w:rFonts w:ascii="Times New Roman" w:hAnsi="Times New Roman" w:cs="Times New Roman"/>
          <w:sz w:val="28"/>
          <w:szCs w:val="28"/>
        </w:rPr>
        <w:t>d.</w:t>
      </w:r>
      <w:r w:rsidR="00DA4AC6">
        <w:rPr>
          <w:rFonts w:ascii="Times New Roman" w:hAnsi="Times New Roman" w:cs="Times New Roman"/>
          <w:sz w:val="28"/>
          <w:szCs w:val="28"/>
        </w:rPr>
        <w:t xml:space="preserve"> </w:t>
      </w:r>
      <w:r>
        <w:rPr>
          <w:rFonts w:ascii="Times New Roman" w:hAnsi="Times New Roman" w:cs="Times New Roman"/>
          <w:sz w:val="28"/>
          <w:szCs w:val="28"/>
        </w:rPr>
        <w:t>terzi, ossia il gruppo dei pari, che rappresenta la nascita sociale dell’adolescente e il contesto scolastico</w:t>
      </w:r>
      <w:r w:rsidR="00D13EBD">
        <w:rPr>
          <w:rFonts w:ascii="Times New Roman" w:hAnsi="Times New Roman" w:cs="Times New Roman"/>
          <w:sz w:val="28"/>
          <w:szCs w:val="28"/>
        </w:rPr>
        <w:t xml:space="preserve">, definito come “ambiente </w:t>
      </w:r>
      <w:proofErr w:type="spellStart"/>
      <w:r w:rsidR="00DA4AC6">
        <w:rPr>
          <w:rFonts w:ascii="Times New Roman" w:hAnsi="Times New Roman" w:cs="Times New Roman"/>
          <w:sz w:val="28"/>
          <w:szCs w:val="28"/>
        </w:rPr>
        <w:lastRenderedPageBreak/>
        <w:t>mentalizzante</w:t>
      </w:r>
      <w:proofErr w:type="spellEnd"/>
      <w:r w:rsidR="00DA4AC6">
        <w:rPr>
          <w:rFonts w:ascii="Times New Roman" w:hAnsi="Times New Roman" w:cs="Times New Roman"/>
          <w:sz w:val="28"/>
          <w:szCs w:val="28"/>
        </w:rPr>
        <w:t>”</w:t>
      </w:r>
      <w:r w:rsidR="00DA4AC6" w:rsidRPr="00906288">
        <w:rPr>
          <w:rFonts w:ascii="Times New Roman" w:hAnsi="Times New Roman" w:cs="Times New Roman"/>
          <w:sz w:val="28"/>
          <w:szCs w:val="28"/>
        </w:rPr>
        <w:t>,</w:t>
      </w:r>
      <w:r w:rsidR="00D13EBD">
        <w:rPr>
          <w:rFonts w:ascii="Times New Roman" w:hAnsi="Times New Roman" w:cs="Times New Roman"/>
          <w:sz w:val="28"/>
          <w:szCs w:val="28"/>
        </w:rPr>
        <w:t xml:space="preserve"> dove la </w:t>
      </w:r>
      <w:proofErr w:type="spellStart"/>
      <w:r w:rsidR="00D13EBD" w:rsidRPr="00D13EBD">
        <w:rPr>
          <w:rFonts w:ascii="Times New Roman" w:hAnsi="Times New Roman" w:cs="Times New Roman"/>
          <w:i/>
          <w:iCs/>
          <w:sz w:val="28"/>
          <w:szCs w:val="28"/>
        </w:rPr>
        <w:t>doxa</w:t>
      </w:r>
      <w:proofErr w:type="spellEnd"/>
      <w:r w:rsidR="00D13EBD">
        <w:rPr>
          <w:rFonts w:ascii="Times New Roman" w:hAnsi="Times New Roman" w:cs="Times New Roman"/>
          <w:sz w:val="28"/>
          <w:szCs w:val="28"/>
        </w:rPr>
        <w:t xml:space="preserve"> diventa </w:t>
      </w:r>
      <w:r w:rsidR="00D13EBD" w:rsidRPr="00D13EBD">
        <w:rPr>
          <w:rFonts w:ascii="Times New Roman" w:hAnsi="Times New Roman" w:cs="Times New Roman"/>
          <w:i/>
          <w:iCs/>
          <w:sz w:val="28"/>
          <w:szCs w:val="28"/>
        </w:rPr>
        <w:t>episteme</w:t>
      </w:r>
      <w:r w:rsidR="00D13EBD">
        <w:rPr>
          <w:rFonts w:ascii="Times New Roman" w:hAnsi="Times New Roman" w:cs="Times New Roman"/>
          <w:sz w:val="28"/>
          <w:szCs w:val="28"/>
        </w:rPr>
        <w:t xml:space="preserve"> e </w:t>
      </w:r>
      <w:r w:rsidR="00D13EBD" w:rsidRPr="00D13EBD">
        <w:rPr>
          <w:rFonts w:ascii="Times New Roman" w:hAnsi="Times New Roman" w:cs="Times New Roman"/>
          <w:i/>
          <w:iCs/>
          <w:sz w:val="28"/>
          <w:szCs w:val="28"/>
        </w:rPr>
        <w:t>trus</w:t>
      </w:r>
      <w:r w:rsidR="00D13EBD">
        <w:rPr>
          <w:rFonts w:ascii="Times New Roman" w:hAnsi="Times New Roman" w:cs="Times New Roman"/>
          <w:sz w:val="28"/>
          <w:szCs w:val="28"/>
        </w:rPr>
        <w:t>t, ossia fiducia nella comunità. Nell</w:t>
      </w:r>
      <w:r w:rsidR="00173239">
        <w:rPr>
          <w:rFonts w:ascii="Times New Roman" w:hAnsi="Times New Roman" w:cs="Times New Roman"/>
          <w:sz w:val="28"/>
          <w:szCs w:val="28"/>
        </w:rPr>
        <w:t>’</w:t>
      </w:r>
      <w:r w:rsidR="00D13EBD">
        <w:rPr>
          <w:rFonts w:ascii="Times New Roman" w:hAnsi="Times New Roman" w:cs="Times New Roman"/>
          <w:sz w:val="28"/>
          <w:szCs w:val="28"/>
        </w:rPr>
        <w:t>era post-moderna</w:t>
      </w:r>
      <w:r w:rsidR="00173239">
        <w:rPr>
          <w:rFonts w:ascii="Times New Roman" w:hAnsi="Times New Roman" w:cs="Times New Roman"/>
          <w:sz w:val="28"/>
          <w:szCs w:val="28"/>
        </w:rPr>
        <w:t>,</w:t>
      </w:r>
      <w:r w:rsidR="00D13EBD">
        <w:rPr>
          <w:rFonts w:ascii="Times New Roman" w:hAnsi="Times New Roman" w:cs="Times New Roman"/>
          <w:sz w:val="28"/>
          <w:szCs w:val="28"/>
        </w:rPr>
        <w:t xml:space="preserve"> </w:t>
      </w:r>
      <w:r w:rsidR="00DA4AC6">
        <w:rPr>
          <w:rFonts w:ascii="Times New Roman" w:hAnsi="Times New Roman" w:cs="Times New Roman"/>
          <w:sz w:val="28"/>
          <w:szCs w:val="28"/>
        </w:rPr>
        <w:t>definita liquida</w:t>
      </w:r>
      <w:r w:rsidR="00D13EBD">
        <w:rPr>
          <w:rFonts w:ascii="Times New Roman" w:hAnsi="Times New Roman" w:cs="Times New Roman"/>
          <w:sz w:val="28"/>
          <w:szCs w:val="28"/>
        </w:rPr>
        <w:t xml:space="preserve"> con la crisi dei valori e la crisi della trasmissione dei </w:t>
      </w:r>
      <w:proofErr w:type="spellStart"/>
      <w:r w:rsidR="00D13EBD">
        <w:rPr>
          <w:rFonts w:ascii="Times New Roman" w:hAnsi="Times New Roman" w:cs="Times New Roman"/>
          <w:sz w:val="28"/>
          <w:szCs w:val="28"/>
        </w:rPr>
        <w:t>saperi</w:t>
      </w:r>
      <w:proofErr w:type="spellEnd"/>
      <w:r w:rsidR="00D13EBD">
        <w:rPr>
          <w:rFonts w:ascii="Times New Roman" w:hAnsi="Times New Roman" w:cs="Times New Roman"/>
          <w:sz w:val="28"/>
          <w:szCs w:val="28"/>
        </w:rPr>
        <w:t xml:space="preserve">, la scuola insegna il </w:t>
      </w:r>
      <w:r w:rsidR="00D13EBD" w:rsidRPr="00D13EBD">
        <w:rPr>
          <w:rFonts w:ascii="Times New Roman" w:hAnsi="Times New Roman" w:cs="Times New Roman"/>
          <w:i/>
          <w:iCs/>
          <w:sz w:val="28"/>
          <w:szCs w:val="28"/>
        </w:rPr>
        <w:t xml:space="preserve">valore del </w:t>
      </w:r>
      <w:r w:rsidR="00DA4AC6" w:rsidRPr="00D13EBD">
        <w:rPr>
          <w:rFonts w:ascii="Times New Roman" w:hAnsi="Times New Roman" w:cs="Times New Roman"/>
          <w:i/>
          <w:iCs/>
          <w:sz w:val="28"/>
          <w:szCs w:val="28"/>
        </w:rPr>
        <w:t>limite</w:t>
      </w:r>
      <w:r w:rsidR="00DA4AC6">
        <w:rPr>
          <w:rFonts w:ascii="Times New Roman" w:hAnsi="Times New Roman" w:cs="Times New Roman"/>
          <w:sz w:val="28"/>
          <w:szCs w:val="28"/>
        </w:rPr>
        <w:t xml:space="preserve"> e</w:t>
      </w:r>
      <w:r w:rsidR="00D13EBD" w:rsidRPr="00D13EBD">
        <w:rPr>
          <w:rFonts w:ascii="Times New Roman" w:hAnsi="Times New Roman" w:cs="Times New Roman"/>
          <w:i/>
          <w:iCs/>
          <w:sz w:val="28"/>
          <w:szCs w:val="28"/>
        </w:rPr>
        <w:t xml:space="preserve"> della regola</w:t>
      </w:r>
      <w:r w:rsidR="00D13EBD">
        <w:rPr>
          <w:rFonts w:ascii="Times New Roman" w:hAnsi="Times New Roman" w:cs="Times New Roman"/>
          <w:sz w:val="28"/>
          <w:szCs w:val="28"/>
        </w:rPr>
        <w:t xml:space="preserve"> tendente ad evitare una società </w:t>
      </w:r>
      <w:proofErr w:type="spellStart"/>
      <w:r w:rsidR="00D13EBD">
        <w:rPr>
          <w:rFonts w:ascii="Times New Roman" w:hAnsi="Times New Roman" w:cs="Times New Roman"/>
          <w:sz w:val="28"/>
          <w:szCs w:val="28"/>
        </w:rPr>
        <w:t>adolescentizzata</w:t>
      </w:r>
      <w:proofErr w:type="spellEnd"/>
      <w:r w:rsidR="00D13EBD">
        <w:rPr>
          <w:rFonts w:ascii="Times New Roman" w:hAnsi="Times New Roman" w:cs="Times New Roman"/>
          <w:sz w:val="28"/>
          <w:szCs w:val="28"/>
        </w:rPr>
        <w:t xml:space="preserve"> e una precoce adultizzazione. </w:t>
      </w:r>
    </w:p>
    <w:p w14:paraId="796DE362" w14:textId="2845572C" w:rsidR="0017321F" w:rsidRDefault="00D13EBD" w:rsidP="00A46E23">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Ma il potere invasivo e pervasivo dei </w:t>
      </w:r>
      <w:r w:rsidRPr="00D13EBD">
        <w:rPr>
          <w:rFonts w:ascii="Times New Roman" w:hAnsi="Times New Roman" w:cs="Times New Roman"/>
          <w:i/>
          <w:iCs/>
          <w:sz w:val="28"/>
          <w:szCs w:val="28"/>
        </w:rPr>
        <w:t>social</w:t>
      </w:r>
      <w:r>
        <w:rPr>
          <w:rFonts w:ascii="Times New Roman" w:hAnsi="Times New Roman" w:cs="Times New Roman"/>
          <w:sz w:val="28"/>
          <w:szCs w:val="28"/>
        </w:rPr>
        <w:t xml:space="preserve"> mette a dura prova tale processo c</w:t>
      </w:r>
      <w:r w:rsidR="00173239">
        <w:rPr>
          <w:rFonts w:ascii="Times New Roman" w:hAnsi="Times New Roman" w:cs="Times New Roman"/>
          <w:sz w:val="28"/>
          <w:szCs w:val="28"/>
        </w:rPr>
        <w:t>.</w:t>
      </w:r>
      <w:r>
        <w:rPr>
          <w:rFonts w:ascii="Times New Roman" w:hAnsi="Times New Roman" w:cs="Times New Roman"/>
          <w:sz w:val="28"/>
          <w:szCs w:val="28"/>
        </w:rPr>
        <w:t>d</w:t>
      </w:r>
      <w:r w:rsidR="00173239">
        <w:rPr>
          <w:rFonts w:ascii="Times New Roman" w:hAnsi="Times New Roman" w:cs="Times New Roman"/>
          <w:sz w:val="28"/>
          <w:szCs w:val="28"/>
        </w:rPr>
        <w:t>.</w:t>
      </w:r>
      <w:r>
        <w:rPr>
          <w:rFonts w:ascii="Times New Roman" w:hAnsi="Times New Roman" w:cs="Times New Roman"/>
          <w:sz w:val="28"/>
          <w:szCs w:val="28"/>
        </w:rPr>
        <w:t xml:space="preserve"> </w:t>
      </w:r>
      <w:r w:rsidRPr="00D13EBD">
        <w:rPr>
          <w:rFonts w:ascii="Times New Roman" w:hAnsi="Times New Roman" w:cs="Times New Roman"/>
          <w:i/>
          <w:iCs/>
          <w:sz w:val="28"/>
          <w:szCs w:val="28"/>
        </w:rPr>
        <w:t>di contenimento</w:t>
      </w:r>
      <w:r>
        <w:rPr>
          <w:rFonts w:ascii="Times New Roman" w:hAnsi="Times New Roman" w:cs="Times New Roman"/>
          <w:sz w:val="28"/>
          <w:szCs w:val="28"/>
        </w:rPr>
        <w:t>. Pensiamo al fenomeno del c</w:t>
      </w:r>
      <w:r w:rsidR="00173239">
        <w:rPr>
          <w:rFonts w:ascii="Times New Roman" w:hAnsi="Times New Roman" w:cs="Times New Roman"/>
          <w:sz w:val="28"/>
          <w:szCs w:val="28"/>
        </w:rPr>
        <w:t>.</w:t>
      </w:r>
      <w:r>
        <w:rPr>
          <w:rFonts w:ascii="Times New Roman" w:hAnsi="Times New Roman" w:cs="Times New Roman"/>
          <w:sz w:val="28"/>
          <w:szCs w:val="28"/>
        </w:rPr>
        <w:t>d</w:t>
      </w:r>
      <w:r w:rsidR="00173239">
        <w:rPr>
          <w:rFonts w:ascii="Times New Roman" w:hAnsi="Times New Roman" w:cs="Times New Roman"/>
          <w:sz w:val="28"/>
          <w:szCs w:val="28"/>
        </w:rPr>
        <w:t>.</w:t>
      </w:r>
      <w:r w:rsidR="00DA4AC6">
        <w:rPr>
          <w:rFonts w:ascii="Times New Roman" w:hAnsi="Times New Roman" w:cs="Times New Roman"/>
          <w:sz w:val="28"/>
          <w:szCs w:val="28"/>
        </w:rPr>
        <w:t xml:space="preserve"> “</w:t>
      </w:r>
      <w:proofErr w:type="spellStart"/>
      <w:r w:rsidRPr="00D13EBD">
        <w:rPr>
          <w:rFonts w:ascii="Times New Roman" w:hAnsi="Times New Roman" w:cs="Times New Roman"/>
          <w:i/>
          <w:iCs/>
          <w:sz w:val="28"/>
          <w:szCs w:val="28"/>
        </w:rPr>
        <w:t>vamping</w:t>
      </w:r>
      <w:proofErr w:type="spellEnd"/>
      <w:r>
        <w:rPr>
          <w:rFonts w:ascii="Times New Roman" w:hAnsi="Times New Roman" w:cs="Times New Roman"/>
          <w:sz w:val="28"/>
          <w:szCs w:val="28"/>
        </w:rPr>
        <w:t>”: molti ragazzi restano connessi tutta la notte senza orari e regole</w:t>
      </w:r>
      <w:r w:rsidR="00C821EF">
        <w:rPr>
          <w:rFonts w:ascii="Times New Roman" w:hAnsi="Times New Roman" w:cs="Times New Roman"/>
          <w:sz w:val="28"/>
          <w:szCs w:val="28"/>
        </w:rPr>
        <w:t>,</w:t>
      </w:r>
      <w:r>
        <w:rPr>
          <w:rFonts w:ascii="Times New Roman" w:hAnsi="Times New Roman" w:cs="Times New Roman"/>
          <w:sz w:val="28"/>
          <w:szCs w:val="28"/>
        </w:rPr>
        <w:t xml:space="preserve"> con un decremento potenziale delle loro capacità cognitive e del loro rendimento scolastico, acquisendo molte informazioni, ma poca </w:t>
      </w:r>
      <w:r w:rsidR="003D3FD6">
        <w:rPr>
          <w:rFonts w:ascii="Times New Roman" w:hAnsi="Times New Roman" w:cs="Times New Roman"/>
          <w:sz w:val="28"/>
          <w:szCs w:val="28"/>
        </w:rPr>
        <w:t>“</w:t>
      </w:r>
      <w:r>
        <w:rPr>
          <w:rFonts w:ascii="Times New Roman" w:hAnsi="Times New Roman" w:cs="Times New Roman"/>
          <w:sz w:val="28"/>
          <w:szCs w:val="28"/>
        </w:rPr>
        <w:t>conoscenza</w:t>
      </w:r>
      <w:r w:rsidR="003D3FD6">
        <w:rPr>
          <w:rFonts w:ascii="Times New Roman" w:hAnsi="Times New Roman" w:cs="Times New Roman"/>
          <w:sz w:val="28"/>
          <w:szCs w:val="28"/>
        </w:rPr>
        <w:t xml:space="preserve">”. </w:t>
      </w:r>
    </w:p>
    <w:p w14:paraId="328D236A" w14:textId="77777777" w:rsidR="00C821EF" w:rsidRDefault="003D3FD6" w:rsidP="00A46E23">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Secondo Federico </w:t>
      </w:r>
      <w:proofErr w:type="spellStart"/>
      <w:r>
        <w:rPr>
          <w:rFonts w:ascii="Times New Roman" w:hAnsi="Times New Roman" w:cs="Times New Roman"/>
          <w:sz w:val="28"/>
          <w:szCs w:val="28"/>
        </w:rPr>
        <w:t>Toniani</w:t>
      </w:r>
      <w:proofErr w:type="spellEnd"/>
      <w:r>
        <w:rPr>
          <w:rFonts w:ascii="Times New Roman" w:hAnsi="Times New Roman" w:cs="Times New Roman"/>
          <w:sz w:val="28"/>
          <w:szCs w:val="28"/>
        </w:rPr>
        <w:t>, psichiatra del Policlinico Gemelli</w:t>
      </w:r>
      <w:r w:rsidR="00C821EF">
        <w:rPr>
          <w:rFonts w:ascii="Times New Roman" w:hAnsi="Times New Roman" w:cs="Times New Roman"/>
          <w:sz w:val="28"/>
          <w:szCs w:val="28"/>
        </w:rPr>
        <w:t xml:space="preserve">, </w:t>
      </w:r>
      <w:r>
        <w:rPr>
          <w:rFonts w:ascii="Times New Roman" w:hAnsi="Times New Roman" w:cs="Times New Roman"/>
          <w:sz w:val="28"/>
          <w:szCs w:val="28"/>
        </w:rPr>
        <w:t>che ha creato un primo ambulatorio in Italia per la dipendenza da internet e dal cellulare, davanti allo schermo il bambino e l’adolescente perde il c</w:t>
      </w:r>
      <w:r w:rsidR="00173239">
        <w:rPr>
          <w:rFonts w:ascii="Times New Roman" w:hAnsi="Times New Roman" w:cs="Times New Roman"/>
          <w:sz w:val="28"/>
          <w:szCs w:val="28"/>
        </w:rPr>
        <w:t>.</w:t>
      </w:r>
      <w:r>
        <w:rPr>
          <w:rFonts w:ascii="Times New Roman" w:hAnsi="Times New Roman" w:cs="Times New Roman"/>
          <w:sz w:val="28"/>
          <w:szCs w:val="28"/>
        </w:rPr>
        <w:t>d. “</w:t>
      </w:r>
      <w:r w:rsidRPr="003D3FD6">
        <w:rPr>
          <w:rFonts w:ascii="Times New Roman" w:hAnsi="Times New Roman" w:cs="Times New Roman"/>
          <w:i/>
          <w:iCs/>
          <w:sz w:val="28"/>
          <w:szCs w:val="28"/>
        </w:rPr>
        <w:t>rispecchiamento emotivo</w:t>
      </w:r>
      <w:r w:rsidRPr="00C821EF">
        <w:rPr>
          <w:rFonts w:ascii="Times New Roman" w:hAnsi="Times New Roman" w:cs="Times New Roman"/>
          <w:sz w:val="28"/>
          <w:szCs w:val="28"/>
        </w:rPr>
        <w:t>”.</w:t>
      </w:r>
      <w:r>
        <w:rPr>
          <w:rFonts w:ascii="Times New Roman" w:hAnsi="Times New Roman" w:cs="Times New Roman"/>
          <w:i/>
          <w:iCs/>
          <w:sz w:val="28"/>
          <w:szCs w:val="28"/>
        </w:rPr>
        <w:t xml:space="preserve"> </w:t>
      </w:r>
      <w:r w:rsidRPr="003D3FD6">
        <w:rPr>
          <w:rFonts w:ascii="Times New Roman" w:hAnsi="Times New Roman" w:cs="Times New Roman"/>
          <w:sz w:val="28"/>
          <w:szCs w:val="28"/>
        </w:rPr>
        <w:t xml:space="preserve">Si </w:t>
      </w:r>
      <w:r w:rsidR="00DA4AC6" w:rsidRPr="003D3FD6">
        <w:rPr>
          <w:rFonts w:ascii="Times New Roman" w:hAnsi="Times New Roman" w:cs="Times New Roman"/>
          <w:sz w:val="28"/>
          <w:szCs w:val="28"/>
        </w:rPr>
        <w:t>perde, cioè</w:t>
      </w:r>
      <w:r w:rsidRPr="003D3FD6">
        <w:rPr>
          <w:rFonts w:ascii="Times New Roman" w:hAnsi="Times New Roman" w:cs="Times New Roman"/>
          <w:sz w:val="28"/>
          <w:szCs w:val="28"/>
        </w:rPr>
        <w:t>, la capacità di attendere e la capacità di restare da solo.</w:t>
      </w:r>
      <w:r w:rsidR="00DC2EFF">
        <w:rPr>
          <w:rFonts w:ascii="Times New Roman" w:hAnsi="Times New Roman" w:cs="Times New Roman"/>
          <w:sz w:val="28"/>
          <w:szCs w:val="28"/>
        </w:rPr>
        <w:t xml:space="preserve"> </w:t>
      </w:r>
      <w:r w:rsidR="00DA4AC6">
        <w:rPr>
          <w:rFonts w:ascii="Times New Roman" w:hAnsi="Times New Roman" w:cs="Times New Roman"/>
          <w:sz w:val="28"/>
          <w:szCs w:val="28"/>
        </w:rPr>
        <w:t>È</w:t>
      </w:r>
      <w:r w:rsidR="00DC2EFF">
        <w:rPr>
          <w:rFonts w:ascii="Times New Roman" w:hAnsi="Times New Roman" w:cs="Times New Roman"/>
          <w:sz w:val="28"/>
          <w:szCs w:val="28"/>
        </w:rPr>
        <w:t xml:space="preserve"> il fenomeno degli </w:t>
      </w:r>
      <w:proofErr w:type="spellStart"/>
      <w:r w:rsidR="00DC2EFF" w:rsidRPr="00C821EF">
        <w:rPr>
          <w:rFonts w:ascii="Times New Roman" w:hAnsi="Times New Roman" w:cs="Times New Roman"/>
          <w:i/>
          <w:iCs/>
          <w:sz w:val="28"/>
          <w:szCs w:val="28"/>
        </w:rPr>
        <w:t>Hikikomori</w:t>
      </w:r>
      <w:proofErr w:type="spellEnd"/>
      <w:r w:rsidR="00DC2EFF">
        <w:rPr>
          <w:rFonts w:ascii="Times New Roman" w:hAnsi="Times New Roman" w:cs="Times New Roman"/>
          <w:sz w:val="28"/>
          <w:szCs w:val="28"/>
        </w:rPr>
        <w:t>:</w:t>
      </w:r>
      <w:r w:rsidR="00DA4AC6">
        <w:rPr>
          <w:rFonts w:ascii="Times New Roman" w:hAnsi="Times New Roman" w:cs="Times New Roman"/>
          <w:sz w:val="28"/>
          <w:szCs w:val="28"/>
        </w:rPr>
        <w:t xml:space="preserve"> </w:t>
      </w:r>
      <w:r w:rsidR="00DC2EFF">
        <w:rPr>
          <w:rFonts w:ascii="Times New Roman" w:hAnsi="Times New Roman" w:cs="Times New Roman"/>
          <w:sz w:val="28"/>
          <w:szCs w:val="28"/>
        </w:rPr>
        <w:t>l’</w:t>
      </w:r>
      <w:proofErr w:type="spellStart"/>
      <w:r w:rsidR="00DC2EFF">
        <w:rPr>
          <w:rFonts w:ascii="Times New Roman" w:hAnsi="Times New Roman" w:cs="Times New Roman"/>
          <w:sz w:val="28"/>
          <w:szCs w:val="28"/>
        </w:rPr>
        <w:t>iperconnessione</w:t>
      </w:r>
      <w:proofErr w:type="spellEnd"/>
      <w:r w:rsidR="00DC2EFF">
        <w:rPr>
          <w:rFonts w:ascii="Times New Roman" w:hAnsi="Times New Roman" w:cs="Times New Roman"/>
          <w:sz w:val="28"/>
          <w:szCs w:val="28"/>
        </w:rPr>
        <w:t xml:space="preserve"> è una nuova normalità, un nuovo modo di affrontare le sfide della crescita</w:t>
      </w:r>
      <w:r w:rsidR="00640552">
        <w:rPr>
          <w:rFonts w:ascii="Times New Roman" w:hAnsi="Times New Roman" w:cs="Times New Roman"/>
          <w:sz w:val="28"/>
          <w:szCs w:val="28"/>
        </w:rPr>
        <w:t xml:space="preserve"> </w:t>
      </w:r>
      <w:r w:rsidR="00DC2EFF">
        <w:rPr>
          <w:rFonts w:ascii="Times New Roman" w:hAnsi="Times New Roman" w:cs="Times New Roman"/>
          <w:sz w:val="28"/>
          <w:szCs w:val="28"/>
        </w:rPr>
        <w:t>oppure un segnale di un</w:t>
      </w:r>
      <w:r w:rsidR="00640552">
        <w:rPr>
          <w:rFonts w:ascii="Times New Roman" w:hAnsi="Times New Roman" w:cs="Times New Roman"/>
          <w:sz w:val="28"/>
          <w:szCs w:val="28"/>
        </w:rPr>
        <w:t xml:space="preserve">a </w:t>
      </w:r>
      <w:r w:rsidR="00DC2EFF">
        <w:rPr>
          <w:rFonts w:ascii="Times New Roman" w:hAnsi="Times New Roman" w:cs="Times New Roman"/>
          <w:sz w:val="28"/>
          <w:szCs w:val="28"/>
        </w:rPr>
        <w:t xml:space="preserve">dipendenza patologica, </w:t>
      </w:r>
      <w:r w:rsidR="00DA4AC6">
        <w:rPr>
          <w:rFonts w:ascii="Times New Roman" w:hAnsi="Times New Roman" w:cs="Times New Roman"/>
          <w:sz w:val="28"/>
          <w:szCs w:val="28"/>
        </w:rPr>
        <w:t>diffusa a</w:t>
      </w:r>
      <w:r w:rsidR="00DC2EFF">
        <w:rPr>
          <w:rFonts w:ascii="Times New Roman" w:hAnsi="Times New Roman" w:cs="Times New Roman"/>
          <w:sz w:val="28"/>
          <w:szCs w:val="28"/>
        </w:rPr>
        <w:t xml:space="preserve"> livello pandemico tra le nuove generazioni? </w:t>
      </w:r>
    </w:p>
    <w:p w14:paraId="713A0E14" w14:textId="65A1350F" w:rsidR="00C821EF" w:rsidRDefault="00DC2EFF" w:rsidP="00A46E23">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Il </w:t>
      </w:r>
      <w:r w:rsidR="00C821EF">
        <w:rPr>
          <w:rFonts w:ascii="Times New Roman" w:hAnsi="Times New Roman" w:cs="Times New Roman"/>
          <w:sz w:val="28"/>
          <w:szCs w:val="28"/>
        </w:rPr>
        <w:t>D</w:t>
      </w:r>
      <w:r>
        <w:rPr>
          <w:rFonts w:ascii="Times New Roman" w:hAnsi="Times New Roman" w:cs="Times New Roman"/>
          <w:sz w:val="28"/>
          <w:szCs w:val="28"/>
        </w:rPr>
        <w:t>ott.</w:t>
      </w:r>
      <w:r w:rsidR="00DA4AC6">
        <w:rPr>
          <w:rFonts w:ascii="Times New Roman" w:hAnsi="Times New Roman" w:cs="Times New Roman"/>
          <w:sz w:val="28"/>
          <w:szCs w:val="28"/>
        </w:rPr>
        <w:t xml:space="preserve"> </w:t>
      </w:r>
      <w:r w:rsidR="00427961">
        <w:rPr>
          <w:rFonts w:ascii="Times New Roman" w:hAnsi="Times New Roman" w:cs="Times New Roman"/>
          <w:sz w:val="28"/>
          <w:szCs w:val="28"/>
        </w:rPr>
        <w:t>L</w:t>
      </w:r>
      <w:r>
        <w:rPr>
          <w:rFonts w:ascii="Times New Roman" w:hAnsi="Times New Roman" w:cs="Times New Roman"/>
          <w:sz w:val="28"/>
          <w:szCs w:val="28"/>
        </w:rPr>
        <w:t>ancini</w:t>
      </w:r>
      <w:r w:rsidR="00DA4AC6">
        <w:rPr>
          <w:rStyle w:val="Rimandonotaapidipagina"/>
          <w:rFonts w:ascii="Times New Roman" w:hAnsi="Times New Roman" w:cs="Times New Roman"/>
          <w:sz w:val="28"/>
          <w:szCs w:val="28"/>
        </w:rPr>
        <w:footnoteReference w:id="119"/>
      </w:r>
      <w:r w:rsidRPr="00427961">
        <w:rPr>
          <w:rFonts w:ascii="Times New Roman" w:hAnsi="Times New Roman" w:cs="Times New Roman"/>
          <w:i/>
          <w:iCs/>
          <w:sz w:val="28"/>
          <w:szCs w:val="28"/>
        </w:rPr>
        <w:t xml:space="preserve"> </w:t>
      </w:r>
      <w:r w:rsidR="00427961">
        <w:rPr>
          <w:rFonts w:ascii="Times New Roman" w:hAnsi="Times New Roman" w:cs="Times New Roman"/>
          <w:sz w:val="28"/>
          <w:szCs w:val="28"/>
        </w:rPr>
        <w:t xml:space="preserve">ha approfondito il </w:t>
      </w:r>
      <w:r w:rsidR="00427961" w:rsidRPr="00173239">
        <w:rPr>
          <w:rFonts w:ascii="Times New Roman" w:hAnsi="Times New Roman" w:cs="Times New Roman"/>
          <w:sz w:val="28"/>
          <w:szCs w:val="28"/>
        </w:rPr>
        <w:t>c</w:t>
      </w:r>
      <w:r w:rsidR="00173239" w:rsidRPr="00173239">
        <w:rPr>
          <w:rFonts w:ascii="Times New Roman" w:hAnsi="Times New Roman" w:cs="Times New Roman"/>
          <w:sz w:val="28"/>
          <w:szCs w:val="28"/>
        </w:rPr>
        <w:t>.</w:t>
      </w:r>
      <w:r w:rsidR="00427961" w:rsidRPr="00173239">
        <w:rPr>
          <w:rFonts w:ascii="Times New Roman" w:hAnsi="Times New Roman" w:cs="Times New Roman"/>
          <w:sz w:val="28"/>
          <w:szCs w:val="28"/>
        </w:rPr>
        <w:t>d</w:t>
      </w:r>
      <w:r w:rsidR="00173239" w:rsidRPr="00173239">
        <w:rPr>
          <w:rFonts w:ascii="Times New Roman" w:hAnsi="Times New Roman" w:cs="Times New Roman"/>
          <w:sz w:val="28"/>
          <w:szCs w:val="28"/>
        </w:rPr>
        <w:t>.</w:t>
      </w:r>
      <w:r w:rsidR="00427961" w:rsidRPr="00427961">
        <w:rPr>
          <w:rFonts w:ascii="Times New Roman" w:hAnsi="Times New Roman" w:cs="Times New Roman"/>
          <w:i/>
          <w:iCs/>
          <w:sz w:val="28"/>
          <w:szCs w:val="28"/>
        </w:rPr>
        <w:t xml:space="preserve"> Internet </w:t>
      </w:r>
      <w:proofErr w:type="spellStart"/>
      <w:r w:rsidR="00427961" w:rsidRPr="00427961">
        <w:rPr>
          <w:rFonts w:ascii="Times New Roman" w:hAnsi="Times New Roman" w:cs="Times New Roman"/>
          <w:i/>
          <w:iCs/>
          <w:sz w:val="28"/>
          <w:szCs w:val="28"/>
        </w:rPr>
        <w:t>addiction</w:t>
      </w:r>
      <w:proofErr w:type="spellEnd"/>
      <w:r w:rsidR="00427961" w:rsidRPr="00427961">
        <w:rPr>
          <w:rFonts w:ascii="Times New Roman" w:hAnsi="Times New Roman" w:cs="Times New Roman"/>
          <w:i/>
          <w:iCs/>
          <w:sz w:val="28"/>
          <w:szCs w:val="28"/>
        </w:rPr>
        <w:t xml:space="preserve"> </w:t>
      </w:r>
      <w:proofErr w:type="spellStart"/>
      <w:r w:rsidR="00427961" w:rsidRPr="00427961">
        <w:rPr>
          <w:rFonts w:ascii="Times New Roman" w:hAnsi="Times New Roman" w:cs="Times New Roman"/>
          <w:i/>
          <w:iCs/>
          <w:sz w:val="28"/>
          <w:szCs w:val="28"/>
        </w:rPr>
        <w:t>disorder</w:t>
      </w:r>
      <w:proofErr w:type="spellEnd"/>
      <w:r w:rsidR="00427961">
        <w:rPr>
          <w:rFonts w:ascii="Times New Roman" w:hAnsi="Times New Roman" w:cs="Times New Roman"/>
          <w:sz w:val="28"/>
          <w:szCs w:val="28"/>
        </w:rPr>
        <w:t>, attraverso un suo inquadramento nosografico, spiegandone le cause e le metodiche di analisi.</w:t>
      </w:r>
      <w:r w:rsidR="00920215">
        <w:rPr>
          <w:rFonts w:ascii="Times New Roman" w:hAnsi="Times New Roman" w:cs="Times New Roman"/>
          <w:sz w:val="28"/>
          <w:szCs w:val="28"/>
        </w:rPr>
        <w:t xml:space="preserve"> L’adolescenza è il punto di snodo della traiettoria evolutiva, del processo della “soggettivazione</w:t>
      </w:r>
      <w:r w:rsidR="00DA4AC6">
        <w:rPr>
          <w:rFonts w:ascii="Times New Roman" w:hAnsi="Times New Roman" w:cs="Times New Roman"/>
          <w:sz w:val="28"/>
          <w:szCs w:val="28"/>
        </w:rPr>
        <w:t>”:</w:t>
      </w:r>
      <w:r w:rsidR="00920215">
        <w:rPr>
          <w:rFonts w:ascii="Times New Roman" w:hAnsi="Times New Roman" w:cs="Times New Roman"/>
          <w:sz w:val="28"/>
          <w:szCs w:val="28"/>
        </w:rPr>
        <w:t xml:space="preserve"> il ruolo della mente adulta che dovrebbe fungere da guida è svolto dallo strumento digitale</w:t>
      </w:r>
      <w:r w:rsidR="00C821EF">
        <w:rPr>
          <w:rFonts w:ascii="Times New Roman" w:hAnsi="Times New Roman" w:cs="Times New Roman"/>
          <w:sz w:val="28"/>
          <w:szCs w:val="28"/>
        </w:rPr>
        <w:t>,</w:t>
      </w:r>
      <w:r w:rsidR="00920215">
        <w:rPr>
          <w:rFonts w:ascii="Times New Roman" w:hAnsi="Times New Roman" w:cs="Times New Roman"/>
          <w:sz w:val="28"/>
          <w:szCs w:val="28"/>
        </w:rPr>
        <w:t xml:space="preserve"> che può incidere in modo negativo sul bambino e sull’adolescente in un periodo in cui la </w:t>
      </w:r>
      <w:proofErr w:type="spellStart"/>
      <w:r w:rsidR="00920215">
        <w:rPr>
          <w:rFonts w:ascii="Times New Roman" w:hAnsi="Times New Roman" w:cs="Times New Roman"/>
          <w:sz w:val="28"/>
          <w:szCs w:val="28"/>
        </w:rPr>
        <w:t>neuroplasticità</w:t>
      </w:r>
      <w:proofErr w:type="spellEnd"/>
      <w:r w:rsidR="00920215">
        <w:rPr>
          <w:rFonts w:ascii="Times New Roman" w:hAnsi="Times New Roman" w:cs="Times New Roman"/>
          <w:sz w:val="28"/>
          <w:szCs w:val="28"/>
        </w:rPr>
        <w:t xml:space="preserve"> del cervello è massima.</w:t>
      </w:r>
      <w:r w:rsidR="00317E75">
        <w:rPr>
          <w:rFonts w:ascii="Times New Roman" w:hAnsi="Times New Roman" w:cs="Times New Roman"/>
          <w:sz w:val="28"/>
          <w:szCs w:val="28"/>
        </w:rPr>
        <w:t xml:space="preserve"> Si pensi al caso </w:t>
      </w:r>
      <w:proofErr w:type="spellStart"/>
      <w:r w:rsidR="00317E75" w:rsidRPr="00C821EF">
        <w:rPr>
          <w:rFonts w:ascii="Times New Roman" w:hAnsi="Times New Roman" w:cs="Times New Roman"/>
          <w:i/>
          <w:iCs/>
          <w:sz w:val="28"/>
          <w:szCs w:val="28"/>
        </w:rPr>
        <w:t>Tik</w:t>
      </w:r>
      <w:proofErr w:type="spellEnd"/>
      <w:r w:rsidR="00317E75" w:rsidRPr="00C821EF">
        <w:rPr>
          <w:rFonts w:ascii="Times New Roman" w:hAnsi="Times New Roman" w:cs="Times New Roman"/>
          <w:i/>
          <w:iCs/>
          <w:sz w:val="28"/>
          <w:szCs w:val="28"/>
        </w:rPr>
        <w:t xml:space="preserve"> </w:t>
      </w:r>
      <w:proofErr w:type="spellStart"/>
      <w:r w:rsidR="00317E75" w:rsidRPr="00C821EF">
        <w:rPr>
          <w:rFonts w:ascii="Times New Roman" w:hAnsi="Times New Roman" w:cs="Times New Roman"/>
          <w:i/>
          <w:iCs/>
          <w:sz w:val="28"/>
          <w:szCs w:val="28"/>
        </w:rPr>
        <w:t>Tok</w:t>
      </w:r>
      <w:proofErr w:type="spellEnd"/>
      <w:r w:rsidR="00317E75">
        <w:rPr>
          <w:rFonts w:ascii="Times New Roman" w:hAnsi="Times New Roman" w:cs="Times New Roman"/>
          <w:sz w:val="28"/>
          <w:szCs w:val="28"/>
        </w:rPr>
        <w:t xml:space="preserve"> dello scorso 21 gennaio 2021: gli organi di informazione riportarono la notizia del decesso di una bambina di 10 anni a Palermo, avvenuto in relazione ad un gioco definito “</w:t>
      </w:r>
      <w:proofErr w:type="spellStart"/>
      <w:r w:rsidR="00317E75" w:rsidRPr="00317E75">
        <w:rPr>
          <w:rFonts w:ascii="Times New Roman" w:hAnsi="Times New Roman" w:cs="Times New Roman"/>
          <w:i/>
          <w:iCs/>
          <w:sz w:val="28"/>
          <w:szCs w:val="28"/>
        </w:rPr>
        <w:t>black</w:t>
      </w:r>
      <w:proofErr w:type="spellEnd"/>
      <w:r w:rsidR="00317E75" w:rsidRPr="00317E75">
        <w:rPr>
          <w:rFonts w:ascii="Times New Roman" w:hAnsi="Times New Roman" w:cs="Times New Roman"/>
          <w:i/>
          <w:iCs/>
          <w:sz w:val="28"/>
          <w:szCs w:val="28"/>
        </w:rPr>
        <w:t xml:space="preserve"> </w:t>
      </w:r>
      <w:proofErr w:type="spellStart"/>
      <w:r w:rsidR="00317E75" w:rsidRPr="00317E75">
        <w:rPr>
          <w:rFonts w:ascii="Times New Roman" w:hAnsi="Times New Roman" w:cs="Times New Roman"/>
          <w:i/>
          <w:iCs/>
          <w:sz w:val="28"/>
          <w:szCs w:val="28"/>
        </w:rPr>
        <w:t>challenge</w:t>
      </w:r>
      <w:proofErr w:type="spellEnd"/>
      <w:r w:rsidR="00317E75">
        <w:rPr>
          <w:rFonts w:ascii="Times New Roman" w:hAnsi="Times New Roman" w:cs="Times New Roman"/>
          <w:sz w:val="28"/>
          <w:szCs w:val="28"/>
        </w:rPr>
        <w:t xml:space="preserve">” condiviso sulla suddetta piattaforma. Tale triste avvenimento ha confermato, purtroppo, in maniera tragica, l’assenza di controlli sull’età degli utenti e sulla pericolosità dei contenuti veicolati tramite </w:t>
      </w:r>
      <w:r w:rsidR="00317E75" w:rsidRPr="00C821EF">
        <w:rPr>
          <w:rFonts w:ascii="Times New Roman" w:hAnsi="Times New Roman" w:cs="Times New Roman"/>
          <w:i/>
          <w:iCs/>
          <w:sz w:val="28"/>
          <w:szCs w:val="28"/>
        </w:rPr>
        <w:t>social network</w:t>
      </w:r>
      <w:r w:rsidR="00B30D75" w:rsidRPr="00187D26">
        <w:rPr>
          <w:rStyle w:val="Rimandonotaapidipagina"/>
          <w:rFonts w:ascii="Times New Roman" w:hAnsi="Times New Roman" w:cs="Times New Roman"/>
          <w:sz w:val="28"/>
          <w:szCs w:val="28"/>
        </w:rPr>
        <w:footnoteReference w:id="120"/>
      </w:r>
      <w:r w:rsidR="00317E75" w:rsidRPr="00187D26">
        <w:rPr>
          <w:rFonts w:ascii="Times New Roman" w:hAnsi="Times New Roman" w:cs="Times New Roman"/>
          <w:sz w:val="28"/>
          <w:szCs w:val="28"/>
        </w:rPr>
        <w:t>.</w:t>
      </w:r>
      <w:r w:rsidR="00317E75">
        <w:rPr>
          <w:rFonts w:ascii="Times New Roman" w:hAnsi="Times New Roman" w:cs="Times New Roman"/>
          <w:sz w:val="28"/>
          <w:szCs w:val="28"/>
        </w:rPr>
        <w:t xml:space="preserve"> </w:t>
      </w:r>
      <w:r w:rsidR="00317E75">
        <w:rPr>
          <w:rFonts w:ascii="Times New Roman" w:hAnsi="Times New Roman" w:cs="Times New Roman"/>
          <w:sz w:val="28"/>
          <w:szCs w:val="28"/>
        </w:rPr>
        <w:lastRenderedPageBreak/>
        <w:t>Per la prima volta</w:t>
      </w:r>
      <w:r w:rsidR="00C821EF">
        <w:rPr>
          <w:rFonts w:ascii="Times New Roman" w:hAnsi="Times New Roman" w:cs="Times New Roman"/>
          <w:sz w:val="28"/>
          <w:szCs w:val="28"/>
        </w:rPr>
        <w:t>,</w:t>
      </w:r>
      <w:r w:rsidR="00317E75">
        <w:rPr>
          <w:rFonts w:ascii="Times New Roman" w:hAnsi="Times New Roman" w:cs="Times New Roman"/>
          <w:sz w:val="28"/>
          <w:szCs w:val="28"/>
        </w:rPr>
        <w:t xml:space="preserve"> il Garante per la Privacy italiano ha attivato la procedura di </w:t>
      </w:r>
      <w:r w:rsidR="00DA4AC6">
        <w:rPr>
          <w:rFonts w:ascii="Times New Roman" w:hAnsi="Times New Roman" w:cs="Times New Roman"/>
          <w:sz w:val="28"/>
          <w:szCs w:val="28"/>
        </w:rPr>
        <w:t>urgenza, ai</w:t>
      </w:r>
      <w:r w:rsidR="00317E75">
        <w:rPr>
          <w:rFonts w:ascii="Times New Roman" w:hAnsi="Times New Roman" w:cs="Times New Roman"/>
          <w:sz w:val="28"/>
          <w:szCs w:val="28"/>
        </w:rPr>
        <w:t xml:space="preserve"> sensi dell’art.</w:t>
      </w:r>
      <w:r w:rsidR="00DA4AC6">
        <w:rPr>
          <w:rFonts w:ascii="Times New Roman" w:hAnsi="Times New Roman" w:cs="Times New Roman"/>
          <w:sz w:val="28"/>
          <w:szCs w:val="28"/>
        </w:rPr>
        <w:t xml:space="preserve"> </w:t>
      </w:r>
      <w:r w:rsidR="00317E75">
        <w:rPr>
          <w:rFonts w:ascii="Times New Roman" w:hAnsi="Times New Roman" w:cs="Times New Roman"/>
          <w:sz w:val="28"/>
          <w:szCs w:val="28"/>
        </w:rPr>
        <w:t xml:space="preserve">66 del GDPR, in applicazione del criterio del </w:t>
      </w:r>
      <w:proofErr w:type="spellStart"/>
      <w:r w:rsidR="00317E75" w:rsidRPr="005A65BF">
        <w:rPr>
          <w:rFonts w:ascii="Times New Roman" w:hAnsi="Times New Roman" w:cs="Times New Roman"/>
          <w:i/>
          <w:iCs/>
          <w:sz w:val="28"/>
          <w:szCs w:val="28"/>
        </w:rPr>
        <w:t>local</w:t>
      </w:r>
      <w:proofErr w:type="spellEnd"/>
      <w:r w:rsidR="00317E75" w:rsidRPr="005A65BF">
        <w:rPr>
          <w:rFonts w:ascii="Times New Roman" w:hAnsi="Times New Roman" w:cs="Times New Roman"/>
          <w:i/>
          <w:iCs/>
          <w:sz w:val="28"/>
          <w:szCs w:val="28"/>
        </w:rPr>
        <w:t xml:space="preserve"> case,</w:t>
      </w:r>
      <w:r w:rsidR="00317E75">
        <w:rPr>
          <w:rFonts w:ascii="Times New Roman" w:hAnsi="Times New Roman" w:cs="Times New Roman"/>
          <w:sz w:val="28"/>
          <w:szCs w:val="28"/>
        </w:rPr>
        <w:t xml:space="preserve"> </w:t>
      </w:r>
      <w:r w:rsidR="005A65BF">
        <w:rPr>
          <w:rFonts w:ascii="Times New Roman" w:hAnsi="Times New Roman" w:cs="Times New Roman"/>
          <w:sz w:val="28"/>
          <w:szCs w:val="28"/>
        </w:rPr>
        <w:t xml:space="preserve">derogatoria rispetto </w:t>
      </w:r>
      <w:r w:rsidR="00DA4AC6">
        <w:rPr>
          <w:rFonts w:ascii="Times New Roman" w:hAnsi="Times New Roman" w:cs="Times New Roman"/>
          <w:sz w:val="28"/>
          <w:szCs w:val="28"/>
        </w:rPr>
        <w:t>al meccanismo</w:t>
      </w:r>
      <w:r w:rsidR="005A65BF">
        <w:rPr>
          <w:rFonts w:ascii="Times New Roman" w:hAnsi="Times New Roman" w:cs="Times New Roman"/>
          <w:sz w:val="28"/>
          <w:szCs w:val="28"/>
        </w:rPr>
        <w:t xml:space="preserve"> di cooperazione</w:t>
      </w:r>
      <w:r w:rsidR="00757CB4">
        <w:rPr>
          <w:rFonts w:ascii="Times New Roman" w:hAnsi="Times New Roman" w:cs="Times New Roman"/>
          <w:sz w:val="28"/>
          <w:szCs w:val="28"/>
        </w:rPr>
        <w:t>, di coerenza</w:t>
      </w:r>
      <w:r w:rsidR="005A65BF">
        <w:rPr>
          <w:rFonts w:ascii="Times New Roman" w:hAnsi="Times New Roman" w:cs="Times New Roman"/>
          <w:sz w:val="28"/>
          <w:szCs w:val="28"/>
        </w:rPr>
        <w:t xml:space="preserve"> e del principio </w:t>
      </w:r>
      <w:r w:rsidR="005A65BF" w:rsidRPr="005A65BF">
        <w:rPr>
          <w:rFonts w:ascii="Times New Roman" w:hAnsi="Times New Roman" w:cs="Times New Roman"/>
          <w:sz w:val="28"/>
          <w:szCs w:val="28"/>
        </w:rPr>
        <w:t>dell’</w:t>
      </w:r>
      <w:proofErr w:type="spellStart"/>
      <w:r w:rsidR="005A65BF" w:rsidRPr="005A65BF">
        <w:rPr>
          <w:rFonts w:ascii="Times New Roman" w:hAnsi="Times New Roman" w:cs="Times New Roman"/>
          <w:i/>
          <w:iCs/>
          <w:sz w:val="28"/>
          <w:szCs w:val="28"/>
        </w:rPr>
        <w:t>one</w:t>
      </w:r>
      <w:proofErr w:type="spellEnd"/>
      <w:r w:rsidR="005A65BF" w:rsidRPr="005A65BF">
        <w:rPr>
          <w:rFonts w:ascii="Times New Roman" w:hAnsi="Times New Roman" w:cs="Times New Roman"/>
          <w:i/>
          <w:iCs/>
          <w:sz w:val="28"/>
          <w:szCs w:val="28"/>
        </w:rPr>
        <w:t xml:space="preserve"> stop shop</w:t>
      </w:r>
      <w:r w:rsidR="005A65BF">
        <w:rPr>
          <w:rFonts w:ascii="Times New Roman" w:hAnsi="Times New Roman" w:cs="Times New Roman"/>
          <w:sz w:val="28"/>
          <w:szCs w:val="28"/>
        </w:rPr>
        <w:t xml:space="preserve">, </w:t>
      </w:r>
      <w:r w:rsidR="00317E75">
        <w:rPr>
          <w:rFonts w:ascii="Times New Roman" w:hAnsi="Times New Roman" w:cs="Times New Roman"/>
          <w:sz w:val="28"/>
          <w:szCs w:val="28"/>
        </w:rPr>
        <w:t xml:space="preserve">pretendendo da parte di </w:t>
      </w:r>
      <w:proofErr w:type="spellStart"/>
      <w:r w:rsidR="00317E75">
        <w:rPr>
          <w:rFonts w:ascii="Times New Roman" w:hAnsi="Times New Roman" w:cs="Times New Roman"/>
          <w:sz w:val="28"/>
          <w:szCs w:val="28"/>
        </w:rPr>
        <w:t>Tik</w:t>
      </w:r>
      <w:proofErr w:type="spellEnd"/>
      <w:r w:rsidR="00317E75">
        <w:rPr>
          <w:rFonts w:ascii="Times New Roman" w:hAnsi="Times New Roman" w:cs="Times New Roman"/>
          <w:sz w:val="28"/>
          <w:szCs w:val="28"/>
        </w:rPr>
        <w:t xml:space="preserve"> </w:t>
      </w:r>
      <w:proofErr w:type="spellStart"/>
      <w:r w:rsidR="00317E75">
        <w:rPr>
          <w:rFonts w:ascii="Times New Roman" w:hAnsi="Times New Roman" w:cs="Times New Roman"/>
          <w:sz w:val="28"/>
          <w:szCs w:val="28"/>
        </w:rPr>
        <w:t>Tok</w:t>
      </w:r>
      <w:proofErr w:type="spellEnd"/>
      <w:r w:rsidR="00317E75">
        <w:rPr>
          <w:rFonts w:ascii="Times New Roman" w:hAnsi="Times New Roman" w:cs="Times New Roman"/>
          <w:sz w:val="28"/>
          <w:szCs w:val="28"/>
        </w:rPr>
        <w:t xml:space="preserve"> con sede legale in Irlanda di introdurre</w:t>
      </w:r>
      <w:r w:rsidR="00173239">
        <w:rPr>
          <w:rFonts w:ascii="Times New Roman" w:hAnsi="Times New Roman" w:cs="Times New Roman"/>
          <w:sz w:val="28"/>
          <w:szCs w:val="28"/>
        </w:rPr>
        <w:t>,</w:t>
      </w:r>
      <w:r w:rsidR="00317E75">
        <w:rPr>
          <w:rFonts w:ascii="Times New Roman" w:hAnsi="Times New Roman" w:cs="Times New Roman"/>
          <w:sz w:val="28"/>
          <w:szCs w:val="28"/>
        </w:rPr>
        <w:t xml:space="preserve"> come sistema di blocco dell’account</w:t>
      </w:r>
      <w:r w:rsidR="00173239">
        <w:rPr>
          <w:rFonts w:ascii="Times New Roman" w:hAnsi="Times New Roman" w:cs="Times New Roman"/>
          <w:sz w:val="28"/>
          <w:szCs w:val="28"/>
        </w:rPr>
        <w:t>,</w:t>
      </w:r>
      <w:r w:rsidR="00317E75">
        <w:rPr>
          <w:rFonts w:ascii="Times New Roman" w:hAnsi="Times New Roman" w:cs="Times New Roman"/>
          <w:sz w:val="28"/>
          <w:szCs w:val="28"/>
        </w:rPr>
        <w:t xml:space="preserve"> un algoritmo denominato “</w:t>
      </w:r>
      <w:proofErr w:type="spellStart"/>
      <w:r w:rsidR="00317E75" w:rsidRPr="00317E75">
        <w:rPr>
          <w:rFonts w:ascii="Times New Roman" w:hAnsi="Times New Roman" w:cs="Times New Roman"/>
          <w:i/>
          <w:iCs/>
          <w:sz w:val="28"/>
          <w:szCs w:val="28"/>
        </w:rPr>
        <w:t>age</w:t>
      </w:r>
      <w:proofErr w:type="spellEnd"/>
      <w:r w:rsidR="00317E75" w:rsidRPr="00317E75">
        <w:rPr>
          <w:rFonts w:ascii="Times New Roman" w:hAnsi="Times New Roman" w:cs="Times New Roman"/>
          <w:i/>
          <w:iCs/>
          <w:sz w:val="28"/>
          <w:szCs w:val="28"/>
        </w:rPr>
        <w:t xml:space="preserve"> </w:t>
      </w:r>
      <w:proofErr w:type="spellStart"/>
      <w:r w:rsidR="00317E75" w:rsidRPr="00317E75">
        <w:rPr>
          <w:rFonts w:ascii="Times New Roman" w:hAnsi="Times New Roman" w:cs="Times New Roman"/>
          <w:i/>
          <w:iCs/>
          <w:sz w:val="28"/>
          <w:szCs w:val="28"/>
        </w:rPr>
        <w:t>verification</w:t>
      </w:r>
      <w:proofErr w:type="spellEnd"/>
      <w:r w:rsidR="00317E75">
        <w:rPr>
          <w:rFonts w:ascii="Times New Roman" w:hAnsi="Times New Roman" w:cs="Times New Roman"/>
          <w:sz w:val="28"/>
          <w:szCs w:val="28"/>
        </w:rPr>
        <w:t>”, che consente di impedire l’accesso alla piattaforma i minori di anni 1</w:t>
      </w:r>
      <w:r w:rsidR="001B6771">
        <w:rPr>
          <w:rFonts w:ascii="Times New Roman" w:hAnsi="Times New Roman" w:cs="Times New Roman"/>
          <w:sz w:val="28"/>
          <w:szCs w:val="28"/>
        </w:rPr>
        <w:t>4</w:t>
      </w:r>
      <w:r w:rsidR="00173239">
        <w:rPr>
          <w:rStyle w:val="Rimandonotaapidipagina"/>
          <w:rFonts w:ascii="Times New Roman" w:hAnsi="Times New Roman" w:cs="Times New Roman"/>
          <w:sz w:val="28"/>
          <w:szCs w:val="28"/>
        </w:rPr>
        <w:footnoteReference w:id="121"/>
      </w:r>
      <w:r w:rsidR="00317E75">
        <w:rPr>
          <w:rFonts w:ascii="Times New Roman" w:hAnsi="Times New Roman" w:cs="Times New Roman"/>
          <w:sz w:val="28"/>
          <w:szCs w:val="28"/>
        </w:rPr>
        <w:t xml:space="preserve">. </w:t>
      </w:r>
    </w:p>
    <w:p w14:paraId="66B06BF5" w14:textId="77777777" w:rsidR="0017321F" w:rsidRDefault="0017321F" w:rsidP="00A46E23">
      <w:pPr>
        <w:tabs>
          <w:tab w:val="left" w:pos="8364"/>
        </w:tabs>
        <w:spacing w:after="0"/>
        <w:jc w:val="both"/>
        <w:rPr>
          <w:rFonts w:ascii="Times New Roman" w:hAnsi="Times New Roman" w:cs="Times New Roman"/>
          <w:sz w:val="28"/>
          <w:szCs w:val="28"/>
        </w:rPr>
      </w:pPr>
    </w:p>
    <w:p w14:paraId="7F5E2677" w14:textId="77777777" w:rsidR="0017321F" w:rsidRDefault="00317E75" w:rsidP="00A46E23">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Occorre ricordare che il </w:t>
      </w:r>
      <w:r w:rsidR="00C821EF">
        <w:rPr>
          <w:rFonts w:ascii="Times New Roman" w:hAnsi="Times New Roman" w:cs="Times New Roman"/>
          <w:sz w:val="28"/>
          <w:szCs w:val="28"/>
        </w:rPr>
        <w:t>C</w:t>
      </w:r>
      <w:r>
        <w:rPr>
          <w:rFonts w:ascii="Times New Roman" w:hAnsi="Times New Roman" w:cs="Times New Roman"/>
          <w:sz w:val="28"/>
          <w:szCs w:val="28"/>
        </w:rPr>
        <w:t xml:space="preserve">onsiderando 38 del GDPR stabilisce </w:t>
      </w:r>
      <w:r w:rsidR="005A65BF">
        <w:rPr>
          <w:rFonts w:ascii="Times New Roman" w:hAnsi="Times New Roman" w:cs="Times New Roman"/>
          <w:sz w:val="28"/>
          <w:szCs w:val="28"/>
        </w:rPr>
        <w:t>che i minori meritano una specifica protezione relativamente ai loro dati personali, in quanto possono essere meno consapevoli dei rischi, delle conseguenze e delle misure di salvaguardia, nonché dei loro diritti. Per tali ragioni</w:t>
      </w:r>
      <w:r w:rsidR="00CE72E6">
        <w:rPr>
          <w:rFonts w:ascii="Times New Roman" w:hAnsi="Times New Roman" w:cs="Times New Roman"/>
          <w:sz w:val="28"/>
          <w:szCs w:val="28"/>
        </w:rPr>
        <w:t>,</w:t>
      </w:r>
      <w:r w:rsidR="005A65BF">
        <w:rPr>
          <w:rFonts w:ascii="Times New Roman" w:hAnsi="Times New Roman" w:cs="Times New Roman"/>
          <w:sz w:val="28"/>
          <w:szCs w:val="28"/>
        </w:rPr>
        <w:t xml:space="preserve"> l’art.</w:t>
      </w:r>
      <w:r w:rsidR="00DA4AC6">
        <w:rPr>
          <w:rFonts w:ascii="Times New Roman" w:hAnsi="Times New Roman" w:cs="Times New Roman"/>
          <w:sz w:val="28"/>
          <w:szCs w:val="28"/>
        </w:rPr>
        <w:t xml:space="preserve"> </w:t>
      </w:r>
      <w:r w:rsidR="005A65BF">
        <w:rPr>
          <w:rFonts w:ascii="Times New Roman" w:hAnsi="Times New Roman" w:cs="Times New Roman"/>
          <w:sz w:val="28"/>
          <w:szCs w:val="28"/>
        </w:rPr>
        <w:t xml:space="preserve">8 del </w:t>
      </w:r>
      <w:r w:rsidR="00DA4AC6">
        <w:rPr>
          <w:rFonts w:ascii="Times New Roman" w:hAnsi="Times New Roman" w:cs="Times New Roman"/>
          <w:sz w:val="28"/>
          <w:szCs w:val="28"/>
        </w:rPr>
        <w:t>GDPR è</w:t>
      </w:r>
      <w:r w:rsidR="005A65BF">
        <w:rPr>
          <w:rFonts w:ascii="Times New Roman" w:hAnsi="Times New Roman" w:cs="Times New Roman"/>
          <w:sz w:val="28"/>
          <w:szCs w:val="28"/>
        </w:rPr>
        <w:t xml:space="preserve"> da considerar</w:t>
      </w:r>
      <w:r w:rsidR="00E57282">
        <w:rPr>
          <w:rFonts w:ascii="Times New Roman" w:hAnsi="Times New Roman" w:cs="Times New Roman"/>
          <w:sz w:val="28"/>
          <w:szCs w:val="28"/>
        </w:rPr>
        <w:t>si</w:t>
      </w:r>
      <w:r w:rsidR="005A65BF">
        <w:rPr>
          <w:rFonts w:ascii="Times New Roman" w:hAnsi="Times New Roman" w:cs="Times New Roman"/>
          <w:sz w:val="28"/>
          <w:szCs w:val="28"/>
        </w:rPr>
        <w:t xml:space="preserve"> una disposizione speciale che prevede, come ipotesi privilegiata per il trattamento dei dati dei minori in relazione ai servizi dell’informazione, il consenso, stabilendo che questo possa considerarsi lecito, ove sia stato prestato o autorizzato dal titolare della responsabilità genitoriale, ovvero il minore abbia almeno 16 anni, limite ridotto a 14 anni dall’art.</w:t>
      </w:r>
      <w:r w:rsidR="00DA4AC6">
        <w:rPr>
          <w:rFonts w:ascii="Times New Roman" w:hAnsi="Times New Roman" w:cs="Times New Roman"/>
          <w:sz w:val="28"/>
          <w:szCs w:val="28"/>
        </w:rPr>
        <w:t xml:space="preserve"> </w:t>
      </w:r>
      <w:r w:rsidR="005A65BF">
        <w:rPr>
          <w:rFonts w:ascii="Times New Roman" w:hAnsi="Times New Roman" w:cs="Times New Roman"/>
          <w:sz w:val="28"/>
          <w:szCs w:val="28"/>
        </w:rPr>
        <w:t>2-quinqu</w:t>
      </w:r>
      <w:r w:rsidR="00E57282">
        <w:rPr>
          <w:rFonts w:ascii="Times New Roman" w:hAnsi="Times New Roman" w:cs="Times New Roman"/>
          <w:sz w:val="28"/>
          <w:szCs w:val="28"/>
        </w:rPr>
        <w:t>i</w:t>
      </w:r>
      <w:r w:rsidR="005A65BF">
        <w:rPr>
          <w:rFonts w:ascii="Times New Roman" w:hAnsi="Times New Roman" w:cs="Times New Roman"/>
          <w:sz w:val="28"/>
          <w:szCs w:val="28"/>
        </w:rPr>
        <w:t>es del Codice della Privacy</w:t>
      </w:r>
      <w:r w:rsidR="00E57282">
        <w:rPr>
          <w:rFonts w:ascii="Times New Roman" w:hAnsi="Times New Roman" w:cs="Times New Roman"/>
          <w:sz w:val="28"/>
          <w:szCs w:val="28"/>
        </w:rPr>
        <w:t>,</w:t>
      </w:r>
      <w:r w:rsidR="005A65BF">
        <w:rPr>
          <w:rFonts w:ascii="Times New Roman" w:hAnsi="Times New Roman" w:cs="Times New Roman"/>
          <w:sz w:val="28"/>
          <w:szCs w:val="28"/>
        </w:rPr>
        <w:t xml:space="preserve"> D</w:t>
      </w:r>
      <w:r w:rsidR="00E57282">
        <w:rPr>
          <w:rFonts w:ascii="Times New Roman" w:hAnsi="Times New Roman" w:cs="Times New Roman"/>
          <w:sz w:val="28"/>
          <w:szCs w:val="28"/>
        </w:rPr>
        <w:t>.</w:t>
      </w:r>
      <w:r w:rsidR="005A65BF">
        <w:rPr>
          <w:rFonts w:ascii="Times New Roman" w:hAnsi="Times New Roman" w:cs="Times New Roman"/>
          <w:sz w:val="28"/>
          <w:szCs w:val="28"/>
        </w:rPr>
        <w:t>lgs</w:t>
      </w:r>
      <w:r w:rsidR="00E57282">
        <w:rPr>
          <w:rFonts w:ascii="Times New Roman" w:hAnsi="Times New Roman" w:cs="Times New Roman"/>
          <w:sz w:val="28"/>
          <w:szCs w:val="28"/>
        </w:rPr>
        <w:t>.</w:t>
      </w:r>
      <w:r w:rsidR="005A65BF">
        <w:rPr>
          <w:rFonts w:ascii="Times New Roman" w:hAnsi="Times New Roman" w:cs="Times New Roman"/>
          <w:sz w:val="28"/>
          <w:szCs w:val="28"/>
        </w:rPr>
        <w:t xml:space="preserve"> 101/2018. </w:t>
      </w:r>
    </w:p>
    <w:p w14:paraId="6B1771AF" w14:textId="77777777" w:rsidR="0017321F" w:rsidRDefault="005A65BF" w:rsidP="00A46E23">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L’individuazione dell’età minima, ai sensi dell’art.</w:t>
      </w:r>
      <w:r w:rsidR="00DA4AC6">
        <w:rPr>
          <w:rFonts w:ascii="Times New Roman" w:hAnsi="Times New Roman" w:cs="Times New Roman"/>
          <w:sz w:val="28"/>
          <w:szCs w:val="28"/>
        </w:rPr>
        <w:t xml:space="preserve"> </w:t>
      </w:r>
      <w:r>
        <w:rPr>
          <w:rFonts w:ascii="Times New Roman" w:hAnsi="Times New Roman" w:cs="Times New Roman"/>
          <w:sz w:val="28"/>
          <w:szCs w:val="28"/>
        </w:rPr>
        <w:t>8 del GDPR, in Italia fissato a 14 anni, rispetto ai 16 del GDPR dall’art.</w:t>
      </w:r>
      <w:r w:rsidR="00DA4AC6">
        <w:rPr>
          <w:rFonts w:ascii="Times New Roman" w:hAnsi="Times New Roman" w:cs="Times New Roman"/>
          <w:sz w:val="28"/>
          <w:szCs w:val="28"/>
        </w:rPr>
        <w:t xml:space="preserve"> </w:t>
      </w:r>
      <w:r>
        <w:rPr>
          <w:rFonts w:ascii="Times New Roman" w:hAnsi="Times New Roman" w:cs="Times New Roman"/>
          <w:sz w:val="28"/>
          <w:szCs w:val="28"/>
        </w:rPr>
        <w:t>2</w:t>
      </w:r>
      <w:r w:rsidR="0017321F">
        <w:rPr>
          <w:rFonts w:ascii="Times New Roman" w:hAnsi="Times New Roman" w:cs="Times New Roman"/>
          <w:sz w:val="28"/>
          <w:szCs w:val="28"/>
        </w:rPr>
        <w:t>-</w:t>
      </w:r>
      <w:r>
        <w:rPr>
          <w:rFonts w:ascii="Times New Roman" w:hAnsi="Times New Roman" w:cs="Times New Roman"/>
          <w:sz w:val="28"/>
          <w:szCs w:val="28"/>
        </w:rPr>
        <w:t>quinquies del codice privacy, in attuazione della clausola di flessibilità introdotta dall’art.</w:t>
      </w:r>
      <w:r w:rsidR="00DA4AC6">
        <w:rPr>
          <w:rFonts w:ascii="Times New Roman" w:hAnsi="Times New Roman" w:cs="Times New Roman"/>
          <w:sz w:val="28"/>
          <w:szCs w:val="28"/>
        </w:rPr>
        <w:t xml:space="preserve"> </w:t>
      </w:r>
      <w:r w:rsidR="007F6838">
        <w:rPr>
          <w:rFonts w:ascii="Times New Roman" w:hAnsi="Times New Roman" w:cs="Times New Roman"/>
          <w:sz w:val="28"/>
          <w:szCs w:val="28"/>
        </w:rPr>
        <w:t>8, par.1, ultimo capoverso, integra una tipica ipotesi di legislazione nazionale derogatoria ai principi stabiliti dal Regolamento. Come autorevole dottrina ha avuto modo di osservare</w:t>
      </w:r>
      <w:r w:rsidR="00DA4AC6">
        <w:rPr>
          <w:rStyle w:val="Rimandonotaapidipagina"/>
          <w:rFonts w:ascii="Times New Roman" w:hAnsi="Times New Roman" w:cs="Times New Roman"/>
          <w:sz w:val="28"/>
          <w:szCs w:val="28"/>
        </w:rPr>
        <w:footnoteReference w:id="122"/>
      </w:r>
      <w:r w:rsidR="00DA4AC6">
        <w:rPr>
          <w:rFonts w:ascii="Times New Roman" w:hAnsi="Times New Roman" w:cs="Times New Roman"/>
          <w:sz w:val="28"/>
          <w:szCs w:val="28"/>
        </w:rPr>
        <w:t xml:space="preserve">, </w:t>
      </w:r>
      <w:r w:rsidR="00A9713D">
        <w:rPr>
          <w:rFonts w:ascii="Times New Roman" w:hAnsi="Times New Roman" w:cs="Times New Roman"/>
          <w:sz w:val="28"/>
          <w:szCs w:val="28"/>
        </w:rPr>
        <w:t>l</w:t>
      </w:r>
      <w:r w:rsidR="007F6838">
        <w:rPr>
          <w:rFonts w:ascii="Times New Roman" w:hAnsi="Times New Roman" w:cs="Times New Roman"/>
          <w:sz w:val="28"/>
          <w:szCs w:val="28"/>
        </w:rPr>
        <w:t>’art.</w:t>
      </w:r>
      <w:r w:rsidR="00DA4AC6">
        <w:rPr>
          <w:rFonts w:ascii="Times New Roman" w:hAnsi="Times New Roman" w:cs="Times New Roman"/>
          <w:sz w:val="28"/>
          <w:szCs w:val="28"/>
        </w:rPr>
        <w:t xml:space="preserve"> </w:t>
      </w:r>
      <w:r w:rsidR="007F6838">
        <w:rPr>
          <w:rFonts w:ascii="Times New Roman" w:hAnsi="Times New Roman" w:cs="Times New Roman"/>
          <w:sz w:val="28"/>
          <w:szCs w:val="28"/>
        </w:rPr>
        <w:t xml:space="preserve">8 del Regolamento, ispirato al Coppa statunitense, nel prevedere una disciplina specifica sul trattamento dei dati personali dei minori d’età, lungi dal rendere più agevole la sottoscrizione di </w:t>
      </w:r>
      <w:r w:rsidR="007F6838">
        <w:rPr>
          <w:rFonts w:ascii="Times New Roman" w:hAnsi="Times New Roman" w:cs="Times New Roman"/>
          <w:sz w:val="28"/>
          <w:szCs w:val="28"/>
        </w:rPr>
        <w:lastRenderedPageBreak/>
        <w:t xml:space="preserve">servizi </w:t>
      </w:r>
      <w:r w:rsidR="007F6838" w:rsidRPr="0017321F">
        <w:rPr>
          <w:rFonts w:ascii="Times New Roman" w:hAnsi="Times New Roman" w:cs="Times New Roman"/>
          <w:i/>
          <w:iCs/>
          <w:sz w:val="28"/>
          <w:szCs w:val="28"/>
        </w:rPr>
        <w:t>online</w:t>
      </w:r>
      <w:r w:rsidR="007F6838">
        <w:rPr>
          <w:rFonts w:ascii="Times New Roman" w:hAnsi="Times New Roman" w:cs="Times New Roman"/>
          <w:sz w:val="28"/>
          <w:szCs w:val="28"/>
        </w:rPr>
        <w:t>, ha colmato un vuoto di tutela per coloro i quali sono tra i maggiori fruitori dei servizi della c</w:t>
      </w:r>
      <w:r w:rsidR="00E57282">
        <w:rPr>
          <w:rFonts w:ascii="Times New Roman" w:hAnsi="Times New Roman" w:cs="Times New Roman"/>
          <w:sz w:val="28"/>
          <w:szCs w:val="28"/>
        </w:rPr>
        <w:t>.</w:t>
      </w:r>
      <w:r w:rsidR="007F6838">
        <w:rPr>
          <w:rFonts w:ascii="Times New Roman" w:hAnsi="Times New Roman" w:cs="Times New Roman"/>
          <w:sz w:val="28"/>
          <w:szCs w:val="28"/>
        </w:rPr>
        <w:t>d.</w:t>
      </w:r>
      <w:r w:rsidR="00DA4AC6">
        <w:rPr>
          <w:rFonts w:ascii="Times New Roman" w:hAnsi="Times New Roman" w:cs="Times New Roman"/>
          <w:sz w:val="28"/>
          <w:szCs w:val="28"/>
        </w:rPr>
        <w:t xml:space="preserve"> </w:t>
      </w:r>
      <w:r w:rsidR="007F6838">
        <w:rPr>
          <w:rFonts w:ascii="Times New Roman" w:hAnsi="Times New Roman" w:cs="Times New Roman"/>
          <w:sz w:val="28"/>
          <w:szCs w:val="28"/>
        </w:rPr>
        <w:t xml:space="preserve">ICT </w:t>
      </w:r>
      <w:r w:rsidR="007F6838" w:rsidRPr="0017321F">
        <w:rPr>
          <w:rFonts w:ascii="Times New Roman" w:hAnsi="Times New Roman" w:cs="Times New Roman"/>
          <w:i/>
          <w:iCs/>
          <w:sz w:val="28"/>
          <w:szCs w:val="28"/>
        </w:rPr>
        <w:t>society</w:t>
      </w:r>
      <w:r w:rsidR="007F6838">
        <w:rPr>
          <w:rFonts w:ascii="Times New Roman" w:hAnsi="Times New Roman" w:cs="Times New Roman"/>
          <w:sz w:val="28"/>
          <w:szCs w:val="28"/>
        </w:rPr>
        <w:t xml:space="preserve">, ma anche tra le maggiori vittime. </w:t>
      </w:r>
    </w:p>
    <w:p w14:paraId="025AD958" w14:textId="3362A9C3" w:rsidR="00182A21" w:rsidRDefault="007F6838"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disciplina dell’art.</w:t>
      </w:r>
      <w:r w:rsidR="00DA4AC6">
        <w:rPr>
          <w:rFonts w:ascii="Times New Roman" w:hAnsi="Times New Roman" w:cs="Times New Roman"/>
          <w:sz w:val="28"/>
          <w:szCs w:val="28"/>
        </w:rPr>
        <w:t xml:space="preserve"> </w:t>
      </w:r>
      <w:r>
        <w:rPr>
          <w:rFonts w:ascii="Times New Roman" w:hAnsi="Times New Roman" w:cs="Times New Roman"/>
          <w:sz w:val="28"/>
          <w:szCs w:val="28"/>
        </w:rPr>
        <w:t>8 è di primaria importanza, non solo perché il consenso (espresso, libero, specifico, informato ed inequivocabile)</w:t>
      </w:r>
      <w:r w:rsidR="00A9713D">
        <w:rPr>
          <w:rFonts w:ascii="Times New Roman" w:hAnsi="Times New Roman" w:cs="Times New Roman"/>
          <w:sz w:val="28"/>
          <w:szCs w:val="28"/>
        </w:rPr>
        <w:t xml:space="preserve"> diventa l’unica valida base giuridica per il trattamento dei dati dei minori, ma anche per la correlata speciale disciplina accordata ai minori dall’art.</w:t>
      </w:r>
      <w:r w:rsidR="00DA4AC6">
        <w:rPr>
          <w:rFonts w:ascii="Times New Roman" w:hAnsi="Times New Roman" w:cs="Times New Roman"/>
          <w:sz w:val="28"/>
          <w:szCs w:val="28"/>
        </w:rPr>
        <w:t xml:space="preserve"> </w:t>
      </w:r>
      <w:r w:rsidR="00A9713D">
        <w:rPr>
          <w:rFonts w:ascii="Times New Roman" w:hAnsi="Times New Roman" w:cs="Times New Roman"/>
          <w:sz w:val="28"/>
          <w:szCs w:val="28"/>
        </w:rPr>
        <w:t>17,</w:t>
      </w:r>
      <w:r w:rsidR="00DA4AC6">
        <w:rPr>
          <w:rFonts w:ascii="Times New Roman" w:hAnsi="Times New Roman" w:cs="Times New Roman"/>
          <w:sz w:val="28"/>
          <w:szCs w:val="28"/>
        </w:rPr>
        <w:t xml:space="preserve"> </w:t>
      </w:r>
      <w:r w:rsidR="00A9713D">
        <w:rPr>
          <w:rFonts w:ascii="Times New Roman" w:hAnsi="Times New Roman" w:cs="Times New Roman"/>
          <w:sz w:val="28"/>
          <w:szCs w:val="28"/>
        </w:rPr>
        <w:t xml:space="preserve">par.1, </w:t>
      </w:r>
      <w:proofErr w:type="spellStart"/>
      <w:r w:rsidR="00A9713D">
        <w:rPr>
          <w:rFonts w:ascii="Times New Roman" w:hAnsi="Times New Roman" w:cs="Times New Roman"/>
          <w:sz w:val="28"/>
          <w:szCs w:val="28"/>
        </w:rPr>
        <w:t>lett</w:t>
      </w:r>
      <w:proofErr w:type="spellEnd"/>
      <w:r w:rsidR="00A9713D">
        <w:rPr>
          <w:rFonts w:ascii="Times New Roman" w:hAnsi="Times New Roman" w:cs="Times New Roman"/>
          <w:sz w:val="28"/>
          <w:szCs w:val="28"/>
        </w:rPr>
        <w:t>.</w:t>
      </w:r>
      <w:r w:rsidR="00A52E1F">
        <w:rPr>
          <w:rFonts w:ascii="Times New Roman" w:hAnsi="Times New Roman" w:cs="Times New Roman"/>
          <w:sz w:val="28"/>
          <w:szCs w:val="28"/>
        </w:rPr>
        <w:t xml:space="preserve"> </w:t>
      </w:r>
      <w:r w:rsidR="00A9713D">
        <w:rPr>
          <w:rFonts w:ascii="Times New Roman" w:hAnsi="Times New Roman" w:cs="Times New Roman"/>
          <w:sz w:val="28"/>
          <w:szCs w:val="28"/>
        </w:rPr>
        <w:t>f), in tema di diritto alla cancellazione ed all’oblio.</w:t>
      </w:r>
    </w:p>
    <w:p w14:paraId="31878B83" w14:textId="77777777" w:rsidR="0017321F" w:rsidRDefault="00A9713D"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Ma oggi</w:t>
      </w:r>
      <w:r w:rsidR="0017321F">
        <w:rPr>
          <w:rFonts w:ascii="Times New Roman" w:hAnsi="Times New Roman" w:cs="Times New Roman"/>
          <w:sz w:val="28"/>
          <w:szCs w:val="28"/>
        </w:rPr>
        <w:t xml:space="preserve">, </w:t>
      </w:r>
      <w:r>
        <w:rPr>
          <w:rFonts w:ascii="Times New Roman" w:hAnsi="Times New Roman" w:cs="Times New Roman"/>
          <w:sz w:val="28"/>
          <w:szCs w:val="28"/>
        </w:rPr>
        <w:t xml:space="preserve">possiamo dire che il consenso prestato da un </w:t>
      </w:r>
      <w:r w:rsidR="00A52E1F">
        <w:rPr>
          <w:rFonts w:ascii="Times New Roman" w:hAnsi="Times New Roman" w:cs="Times New Roman"/>
          <w:sz w:val="28"/>
          <w:szCs w:val="28"/>
        </w:rPr>
        <w:t>quattordicenne che</w:t>
      </w:r>
      <w:r>
        <w:rPr>
          <w:rFonts w:ascii="Times New Roman" w:hAnsi="Times New Roman" w:cs="Times New Roman"/>
          <w:sz w:val="28"/>
          <w:szCs w:val="28"/>
        </w:rPr>
        <w:t xml:space="preserve"> naviga per ore in internet sia veramente libero da subdoli </w:t>
      </w:r>
      <w:r w:rsidR="00A52E1F">
        <w:rPr>
          <w:rFonts w:ascii="Times New Roman" w:hAnsi="Times New Roman" w:cs="Times New Roman"/>
          <w:sz w:val="28"/>
          <w:szCs w:val="28"/>
        </w:rPr>
        <w:t>condizionamenti?</w:t>
      </w:r>
      <w:r>
        <w:rPr>
          <w:rFonts w:ascii="Times New Roman" w:hAnsi="Times New Roman" w:cs="Times New Roman"/>
          <w:sz w:val="28"/>
          <w:szCs w:val="28"/>
        </w:rPr>
        <w:t xml:space="preserve"> </w:t>
      </w:r>
    </w:p>
    <w:p w14:paraId="0AE6D93A" w14:textId="77777777" w:rsidR="0017321F" w:rsidRDefault="00A9713D"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Il </w:t>
      </w:r>
      <w:proofErr w:type="gramStart"/>
      <w:r>
        <w:rPr>
          <w:rFonts w:ascii="Times New Roman" w:hAnsi="Times New Roman" w:cs="Times New Roman"/>
          <w:sz w:val="28"/>
          <w:szCs w:val="28"/>
        </w:rPr>
        <w:t>codice civile</w:t>
      </w:r>
      <w:proofErr w:type="gramEnd"/>
      <w:r>
        <w:rPr>
          <w:rFonts w:ascii="Times New Roman" w:hAnsi="Times New Roman" w:cs="Times New Roman"/>
          <w:sz w:val="28"/>
          <w:szCs w:val="28"/>
        </w:rPr>
        <w:t xml:space="preserve"> ci parla</w:t>
      </w:r>
      <w:r w:rsidR="0017321F">
        <w:rPr>
          <w:rFonts w:ascii="Times New Roman" w:hAnsi="Times New Roman" w:cs="Times New Roman"/>
          <w:sz w:val="28"/>
          <w:szCs w:val="28"/>
        </w:rPr>
        <w:t>,</w:t>
      </w:r>
      <w:r>
        <w:rPr>
          <w:rFonts w:ascii="Times New Roman" w:hAnsi="Times New Roman" w:cs="Times New Roman"/>
          <w:sz w:val="28"/>
          <w:szCs w:val="28"/>
        </w:rPr>
        <w:t xml:space="preserve"> all’art.</w:t>
      </w:r>
      <w:r w:rsidR="00A52E1F">
        <w:rPr>
          <w:rFonts w:ascii="Times New Roman" w:hAnsi="Times New Roman" w:cs="Times New Roman"/>
          <w:sz w:val="28"/>
          <w:szCs w:val="28"/>
        </w:rPr>
        <w:t xml:space="preserve"> </w:t>
      </w:r>
      <w:r>
        <w:rPr>
          <w:rFonts w:ascii="Times New Roman" w:hAnsi="Times New Roman" w:cs="Times New Roman"/>
          <w:sz w:val="28"/>
          <w:szCs w:val="28"/>
        </w:rPr>
        <w:t>142</w:t>
      </w:r>
      <w:r w:rsidR="00A52E1F">
        <w:rPr>
          <w:rFonts w:ascii="Times New Roman" w:hAnsi="Times New Roman" w:cs="Times New Roman"/>
          <w:sz w:val="28"/>
          <w:szCs w:val="28"/>
        </w:rPr>
        <w:t>6 c.c.</w:t>
      </w:r>
      <w:r w:rsidR="00A52E1F">
        <w:rPr>
          <w:rStyle w:val="Rimandonotaapidipagina"/>
          <w:rFonts w:ascii="Times New Roman" w:hAnsi="Times New Roman" w:cs="Times New Roman"/>
          <w:sz w:val="28"/>
          <w:szCs w:val="28"/>
        </w:rPr>
        <w:footnoteReference w:id="123"/>
      </w:r>
      <w:r w:rsidR="0017321F">
        <w:rPr>
          <w:rFonts w:ascii="Times New Roman" w:hAnsi="Times New Roman" w:cs="Times New Roman"/>
          <w:sz w:val="28"/>
          <w:szCs w:val="28"/>
        </w:rPr>
        <w:t>,</w:t>
      </w:r>
      <w:r w:rsidR="00A52E1F">
        <w:rPr>
          <w:rFonts w:ascii="Times New Roman" w:hAnsi="Times New Roman" w:cs="Times New Roman"/>
          <w:sz w:val="28"/>
          <w:szCs w:val="28"/>
        </w:rPr>
        <w:t xml:space="preserve"> </w:t>
      </w:r>
      <w:r>
        <w:rPr>
          <w:rFonts w:ascii="Times New Roman" w:hAnsi="Times New Roman" w:cs="Times New Roman"/>
          <w:sz w:val="28"/>
          <w:szCs w:val="28"/>
        </w:rPr>
        <w:t xml:space="preserve">di </w:t>
      </w:r>
      <w:proofErr w:type="spellStart"/>
      <w:r w:rsidRPr="00A9713D">
        <w:rPr>
          <w:rFonts w:ascii="Times New Roman" w:hAnsi="Times New Roman" w:cs="Times New Roman"/>
          <w:i/>
          <w:iCs/>
          <w:sz w:val="28"/>
          <w:szCs w:val="28"/>
        </w:rPr>
        <w:t>malitia</w:t>
      </w:r>
      <w:proofErr w:type="spellEnd"/>
      <w:r w:rsidRPr="00A9713D">
        <w:rPr>
          <w:rFonts w:ascii="Times New Roman" w:hAnsi="Times New Roman" w:cs="Times New Roman"/>
          <w:i/>
          <w:iCs/>
          <w:sz w:val="28"/>
          <w:szCs w:val="28"/>
        </w:rPr>
        <w:t xml:space="preserve"> </w:t>
      </w:r>
      <w:proofErr w:type="spellStart"/>
      <w:r w:rsidRPr="00A9713D">
        <w:rPr>
          <w:rFonts w:ascii="Times New Roman" w:hAnsi="Times New Roman" w:cs="Times New Roman"/>
          <w:i/>
          <w:iCs/>
          <w:sz w:val="28"/>
          <w:szCs w:val="28"/>
        </w:rPr>
        <w:t>supplet</w:t>
      </w:r>
      <w:proofErr w:type="spellEnd"/>
      <w:r w:rsidRPr="00A9713D">
        <w:rPr>
          <w:rFonts w:ascii="Times New Roman" w:hAnsi="Times New Roman" w:cs="Times New Roman"/>
          <w:i/>
          <w:iCs/>
          <w:sz w:val="28"/>
          <w:szCs w:val="28"/>
        </w:rPr>
        <w:t xml:space="preserve"> </w:t>
      </w:r>
      <w:proofErr w:type="spellStart"/>
      <w:r w:rsidRPr="00A9713D">
        <w:rPr>
          <w:rFonts w:ascii="Times New Roman" w:hAnsi="Times New Roman" w:cs="Times New Roman"/>
          <w:i/>
          <w:iCs/>
          <w:sz w:val="28"/>
          <w:szCs w:val="28"/>
        </w:rPr>
        <w:t>aetatem</w:t>
      </w:r>
      <w:proofErr w:type="spellEnd"/>
      <w:r>
        <w:rPr>
          <w:rFonts w:ascii="Times New Roman" w:hAnsi="Times New Roman" w:cs="Times New Roman"/>
          <w:i/>
          <w:iCs/>
          <w:sz w:val="28"/>
          <w:szCs w:val="28"/>
        </w:rPr>
        <w:t xml:space="preserve">, </w:t>
      </w:r>
      <w:r w:rsidRPr="00A9713D">
        <w:rPr>
          <w:rFonts w:ascii="Times New Roman" w:hAnsi="Times New Roman" w:cs="Times New Roman"/>
          <w:sz w:val="28"/>
          <w:szCs w:val="28"/>
        </w:rPr>
        <w:t xml:space="preserve">ma oggi nella dimensione digitale sono </w:t>
      </w:r>
      <w:r>
        <w:rPr>
          <w:rFonts w:ascii="Times New Roman" w:hAnsi="Times New Roman" w:cs="Times New Roman"/>
          <w:sz w:val="28"/>
          <w:szCs w:val="28"/>
        </w:rPr>
        <w:t xml:space="preserve">i continui </w:t>
      </w:r>
      <w:r w:rsidRPr="00E57282">
        <w:rPr>
          <w:rFonts w:ascii="Times New Roman" w:hAnsi="Times New Roman" w:cs="Times New Roman"/>
          <w:i/>
          <w:iCs/>
          <w:sz w:val="28"/>
          <w:szCs w:val="28"/>
        </w:rPr>
        <w:t>input</w:t>
      </w:r>
      <w:r>
        <w:rPr>
          <w:rFonts w:ascii="Times New Roman" w:hAnsi="Times New Roman" w:cs="Times New Roman"/>
          <w:sz w:val="28"/>
          <w:szCs w:val="28"/>
        </w:rPr>
        <w:t xml:space="preserve"> e immagini di internet a costituire il concetto di “</w:t>
      </w:r>
      <w:proofErr w:type="spellStart"/>
      <w:r w:rsidRPr="00A9713D">
        <w:rPr>
          <w:rFonts w:ascii="Times New Roman" w:hAnsi="Times New Roman" w:cs="Times New Roman"/>
          <w:i/>
          <w:iCs/>
          <w:sz w:val="28"/>
          <w:szCs w:val="28"/>
        </w:rPr>
        <w:t>malitia</w:t>
      </w:r>
      <w:proofErr w:type="spellEnd"/>
      <w:r>
        <w:rPr>
          <w:rFonts w:ascii="Times New Roman" w:hAnsi="Times New Roman" w:cs="Times New Roman"/>
          <w:sz w:val="28"/>
          <w:szCs w:val="28"/>
        </w:rPr>
        <w:t xml:space="preserve">”, intesa come artifizi e raggiri che incidono sulla capacità di discernimento del minore. </w:t>
      </w:r>
    </w:p>
    <w:p w14:paraId="35BF4785" w14:textId="77777777" w:rsidR="0017321F" w:rsidRDefault="00A9713D"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 concetti di capacità giuridica e di capacità di agire non sono delineati nei sistemi di </w:t>
      </w:r>
      <w:r w:rsidRPr="00A9713D">
        <w:rPr>
          <w:rFonts w:ascii="Times New Roman" w:hAnsi="Times New Roman" w:cs="Times New Roman"/>
          <w:i/>
          <w:iCs/>
          <w:sz w:val="28"/>
          <w:szCs w:val="28"/>
        </w:rPr>
        <w:t>common law</w:t>
      </w:r>
      <w:r w:rsidR="0017321F">
        <w:rPr>
          <w:rFonts w:ascii="Times New Roman" w:hAnsi="Times New Roman" w:cs="Times New Roman"/>
          <w:i/>
          <w:iCs/>
          <w:sz w:val="28"/>
          <w:szCs w:val="28"/>
        </w:rPr>
        <w:t>,</w:t>
      </w:r>
      <w:r>
        <w:rPr>
          <w:rFonts w:ascii="Times New Roman" w:hAnsi="Times New Roman" w:cs="Times New Roman"/>
          <w:sz w:val="28"/>
          <w:szCs w:val="28"/>
        </w:rPr>
        <w:t xml:space="preserve"> che parlano di </w:t>
      </w:r>
      <w:proofErr w:type="spellStart"/>
      <w:r w:rsidRPr="00A9713D">
        <w:rPr>
          <w:rFonts w:ascii="Times New Roman" w:hAnsi="Times New Roman" w:cs="Times New Roman"/>
          <w:i/>
          <w:iCs/>
          <w:sz w:val="28"/>
          <w:szCs w:val="28"/>
        </w:rPr>
        <w:t>legal</w:t>
      </w:r>
      <w:proofErr w:type="spellEnd"/>
      <w:r w:rsidRPr="00A9713D">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capacity</w:t>
      </w:r>
      <w:proofErr w:type="spellEnd"/>
      <w:r w:rsidR="0017321F">
        <w:rPr>
          <w:rFonts w:ascii="Times New Roman" w:hAnsi="Times New Roman" w:cs="Times New Roman"/>
          <w:i/>
          <w:iCs/>
          <w:sz w:val="28"/>
          <w:szCs w:val="28"/>
        </w:rPr>
        <w:t>,</w:t>
      </w:r>
      <w:r>
        <w:rPr>
          <w:rFonts w:ascii="Times New Roman" w:hAnsi="Times New Roman" w:cs="Times New Roman"/>
          <w:i/>
          <w:iCs/>
          <w:sz w:val="28"/>
          <w:szCs w:val="28"/>
        </w:rPr>
        <w:t xml:space="preserve"> </w:t>
      </w:r>
      <w:r w:rsidRPr="001B6771">
        <w:rPr>
          <w:rFonts w:ascii="Times New Roman" w:hAnsi="Times New Roman" w:cs="Times New Roman"/>
          <w:sz w:val="28"/>
          <w:szCs w:val="28"/>
        </w:rPr>
        <w:t>prescindendo dai concetti di soggettività, centro autonomo di imputazione di effetti giuridici, e di capacità giuridica.</w:t>
      </w:r>
      <w:r w:rsidR="001B6771">
        <w:rPr>
          <w:rFonts w:ascii="Times New Roman" w:hAnsi="Times New Roman" w:cs="Times New Roman"/>
          <w:sz w:val="28"/>
          <w:szCs w:val="28"/>
        </w:rPr>
        <w:t xml:space="preserve"> </w:t>
      </w:r>
    </w:p>
    <w:p w14:paraId="220D69A9" w14:textId="70959698" w:rsidR="00A9713D" w:rsidRDefault="001B6771"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L’età è graduata in relazione agli atti da compiere: pertanto, per i c</w:t>
      </w:r>
      <w:r w:rsidR="00E57282">
        <w:rPr>
          <w:rFonts w:ascii="Times New Roman" w:hAnsi="Times New Roman" w:cs="Times New Roman"/>
          <w:sz w:val="28"/>
          <w:szCs w:val="28"/>
        </w:rPr>
        <w:t>.</w:t>
      </w:r>
      <w:r>
        <w:rPr>
          <w:rFonts w:ascii="Times New Roman" w:hAnsi="Times New Roman" w:cs="Times New Roman"/>
          <w:sz w:val="28"/>
          <w:szCs w:val="28"/>
        </w:rPr>
        <w:t>d</w:t>
      </w:r>
      <w:r w:rsidR="00E5728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1B6771">
        <w:rPr>
          <w:rFonts w:ascii="Times New Roman" w:hAnsi="Times New Roman" w:cs="Times New Roman"/>
          <w:i/>
          <w:iCs/>
          <w:sz w:val="28"/>
          <w:szCs w:val="28"/>
        </w:rPr>
        <w:t>necessaries</w:t>
      </w:r>
      <w:proofErr w:type="spellEnd"/>
      <w:r>
        <w:rPr>
          <w:rFonts w:ascii="Times New Roman" w:hAnsi="Times New Roman" w:cs="Times New Roman"/>
          <w:sz w:val="28"/>
          <w:szCs w:val="28"/>
        </w:rPr>
        <w:t>, atti di acquisto minori per i beni necessari di modico valore</w:t>
      </w:r>
      <w:r w:rsidR="00E57282">
        <w:rPr>
          <w:rFonts w:ascii="Times New Roman" w:hAnsi="Times New Roman" w:cs="Times New Roman"/>
          <w:sz w:val="28"/>
          <w:szCs w:val="28"/>
        </w:rPr>
        <w:t>,</w:t>
      </w:r>
      <w:r>
        <w:rPr>
          <w:rFonts w:ascii="Times New Roman" w:hAnsi="Times New Roman" w:cs="Times New Roman"/>
          <w:sz w:val="28"/>
          <w:szCs w:val="28"/>
        </w:rPr>
        <w:t xml:space="preserve"> il minore è considerato pienamente capace di stipulare contratti validi.</w:t>
      </w:r>
    </w:p>
    <w:p w14:paraId="50794793" w14:textId="1A4371FE" w:rsidR="001B6771" w:rsidRDefault="001B6771"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Fino a che punto, però, il minore può essere considerato in grado di capire cosa sta operando con un click sul computer: egli dovrebbe essere istruito e formato per accedere al computer o allo </w:t>
      </w:r>
      <w:proofErr w:type="spellStart"/>
      <w:r w:rsidRPr="0017321F">
        <w:rPr>
          <w:rFonts w:ascii="Times New Roman" w:hAnsi="Times New Roman" w:cs="Times New Roman"/>
          <w:i/>
          <w:iCs/>
          <w:sz w:val="28"/>
          <w:szCs w:val="28"/>
        </w:rPr>
        <w:t>smartphone</w:t>
      </w:r>
      <w:proofErr w:type="spellEnd"/>
      <w:r w:rsidR="00416CF5">
        <w:rPr>
          <w:rFonts w:ascii="Times New Roman" w:hAnsi="Times New Roman" w:cs="Times New Roman"/>
          <w:sz w:val="28"/>
          <w:szCs w:val="28"/>
        </w:rPr>
        <w:t>,</w:t>
      </w:r>
      <w:r>
        <w:rPr>
          <w:rFonts w:ascii="Times New Roman" w:hAnsi="Times New Roman" w:cs="Times New Roman"/>
          <w:sz w:val="28"/>
          <w:szCs w:val="28"/>
        </w:rPr>
        <w:t xml:space="preserve"> che è una vera e </w:t>
      </w:r>
      <w:r w:rsidR="00B4442B">
        <w:rPr>
          <w:rFonts w:ascii="Times New Roman" w:hAnsi="Times New Roman" w:cs="Times New Roman"/>
          <w:sz w:val="28"/>
          <w:szCs w:val="28"/>
        </w:rPr>
        <w:t>propria finestra</w:t>
      </w:r>
      <w:r>
        <w:rPr>
          <w:rFonts w:ascii="Times New Roman" w:hAnsi="Times New Roman" w:cs="Times New Roman"/>
          <w:sz w:val="28"/>
          <w:szCs w:val="28"/>
        </w:rPr>
        <w:t xml:space="preserve"> sul mondo: senza un’adeguata formazione sui pericoli </w:t>
      </w:r>
      <w:r w:rsidR="00B4442B">
        <w:rPr>
          <w:rFonts w:ascii="Times New Roman" w:hAnsi="Times New Roman" w:cs="Times New Roman"/>
          <w:sz w:val="28"/>
          <w:szCs w:val="28"/>
        </w:rPr>
        <w:t>occulti è</w:t>
      </w:r>
      <w:r>
        <w:rPr>
          <w:rFonts w:ascii="Times New Roman" w:hAnsi="Times New Roman" w:cs="Times New Roman"/>
          <w:sz w:val="28"/>
          <w:szCs w:val="28"/>
        </w:rPr>
        <w:t xml:space="preserve"> come se si desse ad un minore una macchina da guidare senza </w:t>
      </w:r>
      <w:r w:rsidR="00B4442B">
        <w:rPr>
          <w:rFonts w:ascii="Times New Roman" w:hAnsi="Times New Roman" w:cs="Times New Roman"/>
          <w:sz w:val="28"/>
          <w:szCs w:val="28"/>
        </w:rPr>
        <w:t>avergli dato</w:t>
      </w:r>
      <w:r>
        <w:rPr>
          <w:rFonts w:ascii="Times New Roman" w:hAnsi="Times New Roman" w:cs="Times New Roman"/>
          <w:sz w:val="28"/>
          <w:szCs w:val="28"/>
        </w:rPr>
        <w:t xml:space="preserve"> la patente. </w:t>
      </w:r>
    </w:p>
    <w:p w14:paraId="368D3F7B" w14:textId="77777777" w:rsidR="0017321F" w:rsidRDefault="00FA1644"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Ricordiamo </w:t>
      </w:r>
      <w:r w:rsidR="00416CF5">
        <w:rPr>
          <w:rFonts w:ascii="Times New Roman" w:hAnsi="Times New Roman" w:cs="Times New Roman"/>
          <w:sz w:val="28"/>
          <w:szCs w:val="28"/>
        </w:rPr>
        <w:t xml:space="preserve">che </w:t>
      </w:r>
      <w:r>
        <w:rPr>
          <w:rFonts w:ascii="Times New Roman" w:hAnsi="Times New Roman" w:cs="Times New Roman"/>
          <w:sz w:val="28"/>
          <w:szCs w:val="28"/>
        </w:rPr>
        <w:t xml:space="preserve">il filosofo </w:t>
      </w:r>
      <w:r w:rsidRPr="00416CF5">
        <w:rPr>
          <w:rFonts w:ascii="Times New Roman" w:hAnsi="Times New Roman" w:cs="Times New Roman"/>
          <w:i/>
          <w:iCs/>
          <w:sz w:val="28"/>
          <w:szCs w:val="28"/>
        </w:rPr>
        <w:t>Karl Popper</w:t>
      </w:r>
      <w:r>
        <w:rPr>
          <w:rFonts w:ascii="Times New Roman" w:hAnsi="Times New Roman" w:cs="Times New Roman"/>
          <w:sz w:val="28"/>
          <w:szCs w:val="28"/>
        </w:rPr>
        <w:t>, il campione della società aperta e libera, chiedeva, ancor prima che si sviluppasse la c</w:t>
      </w:r>
      <w:r w:rsidR="00416CF5">
        <w:rPr>
          <w:rFonts w:ascii="Times New Roman" w:hAnsi="Times New Roman" w:cs="Times New Roman"/>
          <w:sz w:val="28"/>
          <w:szCs w:val="28"/>
        </w:rPr>
        <w:t>.</w:t>
      </w:r>
      <w:r>
        <w:rPr>
          <w:rFonts w:ascii="Times New Roman" w:hAnsi="Times New Roman" w:cs="Times New Roman"/>
          <w:sz w:val="28"/>
          <w:szCs w:val="28"/>
        </w:rPr>
        <w:t>d</w:t>
      </w:r>
      <w:r w:rsidR="00416CF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FA1644">
        <w:rPr>
          <w:rFonts w:ascii="Times New Roman" w:hAnsi="Times New Roman" w:cs="Times New Roman"/>
          <w:i/>
          <w:iCs/>
          <w:sz w:val="28"/>
          <w:szCs w:val="28"/>
        </w:rPr>
        <w:t>infosfera</w:t>
      </w:r>
      <w:proofErr w:type="spellEnd"/>
      <w:r w:rsidRPr="00FA1644">
        <w:rPr>
          <w:rFonts w:ascii="Times New Roman" w:hAnsi="Times New Roman" w:cs="Times New Roman"/>
          <w:i/>
          <w:iCs/>
          <w:sz w:val="28"/>
          <w:szCs w:val="28"/>
        </w:rPr>
        <w:t>,</w:t>
      </w:r>
      <w:r>
        <w:rPr>
          <w:rFonts w:ascii="Times New Roman" w:hAnsi="Times New Roman" w:cs="Times New Roman"/>
          <w:sz w:val="28"/>
          <w:szCs w:val="28"/>
        </w:rPr>
        <w:t xml:space="preserve"> che soltanto pochi potessero andare in tv, muniti di una patente ottenuta dopo speciali esami. Già allora si dibatteva molto sull’influenza degenerativa della televisione, sulla passività di chi se ne sta seduto, catatonico, davanti al magico schermo. </w:t>
      </w:r>
    </w:p>
    <w:p w14:paraId="29310D89" w14:textId="06278E5D" w:rsidR="00FA1644" w:rsidRDefault="00FA1644"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Ma erano tutte opinioni </w:t>
      </w:r>
      <w:r w:rsidR="00B4442B">
        <w:rPr>
          <w:rFonts w:ascii="Times New Roman" w:hAnsi="Times New Roman" w:cs="Times New Roman"/>
          <w:sz w:val="28"/>
          <w:szCs w:val="28"/>
        </w:rPr>
        <w:t>arbitrarie,</w:t>
      </w:r>
      <w:r>
        <w:rPr>
          <w:rFonts w:ascii="Times New Roman" w:hAnsi="Times New Roman" w:cs="Times New Roman"/>
          <w:sz w:val="28"/>
          <w:szCs w:val="28"/>
        </w:rPr>
        <w:t xml:space="preserve"> nulla di scientifico basato sul test di</w:t>
      </w:r>
      <w:r w:rsidR="00674452">
        <w:rPr>
          <w:rFonts w:ascii="Times New Roman" w:hAnsi="Times New Roman" w:cs="Times New Roman"/>
          <w:sz w:val="28"/>
          <w:szCs w:val="28"/>
        </w:rPr>
        <w:t xml:space="preserve"> </w:t>
      </w:r>
      <w:proofErr w:type="spellStart"/>
      <w:r w:rsidR="00674452" w:rsidRPr="0017321F">
        <w:rPr>
          <w:rFonts w:ascii="Times New Roman" w:hAnsi="Times New Roman" w:cs="Times New Roman"/>
          <w:i/>
          <w:iCs/>
          <w:sz w:val="28"/>
          <w:szCs w:val="28"/>
        </w:rPr>
        <w:t>Stroop</w:t>
      </w:r>
      <w:proofErr w:type="spellEnd"/>
      <w:r w:rsidR="00674452">
        <w:rPr>
          <w:rFonts w:ascii="Times New Roman" w:hAnsi="Times New Roman" w:cs="Times New Roman"/>
          <w:sz w:val="28"/>
          <w:szCs w:val="28"/>
        </w:rPr>
        <w:t xml:space="preserve">, test elaborato negli anni </w:t>
      </w:r>
      <w:r w:rsidR="00416CF5">
        <w:rPr>
          <w:rFonts w:ascii="Times New Roman" w:hAnsi="Times New Roman" w:cs="Times New Roman"/>
          <w:sz w:val="28"/>
          <w:szCs w:val="28"/>
        </w:rPr>
        <w:t>‘</w:t>
      </w:r>
      <w:r w:rsidR="00674452">
        <w:rPr>
          <w:rFonts w:ascii="Times New Roman" w:hAnsi="Times New Roman" w:cs="Times New Roman"/>
          <w:sz w:val="28"/>
          <w:szCs w:val="28"/>
        </w:rPr>
        <w:t xml:space="preserve">30 dallo psicologo statunitense Ridley </w:t>
      </w:r>
      <w:proofErr w:type="spellStart"/>
      <w:r w:rsidR="00674452">
        <w:rPr>
          <w:rFonts w:ascii="Times New Roman" w:hAnsi="Times New Roman" w:cs="Times New Roman"/>
          <w:sz w:val="28"/>
          <w:szCs w:val="28"/>
        </w:rPr>
        <w:t>Stroop</w:t>
      </w:r>
      <w:proofErr w:type="spellEnd"/>
      <w:r w:rsidR="00674452">
        <w:rPr>
          <w:rFonts w:ascii="Times New Roman" w:hAnsi="Times New Roman" w:cs="Times New Roman"/>
          <w:sz w:val="28"/>
          <w:szCs w:val="28"/>
        </w:rPr>
        <w:t>, tuttora utilizzato per verificare con il riconoscimento di parole e colori il funzionamento corretto del cervello.</w:t>
      </w:r>
    </w:p>
    <w:p w14:paraId="09A6F383" w14:textId="77777777" w:rsidR="00776457" w:rsidRDefault="00FA1644"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Adesso uno studio della prestigiosa Johns Hopkins </w:t>
      </w:r>
      <w:proofErr w:type="spellStart"/>
      <w:r>
        <w:rPr>
          <w:rFonts w:ascii="Times New Roman" w:hAnsi="Times New Roman" w:cs="Times New Roman"/>
          <w:sz w:val="28"/>
          <w:szCs w:val="28"/>
        </w:rPr>
        <w:t>University</w:t>
      </w:r>
      <w:proofErr w:type="spellEnd"/>
      <w:r>
        <w:rPr>
          <w:rFonts w:ascii="Times New Roman" w:hAnsi="Times New Roman" w:cs="Times New Roman"/>
          <w:sz w:val="28"/>
          <w:szCs w:val="28"/>
        </w:rPr>
        <w:t xml:space="preserve"> di Baltimora è lapidario:</w:t>
      </w:r>
      <w:r w:rsidR="00B4442B">
        <w:rPr>
          <w:rFonts w:ascii="Times New Roman" w:hAnsi="Times New Roman" w:cs="Times New Roman"/>
          <w:sz w:val="28"/>
          <w:szCs w:val="28"/>
        </w:rPr>
        <w:t xml:space="preserve"> </w:t>
      </w:r>
      <w:r w:rsidR="00416CF5">
        <w:rPr>
          <w:rFonts w:ascii="Times New Roman" w:hAnsi="Times New Roman" w:cs="Times New Roman"/>
          <w:sz w:val="28"/>
          <w:szCs w:val="28"/>
        </w:rPr>
        <w:t>«</w:t>
      </w:r>
      <w:r w:rsidRPr="00FA1644">
        <w:rPr>
          <w:rFonts w:ascii="Times New Roman" w:hAnsi="Times New Roman" w:cs="Times New Roman"/>
          <w:i/>
          <w:iCs/>
          <w:sz w:val="28"/>
          <w:szCs w:val="28"/>
        </w:rPr>
        <w:t>Per ogni ora e quaranta minuti di visione è come se il cervello fosse un anno più vecchio</w:t>
      </w:r>
      <w:r>
        <w:rPr>
          <w:rFonts w:ascii="Times New Roman" w:hAnsi="Times New Roman" w:cs="Times New Roman"/>
          <w:i/>
          <w:iCs/>
          <w:sz w:val="28"/>
          <w:szCs w:val="28"/>
        </w:rPr>
        <w:t>. Le cause: sedentarietà e passività. Al contrario, il movimento contrasta questo processo di invecchiamento</w:t>
      </w:r>
      <w:r w:rsidR="00416CF5">
        <w:rPr>
          <w:rFonts w:ascii="Times New Roman" w:hAnsi="Times New Roman" w:cs="Times New Roman"/>
          <w:i/>
          <w:iCs/>
          <w:sz w:val="28"/>
          <w:szCs w:val="28"/>
        </w:rPr>
        <w:t>»</w:t>
      </w:r>
      <w:r>
        <w:rPr>
          <w:rFonts w:ascii="Times New Roman" w:hAnsi="Times New Roman" w:cs="Times New Roman"/>
          <w:i/>
          <w:iCs/>
          <w:sz w:val="28"/>
          <w:szCs w:val="28"/>
        </w:rPr>
        <w:t xml:space="preserve">, </w:t>
      </w:r>
      <w:r w:rsidRPr="00FA1644">
        <w:rPr>
          <w:rFonts w:ascii="Times New Roman" w:hAnsi="Times New Roman" w:cs="Times New Roman"/>
          <w:sz w:val="28"/>
          <w:szCs w:val="28"/>
        </w:rPr>
        <w:t xml:space="preserve">così </w:t>
      </w:r>
      <w:r>
        <w:rPr>
          <w:rFonts w:ascii="Times New Roman" w:hAnsi="Times New Roman" w:cs="Times New Roman"/>
          <w:sz w:val="28"/>
          <w:szCs w:val="28"/>
        </w:rPr>
        <w:t xml:space="preserve">dice l’autore principale della ricerca, Ryan </w:t>
      </w:r>
      <w:proofErr w:type="spellStart"/>
      <w:r>
        <w:rPr>
          <w:rFonts w:ascii="Times New Roman" w:hAnsi="Times New Roman" w:cs="Times New Roman"/>
          <w:sz w:val="28"/>
          <w:szCs w:val="28"/>
        </w:rPr>
        <w:t>Dougherty</w:t>
      </w:r>
      <w:proofErr w:type="spellEnd"/>
      <w:r>
        <w:rPr>
          <w:rFonts w:ascii="Times New Roman" w:hAnsi="Times New Roman" w:cs="Times New Roman"/>
          <w:sz w:val="28"/>
          <w:szCs w:val="28"/>
        </w:rPr>
        <w:t xml:space="preserve">. Chi da giovane guarda più televisione, si troverà con meno materia grigia </w:t>
      </w:r>
      <w:r>
        <w:rPr>
          <w:rFonts w:ascii="Times New Roman" w:hAnsi="Times New Roman" w:cs="Times New Roman"/>
          <w:sz w:val="28"/>
          <w:szCs w:val="28"/>
        </w:rPr>
        <w:lastRenderedPageBreak/>
        <w:t xml:space="preserve">da adulto, e proprio in quelle aree cognitive-corteccia frontale e corteccia </w:t>
      </w:r>
      <w:proofErr w:type="spellStart"/>
      <w:r>
        <w:rPr>
          <w:rFonts w:ascii="Times New Roman" w:hAnsi="Times New Roman" w:cs="Times New Roman"/>
          <w:sz w:val="28"/>
          <w:szCs w:val="28"/>
        </w:rPr>
        <w:t>entorinale</w:t>
      </w:r>
      <w:proofErr w:type="spellEnd"/>
      <w:r>
        <w:rPr>
          <w:rFonts w:ascii="Times New Roman" w:hAnsi="Times New Roman" w:cs="Times New Roman"/>
          <w:sz w:val="28"/>
          <w:szCs w:val="28"/>
        </w:rPr>
        <w:t xml:space="preserve"> del cervello, responsabili dei processi più important</w:t>
      </w:r>
      <w:r w:rsidR="003F135B">
        <w:rPr>
          <w:rFonts w:ascii="Times New Roman" w:hAnsi="Times New Roman" w:cs="Times New Roman"/>
          <w:sz w:val="28"/>
          <w:szCs w:val="28"/>
        </w:rPr>
        <w:t xml:space="preserve">i. Il rapporto causale tra esposizione alla tv e diminuzione di “cellule grigie” è stato stabilito in virtù di esami di risonanza magnetica su 599 soggetti seguiti per 25 anni, i quali, all’inizio dell’esperimento, avevano un’età media di 30 anni. Stiamo parlando, dunque, di uno studio molto importante e rigoroso. </w:t>
      </w:r>
    </w:p>
    <w:p w14:paraId="66C53461" w14:textId="77777777" w:rsidR="00776457" w:rsidRDefault="003F135B"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Alcune delle cause della diminuzione del volume cerebrale sembrano essere solo indirettamente legate alla tv, ad esempio la sedentarietà. </w:t>
      </w:r>
    </w:p>
    <w:p w14:paraId="19D49198" w14:textId="254D240C" w:rsidR="00776457" w:rsidRDefault="003F135B"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Secondo </w:t>
      </w:r>
      <w:proofErr w:type="spellStart"/>
      <w:r>
        <w:rPr>
          <w:rFonts w:ascii="Times New Roman" w:hAnsi="Times New Roman" w:cs="Times New Roman"/>
          <w:sz w:val="28"/>
          <w:szCs w:val="28"/>
        </w:rPr>
        <w:t>Dougherty</w:t>
      </w:r>
      <w:proofErr w:type="spellEnd"/>
      <w:r>
        <w:rPr>
          <w:rFonts w:ascii="Times New Roman" w:hAnsi="Times New Roman" w:cs="Times New Roman"/>
          <w:sz w:val="28"/>
          <w:szCs w:val="28"/>
        </w:rPr>
        <w:t xml:space="preserve">, gli studi dimostrano che chi fa attività fisica mantiene il volume cerebrale invariato anche con l’avanzare degli anni. E addirittura alcuni studi mettono in rapporto una vita sedentaria a un maggior rischio di sviluppare l’Alzheimer. </w:t>
      </w:r>
    </w:p>
    <w:p w14:paraId="1B6CB39B" w14:textId="77777777" w:rsidR="00776457" w:rsidRDefault="00776457" w:rsidP="0017321F">
      <w:pPr>
        <w:tabs>
          <w:tab w:val="left" w:pos="8364"/>
        </w:tabs>
        <w:spacing w:after="0"/>
        <w:jc w:val="both"/>
        <w:rPr>
          <w:rFonts w:ascii="Times New Roman" w:hAnsi="Times New Roman" w:cs="Times New Roman"/>
          <w:sz w:val="28"/>
          <w:szCs w:val="28"/>
        </w:rPr>
      </w:pPr>
    </w:p>
    <w:p w14:paraId="5E21315C" w14:textId="77777777" w:rsidR="00776457" w:rsidRDefault="003F135B"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Il problema della sedentarietà sembra essere collegato a un deterioramento cardiovascolare e dunque a un minor afflusso di sangue al cervello</w:t>
      </w:r>
      <w:r w:rsidR="00683E64">
        <w:rPr>
          <w:rFonts w:ascii="Times New Roman" w:hAnsi="Times New Roman" w:cs="Times New Roman"/>
          <w:sz w:val="28"/>
          <w:szCs w:val="28"/>
        </w:rPr>
        <w:t>, c</w:t>
      </w:r>
      <w:r>
        <w:rPr>
          <w:rFonts w:ascii="Times New Roman" w:hAnsi="Times New Roman" w:cs="Times New Roman"/>
          <w:sz w:val="28"/>
          <w:szCs w:val="28"/>
        </w:rPr>
        <w:t>he provoca una minore ossigenazione neuronale, che, per così dire, fa gradualmente appassire il cervello stesso.</w:t>
      </w:r>
      <w:r w:rsidR="00071118">
        <w:rPr>
          <w:rFonts w:ascii="Times New Roman" w:hAnsi="Times New Roman" w:cs="Times New Roman"/>
          <w:sz w:val="28"/>
          <w:szCs w:val="28"/>
        </w:rPr>
        <w:t xml:space="preserve"> </w:t>
      </w:r>
    </w:p>
    <w:p w14:paraId="2682FF8A" w14:textId="452C0ADC" w:rsidR="00776457" w:rsidRDefault="00776457"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Non</w:t>
      </w:r>
      <w:r w:rsidR="00071118">
        <w:rPr>
          <w:rFonts w:ascii="Times New Roman" w:hAnsi="Times New Roman" w:cs="Times New Roman"/>
          <w:sz w:val="28"/>
          <w:szCs w:val="28"/>
        </w:rPr>
        <w:t xml:space="preserve"> tutte queste nuove </w:t>
      </w:r>
      <w:r w:rsidR="00B4442B">
        <w:rPr>
          <w:rFonts w:ascii="Times New Roman" w:hAnsi="Times New Roman" w:cs="Times New Roman"/>
          <w:sz w:val="28"/>
          <w:szCs w:val="28"/>
        </w:rPr>
        <w:t>attività</w:t>
      </w:r>
      <w:r w:rsidR="00071118">
        <w:rPr>
          <w:rFonts w:ascii="Times New Roman" w:hAnsi="Times New Roman" w:cs="Times New Roman"/>
          <w:sz w:val="28"/>
          <w:szCs w:val="28"/>
        </w:rPr>
        <w:t xml:space="preserve"> </w:t>
      </w:r>
      <w:r>
        <w:rPr>
          <w:rFonts w:ascii="Times New Roman" w:hAnsi="Times New Roman" w:cs="Times New Roman"/>
          <w:sz w:val="28"/>
          <w:szCs w:val="28"/>
        </w:rPr>
        <w:t>(</w:t>
      </w:r>
      <w:r w:rsidR="00071118">
        <w:rPr>
          <w:rFonts w:ascii="Times New Roman" w:hAnsi="Times New Roman" w:cs="Times New Roman"/>
          <w:sz w:val="28"/>
          <w:szCs w:val="28"/>
        </w:rPr>
        <w:t>non tutte le sedentarietà</w:t>
      </w:r>
      <w:r>
        <w:rPr>
          <w:rFonts w:ascii="Times New Roman" w:hAnsi="Times New Roman" w:cs="Times New Roman"/>
          <w:sz w:val="28"/>
          <w:szCs w:val="28"/>
        </w:rPr>
        <w:t>)</w:t>
      </w:r>
      <w:r w:rsidR="00071118">
        <w:rPr>
          <w:rFonts w:ascii="Times New Roman" w:hAnsi="Times New Roman" w:cs="Times New Roman"/>
          <w:sz w:val="28"/>
          <w:szCs w:val="28"/>
        </w:rPr>
        <w:t xml:space="preserve"> sono uguali: in particolare deleterie sono, come la televisione, quelle in cui il soggetto </w:t>
      </w:r>
      <w:r w:rsidR="00181BEF">
        <w:rPr>
          <w:rFonts w:ascii="Times New Roman" w:hAnsi="Times New Roman" w:cs="Times New Roman"/>
          <w:sz w:val="28"/>
          <w:szCs w:val="28"/>
        </w:rPr>
        <w:t>subisce passivamente</w:t>
      </w:r>
      <w:r w:rsidR="00071118">
        <w:rPr>
          <w:rFonts w:ascii="Times New Roman" w:hAnsi="Times New Roman" w:cs="Times New Roman"/>
          <w:sz w:val="28"/>
          <w:szCs w:val="28"/>
        </w:rPr>
        <w:t xml:space="preserve"> il messaggio, o meglio, un abbondante flusso di informazioni che lo bersagliano senza dargli possibilità di interagire, a differenza di altre attività come le parole crociate, gli scacchi o la lettura. Ma poiché la televisione oggi sta sempre più diventando un accessorio superfluo, superato dagli </w:t>
      </w:r>
      <w:proofErr w:type="spellStart"/>
      <w:r w:rsidR="00071118" w:rsidRPr="00776457">
        <w:rPr>
          <w:rFonts w:ascii="Times New Roman" w:hAnsi="Times New Roman" w:cs="Times New Roman"/>
          <w:i/>
          <w:iCs/>
          <w:sz w:val="28"/>
          <w:szCs w:val="28"/>
        </w:rPr>
        <w:t>smartphone</w:t>
      </w:r>
      <w:proofErr w:type="spellEnd"/>
      <w:r w:rsidR="00071118">
        <w:rPr>
          <w:rFonts w:ascii="Times New Roman" w:hAnsi="Times New Roman" w:cs="Times New Roman"/>
          <w:sz w:val="28"/>
          <w:szCs w:val="28"/>
        </w:rPr>
        <w:t xml:space="preserve"> e dai </w:t>
      </w:r>
      <w:proofErr w:type="spellStart"/>
      <w:r w:rsidR="00071118" w:rsidRPr="00776457">
        <w:rPr>
          <w:rFonts w:ascii="Times New Roman" w:hAnsi="Times New Roman" w:cs="Times New Roman"/>
          <w:i/>
          <w:iCs/>
          <w:sz w:val="28"/>
          <w:szCs w:val="28"/>
        </w:rPr>
        <w:t>tablet</w:t>
      </w:r>
      <w:proofErr w:type="spellEnd"/>
      <w:r w:rsidR="00071118">
        <w:rPr>
          <w:rFonts w:ascii="Times New Roman" w:hAnsi="Times New Roman" w:cs="Times New Roman"/>
          <w:sz w:val="28"/>
          <w:szCs w:val="28"/>
        </w:rPr>
        <w:t>,</w:t>
      </w:r>
      <w:r>
        <w:rPr>
          <w:rFonts w:ascii="Times New Roman" w:hAnsi="Times New Roman" w:cs="Times New Roman"/>
          <w:sz w:val="28"/>
          <w:szCs w:val="28"/>
        </w:rPr>
        <w:t xml:space="preserve"> e </w:t>
      </w:r>
      <w:r w:rsidR="00071118">
        <w:rPr>
          <w:rFonts w:ascii="Times New Roman" w:hAnsi="Times New Roman" w:cs="Times New Roman"/>
          <w:sz w:val="28"/>
          <w:szCs w:val="28"/>
        </w:rPr>
        <w:t xml:space="preserve">la classica programmazione televisiva è sostituita da fruizioni molto diverse, come lo </w:t>
      </w:r>
      <w:r w:rsidR="00071118" w:rsidRPr="00776457">
        <w:rPr>
          <w:rFonts w:ascii="Times New Roman" w:hAnsi="Times New Roman" w:cs="Times New Roman"/>
          <w:i/>
          <w:iCs/>
          <w:sz w:val="28"/>
          <w:szCs w:val="28"/>
        </w:rPr>
        <w:t>streaming</w:t>
      </w:r>
      <w:r w:rsidR="00071118">
        <w:rPr>
          <w:rFonts w:ascii="Times New Roman" w:hAnsi="Times New Roman" w:cs="Times New Roman"/>
          <w:sz w:val="28"/>
          <w:szCs w:val="28"/>
        </w:rPr>
        <w:t xml:space="preserve"> e, soprattutto, ci sono i </w:t>
      </w:r>
      <w:r w:rsidR="00071118" w:rsidRPr="00776457">
        <w:rPr>
          <w:rFonts w:ascii="Times New Roman" w:hAnsi="Times New Roman" w:cs="Times New Roman"/>
          <w:i/>
          <w:iCs/>
          <w:sz w:val="28"/>
          <w:szCs w:val="28"/>
        </w:rPr>
        <w:t>social</w:t>
      </w:r>
      <w:r w:rsidR="00071118">
        <w:rPr>
          <w:rFonts w:ascii="Times New Roman" w:hAnsi="Times New Roman" w:cs="Times New Roman"/>
          <w:sz w:val="28"/>
          <w:szCs w:val="28"/>
        </w:rPr>
        <w:t xml:space="preserve">, che sono il nuovo punto dolente della comunicazione di massa, che accade al cervello in tutte queste nuove attività? </w:t>
      </w:r>
    </w:p>
    <w:p w14:paraId="1330EB5C" w14:textId="77777777" w:rsidR="00776457" w:rsidRDefault="00071118"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Su questo</w:t>
      </w:r>
      <w:r w:rsidR="00776457">
        <w:rPr>
          <w:rFonts w:ascii="Times New Roman" w:hAnsi="Times New Roman" w:cs="Times New Roman"/>
          <w:sz w:val="28"/>
          <w:szCs w:val="28"/>
        </w:rPr>
        <w:t>,</w:t>
      </w:r>
      <w:r>
        <w:rPr>
          <w:rFonts w:ascii="Times New Roman" w:hAnsi="Times New Roman" w:cs="Times New Roman"/>
          <w:sz w:val="28"/>
          <w:szCs w:val="28"/>
        </w:rPr>
        <w:t xml:space="preserve"> lo studio americano non ci sa dare una risposta, tranne che, anch’esse, sono attività sedentarie e quindi, a rischio. Ma per sapere se usare I</w:t>
      </w:r>
      <w:r w:rsidR="005A0DD3">
        <w:rPr>
          <w:rFonts w:ascii="Times New Roman" w:hAnsi="Times New Roman" w:cs="Times New Roman"/>
          <w:sz w:val="28"/>
          <w:szCs w:val="28"/>
        </w:rPr>
        <w:t>n</w:t>
      </w:r>
      <w:r>
        <w:rPr>
          <w:rFonts w:ascii="Times New Roman" w:hAnsi="Times New Roman" w:cs="Times New Roman"/>
          <w:sz w:val="28"/>
          <w:szCs w:val="28"/>
        </w:rPr>
        <w:t xml:space="preserve">stagram o </w:t>
      </w:r>
      <w:proofErr w:type="spellStart"/>
      <w:r w:rsidR="00B4442B">
        <w:rPr>
          <w:rFonts w:ascii="Times New Roman" w:hAnsi="Times New Roman" w:cs="Times New Roman"/>
          <w:sz w:val="28"/>
          <w:szCs w:val="28"/>
        </w:rPr>
        <w:t>F</w:t>
      </w:r>
      <w:r>
        <w:rPr>
          <w:rFonts w:ascii="Times New Roman" w:hAnsi="Times New Roman" w:cs="Times New Roman"/>
          <w:sz w:val="28"/>
          <w:szCs w:val="28"/>
        </w:rPr>
        <w:t>acebook</w:t>
      </w:r>
      <w:proofErr w:type="spellEnd"/>
      <w:r>
        <w:rPr>
          <w:rFonts w:ascii="Times New Roman" w:hAnsi="Times New Roman" w:cs="Times New Roman"/>
          <w:sz w:val="28"/>
          <w:szCs w:val="28"/>
        </w:rPr>
        <w:t xml:space="preserve">, almeno sul piano scientifico, </w:t>
      </w:r>
      <w:r w:rsidR="00776457">
        <w:rPr>
          <w:rFonts w:ascii="Times New Roman" w:hAnsi="Times New Roman" w:cs="Times New Roman"/>
          <w:sz w:val="28"/>
          <w:szCs w:val="28"/>
        </w:rPr>
        <w:t>sia</w:t>
      </w:r>
      <w:r>
        <w:rPr>
          <w:rFonts w:ascii="Times New Roman" w:hAnsi="Times New Roman" w:cs="Times New Roman"/>
          <w:sz w:val="28"/>
          <w:szCs w:val="28"/>
        </w:rPr>
        <w:t xml:space="preserve"> cognitivamente dannoso, bisognerà forse aspettare altri 25 anni. </w:t>
      </w:r>
    </w:p>
    <w:p w14:paraId="234854FE" w14:textId="77777777" w:rsidR="00776457" w:rsidRDefault="00071118"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Noi, però</w:t>
      </w:r>
      <w:r w:rsidR="00B1413C">
        <w:rPr>
          <w:rFonts w:ascii="Times New Roman" w:hAnsi="Times New Roman" w:cs="Times New Roman"/>
          <w:sz w:val="28"/>
          <w:szCs w:val="28"/>
        </w:rPr>
        <w:t>,</w:t>
      </w:r>
      <w:r>
        <w:rPr>
          <w:rFonts w:ascii="Times New Roman" w:hAnsi="Times New Roman" w:cs="Times New Roman"/>
          <w:sz w:val="28"/>
          <w:szCs w:val="28"/>
        </w:rPr>
        <w:t xml:space="preserve"> sulla base di quello che vediamo attorno</w:t>
      </w:r>
      <w:r w:rsidR="00B4442B">
        <w:rPr>
          <w:rFonts w:ascii="Times New Roman" w:hAnsi="Times New Roman" w:cs="Times New Roman"/>
          <w:sz w:val="28"/>
          <w:szCs w:val="28"/>
        </w:rPr>
        <w:t>,</w:t>
      </w:r>
      <w:r>
        <w:rPr>
          <w:rFonts w:ascii="Times New Roman" w:hAnsi="Times New Roman" w:cs="Times New Roman"/>
          <w:sz w:val="28"/>
          <w:szCs w:val="28"/>
        </w:rPr>
        <w:t xml:space="preserve"> e anche</w:t>
      </w:r>
      <w:r w:rsidR="00B1413C">
        <w:rPr>
          <w:rFonts w:ascii="Times New Roman" w:hAnsi="Times New Roman" w:cs="Times New Roman"/>
          <w:sz w:val="28"/>
          <w:szCs w:val="28"/>
        </w:rPr>
        <w:t xml:space="preserve"> </w:t>
      </w:r>
      <w:r>
        <w:rPr>
          <w:rFonts w:ascii="Times New Roman" w:hAnsi="Times New Roman" w:cs="Times New Roman"/>
          <w:sz w:val="28"/>
          <w:szCs w:val="28"/>
        </w:rPr>
        <w:t xml:space="preserve">di quanto personalmente ci riguarda, un’ipotesi l’avanziamo: i </w:t>
      </w:r>
      <w:r w:rsidRPr="00EB4A1B">
        <w:rPr>
          <w:rFonts w:ascii="Times New Roman" w:hAnsi="Times New Roman" w:cs="Times New Roman"/>
          <w:i/>
          <w:iCs/>
          <w:sz w:val="28"/>
          <w:szCs w:val="28"/>
        </w:rPr>
        <w:t>social network</w:t>
      </w:r>
      <w:r w:rsidR="00B4442B">
        <w:rPr>
          <w:rFonts w:ascii="Times New Roman" w:hAnsi="Times New Roman" w:cs="Times New Roman"/>
          <w:sz w:val="28"/>
          <w:szCs w:val="28"/>
        </w:rPr>
        <w:t>,</w:t>
      </w:r>
      <w:r>
        <w:rPr>
          <w:rFonts w:ascii="Times New Roman" w:hAnsi="Times New Roman" w:cs="Times New Roman"/>
          <w:sz w:val="28"/>
          <w:szCs w:val="28"/>
        </w:rPr>
        <w:t xml:space="preserve"> tutti, nessuno escluso, sono di gran lunga peggiori della televisione, almeno dal punto di vista della salute mentale</w:t>
      </w:r>
      <w:r w:rsidR="00674452">
        <w:rPr>
          <w:rFonts w:ascii="Times New Roman" w:hAnsi="Times New Roman" w:cs="Times New Roman"/>
          <w:sz w:val="28"/>
          <w:szCs w:val="28"/>
        </w:rPr>
        <w:t xml:space="preserve"> dei loro fruitori. In confront</w:t>
      </w:r>
      <w:r w:rsidR="00B1413C">
        <w:rPr>
          <w:rFonts w:ascii="Times New Roman" w:hAnsi="Times New Roman" w:cs="Times New Roman"/>
          <w:sz w:val="28"/>
          <w:szCs w:val="28"/>
        </w:rPr>
        <w:t>o</w:t>
      </w:r>
      <w:r w:rsidR="00776457">
        <w:rPr>
          <w:rFonts w:ascii="Times New Roman" w:hAnsi="Times New Roman" w:cs="Times New Roman"/>
          <w:sz w:val="28"/>
          <w:szCs w:val="28"/>
        </w:rPr>
        <w:t>,</w:t>
      </w:r>
      <w:r w:rsidR="00674452">
        <w:rPr>
          <w:rFonts w:ascii="Times New Roman" w:hAnsi="Times New Roman" w:cs="Times New Roman"/>
          <w:sz w:val="28"/>
          <w:szCs w:val="28"/>
        </w:rPr>
        <w:t xml:space="preserve"> gli effetti inebetenti della tv sono di gran lunga meno pericolosi. </w:t>
      </w:r>
    </w:p>
    <w:p w14:paraId="3776388E" w14:textId="5155A206" w:rsidR="00776457" w:rsidRDefault="00674452"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Basti pensare al fenomeno dei suicidi</w:t>
      </w:r>
      <w:r w:rsidR="00776457">
        <w:rPr>
          <w:rFonts w:ascii="Times New Roman" w:hAnsi="Times New Roman" w:cs="Times New Roman"/>
          <w:sz w:val="28"/>
          <w:szCs w:val="28"/>
        </w:rPr>
        <w:t>,</w:t>
      </w:r>
      <w:r>
        <w:rPr>
          <w:rFonts w:ascii="Times New Roman" w:hAnsi="Times New Roman" w:cs="Times New Roman"/>
          <w:sz w:val="28"/>
          <w:szCs w:val="28"/>
        </w:rPr>
        <w:t xml:space="preserve"> </w:t>
      </w:r>
      <w:r w:rsidR="00776457">
        <w:rPr>
          <w:rFonts w:ascii="Times New Roman" w:hAnsi="Times New Roman" w:cs="Times New Roman"/>
          <w:sz w:val="28"/>
          <w:szCs w:val="28"/>
        </w:rPr>
        <w:t>a</w:t>
      </w:r>
      <w:r>
        <w:rPr>
          <w:rFonts w:ascii="Times New Roman" w:hAnsi="Times New Roman" w:cs="Times New Roman"/>
          <w:sz w:val="28"/>
          <w:szCs w:val="28"/>
        </w:rPr>
        <w:t>lle “</w:t>
      </w:r>
      <w:proofErr w:type="spellStart"/>
      <w:r w:rsidRPr="005A0DD3">
        <w:rPr>
          <w:rFonts w:ascii="Times New Roman" w:hAnsi="Times New Roman" w:cs="Times New Roman"/>
          <w:i/>
          <w:iCs/>
          <w:sz w:val="28"/>
          <w:szCs w:val="28"/>
        </w:rPr>
        <w:t>challenge</w:t>
      </w:r>
      <w:proofErr w:type="spellEnd"/>
      <w:r>
        <w:rPr>
          <w:rFonts w:ascii="Times New Roman" w:hAnsi="Times New Roman" w:cs="Times New Roman"/>
          <w:sz w:val="28"/>
          <w:szCs w:val="28"/>
        </w:rPr>
        <w:t xml:space="preserve">”, le sfide </w:t>
      </w:r>
      <w:r w:rsidRPr="00EB4A1B">
        <w:rPr>
          <w:rFonts w:ascii="Times New Roman" w:hAnsi="Times New Roman" w:cs="Times New Roman"/>
          <w:i/>
          <w:iCs/>
          <w:sz w:val="28"/>
          <w:szCs w:val="28"/>
        </w:rPr>
        <w:t>social</w:t>
      </w:r>
      <w:r>
        <w:rPr>
          <w:rFonts w:ascii="Times New Roman" w:hAnsi="Times New Roman" w:cs="Times New Roman"/>
          <w:sz w:val="28"/>
          <w:szCs w:val="28"/>
        </w:rPr>
        <w:t>, il “</w:t>
      </w:r>
      <w:proofErr w:type="spellStart"/>
      <w:r w:rsidRPr="005A0DD3">
        <w:rPr>
          <w:rFonts w:ascii="Times New Roman" w:hAnsi="Times New Roman" w:cs="Times New Roman"/>
          <w:i/>
          <w:iCs/>
          <w:sz w:val="28"/>
          <w:szCs w:val="28"/>
        </w:rPr>
        <w:t>cutting</w:t>
      </w:r>
      <w:proofErr w:type="spellEnd"/>
      <w:r>
        <w:rPr>
          <w:rFonts w:ascii="Times New Roman" w:hAnsi="Times New Roman" w:cs="Times New Roman"/>
          <w:sz w:val="28"/>
          <w:szCs w:val="28"/>
        </w:rPr>
        <w:t xml:space="preserve">”, ossia l’invito </w:t>
      </w:r>
      <w:r w:rsidRPr="00CE7580">
        <w:rPr>
          <w:rFonts w:ascii="Times New Roman" w:hAnsi="Times New Roman" w:cs="Times New Roman"/>
          <w:sz w:val="28"/>
          <w:szCs w:val="28"/>
        </w:rPr>
        <w:t>all’autolesionismo, o i veri e propri linciaggi attuati su queste piattaforme, da cui la vittima, se ne esce, resterà profondamente segnata</w:t>
      </w:r>
      <w:r w:rsidR="00BE27B0">
        <w:rPr>
          <w:rStyle w:val="Rimandonotaapidipagina"/>
          <w:rFonts w:ascii="Times New Roman" w:hAnsi="Times New Roman" w:cs="Times New Roman"/>
          <w:sz w:val="28"/>
          <w:szCs w:val="28"/>
        </w:rPr>
        <w:footnoteReference w:id="124"/>
      </w:r>
      <w:r w:rsidRPr="00CE7580">
        <w:rPr>
          <w:rFonts w:ascii="Times New Roman" w:hAnsi="Times New Roman" w:cs="Times New Roman"/>
          <w:sz w:val="28"/>
          <w:szCs w:val="28"/>
        </w:rPr>
        <w:t xml:space="preserve">. </w:t>
      </w:r>
    </w:p>
    <w:p w14:paraId="55AFD2DD" w14:textId="40975512" w:rsidR="00AA67CB" w:rsidRDefault="00674452" w:rsidP="0017321F">
      <w:pPr>
        <w:tabs>
          <w:tab w:val="left" w:pos="8364"/>
        </w:tabs>
        <w:spacing w:after="0"/>
        <w:jc w:val="both"/>
        <w:rPr>
          <w:rFonts w:ascii="Times New Roman" w:hAnsi="Times New Roman" w:cs="Times New Roman"/>
          <w:sz w:val="28"/>
          <w:szCs w:val="28"/>
        </w:rPr>
      </w:pPr>
      <w:r w:rsidRPr="00CE7580">
        <w:rPr>
          <w:rFonts w:ascii="Times New Roman" w:hAnsi="Times New Roman" w:cs="Times New Roman"/>
          <w:sz w:val="28"/>
          <w:szCs w:val="28"/>
        </w:rPr>
        <w:lastRenderedPageBreak/>
        <w:t xml:space="preserve">Solo in piccola parte i </w:t>
      </w:r>
      <w:r w:rsidRPr="00776457">
        <w:rPr>
          <w:rFonts w:ascii="Times New Roman" w:hAnsi="Times New Roman" w:cs="Times New Roman"/>
          <w:i/>
          <w:iCs/>
          <w:sz w:val="28"/>
          <w:szCs w:val="28"/>
        </w:rPr>
        <w:t>social</w:t>
      </w:r>
      <w:r w:rsidRPr="00CE7580">
        <w:rPr>
          <w:rFonts w:ascii="Times New Roman" w:hAnsi="Times New Roman" w:cs="Times New Roman"/>
          <w:sz w:val="28"/>
          <w:szCs w:val="28"/>
        </w:rPr>
        <w:t xml:space="preserve"> sono comunicazione, in larga parte sono esibi</w:t>
      </w:r>
      <w:r w:rsidR="008416D3">
        <w:rPr>
          <w:rFonts w:ascii="Times New Roman" w:hAnsi="Times New Roman" w:cs="Times New Roman"/>
          <w:sz w:val="28"/>
          <w:szCs w:val="28"/>
        </w:rPr>
        <w:t>z</w:t>
      </w:r>
      <w:r w:rsidRPr="00CE7580">
        <w:rPr>
          <w:rFonts w:ascii="Times New Roman" w:hAnsi="Times New Roman" w:cs="Times New Roman"/>
          <w:sz w:val="28"/>
          <w:szCs w:val="28"/>
        </w:rPr>
        <w:t xml:space="preserve">ionismo, vanità, </w:t>
      </w:r>
      <w:r w:rsidRPr="00CE7580">
        <w:rPr>
          <w:rFonts w:ascii="Times New Roman" w:hAnsi="Times New Roman" w:cs="Times New Roman"/>
          <w:i/>
          <w:iCs/>
          <w:sz w:val="28"/>
          <w:szCs w:val="28"/>
        </w:rPr>
        <w:t>merchandising</w:t>
      </w:r>
      <w:r w:rsidRPr="00CE7580">
        <w:rPr>
          <w:rFonts w:ascii="Times New Roman" w:hAnsi="Times New Roman" w:cs="Times New Roman"/>
          <w:sz w:val="28"/>
          <w:szCs w:val="28"/>
        </w:rPr>
        <w:t xml:space="preserve"> e sfoghi aggressivi. Senza considerare i c</w:t>
      </w:r>
      <w:r w:rsidR="00B1413C" w:rsidRPr="00CE7580">
        <w:rPr>
          <w:rFonts w:ascii="Times New Roman" w:hAnsi="Times New Roman" w:cs="Times New Roman"/>
          <w:sz w:val="28"/>
          <w:szCs w:val="28"/>
        </w:rPr>
        <w:t>.</w:t>
      </w:r>
      <w:r w:rsidRPr="00CE7580">
        <w:rPr>
          <w:rFonts w:ascii="Times New Roman" w:hAnsi="Times New Roman" w:cs="Times New Roman"/>
          <w:sz w:val="28"/>
          <w:szCs w:val="28"/>
        </w:rPr>
        <w:t>d</w:t>
      </w:r>
      <w:r w:rsidR="00B1413C" w:rsidRPr="00CE7580">
        <w:rPr>
          <w:rFonts w:ascii="Times New Roman" w:hAnsi="Times New Roman" w:cs="Times New Roman"/>
          <w:sz w:val="28"/>
          <w:szCs w:val="28"/>
        </w:rPr>
        <w:t>.</w:t>
      </w:r>
      <w:r w:rsidRPr="00CE7580">
        <w:rPr>
          <w:rFonts w:ascii="Times New Roman" w:hAnsi="Times New Roman" w:cs="Times New Roman"/>
          <w:sz w:val="28"/>
          <w:szCs w:val="28"/>
        </w:rPr>
        <w:t xml:space="preserve"> </w:t>
      </w:r>
      <w:proofErr w:type="spellStart"/>
      <w:r w:rsidRPr="00CE7580">
        <w:rPr>
          <w:rFonts w:ascii="Times New Roman" w:hAnsi="Times New Roman" w:cs="Times New Roman"/>
          <w:i/>
          <w:iCs/>
          <w:sz w:val="28"/>
          <w:szCs w:val="28"/>
        </w:rPr>
        <w:t>hype</w:t>
      </w:r>
      <w:proofErr w:type="spellEnd"/>
      <w:r w:rsidRPr="00CE7580">
        <w:rPr>
          <w:rFonts w:ascii="Times New Roman" w:hAnsi="Times New Roman" w:cs="Times New Roman"/>
          <w:sz w:val="28"/>
          <w:szCs w:val="28"/>
        </w:rPr>
        <w:t xml:space="preserve">, </w:t>
      </w:r>
      <w:r w:rsidR="008416D3">
        <w:rPr>
          <w:rFonts w:ascii="Times New Roman" w:hAnsi="Times New Roman" w:cs="Times New Roman"/>
          <w:sz w:val="28"/>
          <w:szCs w:val="28"/>
        </w:rPr>
        <w:t>d</w:t>
      </w:r>
      <w:r w:rsidRPr="00CE7580">
        <w:rPr>
          <w:rFonts w:ascii="Times New Roman" w:hAnsi="Times New Roman" w:cs="Times New Roman"/>
          <w:sz w:val="28"/>
          <w:szCs w:val="28"/>
        </w:rPr>
        <w:t xml:space="preserve">istopie e montature giornalistiche che alterano la realtà e le informazioni. </w:t>
      </w:r>
    </w:p>
    <w:p w14:paraId="3ECA0032" w14:textId="77777777" w:rsidR="00AA67CB" w:rsidRDefault="00AA67CB" w:rsidP="0017321F">
      <w:pPr>
        <w:tabs>
          <w:tab w:val="left" w:pos="8364"/>
        </w:tabs>
        <w:spacing w:after="0"/>
        <w:jc w:val="both"/>
        <w:rPr>
          <w:rFonts w:ascii="Times New Roman" w:hAnsi="Times New Roman" w:cs="Times New Roman"/>
          <w:sz w:val="28"/>
          <w:szCs w:val="28"/>
        </w:rPr>
      </w:pPr>
    </w:p>
    <w:p w14:paraId="575E46B9" w14:textId="77777777" w:rsidR="00AA67CB" w:rsidRDefault="00674452" w:rsidP="0017321F">
      <w:pPr>
        <w:tabs>
          <w:tab w:val="left" w:pos="8364"/>
        </w:tabs>
        <w:spacing w:after="0"/>
        <w:jc w:val="both"/>
        <w:rPr>
          <w:rFonts w:ascii="Times New Roman" w:hAnsi="Times New Roman" w:cs="Times New Roman"/>
          <w:sz w:val="28"/>
          <w:szCs w:val="28"/>
        </w:rPr>
      </w:pPr>
      <w:r w:rsidRPr="00CE7580">
        <w:rPr>
          <w:rFonts w:ascii="Times New Roman" w:hAnsi="Times New Roman" w:cs="Times New Roman"/>
          <w:sz w:val="28"/>
          <w:szCs w:val="28"/>
        </w:rPr>
        <w:t>In questa dimensione</w:t>
      </w:r>
      <w:r w:rsidR="00AA67CB">
        <w:rPr>
          <w:rFonts w:ascii="Times New Roman" w:hAnsi="Times New Roman" w:cs="Times New Roman"/>
          <w:sz w:val="28"/>
          <w:szCs w:val="28"/>
        </w:rPr>
        <w:t>,</w:t>
      </w:r>
      <w:r w:rsidRPr="00CE7580">
        <w:rPr>
          <w:rFonts w:ascii="Times New Roman" w:hAnsi="Times New Roman" w:cs="Times New Roman"/>
          <w:sz w:val="28"/>
          <w:szCs w:val="28"/>
        </w:rPr>
        <w:t xml:space="preserve"> dominata da “atopia e anomia”, come afferma il </w:t>
      </w:r>
      <w:r w:rsidR="00AA67CB">
        <w:rPr>
          <w:rFonts w:ascii="Times New Roman" w:hAnsi="Times New Roman" w:cs="Times New Roman"/>
          <w:sz w:val="28"/>
          <w:szCs w:val="28"/>
        </w:rPr>
        <w:t>P</w:t>
      </w:r>
      <w:r w:rsidRPr="00CE7580">
        <w:rPr>
          <w:rFonts w:ascii="Times New Roman" w:hAnsi="Times New Roman" w:cs="Times New Roman"/>
          <w:sz w:val="28"/>
          <w:szCs w:val="28"/>
        </w:rPr>
        <w:t>rof</w:t>
      </w:r>
      <w:r w:rsidR="00AA67CB">
        <w:rPr>
          <w:rFonts w:ascii="Times New Roman" w:hAnsi="Times New Roman" w:cs="Times New Roman"/>
          <w:sz w:val="28"/>
          <w:szCs w:val="28"/>
        </w:rPr>
        <w:t>essore</w:t>
      </w:r>
      <w:r w:rsidR="00B4442B" w:rsidRPr="00CE7580">
        <w:rPr>
          <w:rFonts w:ascii="Times New Roman" w:hAnsi="Times New Roman" w:cs="Times New Roman"/>
          <w:sz w:val="28"/>
          <w:szCs w:val="28"/>
        </w:rPr>
        <w:t xml:space="preserve"> </w:t>
      </w:r>
      <w:r w:rsidRPr="00CE7580">
        <w:rPr>
          <w:rFonts w:ascii="Times New Roman" w:hAnsi="Times New Roman" w:cs="Times New Roman"/>
          <w:sz w:val="28"/>
          <w:szCs w:val="28"/>
        </w:rPr>
        <w:t>Natalino Irti, occorre integrare la biosfera con l’</w:t>
      </w:r>
      <w:proofErr w:type="spellStart"/>
      <w:r w:rsidRPr="00CE7580">
        <w:rPr>
          <w:rFonts w:ascii="Times New Roman" w:hAnsi="Times New Roman" w:cs="Times New Roman"/>
          <w:i/>
          <w:iCs/>
          <w:sz w:val="28"/>
          <w:szCs w:val="28"/>
        </w:rPr>
        <w:t>infosfera</w:t>
      </w:r>
      <w:proofErr w:type="spellEnd"/>
      <w:r w:rsidRPr="00CE7580">
        <w:rPr>
          <w:rFonts w:ascii="Times New Roman" w:hAnsi="Times New Roman" w:cs="Times New Roman"/>
          <w:sz w:val="28"/>
          <w:szCs w:val="28"/>
        </w:rPr>
        <w:t xml:space="preserve">: il </w:t>
      </w:r>
      <w:r w:rsidR="00AA67CB">
        <w:rPr>
          <w:rFonts w:ascii="Times New Roman" w:hAnsi="Times New Roman" w:cs="Times New Roman"/>
          <w:sz w:val="28"/>
          <w:szCs w:val="28"/>
        </w:rPr>
        <w:t>P</w:t>
      </w:r>
      <w:r w:rsidRPr="00CE7580">
        <w:rPr>
          <w:rFonts w:ascii="Times New Roman" w:hAnsi="Times New Roman" w:cs="Times New Roman"/>
          <w:sz w:val="28"/>
          <w:szCs w:val="28"/>
        </w:rPr>
        <w:t>rof</w:t>
      </w:r>
      <w:r w:rsidR="00AA67CB">
        <w:rPr>
          <w:rFonts w:ascii="Times New Roman" w:hAnsi="Times New Roman" w:cs="Times New Roman"/>
          <w:sz w:val="28"/>
          <w:szCs w:val="28"/>
        </w:rPr>
        <w:t>essor</w:t>
      </w:r>
      <w:r w:rsidR="00B4442B" w:rsidRPr="00CE7580">
        <w:rPr>
          <w:rFonts w:ascii="Times New Roman" w:hAnsi="Times New Roman" w:cs="Times New Roman"/>
          <w:sz w:val="28"/>
          <w:szCs w:val="28"/>
        </w:rPr>
        <w:t xml:space="preserve"> </w:t>
      </w:r>
      <w:r w:rsidRPr="00CE7580">
        <w:rPr>
          <w:rFonts w:ascii="Times New Roman" w:hAnsi="Times New Roman" w:cs="Times New Roman"/>
          <w:sz w:val="28"/>
          <w:szCs w:val="28"/>
        </w:rPr>
        <w:t>Floridi</w:t>
      </w:r>
      <w:r w:rsidR="00B1413C" w:rsidRPr="00CE7580">
        <w:rPr>
          <w:rFonts w:ascii="Times New Roman" w:hAnsi="Times New Roman" w:cs="Times New Roman"/>
          <w:sz w:val="28"/>
          <w:szCs w:val="28"/>
        </w:rPr>
        <w:t>,</w:t>
      </w:r>
      <w:r w:rsidRPr="00CE7580">
        <w:rPr>
          <w:rFonts w:ascii="Times New Roman" w:hAnsi="Times New Roman" w:cs="Times New Roman"/>
          <w:sz w:val="28"/>
          <w:szCs w:val="28"/>
        </w:rPr>
        <w:t xml:space="preserve"> partendo dalla distinzione </w:t>
      </w:r>
      <w:r w:rsidRPr="00CE7580">
        <w:rPr>
          <w:rFonts w:ascii="Times New Roman" w:hAnsi="Times New Roman" w:cs="Times New Roman"/>
          <w:i/>
          <w:iCs/>
          <w:sz w:val="28"/>
          <w:szCs w:val="28"/>
        </w:rPr>
        <w:t>on</w:t>
      </w:r>
      <w:r w:rsidR="00CC0677" w:rsidRPr="00CE7580">
        <w:rPr>
          <w:rFonts w:ascii="Times New Roman" w:hAnsi="Times New Roman" w:cs="Times New Roman"/>
          <w:i/>
          <w:iCs/>
          <w:sz w:val="28"/>
          <w:szCs w:val="28"/>
        </w:rPr>
        <w:t>-</w:t>
      </w:r>
      <w:r w:rsidRPr="00CE7580">
        <w:rPr>
          <w:rFonts w:ascii="Times New Roman" w:hAnsi="Times New Roman" w:cs="Times New Roman"/>
          <w:i/>
          <w:iCs/>
          <w:sz w:val="28"/>
          <w:szCs w:val="28"/>
        </w:rPr>
        <w:t>line</w:t>
      </w:r>
      <w:r w:rsidRPr="00CE7580">
        <w:rPr>
          <w:rFonts w:ascii="Times New Roman" w:hAnsi="Times New Roman" w:cs="Times New Roman"/>
          <w:sz w:val="28"/>
          <w:szCs w:val="28"/>
        </w:rPr>
        <w:t xml:space="preserve"> e </w:t>
      </w:r>
      <w:r w:rsidRPr="00CE7580">
        <w:rPr>
          <w:rFonts w:ascii="Times New Roman" w:hAnsi="Times New Roman" w:cs="Times New Roman"/>
          <w:i/>
          <w:iCs/>
          <w:sz w:val="28"/>
          <w:szCs w:val="28"/>
        </w:rPr>
        <w:t>off-line</w:t>
      </w:r>
      <w:r w:rsidR="00B1413C" w:rsidRPr="00CE7580">
        <w:rPr>
          <w:rFonts w:ascii="Times New Roman" w:hAnsi="Times New Roman" w:cs="Times New Roman"/>
          <w:i/>
          <w:iCs/>
          <w:sz w:val="28"/>
          <w:szCs w:val="28"/>
        </w:rPr>
        <w:t>,</w:t>
      </w:r>
      <w:r w:rsidRPr="00CE7580">
        <w:rPr>
          <w:rFonts w:ascii="Times New Roman" w:hAnsi="Times New Roman" w:cs="Times New Roman"/>
          <w:sz w:val="28"/>
          <w:szCs w:val="28"/>
        </w:rPr>
        <w:t xml:space="preserve"> ha coniato il termine </w:t>
      </w:r>
      <w:proofErr w:type="spellStart"/>
      <w:r w:rsidRPr="00CE7580">
        <w:rPr>
          <w:rFonts w:ascii="Times New Roman" w:hAnsi="Times New Roman" w:cs="Times New Roman"/>
          <w:i/>
          <w:iCs/>
          <w:sz w:val="28"/>
          <w:szCs w:val="28"/>
        </w:rPr>
        <w:t>Onlife</w:t>
      </w:r>
      <w:proofErr w:type="spellEnd"/>
      <w:r w:rsidRPr="00CE7580">
        <w:rPr>
          <w:rFonts w:ascii="Times New Roman" w:hAnsi="Times New Roman" w:cs="Times New Roman"/>
          <w:sz w:val="28"/>
          <w:szCs w:val="28"/>
        </w:rPr>
        <w:t xml:space="preserve">, neologismo che sta ad indicare la necessità di collegare la </w:t>
      </w:r>
      <w:r w:rsidR="00B4442B" w:rsidRPr="00CE7580">
        <w:rPr>
          <w:rFonts w:ascii="Times New Roman" w:hAnsi="Times New Roman" w:cs="Times New Roman"/>
          <w:sz w:val="28"/>
          <w:szCs w:val="28"/>
        </w:rPr>
        <w:t>n</w:t>
      </w:r>
      <w:r w:rsidRPr="00CE7580">
        <w:rPr>
          <w:rFonts w:ascii="Times New Roman" w:hAnsi="Times New Roman" w:cs="Times New Roman"/>
          <w:sz w:val="28"/>
          <w:szCs w:val="28"/>
        </w:rPr>
        <w:t>ostra conoscenza alla dimensione della vita reale con l’introduzione dei filtri del nostro senso critico.</w:t>
      </w:r>
      <w:r w:rsidR="008C700D" w:rsidRPr="00CE7580">
        <w:rPr>
          <w:rFonts w:ascii="Times New Roman" w:hAnsi="Times New Roman" w:cs="Times New Roman"/>
          <w:sz w:val="28"/>
          <w:szCs w:val="28"/>
        </w:rPr>
        <w:t xml:space="preserve"> Ma tale senso critico e capacità di riflessione </w:t>
      </w:r>
      <w:r w:rsidR="00B1413C" w:rsidRPr="00CE7580">
        <w:rPr>
          <w:rFonts w:ascii="Times New Roman" w:hAnsi="Times New Roman" w:cs="Times New Roman"/>
          <w:sz w:val="28"/>
          <w:szCs w:val="28"/>
        </w:rPr>
        <w:t>sono duramente messi</w:t>
      </w:r>
      <w:r w:rsidR="008C700D" w:rsidRPr="00CE7580">
        <w:rPr>
          <w:rFonts w:ascii="Times New Roman" w:hAnsi="Times New Roman" w:cs="Times New Roman"/>
          <w:sz w:val="28"/>
          <w:szCs w:val="28"/>
        </w:rPr>
        <w:t xml:space="preserve"> sotto attacco da nuovi espedienti ingannatori della tecnologia</w:t>
      </w:r>
      <w:r w:rsidR="00AA67CB">
        <w:rPr>
          <w:rFonts w:ascii="Times New Roman" w:hAnsi="Times New Roman" w:cs="Times New Roman"/>
          <w:sz w:val="28"/>
          <w:szCs w:val="28"/>
        </w:rPr>
        <w:t>,</w:t>
      </w:r>
      <w:r w:rsidR="008C700D" w:rsidRPr="00CE7580">
        <w:rPr>
          <w:rFonts w:ascii="Times New Roman" w:hAnsi="Times New Roman" w:cs="Times New Roman"/>
          <w:sz w:val="28"/>
          <w:szCs w:val="28"/>
        </w:rPr>
        <w:t xml:space="preserve"> che rubano i nostri dati e la nostra identità digitale senza una nostra vera e propria consapevolezza. </w:t>
      </w:r>
    </w:p>
    <w:p w14:paraId="2852760E" w14:textId="77777777" w:rsidR="00AA67CB" w:rsidRDefault="008C700D" w:rsidP="0017321F">
      <w:pPr>
        <w:tabs>
          <w:tab w:val="left" w:pos="8364"/>
        </w:tabs>
        <w:spacing w:after="0"/>
        <w:jc w:val="both"/>
        <w:rPr>
          <w:rFonts w:ascii="Times New Roman" w:hAnsi="Times New Roman" w:cs="Times New Roman"/>
          <w:sz w:val="28"/>
          <w:szCs w:val="28"/>
        </w:rPr>
      </w:pPr>
      <w:r w:rsidRPr="00CE7580">
        <w:rPr>
          <w:rFonts w:ascii="Times New Roman" w:hAnsi="Times New Roman" w:cs="Times New Roman"/>
          <w:sz w:val="28"/>
          <w:szCs w:val="28"/>
        </w:rPr>
        <w:t>Si pensi al fenome</w:t>
      </w:r>
      <w:r w:rsidR="00CC0677" w:rsidRPr="00CE7580">
        <w:rPr>
          <w:rFonts w:ascii="Times New Roman" w:hAnsi="Times New Roman" w:cs="Times New Roman"/>
          <w:sz w:val="28"/>
          <w:szCs w:val="28"/>
        </w:rPr>
        <w:t>n</w:t>
      </w:r>
      <w:r w:rsidRPr="00CE7580">
        <w:rPr>
          <w:rFonts w:ascii="Times New Roman" w:hAnsi="Times New Roman" w:cs="Times New Roman"/>
          <w:sz w:val="28"/>
          <w:szCs w:val="28"/>
        </w:rPr>
        <w:t>o del c</w:t>
      </w:r>
      <w:r w:rsidR="00B1413C" w:rsidRPr="00CE7580">
        <w:rPr>
          <w:rFonts w:ascii="Times New Roman" w:hAnsi="Times New Roman" w:cs="Times New Roman"/>
          <w:sz w:val="28"/>
          <w:szCs w:val="28"/>
        </w:rPr>
        <w:t>.</w:t>
      </w:r>
      <w:r w:rsidRPr="00CE7580">
        <w:rPr>
          <w:rFonts w:ascii="Times New Roman" w:hAnsi="Times New Roman" w:cs="Times New Roman"/>
          <w:sz w:val="28"/>
          <w:szCs w:val="28"/>
        </w:rPr>
        <w:t>d</w:t>
      </w:r>
      <w:r w:rsidR="00B1413C" w:rsidRPr="00CE7580">
        <w:rPr>
          <w:rFonts w:ascii="Times New Roman" w:hAnsi="Times New Roman" w:cs="Times New Roman"/>
          <w:sz w:val="28"/>
          <w:szCs w:val="28"/>
        </w:rPr>
        <w:t>.</w:t>
      </w:r>
      <w:r w:rsidRPr="00CE7580">
        <w:rPr>
          <w:rFonts w:ascii="Times New Roman" w:hAnsi="Times New Roman" w:cs="Times New Roman"/>
          <w:sz w:val="28"/>
          <w:szCs w:val="28"/>
        </w:rPr>
        <w:t xml:space="preserve"> “</w:t>
      </w:r>
      <w:proofErr w:type="spellStart"/>
      <w:r w:rsidRPr="00CE7580">
        <w:rPr>
          <w:rFonts w:ascii="Times New Roman" w:hAnsi="Times New Roman" w:cs="Times New Roman"/>
          <w:i/>
          <w:iCs/>
          <w:sz w:val="28"/>
          <w:szCs w:val="28"/>
        </w:rPr>
        <w:t>Flubot</w:t>
      </w:r>
      <w:proofErr w:type="spellEnd"/>
      <w:r w:rsidRPr="00CE7580">
        <w:rPr>
          <w:rFonts w:ascii="Times New Roman" w:hAnsi="Times New Roman" w:cs="Times New Roman"/>
          <w:sz w:val="28"/>
          <w:szCs w:val="28"/>
        </w:rPr>
        <w:t xml:space="preserve">”: è uno </w:t>
      </w:r>
      <w:proofErr w:type="spellStart"/>
      <w:r w:rsidRPr="00CE7580">
        <w:rPr>
          <w:rFonts w:ascii="Times New Roman" w:hAnsi="Times New Roman" w:cs="Times New Roman"/>
          <w:i/>
          <w:iCs/>
          <w:sz w:val="28"/>
          <w:szCs w:val="28"/>
        </w:rPr>
        <w:t>spyware</w:t>
      </w:r>
      <w:proofErr w:type="spellEnd"/>
      <w:r w:rsidRPr="00CE7580">
        <w:rPr>
          <w:rFonts w:ascii="Times New Roman" w:hAnsi="Times New Roman" w:cs="Times New Roman"/>
          <w:sz w:val="28"/>
          <w:szCs w:val="28"/>
        </w:rPr>
        <w:t xml:space="preserve">, ovvero un </w:t>
      </w:r>
      <w:r w:rsidRPr="00AA67CB">
        <w:rPr>
          <w:rFonts w:ascii="Times New Roman" w:hAnsi="Times New Roman" w:cs="Times New Roman"/>
          <w:i/>
          <w:iCs/>
          <w:sz w:val="28"/>
          <w:szCs w:val="28"/>
        </w:rPr>
        <w:t>software</w:t>
      </w:r>
      <w:r w:rsidRPr="00CE7580">
        <w:rPr>
          <w:rFonts w:ascii="Times New Roman" w:hAnsi="Times New Roman" w:cs="Times New Roman"/>
          <w:sz w:val="28"/>
          <w:szCs w:val="28"/>
        </w:rPr>
        <w:t xml:space="preserve"> che</w:t>
      </w:r>
      <w:r w:rsidR="00AA67CB">
        <w:rPr>
          <w:rFonts w:ascii="Times New Roman" w:hAnsi="Times New Roman" w:cs="Times New Roman"/>
          <w:sz w:val="28"/>
          <w:szCs w:val="28"/>
        </w:rPr>
        <w:t>,</w:t>
      </w:r>
      <w:r w:rsidRPr="00CE7580">
        <w:rPr>
          <w:rFonts w:ascii="Times New Roman" w:hAnsi="Times New Roman" w:cs="Times New Roman"/>
          <w:sz w:val="28"/>
          <w:szCs w:val="28"/>
        </w:rPr>
        <w:t xml:space="preserve"> a nostra insaputa</w:t>
      </w:r>
      <w:r w:rsidR="00AA67CB">
        <w:rPr>
          <w:rFonts w:ascii="Times New Roman" w:hAnsi="Times New Roman" w:cs="Times New Roman"/>
          <w:sz w:val="28"/>
          <w:szCs w:val="28"/>
        </w:rPr>
        <w:t>,</w:t>
      </w:r>
      <w:r w:rsidRPr="00CE7580">
        <w:rPr>
          <w:rFonts w:ascii="Times New Roman" w:hAnsi="Times New Roman" w:cs="Times New Roman"/>
          <w:sz w:val="28"/>
          <w:szCs w:val="28"/>
        </w:rPr>
        <w:t xml:space="preserve"> può essere installato sullo </w:t>
      </w:r>
      <w:proofErr w:type="spellStart"/>
      <w:r w:rsidRPr="00AA67CB">
        <w:rPr>
          <w:rFonts w:ascii="Times New Roman" w:hAnsi="Times New Roman" w:cs="Times New Roman"/>
          <w:i/>
          <w:iCs/>
          <w:sz w:val="28"/>
          <w:szCs w:val="28"/>
        </w:rPr>
        <w:t>smartphone</w:t>
      </w:r>
      <w:proofErr w:type="spellEnd"/>
      <w:r>
        <w:rPr>
          <w:rFonts w:ascii="Times New Roman" w:hAnsi="Times New Roman" w:cs="Times New Roman"/>
          <w:sz w:val="28"/>
          <w:szCs w:val="28"/>
        </w:rPr>
        <w:t xml:space="preserve"> per rubare password e altri dati riservati. </w:t>
      </w:r>
      <w:proofErr w:type="spellStart"/>
      <w:r w:rsidRPr="00EB4A1B">
        <w:rPr>
          <w:rFonts w:ascii="Times New Roman" w:hAnsi="Times New Roman" w:cs="Times New Roman"/>
          <w:i/>
          <w:iCs/>
          <w:sz w:val="28"/>
          <w:szCs w:val="28"/>
        </w:rPr>
        <w:t>Flubot</w:t>
      </w:r>
      <w:proofErr w:type="spellEnd"/>
      <w:r>
        <w:rPr>
          <w:rFonts w:ascii="Times New Roman" w:hAnsi="Times New Roman" w:cs="Times New Roman"/>
          <w:sz w:val="28"/>
          <w:szCs w:val="28"/>
        </w:rPr>
        <w:t xml:space="preserve"> invia un banale messaggio di testo che notifica, ad esempio, il ritardo di una consegna da parte di aziende di trasporto. L’utente legge il messaggio ed inconsapevolmente consente l’accesso ai propri dati riservati. </w:t>
      </w:r>
    </w:p>
    <w:p w14:paraId="39AF198F" w14:textId="77777777" w:rsidR="00AA67CB" w:rsidRDefault="00AA67CB" w:rsidP="0017321F">
      <w:pPr>
        <w:tabs>
          <w:tab w:val="left" w:pos="8364"/>
        </w:tabs>
        <w:spacing w:after="0"/>
        <w:jc w:val="both"/>
        <w:rPr>
          <w:rFonts w:ascii="Times New Roman" w:hAnsi="Times New Roman" w:cs="Times New Roman"/>
          <w:sz w:val="28"/>
          <w:szCs w:val="28"/>
        </w:rPr>
      </w:pPr>
    </w:p>
    <w:p w14:paraId="2ACABFEF" w14:textId="77777777" w:rsidR="00AA67CB" w:rsidRDefault="008C700D"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Certamente la tecnologia non ha solo aspetti negativi</w:t>
      </w:r>
      <w:r w:rsidR="00644EF1">
        <w:rPr>
          <w:rFonts w:ascii="Times New Roman" w:hAnsi="Times New Roman" w:cs="Times New Roman"/>
          <w:sz w:val="28"/>
          <w:szCs w:val="28"/>
        </w:rPr>
        <w:t>, può assicurare livelli di sicurezza</w:t>
      </w:r>
      <w:r>
        <w:rPr>
          <w:rFonts w:ascii="Times New Roman" w:hAnsi="Times New Roman" w:cs="Times New Roman"/>
          <w:sz w:val="28"/>
          <w:szCs w:val="28"/>
        </w:rPr>
        <w:t xml:space="preserve">. Si pensi all’utilità della </w:t>
      </w:r>
      <w:proofErr w:type="spellStart"/>
      <w:r w:rsidRPr="003749BF">
        <w:rPr>
          <w:rFonts w:ascii="Times New Roman" w:hAnsi="Times New Roman" w:cs="Times New Roman"/>
          <w:i/>
          <w:iCs/>
          <w:sz w:val="28"/>
          <w:szCs w:val="28"/>
        </w:rPr>
        <w:t>Blockchain</w:t>
      </w:r>
      <w:proofErr w:type="spellEnd"/>
      <w:r w:rsidR="00B4442B">
        <w:rPr>
          <w:rStyle w:val="Rimandonotaapidipagina"/>
          <w:rFonts w:ascii="Times New Roman" w:hAnsi="Times New Roman" w:cs="Times New Roman"/>
          <w:sz w:val="28"/>
          <w:szCs w:val="28"/>
        </w:rPr>
        <w:footnoteReference w:id="125"/>
      </w:r>
      <w:r w:rsidR="00B4442B">
        <w:rPr>
          <w:rFonts w:ascii="Times New Roman" w:hAnsi="Times New Roman" w:cs="Times New Roman"/>
          <w:sz w:val="28"/>
          <w:szCs w:val="28"/>
        </w:rPr>
        <w:t xml:space="preserve">: </w:t>
      </w:r>
      <w:r>
        <w:rPr>
          <w:rFonts w:ascii="Times New Roman" w:hAnsi="Times New Roman" w:cs="Times New Roman"/>
          <w:sz w:val="28"/>
          <w:szCs w:val="28"/>
        </w:rPr>
        <w:t>un registro decent</w:t>
      </w:r>
      <w:r w:rsidR="00CC0677">
        <w:rPr>
          <w:rFonts w:ascii="Times New Roman" w:hAnsi="Times New Roman" w:cs="Times New Roman"/>
          <w:sz w:val="28"/>
          <w:szCs w:val="28"/>
        </w:rPr>
        <w:t>ra</w:t>
      </w:r>
      <w:r>
        <w:rPr>
          <w:rFonts w:ascii="Times New Roman" w:hAnsi="Times New Roman" w:cs="Times New Roman"/>
          <w:sz w:val="28"/>
          <w:szCs w:val="28"/>
        </w:rPr>
        <w:t xml:space="preserve">to in forma digitale basato su un linguaggio crittografico </w:t>
      </w:r>
      <w:proofErr w:type="spellStart"/>
      <w:r w:rsidRPr="00CC0677">
        <w:rPr>
          <w:rFonts w:ascii="Times New Roman" w:hAnsi="Times New Roman" w:cs="Times New Roman"/>
          <w:i/>
          <w:iCs/>
          <w:sz w:val="28"/>
          <w:szCs w:val="28"/>
        </w:rPr>
        <w:t>hash</w:t>
      </w:r>
      <w:proofErr w:type="spellEnd"/>
      <w:r>
        <w:rPr>
          <w:rFonts w:ascii="Times New Roman" w:hAnsi="Times New Roman" w:cs="Times New Roman"/>
          <w:sz w:val="28"/>
          <w:szCs w:val="28"/>
        </w:rPr>
        <w:t xml:space="preserve"> e in grado di contenere una serie infinita di dati. Esso è composto da più blocchi</w:t>
      </w:r>
      <w:r w:rsidR="00AA67CB">
        <w:rPr>
          <w:rFonts w:ascii="Times New Roman" w:hAnsi="Times New Roman" w:cs="Times New Roman"/>
          <w:sz w:val="28"/>
          <w:szCs w:val="28"/>
        </w:rPr>
        <w:t>,</w:t>
      </w:r>
      <w:r>
        <w:rPr>
          <w:rFonts w:ascii="Times New Roman" w:hAnsi="Times New Roman" w:cs="Times New Roman"/>
          <w:sz w:val="28"/>
          <w:szCs w:val="28"/>
        </w:rPr>
        <w:t xml:space="preserve"> legati l’uno all’altro</w:t>
      </w:r>
      <w:r w:rsidR="00AA67CB">
        <w:rPr>
          <w:rFonts w:ascii="Times New Roman" w:hAnsi="Times New Roman" w:cs="Times New Roman"/>
          <w:sz w:val="28"/>
          <w:szCs w:val="28"/>
        </w:rPr>
        <w:t>,</w:t>
      </w:r>
      <w:r>
        <w:rPr>
          <w:rFonts w:ascii="Times New Roman" w:hAnsi="Times New Roman" w:cs="Times New Roman"/>
          <w:sz w:val="28"/>
          <w:szCs w:val="28"/>
        </w:rPr>
        <w:t xml:space="preserve"> nei quali sono registrate le informazioni, distribuiti all’interno da una rete composta da più nodi. </w:t>
      </w:r>
    </w:p>
    <w:p w14:paraId="7C155D84" w14:textId="77777777" w:rsidR="00AA67CB" w:rsidRDefault="008C700D"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Una volta registrati</w:t>
      </w:r>
      <w:r w:rsidR="00D867EB">
        <w:rPr>
          <w:rFonts w:ascii="Times New Roman" w:hAnsi="Times New Roman" w:cs="Times New Roman"/>
          <w:sz w:val="28"/>
          <w:szCs w:val="28"/>
        </w:rPr>
        <w:t>,</w:t>
      </w:r>
      <w:r>
        <w:rPr>
          <w:rFonts w:ascii="Times New Roman" w:hAnsi="Times New Roman" w:cs="Times New Roman"/>
          <w:sz w:val="28"/>
          <w:szCs w:val="28"/>
        </w:rPr>
        <w:t xml:space="preserve"> tali blocchi non sono più modificabili </w:t>
      </w:r>
      <w:r w:rsidR="00CC0677">
        <w:rPr>
          <w:rFonts w:ascii="Times New Roman" w:hAnsi="Times New Roman" w:cs="Times New Roman"/>
          <w:sz w:val="28"/>
          <w:szCs w:val="28"/>
        </w:rPr>
        <w:t xml:space="preserve">senza invalidare l’intera struttura e sono così costantemente controllati da tutti i nodi della rete. Questo significa </w:t>
      </w:r>
      <w:r w:rsidR="00CC0677">
        <w:rPr>
          <w:rFonts w:ascii="Times New Roman" w:hAnsi="Times New Roman" w:cs="Times New Roman"/>
          <w:sz w:val="28"/>
          <w:szCs w:val="28"/>
        </w:rPr>
        <w:lastRenderedPageBreak/>
        <w:t xml:space="preserve">che una </w:t>
      </w:r>
      <w:proofErr w:type="spellStart"/>
      <w:r w:rsidR="00CC0677" w:rsidRPr="00D867EB">
        <w:rPr>
          <w:rFonts w:ascii="Times New Roman" w:hAnsi="Times New Roman" w:cs="Times New Roman"/>
          <w:i/>
          <w:iCs/>
          <w:sz w:val="28"/>
          <w:szCs w:val="28"/>
        </w:rPr>
        <w:t>blockchain</w:t>
      </w:r>
      <w:proofErr w:type="spellEnd"/>
      <w:r w:rsidR="00CC0677">
        <w:rPr>
          <w:rFonts w:ascii="Times New Roman" w:hAnsi="Times New Roman" w:cs="Times New Roman"/>
          <w:sz w:val="28"/>
          <w:szCs w:val="28"/>
        </w:rPr>
        <w:t xml:space="preserve"> garantisce un livello di sicurezza e trasparenza assoluta assicurando, ad esempio, che una transazione sia sempre tracciabile. </w:t>
      </w:r>
    </w:p>
    <w:p w14:paraId="681D88A8" w14:textId="77777777" w:rsidR="00AA67CB" w:rsidRDefault="00CC0677" w:rsidP="0017321F">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Si pensi alla tutela del diritto d’autore tramite </w:t>
      </w:r>
      <w:proofErr w:type="spellStart"/>
      <w:r w:rsidRPr="00D867EB">
        <w:rPr>
          <w:rFonts w:ascii="Times New Roman" w:hAnsi="Times New Roman" w:cs="Times New Roman"/>
          <w:i/>
          <w:iCs/>
          <w:sz w:val="28"/>
          <w:szCs w:val="28"/>
        </w:rPr>
        <w:t>blockchain</w:t>
      </w:r>
      <w:proofErr w:type="spellEnd"/>
      <w:r>
        <w:rPr>
          <w:rFonts w:ascii="Times New Roman" w:hAnsi="Times New Roman" w:cs="Times New Roman"/>
          <w:sz w:val="28"/>
          <w:szCs w:val="28"/>
        </w:rPr>
        <w:t xml:space="preserve"> </w:t>
      </w:r>
      <w:r w:rsidR="00D867EB">
        <w:rPr>
          <w:rFonts w:ascii="Times New Roman" w:hAnsi="Times New Roman" w:cs="Times New Roman"/>
          <w:sz w:val="28"/>
          <w:szCs w:val="28"/>
        </w:rPr>
        <w:t>(</w:t>
      </w:r>
      <w:r>
        <w:rPr>
          <w:rFonts w:ascii="Times New Roman" w:hAnsi="Times New Roman" w:cs="Times New Roman"/>
          <w:sz w:val="28"/>
          <w:szCs w:val="28"/>
        </w:rPr>
        <w:t>c</w:t>
      </w:r>
      <w:r w:rsidR="00D867EB">
        <w:rPr>
          <w:rFonts w:ascii="Times New Roman" w:hAnsi="Times New Roman" w:cs="Times New Roman"/>
          <w:sz w:val="28"/>
          <w:szCs w:val="28"/>
        </w:rPr>
        <w:t>.</w:t>
      </w:r>
      <w:r>
        <w:rPr>
          <w:rFonts w:ascii="Times New Roman" w:hAnsi="Times New Roman" w:cs="Times New Roman"/>
          <w:sz w:val="28"/>
          <w:szCs w:val="28"/>
        </w:rPr>
        <w:t>d</w:t>
      </w:r>
      <w:r w:rsidR="00D867E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A67CB">
        <w:rPr>
          <w:rFonts w:ascii="Times New Roman" w:hAnsi="Times New Roman" w:cs="Times New Roman"/>
          <w:i/>
          <w:iCs/>
          <w:sz w:val="28"/>
          <w:szCs w:val="28"/>
        </w:rPr>
        <w:t>tokenizzazione</w:t>
      </w:r>
      <w:proofErr w:type="spellEnd"/>
      <w:r w:rsidR="00D867EB" w:rsidRPr="00AA67CB">
        <w:rPr>
          <w:rFonts w:ascii="Times New Roman" w:hAnsi="Times New Roman" w:cs="Times New Roman"/>
          <w:i/>
          <w:iCs/>
          <w:sz w:val="28"/>
          <w:szCs w:val="28"/>
        </w:rPr>
        <w:t>)</w:t>
      </w:r>
      <w:r w:rsidRPr="00AA67CB">
        <w:rPr>
          <w:rFonts w:ascii="Times New Roman" w:hAnsi="Times New Roman" w:cs="Times New Roman"/>
          <w:sz w:val="28"/>
          <w:szCs w:val="28"/>
        </w:rPr>
        <w:t>, cioè</w:t>
      </w:r>
      <w:r>
        <w:rPr>
          <w:rFonts w:ascii="Times New Roman" w:hAnsi="Times New Roman" w:cs="Times New Roman"/>
          <w:sz w:val="28"/>
          <w:szCs w:val="28"/>
        </w:rPr>
        <w:t xml:space="preserve"> la conve</w:t>
      </w:r>
      <w:r w:rsidR="008D24E3">
        <w:rPr>
          <w:rFonts w:ascii="Times New Roman" w:hAnsi="Times New Roman" w:cs="Times New Roman"/>
          <w:sz w:val="28"/>
          <w:szCs w:val="28"/>
        </w:rPr>
        <w:t>r</w:t>
      </w:r>
      <w:r>
        <w:rPr>
          <w:rFonts w:ascii="Times New Roman" w:hAnsi="Times New Roman" w:cs="Times New Roman"/>
          <w:sz w:val="28"/>
          <w:szCs w:val="28"/>
        </w:rPr>
        <w:t xml:space="preserve">sione dei diritti di un bene in un </w:t>
      </w:r>
      <w:proofErr w:type="spellStart"/>
      <w:r w:rsidRPr="00D867EB">
        <w:rPr>
          <w:rFonts w:ascii="Times New Roman" w:hAnsi="Times New Roman" w:cs="Times New Roman"/>
          <w:i/>
          <w:iCs/>
          <w:sz w:val="28"/>
          <w:szCs w:val="28"/>
        </w:rPr>
        <w:t>token</w:t>
      </w:r>
      <w:proofErr w:type="spellEnd"/>
      <w:r>
        <w:rPr>
          <w:rFonts w:ascii="Times New Roman" w:hAnsi="Times New Roman" w:cs="Times New Roman"/>
          <w:sz w:val="28"/>
          <w:szCs w:val="28"/>
        </w:rPr>
        <w:t xml:space="preserve"> digitale delle varie identità degli autori che verranno poi associate alle varie opere mediante database contenenti tutti i dati registrate dalla SIAE, c</w:t>
      </w:r>
      <w:r w:rsidR="00D867EB">
        <w:rPr>
          <w:rFonts w:ascii="Times New Roman" w:hAnsi="Times New Roman" w:cs="Times New Roman"/>
          <w:sz w:val="28"/>
          <w:szCs w:val="28"/>
        </w:rPr>
        <w:t>.</w:t>
      </w:r>
      <w:r>
        <w:rPr>
          <w:rFonts w:ascii="Times New Roman" w:hAnsi="Times New Roman" w:cs="Times New Roman"/>
          <w:sz w:val="28"/>
          <w:szCs w:val="28"/>
        </w:rPr>
        <w:t>d</w:t>
      </w:r>
      <w:r w:rsidR="00D867EB">
        <w:rPr>
          <w:rFonts w:ascii="Times New Roman" w:hAnsi="Times New Roman" w:cs="Times New Roman"/>
          <w:sz w:val="28"/>
          <w:szCs w:val="28"/>
        </w:rPr>
        <w:t>.</w:t>
      </w:r>
      <w:r>
        <w:rPr>
          <w:rFonts w:ascii="Times New Roman" w:hAnsi="Times New Roman" w:cs="Times New Roman"/>
          <w:sz w:val="28"/>
          <w:szCs w:val="28"/>
        </w:rPr>
        <w:t xml:space="preserve"> NFT, “</w:t>
      </w:r>
      <w:r w:rsidRPr="00CC0677">
        <w:rPr>
          <w:rFonts w:ascii="Times New Roman" w:hAnsi="Times New Roman" w:cs="Times New Roman"/>
          <w:i/>
          <w:iCs/>
          <w:sz w:val="28"/>
          <w:szCs w:val="28"/>
        </w:rPr>
        <w:t xml:space="preserve">non </w:t>
      </w:r>
      <w:proofErr w:type="spellStart"/>
      <w:r w:rsidRPr="00CC0677">
        <w:rPr>
          <w:rFonts w:ascii="Times New Roman" w:hAnsi="Times New Roman" w:cs="Times New Roman"/>
          <w:i/>
          <w:iCs/>
          <w:sz w:val="28"/>
          <w:szCs w:val="28"/>
        </w:rPr>
        <w:t>fungible</w:t>
      </w:r>
      <w:proofErr w:type="spellEnd"/>
      <w:r w:rsidRPr="00CC0677">
        <w:rPr>
          <w:rFonts w:ascii="Times New Roman" w:hAnsi="Times New Roman" w:cs="Times New Roman"/>
          <w:i/>
          <w:iCs/>
          <w:sz w:val="28"/>
          <w:szCs w:val="28"/>
        </w:rPr>
        <w:t xml:space="preserve"> </w:t>
      </w:r>
      <w:proofErr w:type="spellStart"/>
      <w:r w:rsidRPr="00CC0677">
        <w:rPr>
          <w:rFonts w:ascii="Times New Roman" w:hAnsi="Times New Roman" w:cs="Times New Roman"/>
          <w:i/>
          <w:iCs/>
          <w:sz w:val="28"/>
          <w:szCs w:val="28"/>
        </w:rPr>
        <w:t>token</w:t>
      </w:r>
      <w:proofErr w:type="spellEnd"/>
      <w:r>
        <w:rPr>
          <w:rFonts w:ascii="Times New Roman" w:hAnsi="Times New Roman" w:cs="Times New Roman"/>
          <w:i/>
          <w:iCs/>
          <w:sz w:val="28"/>
          <w:szCs w:val="28"/>
        </w:rPr>
        <w:t xml:space="preserve">”. </w:t>
      </w:r>
    </w:p>
    <w:p w14:paraId="51B53016" w14:textId="77777777" w:rsidR="00AA67CB" w:rsidRDefault="00CC0677" w:rsidP="0017321F">
      <w:pPr>
        <w:tabs>
          <w:tab w:val="left" w:pos="8364"/>
        </w:tabs>
        <w:spacing w:after="0"/>
        <w:jc w:val="both"/>
        <w:rPr>
          <w:rFonts w:ascii="Times New Roman" w:hAnsi="Times New Roman" w:cs="Times New Roman"/>
          <w:sz w:val="28"/>
          <w:szCs w:val="28"/>
        </w:rPr>
      </w:pPr>
      <w:r w:rsidRPr="00CC0677">
        <w:rPr>
          <w:rFonts w:ascii="Times New Roman" w:hAnsi="Times New Roman" w:cs="Times New Roman"/>
          <w:sz w:val="28"/>
          <w:szCs w:val="28"/>
        </w:rPr>
        <w:t>Viene in rilievo</w:t>
      </w:r>
      <w:r w:rsidR="00D867EB">
        <w:rPr>
          <w:rFonts w:ascii="Times New Roman" w:hAnsi="Times New Roman" w:cs="Times New Roman"/>
          <w:sz w:val="28"/>
          <w:szCs w:val="28"/>
        </w:rPr>
        <w:t>,</w:t>
      </w:r>
      <w:r w:rsidRPr="00CC0677">
        <w:rPr>
          <w:rFonts w:ascii="Times New Roman" w:hAnsi="Times New Roman" w:cs="Times New Roman"/>
          <w:sz w:val="28"/>
          <w:szCs w:val="28"/>
        </w:rPr>
        <w:t xml:space="preserve"> in questi esempi</w:t>
      </w:r>
      <w:r w:rsidR="00D867EB">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il concetto di “</w:t>
      </w:r>
      <w:r w:rsidRPr="00CC0677">
        <w:rPr>
          <w:rFonts w:ascii="Times New Roman" w:hAnsi="Times New Roman" w:cs="Times New Roman"/>
          <w:i/>
          <w:iCs/>
          <w:sz w:val="28"/>
          <w:szCs w:val="28"/>
        </w:rPr>
        <w:t>sicurezza funzionale</w:t>
      </w:r>
      <w:r>
        <w:rPr>
          <w:rFonts w:ascii="Times New Roman" w:hAnsi="Times New Roman" w:cs="Times New Roman"/>
          <w:sz w:val="28"/>
          <w:szCs w:val="28"/>
        </w:rPr>
        <w:t>” della tecnologia. Il sociologo tedesco</w:t>
      </w:r>
      <w:r w:rsidR="00C36D09">
        <w:rPr>
          <w:rFonts w:ascii="Times New Roman" w:hAnsi="Times New Roman" w:cs="Times New Roman"/>
          <w:sz w:val="28"/>
          <w:szCs w:val="28"/>
        </w:rPr>
        <w:t xml:space="preserve"> Ulrich Deck parlava della “società del rischio”</w:t>
      </w:r>
      <w:r w:rsidR="00D867EB">
        <w:rPr>
          <w:rFonts w:ascii="Times New Roman" w:hAnsi="Times New Roman" w:cs="Times New Roman"/>
          <w:sz w:val="28"/>
          <w:szCs w:val="28"/>
        </w:rPr>
        <w:t xml:space="preserve">, </w:t>
      </w:r>
      <w:proofErr w:type="spellStart"/>
      <w:r w:rsidR="00C36D09" w:rsidRPr="00C36D09">
        <w:rPr>
          <w:rFonts w:ascii="Times New Roman" w:hAnsi="Times New Roman" w:cs="Times New Roman"/>
          <w:i/>
          <w:iCs/>
          <w:sz w:val="28"/>
          <w:szCs w:val="28"/>
        </w:rPr>
        <w:t>Risiko</w:t>
      </w:r>
      <w:r w:rsidR="008D24E3">
        <w:rPr>
          <w:rFonts w:ascii="Times New Roman" w:hAnsi="Times New Roman" w:cs="Times New Roman"/>
          <w:i/>
          <w:iCs/>
          <w:sz w:val="28"/>
          <w:szCs w:val="28"/>
        </w:rPr>
        <w:t>g</w:t>
      </w:r>
      <w:r w:rsidR="00C36D09" w:rsidRPr="00C36D09">
        <w:rPr>
          <w:rFonts w:ascii="Times New Roman" w:hAnsi="Times New Roman" w:cs="Times New Roman"/>
          <w:i/>
          <w:iCs/>
          <w:sz w:val="28"/>
          <w:szCs w:val="28"/>
        </w:rPr>
        <w:t>esellschaft</w:t>
      </w:r>
      <w:proofErr w:type="spellEnd"/>
      <w:r w:rsidR="00C36D09">
        <w:rPr>
          <w:rFonts w:ascii="Times New Roman" w:hAnsi="Times New Roman" w:cs="Times New Roman"/>
          <w:i/>
          <w:iCs/>
          <w:sz w:val="28"/>
          <w:szCs w:val="28"/>
        </w:rPr>
        <w:t xml:space="preserve">, cultura dell’incertezza e rischio residuale: </w:t>
      </w:r>
      <w:r w:rsidR="00C36D09" w:rsidRPr="00C36D09">
        <w:rPr>
          <w:rFonts w:ascii="Times New Roman" w:hAnsi="Times New Roman" w:cs="Times New Roman"/>
          <w:sz w:val="28"/>
          <w:szCs w:val="28"/>
        </w:rPr>
        <w:t xml:space="preserve">tale dimensione del rischio è </w:t>
      </w:r>
      <w:r w:rsidR="00C36D09">
        <w:rPr>
          <w:rFonts w:ascii="Times New Roman" w:hAnsi="Times New Roman" w:cs="Times New Roman"/>
          <w:sz w:val="28"/>
          <w:szCs w:val="28"/>
        </w:rPr>
        <w:t>dovuta all’accelerazione tecnologica che stiamo vivendo</w:t>
      </w:r>
      <w:r w:rsidR="00AA67CB">
        <w:rPr>
          <w:rFonts w:ascii="Times New Roman" w:hAnsi="Times New Roman" w:cs="Times New Roman"/>
          <w:sz w:val="28"/>
          <w:szCs w:val="28"/>
        </w:rPr>
        <w:t>,</w:t>
      </w:r>
      <w:r w:rsidR="00C36D09">
        <w:rPr>
          <w:rFonts w:ascii="Times New Roman" w:hAnsi="Times New Roman" w:cs="Times New Roman"/>
          <w:sz w:val="28"/>
          <w:szCs w:val="28"/>
        </w:rPr>
        <w:t xml:space="preserve"> non solo sotto il profilo sanzionatorio, ma anche sotto il profilo culturale. Di qui l’importanza delle Autorità </w:t>
      </w:r>
      <w:proofErr w:type="spellStart"/>
      <w:r w:rsidR="00C36D09">
        <w:rPr>
          <w:rFonts w:ascii="Times New Roman" w:hAnsi="Times New Roman" w:cs="Times New Roman"/>
          <w:sz w:val="28"/>
          <w:szCs w:val="28"/>
        </w:rPr>
        <w:t>regolatorie</w:t>
      </w:r>
      <w:proofErr w:type="spellEnd"/>
      <w:r w:rsidR="00C36D09">
        <w:rPr>
          <w:rFonts w:ascii="Times New Roman" w:hAnsi="Times New Roman" w:cs="Times New Roman"/>
          <w:sz w:val="28"/>
          <w:szCs w:val="28"/>
        </w:rPr>
        <w:t xml:space="preserve">, quali arbitri che non devono indicare soluzioni, ma valutare la correttezza di quelle adottate nel rispetto del principio </w:t>
      </w:r>
      <w:r w:rsidR="00C36D09" w:rsidRPr="00C36D09">
        <w:rPr>
          <w:rFonts w:ascii="Times New Roman" w:hAnsi="Times New Roman" w:cs="Times New Roman"/>
          <w:sz w:val="28"/>
          <w:szCs w:val="28"/>
        </w:rPr>
        <w:t>dell’</w:t>
      </w:r>
      <w:proofErr w:type="spellStart"/>
      <w:r w:rsidR="00C36D09" w:rsidRPr="00C36D09">
        <w:rPr>
          <w:rFonts w:ascii="Times New Roman" w:hAnsi="Times New Roman" w:cs="Times New Roman"/>
          <w:i/>
          <w:iCs/>
          <w:sz w:val="28"/>
          <w:szCs w:val="28"/>
        </w:rPr>
        <w:t>accountability</w:t>
      </w:r>
      <w:proofErr w:type="spellEnd"/>
      <w:r w:rsidR="00C36D09" w:rsidRPr="00C36D09">
        <w:rPr>
          <w:rFonts w:ascii="Times New Roman" w:hAnsi="Times New Roman" w:cs="Times New Roman"/>
          <w:i/>
          <w:iCs/>
          <w:sz w:val="28"/>
          <w:szCs w:val="28"/>
        </w:rPr>
        <w:t>.</w:t>
      </w:r>
      <w:r w:rsidR="00C36D09">
        <w:rPr>
          <w:rFonts w:ascii="Times New Roman" w:hAnsi="Times New Roman" w:cs="Times New Roman"/>
          <w:sz w:val="28"/>
          <w:szCs w:val="28"/>
        </w:rPr>
        <w:t xml:space="preserve"> </w:t>
      </w:r>
    </w:p>
    <w:p w14:paraId="3FFDBC9C" w14:textId="77777777" w:rsidR="00AA67CB" w:rsidRDefault="00C36D09"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Commissione Europea sollecita gli Stati membri non con regole, ma con obiettivi nella regolamentazione delle piattaforme digitali, cercando di affermare uno “</w:t>
      </w:r>
      <w:r w:rsidRPr="00C36D09">
        <w:rPr>
          <w:rFonts w:ascii="Times New Roman" w:hAnsi="Times New Roman" w:cs="Times New Roman"/>
          <w:i/>
          <w:iCs/>
          <w:sz w:val="28"/>
          <w:szCs w:val="28"/>
        </w:rPr>
        <w:t xml:space="preserve">standard europeo </w:t>
      </w:r>
      <w:proofErr w:type="spellStart"/>
      <w:r w:rsidRPr="00C36D09">
        <w:rPr>
          <w:rFonts w:ascii="Times New Roman" w:hAnsi="Times New Roman" w:cs="Times New Roman"/>
          <w:i/>
          <w:iCs/>
          <w:sz w:val="28"/>
          <w:szCs w:val="28"/>
        </w:rPr>
        <w:t>regolatorio</w:t>
      </w:r>
      <w:proofErr w:type="spellEnd"/>
      <w:r w:rsidRPr="00C36D09">
        <w:rPr>
          <w:rFonts w:ascii="Times New Roman" w:hAnsi="Times New Roman" w:cs="Times New Roman"/>
          <w:i/>
          <w:iCs/>
          <w:sz w:val="28"/>
          <w:szCs w:val="28"/>
        </w:rPr>
        <w:t>”</w:t>
      </w:r>
      <w:r>
        <w:rPr>
          <w:rFonts w:ascii="Times New Roman" w:hAnsi="Times New Roman" w:cs="Times New Roman"/>
          <w:i/>
          <w:iCs/>
          <w:sz w:val="28"/>
          <w:szCs w:val="28"/>
        </w:rPr>
        <w:t xml:space="preserve"> </w:t>
      </w:r>
      <w:r w:rsidRPr="008D24E3">
        <w:rPr>
          <w:rFonts w:ascii="Times New Roman" w:hAnsi="Times New Roman" w:cs="Times New Roman"/>
          <w:sz w:val="28"/>
          <w:szCs w:val="28"/>
        </w:rPr>
        <w:t>per la</w:t>
      </w:r>
      <w:r>
        <w:rPr>
          <w:rFonts w:ascii="Times New Roman" w:hAnsi="Times New Roman" w:cs="Times New Roman"/>
          <w:i/>
          <w:iCs/>
          <w:sz w:val="28"/>
          <w:szCs w:val="28"/>
        </w:rPr>
        <w:t xml:space="preserve"> </w:t>
      </w:r>
      <w:r w:rsidRPr="008D24E3">
        <w:rPr>
          <w:rFonts w:ascii="Times New Roman" w:hAnsi="Times New Roman" w:cs="Times New Roman"/>
          <w:sz w:val="28"/>
          <w:szCs w:val="28"/>
        </w:rPr>
        <w:t>definizione del nuovo</w:t>
      </w:r>
      <w:r>
        <w:rPr>
          <w:rFonts w:ascii="Times New Roman" w:hAnsi="Times New Roman" w:cs="Times New Roman"/>
          <w:i/>
          <w:iCs/>
          <w:sz w:val="28"/>
          <w:szCs w:val="28"/>
        </w:rPr>
        <w:t xml:space="preserve"> </w:t>
      </w:r>
      <w:r w:rsidRPr="00AA67CB">
        <w:rPr>
          <w:rFonts w:ascii="Times New Roman" w:hAnsi="Times New Roman" w:cs="Times New Roman"/>
          <w:sz w:val="28"/>
          <w:szCs w:val="28"/>
        </w:rPr>
        <w:t>“</w:t>
      </w:r>
      <w:r w:rsidRPr="00C36D09">
        <w:rPr>
          <w:rFonts w:ascii="Times New Roman" w:hAnsi="Times New Roman" w:cs="Times New Roman"/>
          <w:sz w:val="28"/>
          <w:szCs w:val="28"/>
        </w:rPr>
        <w:t>capitalismo digitale</w:t>
      </w:r>
      <w:r w:rsidRPr="008D24E3">
        <w:rPr>
          <w:rFonts w:ascii="Times New Roman" w:hAnsi="Times New Roman" w:cs="Times New Roman"/>
          <w:sz w:val="28"/>
          <w:szCs w:val="28"/>
        </w:rPr>
        <w:t>”</w:t>
      </w:r>
      <w:r w:rsidR="00AA67CB">
        <w:rPr>
          <w:rFonts w:ascii="Times New Roman" w:hAnsi="Times New Roman" w:cs="Times New Roman"/>
          <w:sz w:val="28"/>
          <w:szCs w:val="28"/>
        </w:rPr>
        <w:t>,</w:t>
      </w:r>
      <w:r w:rsidR="008D24E3" w:rsidRPr="008D24E3">
        <w:rPr>
          <w:rFonts w:ascii="Times New Roman" w:hAnsi="Times New Roman" w:cs="Times New Roman"/>
          <w:sz w:val="28"/>
          <w:szCs w:val="28"/>
        </w:rPr>
        <w:t xml:space="preserve"> basato </w:t>
      </w:r>
      <w:r w:rsidR="008D24E3" w:rsidRPr="00D867EB">
        <w:rPr>
          <w:rFonts w:ascii="Times New Roman" w:hAnsi="Times New Roman" w:cs="Times New Roman"/>
          <w:i/>
          <w:iCs/>
          <w:sz w:val="28"/>
          <w:szCs w:val="28"/>
        </w:rPr>
        <w:t xml:space="preserve">in primis </w:t>
      </w:r>
      <w:r w:rsidR="008D24E3" w:rsidRPr="008D24E3">
        <w:rPr>
          <w:rFonts w:ascii="Times New Roman" w:hAnsi="Times New Roman" w:cs="Times New Roman"/>
          <w:sz w:val="28"/>
          <w:szCs w:val="28"/>
        </w:rPr>
        <w:t>sulla</w:t>
      </w:r>
      <w:r w:rsidR="008D24E3">
        <w:rPr>
          <w:rFonts w:ascii="Times New Roman" w:hAnsi="Times New Roman" w:cs="Times New Roman"/>
          <w:sz w:val="28"/>
          <w:szCs w:val="28"/>
        </w:rPr>
        <w:t xml:space="preserve"> </w:t>
      </w:r>
      <w:r w:rsidR="008D24E3" w:rsidRPr="008D24E3">
        <w:rPr>
          <w:rFonts w:ascii="Times New Roman" w:hAnsi="Times New Roman" w:cs="Times New Roman"/>
          <w:sz w:val="28"/>
          <w:szCs w:val="28"/>
        </w:rPr>
        <w:t>c</w:t>
      </w:r>
      <w:r w:rsidR="00D867EB">
        <w:rPr>
          <w:rFonts w:ascii="Times New Roman" w:hAnsi="Times New Roman" w:cs="Times New Roman"/>
          <w:sz w:val="28"/>
          <w:szCs w:val="28"/>
        </w:rPr>
        <w:t>.</w:t>
      </w:r>
      <w:r w:rsidR="008D24E3" w:rsidRPr="008D24E3">
        <w:rPr>
          <w:rFonts w:ascii="Times New Roman" w:hAnsi="Times New Roman" w:cs="Times New Roman"/>
          <w:sz w:val="28"/>
          <w:szCs w:val="28"/>
        </w:rPr>
        <w:t>d</w:t>
      </w:r>
      <w:r w:rsidR="00D867EB">
        <w:rPr>
          <w:rFonts w:ascii="Times New Roman" w:hAnsi="Times New Roman" w:cs="Times New Roman"/>
          <w:sz w:val="28"/>
          <w:szCs w:val="28"/>
        </w:rPr>
        <w:t>.</w:t>
      </w:r>
      <w:r w:rsidR="008D24E3" w:rsidRPr="008D24E3">
        <w:rPr>
          <w:rFonts w:ascii="Times New Roman" w:hAnsi="Times New Roman" w:cs="Times New Roman"/>
          <w:sz w:val="28"/>
          <w:szCs w:val="28"/>
        </w:rPr>
        <w:t xml:space="preserve"> “igiene informatica e informativa”.</w:t>
      </w:r>
      <w:r w:rsidR="008D24E3">
        <w:rPr>
          <w:rFonts w:ascii="Times New Roman" w:hAnsi="Times New Roman" w:cs="Times New Roman"/>
          <w:sz w:val="28"/>
          <w:szCs w:val="28"/>
        </w:rPr>
        <w:t xml:space="preserve"> </w:t>
      </w:r>
    </w:p>
    <w:p w14:paraId="2C88912C" w14:textId="77777777" w:rsidR="00AA67CB" w:rsidRDefault="00AA67CB" w:rsidP="0017321F">
      <w:pPr>
        <w:tabs>
          <w:tab w:val="left" w:pos="8364"/>
        </w:tabs>
        <w:spacing w:after="0"/>
        <w:jc w:val="both"/>
        <w:rPr>
          <w:rFonts w:ascii="Times New Roman" w:hAnsi="Times New Roman" w:cs="Times New Roman"/>
          <w:sz w:val="28"/>
          <w:szCs w:val="28"/>
        </w:rPr>
      </w:pPr>
    </w:p>
    <w:p w14:paraId="3C5B8ABF" w14:textId="77777777" w:rsidR="00E4738D" w:rsidRDefault="008D24E3" w:rsidP="0017321F">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La sicurezza delle piattaforme poggia essenzialmente sul controllo dei dati e sulla loro trasparenza</w:t>
      </w:r>
      <w:r w:rsidR="00D867EB">
        <w:rPr>
          <w:rFonts w:ascii="Times New Roman" w:hAnsi="Times New Roman" w:cs="Times New Roman"/>
          <w:sz w:val="28"/>
          <w:szCs w:val="28"/>
        </w:rPr>
        <w:t>,</w:t>
      </w:r>
      <w:r>
        <w:rPr>
          <w:rFonts w:ascii="Times New Roman" w:hAnsi="Times New Roman" w:cs="Times New Roman"/>
          <w:sz w:val="28"/>
          <w:szCs w:val="28"/>
        </w:rPr>
        <w:t xml:space="preserve"> in una configurazione preliminare e predefinita: è il concetto di </w:t>
      </w:r>
      <w:r w:rsidRPr="008D24E3">
        <w:rPr>
          <w:rFonts w:ascii="Times New Roman" w:hAnsi="Times New Roman" w:cs="Times New Roman"/>
          <w:i/>
          <w:iCs/>
          <w:sz w:val="28"/>
          <w:szCs w:val="28"/>
        </w:rPr>
        <w:t xml:space="preserve">privacy by design </w:t>
      </w:r>
      <w:r w:rsidRPr="00D867EB">
        <w:rPr>
          <w:rFonts w:ascii="Times New Roman" w:hAnsi="Times New Roman" w:cs="Times New Roman"/>
          <w:sz w:val="28"/>
          <w:szCs w:val="28"/>
        </w:rPr>
        <w:t>e</w:t>
      </w:r>
      <w:r w:rsidRPr="008D24E3">
        <w:rPr>
          <w:rFonts w:ascii="Times New Roman" w:hAnsi="Times New Roman" w:cs="Times New Roman"/>
          <w:i/>
          <w:iCs/>
          <w:sz w:val="28"/>
          <w:szCs w:val="28"/>
        </w:rPr>
        <w:t xml:space="preserve"> by default</w:t>
      </w:r>
      <w:r>
        <w:rPr>
          <w:rFonts w:ascii="Times New Roman" w:hAnsi="Times New Roman" w:cs="Times New Roman"/>
          <w:sz w:val="28"/>
          <w:szCs w:val="28"/>
        </w:rPr>
        <w:t xml:space="preserve">. Non una privacy per la privacy, ma la protezione dei dati come nuovo paradigma e nuovo </w:t>
      </w:r>
      <w:proofErr w:type="spellStart"/>
      <w:r>
        <w:rPr>
          <w:rFonts w:ascii="Times New Roman" w:hAnsi="Times New Roman" w:cs="Times New Roman"/>
          <w:sz w:val="28"/>
          <w:szCs w:val="28"/>
        </w:rPr>
        <w:t>asset</w:t>
      </w:r>
      <w:proofErr w:type="spellEnd"/>
      <w:r>
        <w:rPr>
          <w:rFonts w:ascii="Times New Roman" w:hAnsi="Times New Roman" w:cs="Times New Roman"/>
          <w:sz w:val="28"/>
          <w:szCs w:val="28"/>
        </w:rPr>
        <w:t xml:space="preserve"> per uno sviluppo tecnologico sostenibile</w:t>
      </w:r>
      <w:r w:rsidR="00E4738D">
        <w:rPr>
          <w:rFonts w:ascii="Times New Roman" w:hAnsi="Times New Roman" w:cs="Times New Roman"/>
          <w:sz w:val="28"/>
          <w:szCs w:val="28"/>
        </w:rPr>
        <w:t>,</w:t>
      </w:r>
      <w:r>
        <w:rPr>
          <w:rFonts w:ascii="Times New Roman" w:hAnsi="Times New Roman" w:cs="Times New Roman"/>
          <w:sz w:val="28"/>
          <w:szCs w:val="28"/>
        </w:rPr>
        <w:t xml:space="preserve"> teso al rispetto della persona umana che vada aldilà della figura dei </w:t>
      </w:r>
      <w:proofErr w:type="spellStart"/>
      <w:r w:rsidRPr="00E4738D">
        <w:rPr>
          <w:rFonts w:ascii="Times New Roman" w:hAnsi="Times New Roman" w:cs="Times New Roman"/>
          <w:i/>
          <w:iCs/>
          <w:sz w:val="28"/>
          <w:szCs w:val="28"/>
        </w:rPr>
        <w:t>followers</w:t>
      </w:r>
      <w:proofErr w:type="spellEnd"/>
      <w:r>
        <w:rPr>
          <w:rFonts w:ascii="Times New Roman" w:hAnsi="Times New Roman" w:cs="Times New Roman"/>
          <w:sz w:val="28"/>
          <w:szCs w:val="28"/>
        </w:rPr>
        <w:t xml:space="preserve">. </w:t>
      </w:r>
    </w:p>
    <w:p w14:paraId="00575F1E" w14:textId="77777777" w:rsidR="00E4738D" w:rsidRDefault="008D24E3" w:rsidP="0017321F">
      <w:pPr>
        <w:tabs>
          <w:tab w:val="left" w:pos="8364"/>
        </w:tabs>
        <w:spacing w:after="0"/>
        <w:jc w:val="both"/>
        <w:rPr>
          <w:rFonts w:ascii="Times New Roman" w:hAnsi="Times New Roman" w:cs="Times New Roman"/>
          <w:i/>
          <w:iCs/>
          <w:sz w:val="28"/>
          <w:szCs w:val="28"/>
        </w:rPr>
      </w:pPr>
      <w:r>
        <w:rPr>
          <w:rFonts w:ascii="Times New Roman" w:hAnsi="Times New Roman" w:cs="Times New Roman"/>
          <w:sz w:val="28"/>
          <w:szCs w:val="28"/>
        </w:rPr>
        <w:t xml:space="preserve">Il </w:t>
      </w:r>
      <w:r w:rsidR="00E4738D">
        <w:rPr>
          <w:rFonts w:ascii="Times New Roman" w:hAnsi="Times New Roman" w:cs="Times New Roman"/>
          <w:sz w:val="28"/>
          <w:szCs w:val="28"/>
        </w:rPr>
        <w:t>P</w:t>
      </w:r>
      <w:r>
        <w:rPr>
          <w:rFonts w:ascii="Times New Roman" w:hAnsi="Times New Roman" w:cs="Times New Roman"/>
          <w:sz w:val="28"/>
          <w:szCs w:val="28"/>
        </w:rPr>
        <w:t>rof</w:t>
      </w:r>
      <w:r w:rsidR="00E4738D">
        <w:rPr>
          <w:rFonts w:ascii="Times New Roman" w:hAnsi="Times New Roman" w:cs="Times New Roman"/>
          <w:sz w:val="28"/>
          <w:szCs w:val="28"/>
        </w:rPr>
        <w:t>essore</w:t>
      </w:r>
      <w:r w:rsidR="00644EF1">
        <w:rPr>
          <w:rFonts w:ascii="Times New Roman" w:hAnsi="Times New Roman" w:cs="Times New Roman"/>
          <w:sz w:val="28"/>
          <w:szCs w:val="28"/>
        </w:rPr>
        <w:t xml:space="preserve"> </w:t>
      </w:r>
      <w:r>
        <w:rPr>
          <w:rFonts w:ascii="Times New Roman" w:hAnsi="Times New Roman" w:cs="Times New Roman"/>
          <w:sz w:val="28"/>
          <w:szCs w:val="28"/>
        </w:rPr>
        <w:t>Franco Pizzetti</w:t>
      </w:r>
      <w:r w:rsidR="00E62329">
        <w:rPr>
          <w:rStyle w:val="Rimandonotaapidipagina"/>
          <w:rFonts w:ascii="Times New Roman" w:hAnsi="Times New Roman" w:cs="Times New Roman"/>
          <w:sz w:val="28"/>
          <w:szCs w:val="28"/>
        </w:rPr>
        <w:footnoteReference w:id="126"/>
      </w:r>
      <w:r w:rsidR="00E62329">
        <w:rPr>
          <w:rFonts w:ascii="Times New Roman" w:hAnsi="Times New Roman" w:cs="Times New Roman"/>
          <w:sz w:val="28"/>
          <w:szCs w:val="28"/>
        </w:rPr>
        <w:t xml:space="preserve"> </w:t>
      </w:r>
      <w:r>
        <w:rPr>
          <w:rFonts w:ascii="Times New Roman" w:hAnsi="Times New Roman" w:cs="Times New Roman"/>
          <w:sz w:val="28"/>
          <w:szCs w:val="28"/>
        </w:rPr>
        <w:t xml:space="preserve">affermava che le Autorità </w:t>
      </w:r>
      <w:proofErr w:type="spellStart"/>
      <w:r>
        <w:rPr>
          <w:rFonts w:ascii="Times New Roman" w:hAnsi="Times New Roman" w:cs="Times New Roman"/>
          <w:sz w:val="28"/>
          <w:szCs w:val="28"/>
        </w:rPr>
        <w:t>regolatorie</w:t>
      </w:r>
      <w:proofErr w:type="spellEnd"/>
      <w:r>
        <w:rPr>
          <w:rFonts w:ascii="Times New Roman" w:hAnsi="Times New Roman" w:cs="Times New Roman"/>
          <w:sz w:val="28"/>
          <w:szCs w:val="28"/>
        </w:rPr>
        <w:t xml:space="preserve"> hanno il compito di affiancare e sollecitare i governi nell’adottare nuove pol</w:t>
      </w:r>
      <w:r w:rsidR="00512CA7">
        <w:rPr>
          <w:rFonts w:ascii="Times New Roman" w:hAnsi="Times New Roman" w:cs="Times New Roman"/>
          <w:sz w:val="28"/>
          <w:szCs w:val="28"/>
        </w:rPr>
        <w:t>i</w:t>
      </w:r>
      <w:r>
        <w:rPr>
          <w:rFonts w:ascii="Times New Roman" w:hAnsi="Times New Roman" w:cs="Times New Roman"/>
          <w:sz w:val="28"/>
          <w:szCs w:val="28"/>
        </w:rPr>
        <w:t>tiche digitali per raggiungere gli obiettivi europei. Più di recente</w:t>
      </w:r>
      <w:r w:rsidR="00D867EB">
        <w:rPr>
          <w:rFonts w:ascii="Times New Roman" w:hAnsi="Times New Roman" w:cs="Times New Roman"/>
          <w:sz w:val="28"/>
          <w:szCs w:val="28"/>
        </w:rPr>
        <w:t xml:space="preserve">, </w:t>
      </w:r>
      <w:r>
        <w:rPr>
          <w:rFonts w:ascii="Times New Roman" w:hAnsi="Times New Roman" w:cs="Times New Roman"/>
          <w:sz w:val="28"/>
          <w:szCs w:val="28"/>
        </w:rPr>
        <w:t xml:space="preserve">il </w:t>
      </w:r>
      <w:r w:rsidR="00E4738D">
        <w:rPr>
          <w:rFonts w:ascii="Times New Roman" w:hAnsi="Times New Roman" w:cs="Times New Roman"/>
          <w:sz w:val="28"/>
          <w:szCs w:val="28"/>
        </w:rPr>
        <w:t>P</w:t>
      </w:r>
      <w:r>
        <w:rPr>
          <w:rFonts w:ascii="Times New Roman" w:hAnsi="Times New Roman" w:cs="Times New Roman"/>
          <w:sz w:val="28"/>
          <w:szCs w:val="28"/>
        </w:rPr>
        <w:t>rof</w:t>
      </w:r>
      <w:r w:rsidR="00E4738D">
        <w:rPr>
          <w:rFonts w:ascii="Times New Roman" w:hAnsi="Times New Roman" w:cs="Times New Roman"/>
          <w:sz w:val="28"/>
          <w:szCs w:val="28"/>
        </w:rPr>
        <w:t xml:space="preserve">essore </w:t>
      </w:r>
      <w:r>
        <w:rPr>
          <w:rFonts w:ascii="Times New Roman" w:hAnsi="Times New Roman" w:cs="Times New Roman"/>
          <w:sz w:val="28"/>
          <w:szCs w:val="28"/>
        </w:rPr>
        <w:t>Oreste Pollicino</w:t>
      </w:r>
      <w:r w:rsidR="00E62329">
        <w:rPr>
          <w:rStyle w:val="Rimandonotaapidipagina"/>
          <w:rFonts w:ascii="Times New Roman" w:hAnsi="Times New Roman" w:cs="Times New Roman"/>
          <w:sz w:val="28"/>
          <w:szCs w:val="28"/>
        </w:rPr>
        <w:footnoteReference w:id="127"/>
      </w:r>
      <w:r>
        <w:rPr>
          <w:rFonts w:ascii="Times New Roman" w:hAnsi="Times New Roman" w:cs="Times New Roman"/>
          <w:sz w:val="28"/>
          <w:szCs w:val="28"/>
        </w:rPr>
        <w:t xml:space="preserve"> ha affermato che </w:t>
      </w:r>
      <w:r w:rsidR="00D867EB">
        <w:rPr>
          <w:rFonts w:ascii="Times New Roman" w:hAnsi="Times New Roman" w:cs="Times New Roman"/>
          <w:sz w:val="28"/>
          <w:szCs w:val="28"/>
        </w:rPr>
        <w:t>«</w:t>
      </w:r>
      <w:r w:rsidRPr="008D24E3">
        <w:rPr>
          <w:rFonts w:ascii="Times New Roman" w:hAnsi="Times New Roman" w:cs="Times New Roman"/>
          <w:i/>
          <w:iCs/>
          <w:sz w:val="28"/>
          <w:szCs w:val="28"/>
        </w:rPr>
        <w:t xml:space="preserve">la nuova sfida </w:t>
      </w:r>
      <w:r>
        <w:rPr>
          <w:rFonts w:ascii="Times New Roman" w:hAnsi="Times New Roman" w:cs="Times New Roman"/>
          <w:i/>
          <w:iCs/>
          <w:sz w:val="28"/>
          <w:szCs w:val="28"/>
        </w:rPr>
        <w:t xml:space="preserve">non è solo la tutela dei diritti fondamentali, ma la </w:t>
      </w:r>
      <w:proofErr w:type="spellStart"/>
      <w:r>
        <w:rPr>
          <w:rFonts w:ascii="Times New Roman" w:hAnsi="Times New Roman" w:cs="Times New Roman"/>
          <w:i/>
          <w:iCs/>
          <w:sz w:val="28"/>
          <w:szCs w:val="28"/>
        </w:rPr>
        <w:t>governa</w:t>
      </w:r>
      <w:r w:rsidR="00512CA7">
        <w:rPr>
          <w:rFonts w:ascii="Times New Roman" w:hAnsi="Times New Roman" w:cs="Times New Roman"/>
          <w:i/>
          <w:iCs/>
          <w:sz w:val="28"/>
          <w:szCs w:val="28"/>
        </w:rPr>
        <w:t>n</w:t>
      </w:r>
      <w:r>
        <w:rPr>
          <w:rFonts w:ascii="Times New Roman" w:hAnsi="Times New Roman" w:cs="Times New Roman"/>
          <w:i/>
          <w:iCs/>
          <w:sz w:val="28"/>
          <w:szCs w:val="28"/>
        </w:rPr>
        <w:t>ce</w:t>
      </w:r>
      <w:proofErr w:type="spellEnd"/>
      <w:r>
        <w:rPr>
          <w:rFonts w:ascii="Times New Roman" w:hAnsi="Times New Roman" w:cs="Times New Roman"/>
          <w:i/>
          <w:iCs/>
          <w:sz w:val="28"/>
          <w:szCs w:val="28"/>
        </w:rPr>
        <w:t xml:space="preserve"> dei dati, non solo di quelli personali e il loro </w:t>
      </w:r>
      <w:r w:rsidRPr="00CE7580">
        <w:rPr>
          <w:rFonts w:ascii="Times New Roman" w:hAnsi="Times New Roman" w:cs="Times New Roman"/>
          <w:i/>
          <w:iCs/>
          <w:sz w:val="28"/>
          <w:szCs w:val="28"/>
        </w:rPr>
        <w:t>riutilizzo per i softwa</w:t>
      </w:r>
      <w:r w:rsidR="00470F11" w:rsidRPr="00CE7580">
        <w:rPr>
          <w:rFonts w:ascii="Times New Roman" w:hAnsi="Times New Roman" w:cs="Times New Roman"/>
          <w:i/>
          <w:iCs/>
          <w:sz w:val="28"/>
          <w:szCs w:val="28"/>
        </w:rPr>
        <w:t>re di intelligenza artificiale</w:t>
      </w:r>
      <w:r w:rsidR="00D867EB" w:rsidRPr="00CE7580">
        <w:rPr>
          <w:rFonts w:ascii="Times New Roman" w:hAnsi="Times New Roman" w:cs="Times New Roman"/>
          <w:i/>
          <w:iCs/>
          <w:sz w:val="28"/>
          <w:szCs w:val="28"/>
        </w:rPr>
        <w:t>»</w:t>
      </w:r>
      <w:r w:rsidR="00470F11" w:rsidRPr="00CE7580">
        <w:rPr>
          <w:rFonts w:ascii="Times New Roman" w:hAnsi="Times New Roman" w:cs="Times New Roman"/>
          <w:i/>
          <w:iCs/>
          <w:sz w:val="28"/>
          <w:szCs w:val="28"/>
        </w:rPr>
        <w:t>.</w:t>
      </w:r>
      <w:r w:rsidR="007D1819" w:rsidRPr="00CE7580">
        <w:rPr>
          <w:rFonts w:ascii="Times New Roman" w:hAnsi="Times New Roman" w:cs="Times New Roman"/>
          <w:i/>
          <w:iCs/>
          <w:sz w:val="28"/>
          <w:szCs w:val="28"/>
        </w:rPr>
        <w:t xml:space="preserve"> </w:t>
      </w:r>
    </w:p>
    <w:p w14:paraId="227AACF5" w14:textId="77777777" w:rsidR="00E4738D" w:rsidRDefault="00E4738D" w:rsidP="0017321F">
      <w:pPr>
        <w:tabs>
          <w:tab w:val="left" w:pos="8364"/>
        </w:tabs>
        <w:spacing w:after="0"/>
        <w:jc w:val="both"/>
        <w:rPr>
          <w:rFonts w:ascii="Times New Roman" w:hAnsi="Times New Roman" w:cs="Times New Roman"/>
          <w:i/>
          <w:iCs/>
          <w:sz w:val="28"/>
          <w:szCs w:val="28"/>
        </w:rPr>
      </w:pPr>
    </w:p>
    <w:p w14:paraId="04CBDC6C" w14:textId="32E8A7D0" w:rsidR="00FA1644" w:rsidRPr="00CE7580" w:rsidRDefault="007D1819" w:rsidP="0017321F">
      <w:pPr>
        <w:tabs>
          <w:tab w:val="left" w:pos="8364"/>
        </w:tabs>
        <w:spacing w:after="0"/>
        <w:jc w:val="both"/>
        <w:rPr>
          <w:rFonts w:ascii="Times New Roman" w:hAnsi="Times New Roman" w:cs="Times New Roman"/>
          <w:sz w:val="28"/>
          <w:szCs w:val="28"/>
        </w:rPr>
      </w:pPr>
      <w:r w:rsidRPr="00CE7580">
        <w:rPr>
          <w:rFonts w:ascii="Times New Roman" w:hAnsi="Times New Roman" w:cs="Times New Roman"/>
          <w:sz w:val="28"/>
          <w:szCs w:val="28"/>
        </w:rPr>
        <w:t xml:space="preserve">La proposta di regolamento sull’intelligenza artificiale presentata lo scorso 21 </w:t>
      </w:r>
      <w:proofErr w:type="gramStart"/>
      <w:r w:rsidRPr="00CE7580">
        <w:rPr>
          <w:rFonts w:ascii="Times New Roman" w:hAnsi="Times New Roman" w:cs="Times New Roman"/>
          <w:sz w:val="28"/>
          <w:szCs w:val="28"/>
        </w:rPr>
        <w:t>Aprile</w:t>
      </w:r>
      <w:proofErr w:type="gramEnd"/>
      <w:r w:rsidRPr="00CE7580">
        <w:rPr>
          <w:rFonts w:ascii="Times New Roman" w:hAnsi="Times New Roman" w:cs="Times New Roman"/>
          <w:sz w:val="28"/>
          <w:szCs w:val="28"/>
        </w:rPr>
        <w:t xml:space="preserve"> 2021 dalla Commissione ha, infatti, distinto 4 livelli di rischio:</w:t>
      </w:r>
    </w:p>
    <w:p w14:paraId="323DBA60" w14:textId="6246FBC1" w:rsidR="007D1819" w:rsidRPr="00CE7580" w:rsidRDefault="007D1819" w:rsidP="007D1819">
      <w:pPr>
        <w:pStyle w:val="Paragrafoelenco"/>
        <w:numPr>
          <w:ilvl w:val="0"/>
          <w:numId w:val="4"/>
        </w:numPr>
        <w:tabs>
          <w:tab w:val="left" w:pos="8364"/>
        </w:tabs>
        <w:jc w:val="both"/>
        <w:rPr>
          <w:rFonts w:ascii="Times New Roman" w:hAnsi="Times New Roman" w:cs="Times New Roman"/>
          <w:sz w:val="28"/>
          <w:szCs w:val="28"/>
        </w:rPr>
      </w:pPr>
      <w:proofErr w:type="spellStart"/>
      <w:r w:rsidRPr="00CE7580">
        <w:rPr>
          <w:rFonts w:ascii="Times New Roman" w:hAnsi="Times New Roman" w:cs="Times New Roman"/>
          <w:i/>
          <w:iCs/>
          <w:sz w:val="28"/>
          <w:szCs w:val="28"/>
        </w:rPr>
        <w:t>Unacceptable</w:t>
      </w:r>
      <w:proofErr w:type="spellEnd"/>
      <w:r w:rsidRPr="00CE7580">
        <w:rPr>
          <w:rFonts w:ascii="Times New Roman" w:hAnsi="Times New Roman" w:cs="Times New Roman"/>
          <w:i/>
          <w:iCs/>
          <w:sz w:val="28"/>
          <w:szCs w:val="28"/>
        </w:rPr>
        <w:t xml:space="preserve"> </w:t>
      </w:r>
      <w:proofErr w:type="spellStart"/>
      <w:r w:rsidRPr="00CE7580">
        <w:rPr>
          <w:rFonts w:ascii="Times New Roman" w:hAnsi="Times New Roman" w:cs="Times New Roman"/>
          <w:i/>
          <w:iCs/>
          <w:sz w:val="28"/>
          <w:szCs w:val="28"/>
        </w:rPr>
        <w:t>risk</w:t>
      </w:r>
      <w:proofErr w:type="spellEnd"/>
      <w:r w:rsidRPr="00CE7580">
        <w:rPr>
          <w:rFonts w:ascii="Times New Roman" w:hAnsi="Times New Roman" w:cs="Times New Roman"/>
          <w:sz w:val="28"/>
          <w:szCs w:val="28"/>
        </w:rPr>
        <w:t xml:space="preserve"> (ad esempio, quelli relativi ai dati biometrici</w:t>
      </w:r>
      <w:r w:rsidR="00EC59CF" w:rsidRPr="00CE7580">
        <w:rPr>
          <w:rFonts w:ascii="Times New Roman" w:hAnsi="Times New Roman" w:cs="Times New Roman"/>
          <w:sz w:val="28"/>
          <w:szCs w:val="28"/>
        </w:rPr>
        <w:t xml:space="preserve"> per i quali si esclude l’applicazione dell’intelligenza artificiale</w:t>
      </w:r>
      <w:r w:rsidRPr="00CE7580">
        <w:rPr>
          <w:rFonts w:ascii="Times New Roman" w:hAnsi="Times New Roman" w:cs="Times New Roman"/>
          <w:sz w:val="28"/>
          <w:szCs w:val="28"/>
        </w:rPr>
        <w:t>);</w:t>
      </w:r>
    </w:p>
    <w:p w14:paraId="5087DC9E" w14:textId="583506EF" w:rsidR="007D1819" w:rsidRPr="00CE7580" w:rsidRDefault="007D1819" w:rsidP="007D1819">
      <w:pPr>
        <w:pStyle w:val="Paragrafoelenco"/>
        <w:numPr>
          <w:ilvl w:val="0"/>
          <w:numId w:val="4"/>
        </w:numPr>
        <w:tabs>
          <w:tab w:val="left" w:pos="8364"/>
        </w:tabs>
        <w:jc w:val="both"/>
        <w:rPr>
          <w:rFonts w:ascii="Times New Roman" w:hAnsi="Times New Roman" w:cs="Times New Roman"/>
          <w:sz w:val="28"/>
          <w:szCs w:val="28"/>
        </w:rPr>
      </w:pPr>
      <w:r w:rsidRPr="00CE7580">
        <w:rPr>
          <w:rFonts w:ascii="Times New Roman" w:hAnsi="Times New Roman" w:cs="Times New Roman"/>
          <w:i/>
          <w:iCs/>
          <w:sz w:val="28"/>
          <w:szCs w:val="28"/>
        </w:rPr>
        <w:lastRenderedPageBreak/>
        <w:t xml:space="preserve">High </w:t>
      </w:r>
      <w:proofErr w:type="spellStart"/>
      <w:r w:rsidRPr="00CE7580">
        <w:rPr>
          <w:rFonts w:ascii="Times New Roman" w:hAnsi="Times New Roman" w:cs="Times New Roman"/>
          <w:i/>
          <w:iCs/>
          <w:sz w:val="28"/>
          <w:szCs w:val="28"/>
        </w:rPr>
        <w:t>risk</w:t>
      </w:r>
      <w:proofErr w:type="spellEnd"/>
      <w:r w:rsidR="00EC59CF" w:rsidRPr="00CE7580">
        <w:rPr>
          <w:rFonts w:ascii="Times New Roman" w:hAnsi="Times New Roman" w:cs="Times New Roman"/>
          <w:sz w:val="28"/>
          <w:szCs w:val="28"/>
        </w:rPr>
        <w:t xml:space="preserve"> (si ammette l’IA con opportune cautele)</w:t>
      </w:r>
      <w:r w:rsidRPr="00CE7580">
        <w:rPr>
          <w:rFonts w:ascii="Times New Roman" w:hAnsi="Times New Roman" w:cs="Times New Roman"/>
          <w:sz w:val="28"/>
          <w:szCs w:val="28"/>
        </w:rPr>
        <w:t>;</w:t>
      </w:r>
    </w:p>
    <w:p w14:paraId="6E0B150D" w14:textId="18504A37" w:rsidR="007D1819" w:rsidRPr="00CE7580" w:rsidRDefault="007D1819" w:rsidP="007D1819">
      <w:pPr>
        <w:pStyle w:val="Paragrafoelenco"/>
        <w:numPr>
          <w:ilvl w:val="0"/>
          <w:numId w:val="4"/>
        </w:numPr>
        <w:tabs>
          <w:tab w:val="left" w:pos="8364"/>
        </w:tabs>
        <w:jc w:val="both"/>
        <w:rPr>
          <w:rFonts w:ascii="Times New Roman" w:hAnsi="Times New Roman" w:cs="Times New Roman"/>
          <w:sz w:val="28"/>
          <w:szCs w:val="28"/>
          <w:lang w:val="en-GB"/>
        </w:rPr>
      </w:pPr>
      <w:r w:rsidRPr="00CE7580">
        <w:rPr>
          <w:rFonts w:ascii="Times New Roman" w:hAnsi="Times New Roman" w:cs="Times New Roman"/>
          <w:i/>
          <w:iCs/>
          <w:sz w:val="28"/>
          <w:szCs w:val="28"/>
          <w:lang w:val="en-GB"/>
        </w:rPr>
        <w:t>Limited risk</w:t>
      </w:r>
      <w:r w:rsidRPr="00CE7580">
        <w:rPr>
          <w:rFonts w:ascii="Times New Roman" w:hAnsi="Times New Roman" w:cs="Times New Roman"/>
          <w:sz w:val="28"/>
          <w:szCs w:val="28"/>
          <w:lang w:val="en-GB"/>
        </w:rPr>
        <w:t xml:space="preserve"> (AI systems with specific transparency obligations</w:t>
      </w:r>
      <w:proofErr w:type="gramStart"/>
      <w:r w:rsidRPr="00CE7580">
        <w:rPr>
          <w:rFonts w:ascii="Times New Roman" w:hAnsi="Times New Roman" w:cs="Times New Roman"/>
          <w:sz w:val="28"/>
          <w:szCs w:val="28"/>
          <w:lang w:val="en-GB"/>
        </w:rPr>
        <w:t>);</w:t>
      </w:r>
      <w:proofErr w:type="gramEnd"/>
    </w:p>
    <w:p w14:paraId="60C4332D" w14:textId="79884ADF" w:rsidR="007D1819" w:rsidRPr="00CE7580" w:rsidRDefault="007D1819" w:rsidP="00E4738D">
      <w:pPr>
        <w:pStyle w:val="Paragrafoelenco"/>
        <w:numPr>
          <w:ilvl w:val="0"/>
          <w:numId w:val="4"/>
        </w:numPr>
        <w:tabs>
          <w:tab w:val="left" w:pos="8364"/>
        </w:tabs>
        <w:spacing w:after="0"/>
        <w:jc w:val="both"/>
        <w:rPr>
          <w:rFonts w:ascii="Times New Roman" w:hAnsi="Times New Roman" w:cs="Times New Roman"/>
          <w:sz w:val="28"/>
          <w:szCs w:val="28"/>
          <w:lang w:val="en-GB"/>
        </w:rPr>
      </w:pPr>
      <w:r w:rsidRPr="00CE7580">
        <w:rPr>
          <w:rFonts w:ascii="Times New Roman" w:hAnsi="Times New Roman" w:cs="Times New Roman"/>
          <w:i/>
          <w:iCs/>
          <w:sz w:val="28"/>
          <w:szCs w:val="28"/>
          <w:lang w:val="en-GB"/>
        </w:rPr>
        <w:t>Minimal risk</w:t>
      </w:r>
      <w:r w:rsidRPr="00CE7580">
        <w:rPr>
          <w:rFonts w:ascii="Times New Roman" w:hAnsi="Times New Roman" w:cs="Times New Roman"/>
          <w:sz w:val="28"/>
          <w:szCs w:val="28"/>
          <w:lang w:val="en-GB"/>
        </w:rPr>
        <w:t>.</w:t>
      </w:r>
    </w:p>
    <w:p w14:paraId="4DBEF8F1" w14:textId="77777777" w:rsidR="00E4738D" w:rsidRDefault="007D1819" w:rsidP="00E4738D">
      <w:pPr>
        <w:tabs>
          <w:tab w:val="left" w:pos="8364"/>
        </w:tabs>
        <w:spacing w:after="0"/>
        <w:jc w:val="both"/>
        <w:rPr>
          <w:rFonts w:ascii="Times New Roman" w:hAnsi="Times New Roman" w:cs="Times New Roman"/>
          <w:sz w:val="28"/>
          <w:szCs w:val="28"/>
        </w:rPr>
      </w:pPr>
      <w:r w:rsidRPr="00CE7580">
        <w:rPr>
          <w:rFonts w:ascii="Times New Roman" w:hAnsi="Times New Roman" w:cs="Times New Roman"/>
          <w:sz w:val="28"/>
          <w:szCs w:val="28"/>
        </w:rPr>
        <w:t>Tale proposta non prevede, però, la questione della responsabilità civile che, come annunciato dalla Commissione su Agenda Digitale</w:t>
      </w:r>
      <w:r w:rsidR="0088090E" w:rsidRPr="00CE7580">
        <w:rPr>
          <w:rFonts w:ascii="Times New Roman" w:hAnsi="Times New Roman" w:cs="Times New Roman"/>
          <w:sz w:val="28"/>
          <w:szCs w:val="28"/>
        </w:rPr>
        <w:t>,</w:t>
      </w:r>
      <w:r w:rsidRPr="00CE7580">
        <w:rPr>
          <w:rFonts w:ascii="Times New Roman" w:hAnsi="Times New Roman" w:cs="Times New Roman"/>
          <w:sz w:val="28"/>
          <w:szCs w:val="28"/>
        </w:rPr>
        <w:t xml:space="preserve"> sarà oggetto di un testo diverso e separato che dovrebbe</w:t>
      </w:r>
      <w:r>
        <w:rPr>
          <w:rFonts w:ascii="Times New Roman" w:hAnsi="Times New Roman" w:cs="Times New Roman"/>
          <w:sz w:val="28"/>
          <w:szCs w:val="28"/>
        </w:rPr>
        <w:t xml:space="preserve"> essere presentato all’inizio dell’anno 2022. </w:t>
      </w:r>
    </w:p>
    <w:p w14:paraId="7CAD3E26" w14:textId="574A056D" w:rsidR="007D1819" w:rsidRDefault="007D1819" w:rsidP="00E4738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 </w:t>
      </w:r>
      <w:r w:rsidR="00E62329">
        <w:rPr>
          <w:rFonts w:ascii="Times New Roman" w:hAnsi="Times New Roman" w:cs="Times New Roman"/>
          <w:sz w:val="28"/>
          <w:szCs w:val="28"/>
        </w:rPr>
        <w:t>tratta</w:t>
      </w:r>
      <w:r>
        <w:rPr>
          <w:rFonts w:ascii="Times New Roman" w:hAnsi="Times New Roman" w:cs="Times New Roman"/>
          <w:sz w:val="28"/>
          <w:szCs w:val="28"/>
        </w:rPr>
        <w:t xml:space="preserve"> di un altro fondamentale tassello nel percorso verso </w:t>
      </w:r>
      <w:r w:rsidRPr="00CE7580">
        <w:rPr>
          <w:rFonts w:ascii="Times New Roman" w:hAnsi="Times New Roman" w:cs="Times New Roman"/>
          <w:sz w:val="28"/>
          <w:szCs w:val="28"/>
        </w:rPr>
        <w:t>una “</w:t>
      </w:r>
      <w:proofErr w:type="spellStart"/>
      <w:r w:rsidRPr="00CE7580">
        <w:rPr>
          <w:rFonts w:ascii="Times New Roman" w:hAnsi="Times New Roman" w:cs="Times New Roman"/>
          <w:i/>
          <w:iCs/>
          <w:sz w:val="28"/>
          <w:szCs w:val="28"/>
        </w:rPr>
        <w:t>trustworthy</w:t>
      </w:r>
      <w:proofErr w:type="spellEnd"/>
      <w:r w:rsidRPr="00CE7580">
        <w:rPr>
          <w:rFonts w:ascii="Times New Roman" w:hAnsi="Times New Roman" w:cs="Times New Roman"/>
          <w:i/>
          <w:iCs/>
          <w:sz w:val="28"/>
          <w:szCs w:val="28"/>
        </w:rPr>
        <w:t xml:space="preserve"> AI</w:t>
      </w:r>
      <w:r w:rsidRPr="00CE7580">
        <w:rPr>
          <w:rFonts w:ascii="Times New Roman" w:hAnsi="Times New Roman" w:cs="Times New Roman"/>
          <w:sz w:val="28"/>
          <w:szCs w:val="28"/>
        </w:rPr>
        <w:t>”, ossia</w:t>
      </w:r>
      <w:r w:rsidRPr="007D1819">
        <w:rPr>
          <w:rFonts w:ascii="Times New Roman" w:hAnsi="Times New Roman" w:cs="Times New Roman"/>
          <w:sz w:val="28"/>
          <w:szCs w:val="28"/>
        </w:rPr>
        <w:t xml:space="preserve"> </w:t>
      </w:r>
      <w:r>
        <w:rPr>
          <w:rFonts w:ascii="Times New Roman" w:hAnsi="Times New Roman" w:cs="Times New Roman"/>
          <w:sz w:val="28"/>
          <w:szCs w:val="28"/>
        </w:rPr>
        <w:t>un’intelligenza artificiale che generi fiducia negli utenti.</w:t>
      </w:r>
    </w:p>
    <w:p w14:paraId="1DE9CD13" w14:textId="0FD60FAA" w:rsidR="007D1819" w:rsidRDefault="007D1819" w:rsidP="00E4738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Ci vorranno 2 anni per approvare il testo definitivo e altri 2 anni prima che diventi operativo. Visti gli enormi interessi in gioco</w:t>
      </w:r>
      <w:r w:rsidR="00E4738D">
        <w:rPr>
          <w:rFonts w:ascii="Times New Roman" w:hAnsi="Times New Roman" w:cs="Times New Roman"/>
          <w:sz w:val="28"/>
          <w:szCs w:val="28"/>
        </w:rPr>
        <w:t>,</w:t>
      </w:r>
      <w:r>
        <w:rPr>
          <w:rFonts w:ascii="Times New Roman" w:hAnsi="Times New Roman" w:cs="Times New Roman"/>
          <w:sz w:val="28"/>
          <w:szCs w:val="28"/>
        </w:rPr>
        <w:t xml:space="preserve"> che toccano tutti i settori industriali ed economici, non solo le </w:t>
      </w:r>
      <w:r w:rsidRPr="00E4738D">
        <w:rPr>
          <w:rFonts w:ascii="Times New Roman" w:hAnsi="Times New Roman" w:cs="Times New Roman"/>
          <w:i/>
          <w:iCs/>
          <w:sz w:val="28"/>
          <w:szCs w:val="28"/>
        </w:rPr>
        <w:t xml:space="preserve">big </w:t>
      </w:r>
      <w:proofErr w:type="spellStart"/>
      <w:r w:rsidR="00E62329" w:rsidRPr="00E4738D">
        <w:rPr>
          <w:rFonts w:ascii="Times New Roman" w:hAnsi="Times New Roman" w:cs="Times New Roman"/>
          <w:i/>
          <w:iCs/>
          <w:sz w:val="28"/>
          <w:szCs w:val="28"/>
        </w:rPr>
        <w:t>tech</w:t>
      </w:r>
      <w:proofErr w:type="spellEnd"/>
      <w:r w:rsidR="00E62329">
        <w:rPr>
          <w:rFonts w:ascii="Times New Roman" w:hAnsi="Times New Roman" w:cs="Times New Roman"/>
          <w:sz w:val="28"/>
          <w:szCs w:val="28"/>
        </w:rPr>
        <w:t>,</w:t>
      </w:r>
      <w:r>
        <w:rPr>
          <w:rFonts w:ascii="Times New Roman" w:hAnsi="Times New Roman" w:cs="Times New Roman"/>
          <w:sz w:val="28"/>
          <w:szCs w:val="28"/>
        </w:rPr>
        <w:t xml:space="preserve"> non sarà un confronto facile</w:t>
      </w:r>
      <w:r w:rsidR="00EC59CF">
        <w:rPr>
          <w:rFonts w:ascii="Times New Roman" w:hAnsi="Times New Roman" w:cs="Times New Roman"/>
          <w:sz w:val="28"/>
          <w:szCs w:val="28"/>
        </w:rPr>
        <w:t>. Il fatto che poi stiamo parlando di norme che andranno a regolare un qualcosa che per sua natura è in continua evoluzione, rende la sfida ancora più difficile.</w:t>
      </w:r>
    </w:p>
    <w:p w14:paraId="2223AC00" w14:textId="77777777" w:rsidR="00E4738D" w:rsidRDefault="00E4738D" w:rsidP="00E4738D">
      <w:pPr>
        <w:tabs>
          <w:tab w:val="left" w:pos="8364"/>
        </w:tabs>
        <w:spacing w:after="0"/>
        <w:jc w:val="both"/>
        <w:rPr>
          <w:rFonts w:ascii="Times New Roman" w:hAnsi="Times New Roman" w:cs="Times New Roman"/>
          <w:sz w:val="28"/>
          <w:szCs w:val="28"/>
        </w:rPr>
      </w:pPr>
    </w:p>
    <w:p w14:paraId="4B0C98D1" w14:textId="77777777" w:rsidR="00E4738D" w:rsidRDefault="00EC59CF" w:rsidP="00E4738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 pensi </w:t>
      </w:r>
      <w:r w:rsidR="00644EF1">
        <w:rPr>
          <w:rFonts w:ascii="Times New Roman" w:hAnsi="Times New Roman" w:cs="Times New Roman"/>
          <w:sz w:val="28"/>
          <w:szCs w:val="28"/>
        </w:rPr>
        <w:t>al</w:t>
      </w:r>
      <w:r w:rsidR="00E35AA6">
        <w:rPr>
          <w:rFonts w:ascii="Times New Roman" w:hAnsi="Times New Roman" w:cs="Times New Roman"/>
          <w:sz w:val="28"/>
          <w:szCs w:val="28"/>
        </w:rPr>
        <w:t>l</w:t>
      </w:r>
      <w:r w:rsidR="00644EF1">
        <w:rPr>
          <w:rFonts w:ascii="Times New Roman" w:hAnsi="Times New Roman" w:cs="Times New Roman"/>
          <w:sz w:val="28"/>
          <w:szCs w:val="28"/>
        </w:rPr>
        <w:t xml:space="preserve">e società che utilizzano </w:t>
      </w:r>
      <w:r w:rsidR="00E35AA6">
        <w:rPr>
          <w:rFonts w:ascii="Times New Roman" w:hAnsi="Times New Roman" w:cs="Times New Roman"/>
          <w:sz w:val="28"/>
          <w:szCs w:val="28"/>
        </w:rPr>
        <w:t xml:space="preserve">i sistemi di riconoscimento facciale, operando il </w:t>
      </w:r>
      <w:r w:rsidR="00E35AA6" w:rsidRPr="0088090E">
        <w:rPr>
          <w:rFonts w:ascii="Times New Roman" w:hAnsi="Times New Roman" w:cs="Times New Roman"/>
          <w:sz w:val="28"/>
          <w:szCs w:val="28"/>
        </w:rPr>
        <w:t>c</w:t>
      </w:r>
      <w:r w:rsidR="0088090E" w:rsidRPr="0088090E">
        <w:rPr>
          <w:rFonts w:ascii="Times New Roman" w:hAnsi="Times New Roman" w:cs="Times New Roman"/>
          <w:sz w:val="28"/>
          <w:szCs w:val="28"/>
        </w:rPr>
        <w:t>.</w:t>
      </w:r>
      <w:r w:rsidR="00E35AA6" w:rsidRPr="0088090E">
        <w:rPr>
          <w:rFonts w:ascii="Times New Roman" w:hAnsi="Times New Roman" w:cs="Times New Roman"/>
          <w:sz w:val="28"/>
          <w:szCs w:val="28"/>
        </w:rPr>
        <w:t>d</w:t>
      </w:r>
      <w:r w:rsidR="0088090E" w:rsidRPr="0088090E">
        <w:rPr>
          <w:rFonts w:ascii="Times New Roman" w:hAnsi="Times New Roman" w:cs="Times New Roman"/>
          <w:sz w:val="28"/>
          <w:szCs w:val="28"/>
        </w:rPr>
        <w:t>.</w:t>
      </w:r>
      <w:r w:rsidR="00E35AA6" w:rsidRPr="00E35AA6">
        <w:rPr>
          <w:rFonts w:ascii="Times New Roman" w:hAnsi="Times New Roman" w:cs="Times New Roman"/>
          <w:b/>
          <w:bCs/>
          <w:sz w:val="28"/>
          <w:szCs w:val="28"/>
        </w:rPr>
        <w:t xml:space="preserve"> </w:t>
      </w:r>
      <w:proofErr w:type="spellStart"/>
      <w:r w:rsidR="00E35AA6" w:rsidRPr="00E4738D">
        <w:rPr>
          <w:rFonts w:ascii="Times New Roman" w:hAnsi="Times New Roman" w:cs="Times New Roman"/>
          <w:i/>
          <w:iCs/>
          <w:sz w:val="28"/>
          <w:szCs w:val="28"/>
        </w:rPr>
        <w:t>scraping</w:t>
      </w:r>
      <w:proofErr w:type="spellEnd"/>
      <w:r w:rsidR="00E35AA6">
        <w:rPr>
          <w:rFonts w:ascii="Times New Roman" w:hAnsi="Times New Roman" w:cs="Times New Roman"/>
          <w:b/>
          <w:bCs/>
          <w:sz w:val="28"/>
          <w:szCs w:val="28"/>
        </w:rPr>
        <w:t xml:space="preserve"> </w:t>
      </w:r>
      <w:r w:rsidR="00E35AA6" w:rsidRPr="00E35AA6">
        <w:rPr>
          <w:rFonts w:ascii="Times New Roman" w:hAnsi="Times New Roman" w:cs="Times New Roman"/>
          <w:sz w:val="28"/>
          <w:szCs w:val="28"/>
        </w:rPr>
        <w:t xml:space="preserve">di dati </w:t>
      </w:r>
      <w:r w:rsidR="00E35AA6">
        <w:rPr>
          <w:rFonts w:ascii="Times New Roman" w:hAnsi="Times New Roman" w:cs="Times New Roman"/>
          <w:sz w:val="28"/>
          <w:szCs w:val="28"/>
        </w:rPr>
        <w:t>in rete</w:t>
      </w:r>
      <w:r w:rsidR="0088090E">
        <w:rPr>
          <w:rFonts w:ascii="Times New Roman" w:hAnsi="Times New Roman" w:cs="Times New Roman"/>
          <w:sz w:val="28"/>
          <w:szCs w:val="28"/>
        </w:rPr>
        <w:t xml:space="preserve">, </w:t>
      </w:r>
      <w:r w:rsidR="00E35AA6">
        <w:rPr>
          <w:rFonts w:ascii="Times New Roman" w:hAnsi="Times New Roman" w:cs="Times New Roman"/>
          <w:sz w:val="28"/>
          <w:szCs w:val="28"/>
        </w:rPr>
        <w:t>ovvero automatizzando l’attività di raccolta di dati anche biometrici</w:t>
      </w:r>
      <w:r w:rsidR="0088090E">
        <w:rPr>
          <w:rFonts w:ascii="Times New Roman" w:hAnsi="Times New Roman" w:cs="Times New Roman"/>
          <w:sz w:val="28"/>
          <w:szCs w:val="28"/>
        </w:rPr>
        <w:t>:</w:t>
      </w:r>
      <w:r w:rsidR="00E35AA6">
        <w:rPr>
          <w:rFonts w:ascii="Times New Roman" w:hAnsi="Times New Roman" w:cs="Times New Roman"/>
          <w:sz w:val="28"/>
          <w:szCs w:val="28"/>
        </w:rPr>
        <w:t xml:space="preserve"> riescono a stoccare nei loro </w:t>
      </w:r>
      <w:r w:rsidR="00E35AA6" w:rsidRPr="00E4738D">
        <w:rPr>
          <w:rFonts w:ascii="Times New Roman" w:hAnsi="Times New Roman" w:cs="Times New Roman"/>
          <w:i/>
          <w:iCs/>
          <w:sz w:val="28"/>
          <w:szCs w:val="28"/>
        </w:rPr>
        <w:t>database</w:t>
      </w:r>
      <w:r w:rsidR="00E35AA6">
        <w:rPr>
          <w:rFonts w:ascii="Times New Roman" w:hAnsi="Times New Roman" w:cs="Times New Roman"/>
          <w:sz w:val="28"/>
          <w:szCs w:val="28"/>
        </w:rPr>
        <w:t xml:space="preserve"> i volti di cittadini anche senza il loro </w:t>
      </w:r>
      <w:r w:rsidR="00E62329">
        <w:rPr>
          <w:rFonts w:ascii="Times New Roman" w:hAnsi="Times New Roman" w:cs="Times New Roman"/>
          <w:sz w:val="28"/>
          <w:szCs w:val="28"/>
        </w:rPr>
        <w:t>consenso</w:t>
      </w:r>
      <w:r w:rsidR="0088090E">
        <w:rPr>
          <w:rFonts w:ascii="Times New Roman" w:hAnsi="Times New Roman" w:cs="Times New Roman"/>
          <w:sz w:val="28"/>
          <w:szCs w:val="28"/>
        </w:rPr>
        <w:t>,</w:t>
      </w:r>
      <w:r w:rsidR="00E62329">
        <w:rPr>
          <w:rFonts w:ascii="Times New Roman" w:hAnsi="Times New Roman" w:cs="Times New Roman"/>
          <w:sz w:val="28"/>
          <w:szCs w:val="28"/>
        </w:rPr>
        <w:t xml:space="preserve"> assegnando</w:t>
      </w:r>
      <w:r w:rsidR="00E35AA6">
        <w:rPr>
          <w:rFonts w:ascii="Times New Roman" w:hAnsi="Times New Roman" w:cs="Times New Roman"/>
          <w:sz w:val="28"/>
          <w:szCs w:val="28"/>
        </w:rPr>
        <w:t xml:space="preserve"> ad ogni </w:t>
      </w:r>
      <w:r w:rsidR="00E62329">
        <w:rPr>
          <w:rFonts w:ascii="Times New Roman" w:hAnsi="Times New Roman" w:cs="Times New Roman"/>
          <w:sz w:val="28"/>
          <w:szCs w:val="28"/>
        </w:rPr>
        <w:t>volto un</w:t>
      </w:r>
      <w:r w:rsidR="00E35AA6">
        <w:rPr>
          <w:rFonts w:ascii="Times New Roman" w:hAnsi="Times New Roman" w:cs="Times New Roman"/>
          <w:sz w:val="28"/>
          <w:szCs w:val="28"/>
        </w:rPr>
        <w:t xml:space="preserve"> </w:t>
      </w:r>
      <w:proofErr w:type="spellStart"/>
      <w:r w:rsidR="00E35AA6" w:rsidRPr="00E4738D">
        <w:rPr>
          <w:rFonts w:ascii="Times New Roman" w:hAnsi="Times New Roman" w:cs="Times New Roman"/>
          <w:i/>
          <w:iCs/>
          <w:sz w:val="28"/>
          <w:szCs w:val="28"/>
        </w:rPr>
        <w:t>hash</w:t>
      </w:r>
      <w:proofErr w:type="spellEnd"/>
      <w:r w:rsidR="00E35AA6">
        <w:rPr>
          <w:rFonts w:ascii="Times New Roman" w:hAnsi="Times New Roman" w:cs="Times New Roman"/>
          <w:sz w:val="28"/>
          <w:szCs w:val="28"/>
        </w:rPr>
        <w:t xml:space="preserve">. </w:t>
      </w:r>
    </w:p>
    <w:p w14:paraId="0F7B82DA" w14:textId="77777777" w:rsidR="00E4738D" w:rsidRDefault="00E35AA6" w:rsidP="00E4738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Tali società creano dei veri e propri archivi di dati biometrici, </w:t>
      </w:r>
      <w:r w:rsidR="00E62329">
        <w:rPr>
          <w:rFonts w:ascii="Times New Roman" w:hAnsi="Times New Roman" w:cs="Times New Roman"/>
          <w:sz w:val="28"/>
          <w:szCs w:val="28"/>
        </w:rPr>
        <w:t>che, per</w:t>
      </w:r>
      <w:r>
        <w:rPr>
          <w:rFonts w:ascii="Times New Roman" w:hAnsi="Times New Roman" w:cs="Times New Roman"/>
          <w:sz w:val="28"/>
          <w:szCs w:val="28"/>
        </w:rPr>
        <w:t xml:space="preserve"> esempio, in America vengono utilizzat</w:t>
      </w:r>
      <w:r w:rsidR="00E4738D">
        <w:rPr>
          <w:rFonts w:ascii="Times New Roman" w:hAnsi="Times New Roman" w:cs="Times New Roman"/>
          <w:sz w:val="28"/>
          <w:szCs w:val="28"/>
        </w:rPr>
        <w:t>i</w:t>
      </w:r>
      <w:r>
        <w:rPr>
          <w:rFonts w:ascii="Times New Roman" w:hAnsi="Times New Roman" w:cs="Times New Roman"/>
          <w:sz w:val="28"/>
          <w:szCs w:val="28"/>
        </w:rPr>
        <w:t xml:space="preserve"> dalle forze dell’ordine per individuare i criminali, anche se alcuni dipartimenti come quello di Los Angeles ne hanno sospeso l’utilizzo, poiché si realizza una forma di sorveglianza elettronica massiva ed invasiva. </w:t>
      </w:r>
    </w:p>
    <w:p w14:paraId="719DAC9D" w14:textId="7FD0198E" w:rsidR="00E4738D" w:rsidRDefault="00512CA7" w:rsidP="00E4738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Si pensi ancora alla pratica di </w:t>
      </w:r>
      <w:r w:rsidRPr="00E4738D">
        <w:rPr>
          <w:rFonts w:ascii="Times New Roman" w:hAnsi="Times New Roman" w:cs="Times New Roman"/>
          <w:sz w:val="28"/>
          <w:szCs w:val="28"/>
        </w:rPr>
        <w:t>“</w:t>
      </w:r>
      <w:proofErr w:type="spellStart"/>
      <w:r w:rsidRPr="00E4738D">
        <w:rPr>
          <w:rFonts w:ascii="Times New Roman" w:hAnsi="Times New Roman" w:cs="Times New Roman"/>
          <w:i/>
          <w:iCs/>
          <w:sz w:val="28"/>
          <w:szCs w:val="28"/>
        </w:rPr>
        <w:t>Sim</w:t>
      </w:r>
      <w:proofErr w:type="spellEnd"/>
      <w:r w:rsidRPr="00E4738D">
        <w:rPr>
          <w:rFonts w:ascii="Times New Roman" w:hAnsi="Times New Roman" w:cs="Times New Roman"/>
          <w:i/>
          <w:iCs/>
          <w:sz w:val="28"/>
          <w:szCs w:val="28"/>
        </w:rPr>
        <w:t xml:space="preserve"> </w:t>
      </w:r>
      <w:proofErr w:type="spellStart"/>
      <w:r w:rsidRPr="00E4738D">
        <w:rPr>
          <w:rFonts w:ascii="Times New Roman" w:hAnsi="Times New Roman" w:cs="Times New Roman"/>
          <w:i/>
          <w:iCs/>
          <w:sz w:val="28"/>
          <w:szCs w:val="28"/>
        </w:rPr>
        <w:t>swapping</w:t>
      </w:r>
      <w:proofErr w:type="spellEnd"/>
      <w:r w:rsidR="00E62329" w:rsidRPr="00E4738D">
        <w:rPr>
          <w:rFonts w:ascii="Times New Roman" w:hAnsi="Times New Roman" w:cs="Times New Roman"/>
          <w:sz w:val="28"/>
          <w:szCs w:val="28"/>
        </w:rPr>
        <w:t>”,</w:t>
      </w:r>
      <w:r w:rsidRPr="00E4738D">
        <w:rPr>
          <w:rFonts w:ascii="Times New Roman" w:hAnsi="Times New Roman" w:cs="Times New Roman"/>
          <w:sz w:val="28"/>
          <w:szCs w:val="28"/>
        </w:rPr>
        <w:t xml:space="preserve"> una tecnica di attacco che consente di avere accesso al numero di telefono del legittimo proprietario e violare determinate tipologie di servizio </w:t>
      </w:r>
      <w:r w:rsidRPr="00E4738D">
        <w:rPr>
          <w:rFonts w:ascii="Times New Roman" w:hAnsi="Times New Roman" w:cs="Times New Roman"/>
          <w:i/>
          <w:iCs/>
          <w:sz w:val="28"/>
          <w:szCs w:val="28"/>
        </w:rPr>
        <w:t>online</w:t>
      </w:r>
      <w:r w:rsidRPr="00E4738D">
        <w:rPr>
          <w:rFonts w:ascii="Times New Roman" w:hAnsi="Times New Roman" w:cs="Times New Roman"/>
          <w:sz w:val="28"/>
          <w:szCs w:val="28"/>
        </w:rPr>
        <w:t xml:space="preserve"> che usano il numero di telefono come sistema di autenticazione. </w:t>
      </w:r>
    </w:p>
    <w:p w14:paraId="6D7166FA" w14:textId="77777777" w:rsidR="00864CB8" w:rsidRDefault="00864CB8" w:rsidP="00E4738D">
      <w:pPr>
        <w:tabs>
          <w:tab w:val="left" w:pos="8364"/>
        </w:tabs>
        <w:spacing w:after="0"/>
        <w:jc w:val="both"/>
        <w:rPr>
          <w:rFonts w:ascii="Times New Roman" w:hAnsi="Times New Roman" w:cs="Times New Roman"/>
          <w:sz w:val="28"/>
          <w:szCs w:val="28"/>
        </w:rPr>
      </w:pPr>
    </w:p>
    <w:p w14:paraId="46524089" w14:textId="77777777" w:rsidR="00E4738D" w:rsidRDefault="00E35AA6" w:rsidP="00E4738D">
      <w:pPr>
        <w:tabs>
          <w:tab w:val="left" w:pos="8364"/>
        </w:tabs>
        <w:spacing w:after="0"/>
        <w:jc w:val="both"/>
        <w:rPr>
          <w:rFonts w:ascii="Times New Roman" w:hAnsi="Times New Roman" w:cs="Times New Roman"/>
          <w:sz w:val="28"/>
          <w:szCs w:val="28"/>
        </w:rPr>
      </w:pPr>
      <w:r w:rsidRPr="00E4738D">
        <w:rPr>
          <w:rFonts w:ascii="Times New Roman" w:hAnsi="Times New Roman" w:cs="Times New Roman"/>
          <w:sz w:val="28"/>
          <w:szCs w:val="28"/>
        </w:rPr>
        <w:t>Alcune piattaforme</w:t>
      </w:r>
      <w:r w:rsidR="00E4738D">
        <w:rPr>
          <w:rFonts w:ascii="Times New Roman" w:hAnsi="Times New Roman" w:cs="Times New Roman"/>
          <w:sz w:val="28"/>
          <w:szCs w:val="28"/>
        </w:rPr>
        <w:t xml:space="preserve">, </w:t>
      </w:r>
      <w:r w:rsidRPr="00E4738D">
        <w:rPr>
          <w:rFonts w:ascii="Times New Roman" w:hAnsi="Times New Roman" w:cs="Times New Roman"/>
          <w:sz w:val="28"/>
          <w:szCs w:val="28"/>
        </w:rPr>
        <w:t>come Google</w:t>
      </w:r>
      <w:r w:rsidR="00E4738D">
        <w:rPr>
          <w:rFonts w:ascii="Times New Roman" w:hAnsi="Times New Roman" w:cs="Times New Roman"/>
          <w:sz w:val="28"/>
          <w:szCs w:val="28"/>
        </w:rPr>
        <w:t>,</w:t>
      </w:r>
      <w:r w:rsidRPr="00E4738D">
        <w:rPr>
          <w:rFonts w:ascii="Times New Roman" w:hAnsi="Times New Roman" w:cs="Times New Roman"/>
          <w:sz w:val="28"/>
          <w:szCs w:val="28"/>
        </w:rPr>
        <w:t xml:space="preserve"> si stanno organizzando per evidenziare i c</w:t>
      </w:r>
      <w:r w:rsidR="0088090E" w:rsidRPr="00E4738D">
        <w:rPr>
          <w:rFonts w:ascii="Times New Roman" w:hAnsi="Times New Roman" w:cs="Times New Roman"/>
          <w:sz w:val="28"/>
          <w:szCs w:val="28"/>
        </w:rPr>
        <w:t>.</w:t>
      </w:r>
      <w:r w:rsidRPr="00E4738D">
        <w:rPr>
          <w:rFonts w:ascii="Times New Roman" w:hAnsi="Times New Roman" w:cs="Times New Roman"/>
          <w:sz w:val="28"/>
          <w:szCs w:val="28"/>
        </w:rPr>
        <w:t>d</w:t>
      </w:r>
      <w:r w:rsidR="0088090E" w:rsidRPr="00E4738D">
        <w:rPr>
          <w:rFonts w:ascii="Times New Roman" w:hAnsi="Times New Roman" w:cs="Times New Roman"/>
          <w:sz w:val="28"/>
          <w:szCs w:val="28"/>
        </w:rPr>
        <w:t>.</w:t>
      </w:r>
      <w:r w:rsidRPr="00E4738D">
        <w:rPr>
          <w:rFonts w:ascii="Times New Roman" w:hAnsi="Times New Roman" w:cs="Times New Roman"/>
          <w:sz w:val="28"/>
          <w:szCs w:val="28"/>
        </w:rPr>
        <w:t xml:space="preserve"> “</w:t>
      </w:r>
      <w:r w:rsidRPr="00E4738D">
        <w:rPr>
          <w:rFonts w:ascii="Times New Roman" w:hAnsi="Times New Roman" w:cs="Times New Roman"/>
          <w:i/>
          <w:iCs/>
          <w:sz w:val="28"/>
          <w:szCs w:val="28"/>
        </w:rPr>
        <w:t xml:space="preserve">Privacy </w:t>
      </w:r>
      <w:proofErr w:type="spellStart"/>
      <w:r w:rsidRPr="00E4738D">
        <w:rPr>
          <w:rFonts w:ascii="Times New Roman" w:hAnsi="Times New Roman" w:cs="Times New Roman"/>
          <w:i/>
          <w:iCs/>
          <w:sz w:val="28"/>
          <w:szCs w:val="28"/>
        </w:rPr>
        <w:t>Labels</w:t>
      </w:r>
      <w:proofErr w:type="spellEnd"/>
      <w:r w:rsidRPr="00E4738D">
        <w:rPr>
          <w:rFonts w:ascii="Times New Roman" w:hAnsi="Times New Roman" w:cs="Times New Roman"/>
          <w:sz w:val="28"/>
          <w:szCs w:val="28"/>
        </w:rPr>
        <w:t xml:space="preserve">”, ossia le </w:t>
      </w:r>
      <w:r w:rsidR="00E62329" w:rsidRPr="00E4738D">
        <w:rPr>
          <w:rFonts w:ascii="Times New Roman" w:hAnsi="Times New Roman" w:cs="Times New Roman"/>
          <w:sz w:val="28"/>
          <w:szCs w:val="28"/>
        </w:rPr>
        <w:t>etichette della</w:t>
      </w:r>
      <w:r w:rsidRPr="00E4738D">
        <w:rPr>
          <w:rFonts w:ascii="Times New Roman" w:hAnsi="Times New Roman" w:cs="Times New Roman"/>
          <w:sz w:val="28"/>
          <w:szCs w:val="28"/>
        </w:rPr>
        <w:t xml:space="preserve"> privacy che permetteranno agli utenti di conoscere in dettaglio i dati utilizzati dalle </w:t>
      </w:r>
      <w:proofErr w:type="spellStart"/>
      <w:r w:rsidRPr="00E4738D">
        <w:rPr>
          <w:rFonts w:ascii="Times New Roman" w:hAnsi="Times New Roman" w:cs="Times New Roman"/>
          <w:sz w:val="28"/>
          <w:szCs w:val="28"/>
        </w:rPr>
        <w:t>app</w:t>
      </w:r>
      <w:proofErr w:type="spellEnd"/>
      <w:r w:rsidRPr="00E4738D">
        <w:rPr>
          <w:rFonts w:ascii="Times New Roman" w:hAnsi="Times New Roman" w:cs="Times New Roman"/>
          <w:sz w:val="28"/>
          <w:szCs w:val="28"/>
        </w:rPr>
        <w:t xml:space="preserve"> pubblicate su </w:t>
      </w:r>
      <w:proofErr w:type="spellStart"/>
      <w:r w:rsidRPr="00E4738D">
        <w:rPr>
          <w:rFonts w:ascii="Times New Roman" w:hAnsi="Times New Roman" w:cs="Times New Roman"/>
          <w:i/>
          <w:iCs/>
          <w:sz w:val="28"/>
          <w:szCs w:val="28"/>
        </w:rPr>
        <w:t>Playstore</w:t>
      </w:r>
      <w:proofErr w:type="spellEnd"/>
      <w:r w:rsidR="00D510C0" w:rsidRPr="00E4738D">
        <w:rPr>
          <w:rFonts w:ascii="Times New Roman" w:hAnsi="Times New Roman" w:cs="Times New Roman"/>
          <w:sz w:val="28"/>
          <w:szCs w:val="28"/>
        </w:rPr>
        <w:t>.</w:t>
      </w:r>
      <w:r w:rsidR="00512CA7" w:rsidRPr="00E4738D">
        <w:rPr>
          <w:rFonts w:ascii="Times New Roman" w:hAnsi="Times New Roman" w:cs="Times New Roman"/>
          <w:sz w:val="28"/>
          <w:szCs w:val="28"/>
        </w:rPr>
        <w:t xml:space="preserve"> </w:t>
      </w:r>
    </w:p>
    <w:p w14:paraId="1C67595C" w14:textId="77777777" w:rsidR="00E4738D" w:rsidRDefault="00E62329" w:rsidP="00E4738D">
      <w:pPr>
        <w:tabs>
          <w:tab w:val="left" w:pos="8364"/>
        </w:tabs>
        <w:spacing w:after="0"/>
        <w:jc w:val="both"/>
        <w:rPr>
          <w:rFonts w:ascii="Times New Roman" w:hAnsi="Times New Roman" w:cs="Times New Roman"/>
          <w:sz w:val="28"/>
          <w:szCs w:val="28"/>
        </w:rPr>
      </w:pPr>
      <w:r w:rsidRPr="00E4738D">
        <w:rPr>
          <w:rFonts w:ascii="Times New Roman" w:hAnsi="Times New Roman" w:cs="Times New Roman"/>
          <w:sz w:val="28"/>
          <w:szCs w:val="28"/>
        </w:rPr>
        <w:t>Nei sistemi</w:t>
      </w:r>
      <w:r w:rsidR="00512CA7" w:rsidRPr="00E4738D">
        <w:rPr>
          <w:rFonts w:ascii="Times New Roman" w:hAnsi="Times New Roman" w:cs="Times New Roman"/>
          <w:sz w:val="28"/>
          <w:szCs w:val="28"/>
        </w:rPr>
        <w:t xml:space="preserve"> aziendali alcuni </w:t>
      </w:r>
      <w:proofErr w:type="spellStart"/>
      <w:r w:rsidR="00512CA7" w:rsidRPr="00E4738D">
        <w:rPr>
          <w:rFonts w:ascii="Times New Roman" w:hAnsi="Times New Roman" w:cs="Times New Roman"/>
          <w:i/>
          <w:iCs/>
          <w:sz w:val="28"/>
          <w:szCs w:val="28"/>
        </w:rPr>
        <w:t>vendor</w:t>
      </w:r>
      <w:proofErr w:type="spellEnd"/>
      <w:r w:rsidR="00512CA7" w:rsidRPr="00E4738D">
        <w:rPr>
          <w:rFonts w:ascii="Times New Roman" w:hAnsi="Times New Roman" w:cs="Times New Roman"/>
          <w:sz w:val="28"/>
          <w:szCs w:val="28"/>
        </w:rPr>
        <w:t xml:space="preserve"> introducono nelle infrastrutture </w:t>
      </w:r>
      <w:proofErr w:type="spellStart"/>
      <w:r w:rsidR="00512CA7" w:rsidRPr="00E4738D">
        <w:rPr>
          <w:rFonts w:ascii="Times New Roman" w:hAnsi="Times New Roman" w:cs="Times New Roman"/>
          <w:sz w:val="28"/>
          <w:szCs w:val="28"/>
        </w:rPr>
        <w:t>iperconvergenti</w:t>
      </w:r>
      <w:proofErr w:type="spellEnd"/>
      <w:r w:rsidR="00512CA7" w:rsidRPr="00E4738D">
        <w:rPr>
          <w:rFonts w:ascii="Times New Roman" w:hAnsi="Times New Roman" w:cs="Times New Roman"/>
          <w:sz w:val="28"/>
          <w:szCs w:val="28"/>
        </w:rPr>
        <w:t xml:space="preserve"> anche sistemi </w:t>
      </w:r>
      <w:proofErr w:type="spellStart"/>
      <w:r w:rsidR="00512CA7" w:rsidRPr="00E4738D">
        <w:rPr>
          <w:rFonts w:ascii="Times New Roman" w:hAnsi="Times New Roman" w:cs="Times New Roman"/>
          <w:i/>
          <w:iCs/>
          <w:sz w:val="28"/>
          <w:szCs w:val="28"/>
        </w:rPr>
        <w:t>embedded</w:t>
      </w:r>
      <w:proofErr w:type="spellEnd"/>
      <w:r w:rsidR="00512CA7" w:rsidRPr="00E4738D">
        <w:rPr>
          <w:rFonts w:ascii="Times New Roman" w:hAnsi="Times New Roman" w:cs="Times New Roman"/>
          <w:sz w:val="28"/>
          <w:szCs w:val="28"/>
        </w:rPr>
        <w:t xml:space="preserve"> di </w:t>
      </w:r>
      <w:r w:rsidR="00512CA7" w:rsidRPr="00E4738D">
        <w:rPr>
          <w:rFonts w:ascii="Times New Roman" w:hAnsi="Times New Roman" w:cs="Times New Roman"/>
          <w:i/>
          <w:iCs/>
          <w:sz w:val="28"/>
          <w:szCs w:val="28"/>
        </w:rPr>
        <w:t>backup</w:t>
      </w:r>
      <w:r w:rsidR="00512CA7" w:rsidRPr="00E4738D">
        <w:rPr>
          <w:rFonts w:ascii="Times New Roman" w:hAnsi="Times New Roman" w:cs="Times New Roman"/>
          <w:sz w:val="28"/>
          <w:szCs w:val="28"/>
        </w:rPr>
        <w:t xml:space="preserve"> e </w:t>
      </w:r>
      <w:proofErr w:type="spellStart"/>
      <w:r w:rsidR="00512CA7" w:rsidRPr="00E4738D">
        <w:rPr>
          <w:rFonts w:ascii="Times New Roman" w:hAnsi="Times New Roman" w:cs="Times New Roman"/>
          <w:i/>
          <w:iCs/>
          <w:sz w:val="28"/>
          <w:szCs w:val="28"/>
        </w:rPr>
        <w:t>disaster</w:t>
      </w:r>
      <w:proofErr w:type="spellEnd"/>
      <w:r w:rsidR="00512CA7" w:rsidRPr="00E4738D">
        <w:rPr>
          <w:rFonts w:ascii="Times New Roman" w:hAnsi="Times New Roman" w:cs="Times New Roman"/>
          <w:i/>
          <w:iCs/>
          <w:sz w:val="28"/>
          <w:szCs w:val="28"/>
        </w:rPr>
        <w:t xml:space="preserve"> </w:t>
      </w:r>
      <w:proofErr w:type="spellStart"/>
      <w:r w:rsidR="00512CA7" w:rsidRPr="00E4738D">
        <w:rPr>
          <w:rFonts w:ascii="Times New Roman" w:hAnsi="Times New Roman" w:cs="Times New Roman"/>
          <w:i/>
          <w:iCs/>
          <w:sz w:val="28"/>
          <w:szCs w:val="28"/>
        </w:rPr>
        <w:t>recovery</w:t>
      </w:r>
      <w:proofErr w:type="spellEnd"/>
      <w:r w:rsidR="00512CA7" w:rsidRPr="00E4738D">
        <w:rPr>
          <w:rFonts w:ascii="Times New Roman" w:hAnsi="Times New Roman" w:cs="Times New Roman"/>
          <w:sz w:val="28"/>
          <w:szCs w:val="28"/>
        </w:rPr>
        <w:t xml:space="preserve">, </w:t>
      </w:r>
      <w:r w:rsidR="00127EE4" w:rsidRPr="00E4738D">
        <w:rPr>
          <w:rFonts w:ascii="Times New Roman" w:hAnsi="Times New Roman" w:cs="Times New Roman"/>
          <w:sz w:val="28"/>
          <w:szCs w:val="28"/>
        </w:rPr>
        <w:t>garantendo il</w:t>
      </w:r>
      <w:r w:rsidR="00512CA7" w:rsidRPr="00E4738D">
        <w:rPr>
          <w:rFonts w:ascii="Times New Roman" w:hAnsi="Times New Roman" w:cs="Times New Roman"/>
          <w:sz w:val="28"/>
          <w:szCs w:val="28"/>
        </w:rPr>
        <w:t xml:space="preserve"> miglioramento della protezione dei dati </w:t>
      </w:r>
      <w:r w:rsidR="001D131B" w:rsidRPr="00E4738D">
        <w:rPr>
          <w:rFonts w:ascii="Times New Roman" w:hAnsi="Times New Roman" w:cs="Times New Roman"/>
          <w:sz w:val="28"/>
          <w:szCs w:val="28"/>
        </w:rPr>
        <w:t xml:space="preserve">e il minimo rischio di perdita dei dati stessi. </w:t>
      </w:r>
    </w:p>
    <w:p w14:paraId="3778AA8D" w14:textId="77777777" w:rsidR="00864CB8" w:rsidRDefault="001D131B" w:rsidP="00E4738D">
      <w:pPr>
        <w:tabs>
          <w:tab w:val="left" w:pos="8364"/>
        </w:tabs>
        <w:spacing w:after="0"/>
        <w:jc w:val="both"/>
        <w:rPr>
          <w:rFonts w:ascii="Times New Roman" w:hAnsi="Times New Roman" w:cs="Times New Roman"/>
          <w:sz w:val="28"/>
          <w:szCs w:val="28"/>
        </w:rPr>
      </w:pPr>
      <w:r w:rsidRPr="00E4738D">
        <w:rPr>
          <w:rFonts w:ascii="Times New Roman" w:hAnsi="Times New Roman" w:cs="Times New Roman"/>
          <w:sz w:val="28"/>
          <w:szCs w:val="28"/>
        </w:rPr>
        <w:t xml:space="preserve">Ciò avviene grazie all’incorporazione di tecnologie di rilevamento della corruzione dati e </w:t>
      </w:r>
      <w:r w:rsidRPr="00E4738D">
        <w:rPr>
          <w:rFonts w:ascii="Times New Roman" w:hAnsi="Times New Roman" w:cs="Times New Roman"/>
          <w:i/>
          <w:iCs/>
          <w:sz w:val="28"/>
          <w:szCs w:val="28"/>
        </w:rPr>
        <w:t>self-</w:t>
      </w:r>
      <w:proofErr w:type="spellStart"/>
      <w:r w:rsidRPr="00E4738D">
        <w:rPr>
          <w:rFonts w:ascii="Times New Roman" w:hAnsi="Times New Roman" w:cs="Times New Roman"/>
          <w:i/>
          <w:iCs/>
          <w:sz w:val="28"/>
          <w:szCs w:val="28"/>
        </w:rPr>
        <w:t>healing</w:t>
      </w:r>
      <w:proofErr w:type="spellEnd"/>
      <w:r w:rsidR="00E4738D">
        <w:rPr>
          <w:rFonts w:ascii="Times New Roman" w:hAnsi="Times New Roman" w:cs="Times New Roman"/>
          <w:i/>
          <w:iCs/>
          <w:sz w:val="28"/>
          <w:szCs w:val="28"/>
        </w:rPr>
        <w:t>,</w:t>
      </w:r>
      <w:r w:rsidRPr="00E4738D">
        <w:rPr>
          <w:rFonts w:ascii="Times New Roman" w:hAnsi="Times New Roman" w:cs="Times New Roman"/>
          <w:sz w:val="28"/>
          <w:szCs w:val="28"/>
        </w:rPr>
        <w:t xml:space="preserve"> che agiscono durante l’operatività standard e nelle fasi di </w:t>
      </w:r>
      <w:r w:rsidRPr="00E4738D">
        <w:rPr>
          <w:rFonts w:ascii="Times New Roman" w:hAnsi="Times New Roman" w:cs="Times New Roman"/>
          <w:i/>
          <w:iCs/>
          <w:sz w:val="28"/>
          <w:szCs w:val="28"/>
        </w:rPr>
        <w:t>back-up</w:t>
      </w:r>
      <w:r w:rsidRPr="00E4738D">
        <w:rPr>
          <w:rFonts w:ascii="Times New Roman" w:hAnsi="Times New Roman" w:cs="Times New Roman"/>
          <w:sz w:val="28"/>
          <w:szCs w:val="28"/>
        </w:rPr>
        <w:t xml:space="preserve"> automatizzato. </w:t>
      </w:r>
    </w:p>
    <w:p w14:paraId="09E96EBC" w14:textId="3288718B" w:rsidR="00EC59CF" w:rsidRDefault="00D510C0" w:rsidP="00E4738D">
      <w:pPr>
        <w:tabs>
          <w:tab w:val="left" w:pos="8364"/>
        </w:tabs>
        <w:spacing w:after="0"/>
        <w:jc w:val="both"/>
        <w:rPr>
          <w:rFonts w:ascii="Times New Roman" w:hAnsi="Times New Roman" w:cs="Times New Roman"/>
          <w:sz w:val="28"/>
          <w:szCs w:val="28"/>
        </w:rPr>
      </w:pPr>
      <w:r w:rsidRPr="00E4738D">
        <w:rPr>
          <w:rFonts w:ascii="Times New Roman" w:hAnsi="Times New Roman" w:cs="Times New Roman"/>
          <w:sz w:val="28"/>
          <w:szCs w:val="28"/>
        </w:rPr>
        <w:t xml:space="preserve">Per il raggiungimento di tali obiettivi il </w:t>
      </w:r>
      <w:proofErr w:type="spellStart"/>
      <w:r w:rsidRPr="00E4738D">
        <w:rPr>
          <w:rFonts w:ascii="Times New Roman" w:hAnsi="Times New Roman" w:cs="Times New Roman"/>
          <w:i/>
          <w:iCs/>
          <w:sz w:val="28"/>
          <w:szCs w:val="28"/>
        </w:rPr>
        <w:t>preemptive-remedy</w:t>
      </w:r>
      <w:proofErr w:type="spellEnd"/>
      <w:r w:rsidRPr="00E4738D">
        <w:rPr>
          <w:rFonts w:ascii="Times New Roman" w:hAnsi="Times New Roman" w:cs="Times New Roman"/>
          <w:sz w:val="28"/>
          <w:szCs w:val="28"/>
        </w:rPr>
        <w:t xml:space="preserve">, ossia il </w:t>
      </w:r>
      <w:r>
        <w:rPr>
          <w:rFonts w:ascii="Times New Roman" w:hAnsi="Times New Roman" w:cs="Times New Roman"/>
          <w:sz w:val="28"/>
          <w:szCs w:val="28"/>
        </w:rPr>
        <w:t>rimedio preventivo</w:t>
      </w:r>
      <w:r w:rsidR="0088090E">
        <w:rPr>
          <w:rFonts w:ascii="Times New Roman" w:hAnsi="Times New Roman" w:cs="Times New Roman"/>
          <w:sz w:val="28"/>
          <w:szCs w:val="28"/>
        </w:rPr>
        <w:t>,</w:t>
      </w:r>
      <w:r>
        <w:rPr>
          <w:rFonts w:ascii="Times New Roman" w:hAnsi="Times New Roman" w:cs="Times New Roman"/>
          <w:sz w:val="28"/>
          <w:szCs w:val="28"/>
        </w:rPr>
        <w:t xml:space="preserve"> trova un suo completamento nel potere sanzionatorio delle Autorità </w:t>
      </w:r>
      <w:proofErr w:type="spellStart"/>
      <w:r>
        <w:rPr>
          <w:rFonts w:ascii="Times New Roman" w:hAnsi="Times New Roman" w:cs="Times New Roman"/>
          <w:sz w:val="28"/>
          <w:szCs w:val="28"/>
        </w:rPr>
        <w:t>regolatorie</w:t>
      </w:r>
      <w:proofErr w:type="spellEnd"/>
      <w:r>
        <w:rPr>
          <w:rFonts w:ascii="Times New Roman" w:hAnsi="Times New Roman" w:cs="Times New Roman"/>
          <w:sz w:val="28"/>
          <w:szCs w:val="28"/>
        </w:rPr>
        <w:t xml:space="preserve"> tenuto conto dei principi di ef</w:t>
      </w:r>
      <w:r w:rsidR="001D131B">
        <w:rPr>
          <w:rFonts w:ascii="Times New Roman" w:hAnsi="Times New Roman" w:cs="Times New Roman"/>
          <w:sz w:val="28"/>
          <w:szCs w:val="28"/>
        </w:rPr>
        <w:t>f</w:t>
      </w:r>
      <w:r>
        <w:rPr>
          <w:rFonts w:ascii="Times New Roman" w:hAnsi="Times New Roman" w:cs="Times New Roman"/>
          <w:sz w:val="28"/>
          <w:szCs w:val="28"/>
        </w:rPr>
        <w:t xml:space="preserve">ettività, proporzionalità e </w:t>
      </w:r>
      <w:proofErr w:type="spellStart"/>
      <w:r>
        <w:rPr>
          <w:rFonts w:ascii="Times New Roman" w:hAnsi="Times New Roman" w:cs="Times New Roman"/>
          <w:sz w:val="28"/>
          <w:szCs w:val="28"/>
        </w:rPr>
        <w:t>dissuasività</w:t>
      </w:r>
      <w:proofErr w:type="spellEnd"/>
      <w:r>
        <w:rPr>
          <w:rFonts w:ascii="Times New Roman" w:hAnsi="Times New Roman" w:cs="Times New Roman"/>
          <w:sz w:val="28"/>
          <w:szCs w:val="28"/>
        </w:rPr>
        <w:t xml:space="preserve"> delle sanzioni.  A tal riguardo</w:t>
      </w:r>
      <w:r w:rsidR="0088090E">
        <w:rPr>
          <w:rFonts w:ascii="Times New Roman" w:hAnsi="Times New Roman" w:cs="Times New Roman"/>
          <w:sz w:val="28"/>
          <w:szCs w:val="28"/>
        </w:rPr>
        <w:t>,</w:t>
      </w:r>
      <w:r>
        <w:rPr>
          <w:rFonts w:ascii="Times New Roman" w:hAnsi="Times New Roman" w:cs="Times New Roman"/>
          <w:sz w:val="28"/>
          <w:szCs w:val="28"/>
        </w:rPr>
        <w:t xml:space="preserve"> si è </w:t>
      </w:r>
      <w:r w:rsidR="00E62329">
        <w:rPr>
          <w:rFonts w:ascii="Times New Roman" w:hAnsi="Times New Roman" w:cs="Times New Roman"/>
          <w:sz w:val="28"/>
          <w:szCs w:val="28"/>
        </w:rPr>
        <w:t>po</w:t>
      </w:r>
      <w:r>
        <w:rPr>
          <w:rFonts w:ascii="Times New Roman" w:hAnsi="Times New Roman" w:cs="Times New Roman"/>
          <w:sz w:val="28"/>
          <w:szCs w:val="28"/>
        </w:rPr>
        <w:t xml:space="preserve">sta la questione del rapporto tra il consenso ed il legittimo interesse </w:t>
      </w:r>
      <w:r>
        <w:rPr>
          <w:rFonts w:ascii="Times New Roman" w:hAnsi="Times New Roman" w:cs="Times New Roman"/>
          <w:sz w:val="28"/>
          <w:szCs w:val="28"/>
        </w:rPr>
        <w:lastRenderedPageBreak/>
        <w:t>quale base giuridica del trattamento dei dati. L’Opinion WP29 n.</w:t>
      </w:r>
      <w:r w:rsidR="00127EE4">
        <w:rPr>
          <w:rFonts w:ascii="Times New Roman" w:hAnsi="Times New Roman" w:cs="Times New Roman"/>
          <w:sz w:val="28"/>
          <w:szCs w:val="28"/>
        </w:rPr>
        <w:t xml:space="preserve"> </w:t>
      </w:r>
      <w:r>
        <w:rPr>
          <w:rFonts w:ascii="Times New Roman" w:hAnsi="Times New Roman" w:cs="Times New Roman"/>
          <w:sz w:val="28"/>
          <w:szCs w:val="28"/>
        </w:rPr>
        <w:t>6/2004 ha escluso che il legittimo interesse ex art.</w:t>
      </w:r>
      <w:r w:rsidR="00E62329">
        <w:rPr>
          <w:rFonts w:ascii="Times New Roman" w:hAnsi="Times New Roman" w:cs="Times New Roman"/>
          <w:sz w:val="28"/>
          <w:szCs w:val="28"/>
        </w:rPr>
        <w:t xml:space="preserve"> </w:t>
      </w:r>
      <w:r>
        <w:rPr>
          <w:rFonts w:ascii="Times New Roman" w:hAnsi="Times New Roman" w:cs="Times New Roman"/>
          <w:sz w:val="28"/>
          <w:szCs w:val="28"/>
        </w:rPr>
        <w:t>6</w:t>
      </w:r>
      <w:r w:rsidR="00127EE4">
        <w:rPr>
          <w:rFonts w:ascii="Times New Roman" w:hAnsi="Times New Roman" w:cs="Times New Roman"/>
          <w:sz w:val="28"/>
          <w:szCs w:val="28"/>
        </w:rPr>
        <w:t>,</w:t>
      </w:r>
      <w:r>
        <w:rPr>
          <w:rFonts w:ascii="Times New Roman" w:hAnsi="Times New Roman" w:cs="Times New Roman"/>
          <w:sz w:val="28"/>
          <w:szCs w:val="28"/>
        </w:rPr>
        <w:t xml:space="preserve"> par.</w:t>
      </w:r>
      <w:r w:rsidR="00127EE4">
        <w:rPr>
          <w:rFonts w:ascii="Times New Roman" w:hAnsi="Times New Roman" w:cs="Times New Roman"/>
          <w:sz w:val="28"/>
          <w:szCs w:val="28"/>
        </w:rPr>
        <w:t xml:space="preserve"> </w:t>
      </w:r>
      <w:r>
        <w:rPr>
          <w:rFonts w:ascii="Times New Roman" w:hAnsi="Times New Roman" w:cs="Times New Roman"/>
          <w:sz w:val="28"/>
          <w:szCs w:val="28"/>
        </w:rPr>
        <w:t>1</w:t>
      </w:r>
      <w:r w:rsidR="00E6232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lett</w:t>
      </w:r>
      <w:proofErr w:type="spellEnd"/>
      <w:r>
        <w:rPr>
          <w:rFonts w:ascii="Times New Roman" w:hAnsi="Times New Roman" w:cs="Times New Roman"/>
          <w:sz w:val="28"/>
          <w:szCs w:val="28"/>
        </w:rPr>
        <w:t>.</w:t>
      </w:r>
      <w:r w:rsidR="00127EE4">
        <w:rPr>
          <w:rFonts w:ascii="Times New Roman" w:hAnsi="Times New Roman" w:cs="Times New Roman"/>
          <w:sz w:val="28"/>
          <w:szCs w:val="28"/>
        </w:rPr>
        <w:t xml:space="preserve"> </w:t>
      </w:r>
      <w:r>
        <w:rPr>
          <w:rFonts w:ascii="Times New Roman" w:hAnsi="Times New Roman" w:cs="Times New Roman"/>
          <w:sz w:val="28"/>
          <w:szCs w:val="28"/>
        </w:rPr>
        <w:t>f)</w:t>
      </w:r>
      <w:r w:rsidR="00E62329">
        <w:rPr>
          <w:rStyle w:val="Rimandonotaapidipagina"/>
          <w:rFonts w:ascii="Times New Roman" w:hAnsi="Times New Roman" w:cs="Times New Roman"/>
          <w:sz w:val="28"/>
          <w:szCs w:val="28"/>
        </w:rPr>
        <w:footnoteReference w:id="128"/>
      </w:r>
      <w:r>
        <w:rPr>
          <w:rFonts w:ascii="Times New Roman" w:hAnsi="Times New Roman" w:cs="Times New Roman"/>
          <w:sz w:val="28"/>
          <w:szCs w:val="28"/>
        </w:rPr>
        <w:t xml:space="preserve"> possa surrogare il consenso espresso, libero ed inequivocabile sul proprio trattamento dei dati.</w:t>
      </w:r>
    </w:p>
    <w:p w14:paraId="7989005D" w14:textId="77777777" w:rsidR="007C239D" w:rsidRDefault="003341CF" w:rsidP="007C239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Il consenso assume ancora più importanza in relazione alla prospettiva del futuro non troppo lontano dei c</w:t>
      </w:r>
      <w:r w:rsidR="0088090E">
        <w:rPr>
          <w:rFonts w:ascii="Times New Roman" w:hAnsi="Times New Roman" w:cs="Times New Roman"/>
          <w:sz w:val="28"/>
          <w:szCs w:val="28"/>
        </w:rPr>
        <w:t>.</w:t>
      </w:r>
      <w:r>
        <w:rPr>
          <w:rFonts w:ascii="Times New Roman" w:hAnsi="Times New Roman" w:cs="Times New Roman"/>
          <w:sz w:val="28"/>
          <w:szCs w:val="28"/>
        </w:rPr>
        <w:t>d.</w:t>
      </w:r>
      <w:r w:rsidR="00E62329">
        <w:rPr>
          <w:rFonts w:ascii="Times New Roman" w:hAnsi="Times New Roman" w:cs="Times New Roman"/>
          <w:sz w:val="28"/>
          <w:szCs w:val="28"/>
        </w:rPr>
        <w:t xml:space="preserve"> “</w:t>
      </w:r>
      <w:r w:rsidRPr="003341CF">
        <w:rPr>
          <w:rFonts w:ascii="Times New Roman" w:hAnsi="Times New Roman" w:cs="Times New Roman"/>
          <w:i/>
          <w:iCs/>
          <w:sz w:val="28"/>
          <w:szCs w:val="28"/>
        </w:rPr>
        <w:t>Computer quantistici</w:t>
      </w:r>
      <w:r w:rsidRPr="007C239D">
        <w:rPr>
          <w:rFonts w:ascii="Times New Roman" w:hAnsi="Times New Roman" w:cs="Times New Roman"/>
          <w:sz w:val="28"/>
          <w:szCs w:val="28"/>
        </w:rPr>
        <w:t xml:space="preserve">”. </w:t>
      </w:r>
    </w:p>
    <w:p w14:paraId="3A02420F" w14:textId="42B00C45" w:rsidR="007C239D" w:rsidRPr="00EE5D4C" w:rsidRDefault="003341CF" w:rsidP="007C239D">
      <w:pPr>
        <w:tabs>
          <w:tab w:val="left" w:pos="8364"/>
        </w:tabs>
        <w:spacing w:after="0"/>
        <w:jc w:val="both"/>
        <w:rPr>
          <w:rFonts w:ascii="Times New Roman" w:hAnsi="Times New Roman" w:cs="Times New Roman"/>
          <w:i/>
          <w:iCs/>
          <w:sz w:val="28"/>
          <w:szCs w:val="28"/>
        </w:rPr>
      </w:pPr>
      <w:r w:rsidRPr="003341CF">
        <w:rPr>
          <w:rFonts w:ascii="Times New Roman" w:hAnsi="Times New Roman" w:cs="Times New Roman"/>
          <w:sz w:val="28"/>
          <w:szCs w:val="28"/>
        </w:rPr>
        <w:t xml:space="preserve">La </w:t>
      </w:r>
      <w:proofErr w:type="spellStart"/>
      <w:r w:rsidRPr="003341CF">
        <w:rPr>
          <w:rFonts w:ascii="Times New Roman" w:hAnsi="Times New Roman" w:cs="Times New Roman"/>
          <w:i/>
          <w:iCs/>
          <w:sz w:val="28"/>
          <w:szCs w:val="28"/>
        </w:rPr>
        <w:t>Mit</w:t>
      </w:r>
      <w:proofErr w:type="spellEnd"/>
      <w:r w:rsidRPr="003341CF">
        <w:rPr>
          <w:rFonts w:ascii="Times New Roman" w:hAnsi="Times New Roman" w:cs="Times New Roman"/>
          <w:i/>
          <w:iCs/>
          <w:sz w:val="28"/>
          <w:szCs w:val="28"/>
        </w:rPr>
        <w:t xml:space="preserve"> Technology</w:t>
      </w:r>
      <w:r>
        <w:rPr>
          <w:rFonts w:ascii="Times New Roman" w:hAnsi="Times New Roman" w:cs="Times New Roman"/>
          <w:i/>
          <w:iCs/>
          <w:sz w:val="28"/>
          <w:szCs w:val="28"/>
        </w:rPr>
        <w:t xml:space="preserve"> </w:t>
      </w:r>
      <w:proofErr w:type="spellStart"/>
      <w:r w:rsidR="00E62329">
        <w:rPr>
          <w:rFonts w:ascii="Times New Roman" w:hAnsi="Times New Roman" w:cs="Times New Roman"/>
          <w:i/>
          <w:iCs/>
          <w:sz w:val="28"/>
          <w:szCs w:val="28"/>
        </w:rPr>
        <w:t>Review</w:t>
      </w:r>
      <w:proofErr w:type="spellEnd"/>
      <w:r w:rsidR="0088090E">
        <w:rPr>
          <w:rFonts w:ascii="Times New Roman" w:hAnsi="Times New Roman" w:cs="Times New Roman"/>
          <w:i/>
          <w:iCs/>
          <w:sz w:val="28"/>
          <w:szCs w:val="28"/>
        </w:rPr>
        <w:t>,</w:t>
      </w:r>
      <w:r w:rsidR="00E62329">
        <w:rPr>
          <w:rFonts w:ascii="Times New Roman" w:hAnsi="Times New Roman" w:cs="Times New Roman"/>
          <w:i/>
          <w:iCs/>
          <w:sz w:val="28"/>
          <w:szCs w:val="28"/>
        </w:rPr>
        <w:t xml:space="preserve"> </w:t>
      </w:r>
      <w:r w:rsidR="00E62329" w:rsidRPr="00E62329">
        <w:rPr>
          <w:rFonts w:ascii="Times New Roman" w:hAnsi="Times New Roman" w:cs="Times New Roman"/>
          <w:sz w:val="28"/>
          <w:szCs w:val="28"/>
        </w:rPr>
        <w:t>di</w:t>
      </w:r>
      <w:r w:rsidRPr="00E62329">
        <w:rPr>
          <w:rFonts w:ascii="Times New Roman" w:hAnsi="Times New Roman" w:cs="Times New Roman"/>
          <w:sz w:val="28"/>
          <w:szCs w:val="28"/>
        </w:rPr>
        <w:t xml:space="preserve"> </w:t>
      </w:r>
      <w:r w:rsidRPr="003341CF">
        <w:rPr>
          <w:rFonts w:ascii="Times New Roman" w:hAnsi="Times New Roman" w:cs="Times New Roman"/>
          <w:sz w:val="28"/>
          <w:szCs w:val="28"/>
        </w:rPr>
        <w:t>recente</w:t>
      </w:r>
      <w:r w:rsidR="0088090E">
        <w:rPr>
          <w:rFonts w:ascii="Times New Roman" w:hAnsi="Times New Roman" w:cs="Times New Roman"/>
          <w:sz w:val="28"/>
          <w:szCs w:val="28"/>
        </w:rPr>
        <w:t>,</w:t>
      </w:r>
      <w:r w:rsidRPr="003341CF">
        <w:rPr>
          <w:rFonts w:ascii="Times New Roman" w:hAnsi="Times New Roman" w:cs="Times New Roman"/>
          <w:sz w:val="28"/>
          <w:szCs w:val="28"/>
        </w:rPr>
        <w:t xml:space="preserve"> ha messo </w:t>
      </w:r>
      <w:r>
        <w:rPr>
          <w:rFonts w:ascii="Times New Roman" w:hAnsi="Times New Roman" w:cs="Times New Roman"/>
          <w:sz w:val="28"/>
          <w:szCs w:val="28"/>
        </w:rPr>
        <w:t>in evidenza i rischi di chi oggi raccoglie dati sensibili anche crittografati, dunque, di fatto</w:t>
      </w:r>
      <w:r w:rsidR="0088090E">
        <w:rPr>
          <w:rFonts w:ascii="Times New Roman" w:hAnsi="Times New Roman" w:cs="Times New Roman"/>
          <w:sz w:val="28"/>
          <w:szCs w:val="28"/>
        </w:rPr>
        <w:t>,</w:t>
      </w:r>
      <w:r>
        <w:rPr>
          <w:rFonts w:ascii="Times New Roman" w:hAnsi="Times New Roman" w:cs="Times New Roman"/>
          <w:sz w:val="28"/>
          <w:szCs w:val="28"/>
        </w:rPr>
        <w:t xml:space="preserve"> al momento inservibili perché blindati, ma con la speranza di poterli sfruttare e decrittare in futuro. Come? Adoperando l’enorme potenza di calcolo dei “</w:t>
      </w:r>
      <w:r w:rsidR="00E62329">
        <w:rPr>
          <w:rFonts w:ascii="Times New Roman" w:hAnsi="Times New Roman" w:cs="Times New Roman"/>
          <w:sz w:val="28"/>
          <w:szCs w:val="28"/>
        </w:rPr>
        <w:t>computer</w:t>
      </w:r>
      <w:r>
        <w:rPr>
          <w:rFonts w:ascii="Times New Roman" w:hAnsi="Times New Roman" w:cs="Times New Roman"/>
          <w:sz w:val="28"/>
          <w:szCs w:val="28"/>
        </w:rPr>
        <w:t xml:space="preserve"> quantistici” che lavorano in modo ben diverso da quelli attuali con ogni </w:t>
      </w:r>
      <w:r w:rsidRPr="00126D1D">
        <w:rPr>
          <w:rFonts w:ascii="Times New Roman" w:hAnsi="Times New Roman" w:cs="Times New Roman"/>
          <w:i/>
          <w:iCs/>
          <w:sz w:val="28"/>
          <w:szCs w:val="28"/>
        </w:rPr>
        <w:t>bit</w:t>
      </w:r>
      <w:r>
        <w:rPr>
          <w:rFonts w:ascii="Times New Roman" w:hAnsi="Times New Roman" w:cs="Times New Roman"/>
          <w:sz w:val="28"/>
          <w:szCs w:val="28"/>
        </w:rPr>
        <w:t xml:space="preserve"> quantistico (o </w:t>
      </w:r>
      <w:proofErr w:type="spellStart"/>
      <w:r w:rsidRPr="003341CF">
        <w:rPr>
          <w:rFonts w:ascii="Times New Roman" w:hAnsi="Times New Roman" w:cs="Times New Roman"/>
          <w:i/>
          <w:iCs/>
          <w:sz w:val="28"/>
          <w:szCs w:val="28"/>
        </w:rPr>
        <w:t>qubit</w:t>
      </w:r>
      <w:proofErr w:type="spellEnd"/>
      <w:r>
        <w:rPr>
          <w:rFonts w:ascii="Times New Roman" w:hAnsi="Times New Roman" w:cs="Times New Roman"/>
          <w:sz w:val="28"/>
          <w:szCs w:val="28"/>
        </w:rPr>
        <w:t>)</w:t>
      </w:r>
      <w:r w:rsidR="00290B0D">
        <w:rPr>
          <w:rStyle w:val="Rimandonotaapidipagina"/>
          <w:rFonts w:ascii="Times New Roman" w:hAnsi="Times New Roman" w:cs="Times New Roman"/>
          <w:sz w:val="28"/>
          <w:szCs w:val="28"/>
        </w:rPr>
        <w:footnoteReference w:id="129"/>
      </w:r>
      <w:r>
        <w:rPr>
          <w:rFonts w:ascii="Times New Roman" w:hAnsi="Times New Roman" w:cs="Times New Roman"/>
          <w:sz w:val="28"/>
          <w:szCs w:val="28"/>
        </w:rPr>
        <w:t xml:space="preserve"> in grado di assumere diversi valori nello stesso momento, e, dunque, moltiplicare il potere computazionale</w:t>
      </w:r>
      <w:r w:rsidR="00F260E7">
        <w:rPr>
          <w:rStyle w:val="Rimandonotaapidipagina"/>
          <w:rFonts w:ascii="Times New Roman" w:hAnsi="Times New Roman" w:cs="Times New Roman"/>
          <w:sz w:val="28"/>
          <w:szCs w:val="28"/>
        </w:rPr>
        <w:footnoteReference w:id="130"/>
      </w:r>
      <w:r>
        <w:rPr>
          <w:rFonts w:ascii="Times New Roman" w:hAnsi="Times New Roman" w:cs="Times New Roman"/>
          <w:sz w:val="28"/>
          <w:szCs w:val="28"/>
        </w:rPr>
        <w:t xml:space="preserve">. </w:t>
      </w:r>
    </w:p>
    <w:p w14:paraId="1EE710CB" w14:textId="06B489E6" w:rsidR="007C239D" w:rsidRDefault="003341CF" w:rsidP="007C239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La complessità dei computer quantistici potrebbe renderli molto più rapidi per certi </w:t>
      </w:r>
      <w:r w:rsidR="00E62329">
        <w:rPr>
          <w:rFonts w:ascii="Times New Roman" w:hAnsi="Times New Roman" w:cs="Times New Roman"/>
          <w:sz w:val="28"/>
          <w:szCs w:val="28"/>
        </w:rPr>
        <w:t>compiti, consentendo</w:t>
      </w:r>
      <w:r>
        <w:rPr>
          <w:rFonts w:ascii="Times New Roman" w:hAnsi="Times New Roman" w:cs="Times New Roman"/>
          <w:sz w:val="28"/>
          <w:szCs w:val="28"/>
        </w:rPr>
        <w:t xml:space="preserve"> loro di risolvere problemi oggi impossibili da sciogliere</w:t>
      </w:r>
      <w:r w:rsidR="00126D1D">
        <w:rPr>
          <w:rStyle w:val="Rimandonotaapidipagina"/>
          <w:rFonts w:ascii="Times New Roman" w:hAnsi="Times New Roman" w:cs="Times New Roman"/>
          <w:sz w:val="28"/>
          <w:szCs w:val="28"/>
        </w:rPr>
        <w:footnoteReference w:id="131"/>
      </w:r>
      <w:r w:rsidR="00FD3F15">
        <w:rPr>
          <w:rFonts w:ascii="Times New Roman" w:hAnsi="Times New Roman" w:cs="Times New Roman"/>
          <w:sz w:val="28"/>
          <w:szCs w:val="28"/>
        </w:rPr>
        <w:t xml:space="preserve">. </w:t>
      </w:r>
    </w:p>
    <w:p w14:paraId="66FDA4DA" w14:textId="1E31751E" w:rsidR="00127EE4" w:rsidRDefault="00FD3F15" w:rsidP="007C239D">
      <w:pPr>
        <w:tabs>
          <w:tab w:val="left" w:pos="8364"/>
        </w:tabs>
        <w:spacing w:after="0"/>
        <w:jc w:val="both"/>
        <w:rPr>
          <w:rFonts w:ascii="Times New Roman" w:hAnsi="Times New Roman" w:cs="Times New Roman"/>
          <w:sz w:val="28"/>
          <w:szCs w:val="28"/>
        </w:rPr>
      </w:pPr>
      <w:r>
        <w:rPr>
          <w:rFonts w:ascii="Times New Roman" w:hAnsi="Times New Roman" w:cs="Times New Roman"/>
          <w:sz w:val="28"/>
          <w:szCs w:val="28"/>
        </w:rPr>
        <w:t xml:space="preserve">In questa classe di problemi c’è anche la capacità di scardinare gli algoritmi che al momento utilizziamo per proteggere </w:t>
      </w:r>
      <w:r w:rsidRPr="00FD3F15">
        <w:rPr>
          <w:rFonts w:ascii="Times New Roman" w:hAnsi="Times New Roman" w:cs="Times New Roman"/>
          <w:i/>
          <w:iCs/>
          <w:sz w:val="28"/>
          <w:szCs w:val="28"/>
        </w:rPr>
        <w:t>database</w:t>
      </w:r>
      <w:r>
        <w:rPr>
          <w:rFonts w:ascii="Times New Roman" w:hAnsi="Times New Roman" w:cs="Times New Roman"/>
          <w:sz w:val="28"/>
          <w:szCs w:val="28"/>
        </w:rPr>
        <w:t xml:space="preserve"> e </w:t>
      </w:r>
      <w:r w:rsidRPr="00FD3F15">
        <w:rPr>
          <w:rFonts w:ascii="Times New Roman" w:hAnsi="Times New Roman" w:cs="Times New Roman"/>
          <w:i/>
          <w:iCs/>
          <w:sz w:val="28"/>
          <w:szCs w:val="28"/>
        </w:rPr>
        <w:t>server farm</w:t>
      </w:r>
      <w:r>
        <w:rPr>
          <w:rFonts w:ascii="Times New Roman" w:hAnsi="Times New Roman" w:cs="Times New Roman"/>
          <w:i/>
          <w:iCs/>
          <w:sz w:val="28"/>
          <w:szCs w:val="28"/>
        </w:rPr>
        <w:t xml:space="preserve"> </w:t>
      </w:r>
      <w:r w:rsidRPr="00FD3F15">
        <w:rPr>
          <w:rFonts w:ascii="Times New Roman" w:hAnsi="Times New Roman" w:cs="Times New Roman"/>
          <w:sz w:val="28"/>
          <w:szCs w:val="28"/>
        </w:rPr>
        <w:t>che custodiscono informazioni personali, segreti di Stato o impor</w:t>
      </w:r>
      <w:r>
        <w:rPr>
          <w:rFonts w:ascii="Times New Roman" w:hAnsi="Times New Roman" w:cs="Times New Roman"/>
          <w:sz w:val="28"/>
          <w:szCs w:val="28"/>
        </w:rPr>
        <w:t>tanti brevetti commerciali</w:t>
      </w:r>
      <w:r w:rsidR="00AA2581">
        <w:rPr>
          <w:rStyle w:val="Rimandonotaapidipagina"/>
          <w:rFonts w:ascii="Times New Roman" w:hAnsi="Times New Roman" w:cs="Times New Roman"/>
          <w:sz w:val="28"/>
          <w:szCs w:val="28"/>
        </w:rPr>
        <w:footnoteReference w:id="132"/>
      </w:r>
      <w:r>
        <w:rPr>
          <w:rFonts w:ascii="Times New Roman" w:hAnsi="Times New Roman" w:cs="Times New Roman"/>
          <w:sz w:val="28"/>
          <w:szCs w:val="28"/>
        </w:rPr>
        <w:t>.</w:t>
      </w:r>
    </w:p>
    <w:p w14:paraId="60343C7F" w14:textId="77777777" w:rsidR="00127EE4" w:rsidRDefault="00127EE4" w:rsidP="00E62329">
      <w:pPr>
        <w:rPr>
          <w:rFonts w:ascii="Times New Roman" w:hAnsi="Times New Roman" w:cs="Times New Roman"/>
          <w:sz w:val="28"/>
          <w:szCs w:val="28"/>
        </w:rPr>
      </w:pPr>
    </w:p>
    <w:p w14:paraId="13028D60" w14:textId="77777777" w:rsidR="00127EE4" w:rsidRDefault="00127EE4" w:rsidP="00E62329">
      <w:pPr>
        <w:rPr>
          <w:rFonts w:ascii="Times New Roman" w:hAnsi="Times New Roman" w:cs="Times New Roman"/>
          <w:sz w:val="28"/>
          <w:szCs w:val="28"/>
        </w:rPr>
      </w:pPr>
    </w:p>
    <w:p w14:paraId="4191BC9C" w14:textId="4F01CC2C" w:rsidR="00A75A26" w:rsidRPr="00E62329" w:rsidRDefault="00E62329" w:rsidP="00E62329">
      <w:pPr>
        <w:rPr>
          <w:rFonts w:ascii="Times New Roman" w:hAnsi="Times New Roman" w:cs="Times New Roman"/>
          <w:sz w:val="32"/>
          <w:szCs w:val="32"/>
        </w:rPr>
      </w:pPr>
      <w:r>
        <w:rPr>
          <w:rFonts w:ascii="Times New Roman" w:hAnsi="Times New Roman" w:cs="Times New Roman"/>
          <w:sz w:val="28"/>
          <w:szCs w:val="28"/>
        </w:rPr>
        <w:br w:type="page"/>
      </w:r>
      <w:r w:rsidRPr="00E62329">
        <w:rPr>
          <w:rFonts w:ascii="Times New Roman" w:hAnsi="Times New Roman" w:cs="Times New Roman"/>
          <w:b/>
          <w:bCs/>
          <w:sz w:val="32"/>
          <w:szCs w:val="32"/>
        </w:rPr>
        <w:lastRenderedPageBreak/>
        <w:t>VIII</w:t>
      </w:r>
      <w:r w:rsidR="00A75A26" w:rsidRPr="00E62329">
        <w:rPr>
          <w:rFonts w:ascii="Times New Roman" w:hAnsi="Times New Roman" w:cs="Times New Roman"/>
          <w:b/>
          <w:bCs/>
          <w:sz w:val="32"/>
          <w:szCs w:val="32"/>
        </w:rPr>
        <w:t xml:space="preserve"> Capitolo</w:t>
      </w:r>
    </w:p>
    <w:p w14:paraId="07D8324A" w14:textId="350BBFC4" w:rsidR="008E4746" w:rsidRPr="00E62329" w:rsidRDefault="008E4746" w:rsidP="005A65A4">
      <w:pPr>
        <w:tabs>
          <w:tab w:val="left" w:pos="8364"/>
        </w:tabs>
        <w:jc w:val="both"/>
        <w:rPr>
          <w:rFonts w:ascii="Times New Roman" w:hAnsi="Times New Roman" w:cs="Times New Roman"/>
          <w:b/>
          <w:bCs/>
          <w:sz w:val="32"/>
          <w:szCs w:val="32"/>
        </w:rPr>
      </w:pPr>
      <w:r w:rsidRPr="00E62329">
        <w:rPr>
          <w:rFonts w:ascii="Times New Roman" w:hAnsi="Times New Roman" w:cs="Times New Roman"/>
          <w:b/>
          <w:bCs/>
          <w:sz w:val="32"/>
          <w:szCs w:val="32"/>
        </w:rPr>
        <w:t>Strumenti</w:t>
      </w:r>
      <w:r w:rsidR="005A65A4" w:rsidRPr="00E62329">
        <w:rPr>
          <w:rFonts w:ascii="Times New Roman" w:hAnsi="Times New Roman" w:cs="Times New Roman"/>
          <w:b/>
          <w:bCs/>
          <w:sz w:val="32"/>
          <w:szCs w:val="32"/>
        </w:rPr>
        <w:t xml:space="preserve"> </w:t>
      </w:r>
      <w:r w:rsidRPr="00E62329">
        <w:rPr>
          <w:rFonts w:ascii="Times New Roman" w:hAnsi="Times New Roman" w:cs="Times New Roman"/>
          <w:b/>
          <w:bCs/>
          <w:sz w:val="32"/>
          <w:szCs w:val="32"/>
        </w:rPr>
        <w:t xml:space="preserve">normativi regolatori e prospettive future nella </w:t>
      </w:r>
      <w:r w:rsidR="00E64824" w:rsidRPr="00E62329">
        <w:rPr>
          <w:rFonts w:ascii="Times New Roman" w:hAnsi="Times New Roman" w:cs="Times New Roman"/>
          <w:b/>
          <w:bCs/>
          <w:sz w:val="32"/>
          <w:szCs w:val="32"/>
        </w:rPr>
        <w:t>dimensione</w:t>
      </w:r>
      <w:r w:rsidRPr="00E62329">
        <w:rPr>
          <w:rFonts w:ascii="Times New Roman" w:hAnsi="Times New Roman" w:cs="Times New Roman"/>
          <w:b/>
          <w:bCs/>
          <w:sz w:val="32"/>
          <w:szCs w:val="32"/>
        </w:rPr>
        <w:t xml:space="preserve"> euro-unitaria e in quella nazionale.</w:t>
      </w:r>
    </w:p>
    <w:p w14:paraId="1FD2AD1A" w14:textId="4FB522DB" w:rsidR="007C239D" w:rsidRDefault="009461DE" w:rsidP="007C239D">
      <w:pPr>
        <w:pStyle w:val="NormaleWeb"/>
        <w:spacing w:before="0" w:beforeAutospacing="0" w:after="0" w:afterAutospacing="0"/>
        <w:jc w:val="both"/>
        <w:rPr>
          <w:sz w:val="28"/>
          <w:szCs w:val="28"/>
        </w:rPr>
      </w:pPr>
      <w:r>
        <w:rPr>
          <w:sz w:val="28"/>
          <w:szCs w:val="28"/>
        </w:rPr>
        <w:t xml:space="preserve">La Commissione Europea ha cercato di attivarsi per sviluppare un’attività </w:t>
      </w:r>
      <w:proofErr w:type="spellStart"/>
      <w:r>
        <w:rPr>
          <w:sz w:val="28"/>
          <w:szCs w:val="28"/>
        </w:rPr>
        <w:t>regolatoria</w:t>
      </w:r>
      <w:proofErr w:type="spellEnd"/>
      <w:r>
        <w:rPr>
          <w:sz w:val="28"/>
          <w:szCs w:val="28"/>
        </w:rPr>
        <w:t xml:space="preserve"> c</w:t>
      </w:r>
      <w:r w:rsidR="0088090E">
        <w:rPr>
          <w:sz w:val="28"/>
          <w:szCs w:val="28"/>
        </w:rPr>
        <w:t>.</w:t>
      </w:r>
      <w:r>
        <w:rPr>
          <w:sz w:val="28"/>
          <w:szCs w:val="28"/>
        </w:rPr>
        <w:t>d</w:t>
      </w:r>
      <w:r w:rsidR="0088090E">
        <w:rPr>
          <w:sz w:val="28"/>
          <w:szCs w:val="28"/>
        </w:rPr>
        <w:t>.</w:t>
      </w:r>
      <w:r>
        <w:rPr>
          <w:sz w:val="28"/>
          <w:szCs w:val="28"/>
        </w:rPr>
        <w:t xml:space="preserve"> di contenimento:</w:t>
      </w:r>
      <w:r w:rsidR="00920436" w:rsidRPr="00920436">
        <w:rPr>
          <w:sz w:val="28"/>
          <w:szCs w:val="28"/>
        </w:rPr>
        <w:t xml:space="preserve"> il 15 dicembre 2020, al fine di regolamentare i mercati digitali, ha presentato due proposte di Regolamento che compongono il c.d. “</w:t>
      </w:r>
      <w:r w:rsidR="00920436" w:rsidRPr="007C239D">
        <w:rPr>
          <w:i/>
          <w:iCs/>
          <w:sz w:val="28"/>
          <w:szCs w:val="28"/>
        </w:rPr>
        <w:t xml:space="preserve">Digital </w:t>
      </w:r>
      <w:proofErr w:type="spellStart"/>
      <w:r w:rsidR="00920436" w:rsidRPr="007C239D">
        <w:rPr>
          <w:i/>
          <w:iCs/>
          <w:sz w:val="28"/>
          <w:szCs w:val="28"/>
        </w:rPr>
        <w:t>Market</w:t>
      </w:r>
      <w:r w:rsidR="009211B4">
        <w:rPr>
          <w:i/>
          <w:iCs/>
          <w:sz w:val="28"/>
          <w:szCs w:val="28"/>
        </w:rPr>
        <w:t>s</w:t>
      </w:r>
      <w:proofErr w:type="spellEnd"/>
      <w:r w:rsidR="00920436" w:rsidRPr="007C239D">
        <w:rPr>
          <w:i/>
          <w:iCs/>
          <w:sz w:val="28"/>
          <w:szCs w:val="28"/>
        </w:rPr>
        <w:t xml:space="preserve"> Package</w:t>
      </w:r>
      <w:r w:rsidR="00920436" w:rsidRPr="00920436">
        <w:rPr>
          <w:sz w:val="28"/>
          <w:szCs w:val="28"/>
        </w:rPr>
        <w:t xml:space="preserve">”: il </w:t>
      </w:r>
      <w:r w:rsidR="00920436" w:rsidRPr="0088090E">
        <w:rPr>
          <w:i/>
          <w:iCs/>
          <w:sz w:val="28"/>
          <w:szCs w:val="28"/>
        </w:rPr>
        <w:t>Digital Service</w:t>
      </w:r>
      <w:r w:rsidR="009211B4">
        <w:rPr>
          <w:i/>
          <w:iCs/>
          <w:sz w:val="28"/>
          <w:szCs w:val="28"/>
        </w:rPr>
        <w:t>s</w:t>
      </w:r>
      <w:r w:rsidR="00920436" w:rsidRPr="0088090E">
        <w:rPr>
          <w:i/>
          <w:iCs/>
          <w:sz w:val="28"/>
          <w:szCs w:val="28"/>
        </w:rPr>
        <w:t xml:space="preserve"> </w:t>
      </w:r>
      <w:proofErr w:type="spellStart"/>
      <w:r w:rsidR="00920436" w:rsidRPr="0088090E">
        <w:rPr>
          <w:i/>
          <w:iCs/>
          <w:sz w:val="28"/>
          <w:szCs w:val="28"/>
        </w:rPr>
        <w:t>Act</w:t>
      </w:r>
      <w:proofErr w:type="spellEnd"/>
      <w:r w:rsidR="00920436" w:rsidRPr="00920436">
        <w:rPr>
          <w:sz w:val="28"/>
          <w:szCs w:val="28"/>
        </w:rPr>
        <w:t xml:space="preserve"> e il </w:t>
      </w:r>
      <w:r w:rsidR="00920436" w:rsidRPr="0088090E">
        <w:rPr>
          <w:i/>
          <w:iCs/>
          <w:sz w:val="28"/>
          <w:szCs w:val="28"/>
        </w:rPr>
        <w:t xml:space="preserve">Digital </w:t>
      </w:r>
      <w:proofErr w:type="spellStart"/>
      <w:r w:rsidR="00920436" w:rsidRPr="0088090E">
        <w:rPr>
          <w:i/>
          <w:iCs/>
          <w:sz w:val="28"/>
          <w:szCs w:val="28"/>
        </w:rPr>
        <w:t>Market</w:t>
      </w:r>
      <w:r w:rsidR="009211B4">
        <w:rPr>
          <w:i/>
          <w:iCs/>
          <w:sz w:val="28"/>
          <w:szCs w:val="28"/>
        </w:rPr>
        <w:t>s</w:t>
      </w:r>
      <w:proofErr w:type="spellEnd"/>
      <w:r w:rsidR="00920436" w:rsidRPr="0088090E">
        <w:rPr>
          <w:i/>
          <w:iCs/>
          <w:sz w:val="28"/>
          <w:szCs w:val="28"/>
        </w:rPr>
        <w:t xml:space="preserve"> </w:t>
      </w:r>
      <w:proofErr w:type="spellStart"/>
      <w:r w:rsidR="00920436" w:rsidRPr="0088090E">
        <w:rPr>
          <w:i/>
          <w:iCs/>
          <w:sz w:val="28"/>
          <w:szCs w:val="28"/>
        </w:rPr>
        <w:t>Act</w:t>
      </w:r>
      <w:proofErr w:type="spellEnd"/>
      <w:r w:rsidR="00920436" w:rsidRPr="0088090E">
        <w:rPr>
          <w:i/>
          <w:iCs/>
          <w:sz w:val="28"/>
          <w:szCs w:val="28"/>
        </w:rPr>
        <w:t>.</w:t>
      </w:r>
      <w:r w:rsidR="00920436" w:rsidRPr="00920436">
        <w:rPr>
          <w:sz w:val="28"/>
          <w:szCs w:val="28"/>
        </w:rPr>
        <w:t xml:space="preserve"> </w:t>
      </w:r>
    </w:p>
    <w:p w14:paraId="19D2F5DB" w14:textId="77777777" w:rsidR="007C239D" w:rsidRDefault="00920436" w:rsidP="007C239D">
      <w:pPr>
        <w:pStyle w:val="NormaleWeb"/>
        <w:spacing w:before="0" w:beforeAutospacing="0" w:after="0" w:afterAutospacing="0"/>
        <w:jc w:val="both"/>
        <w:rPr>
          <w:sz w:val="28"/>
          <w:szCs w:val="28"/>
        </w:rPr>
      </w:pPr>
      <w:r w:rsidRPr="00920436">
        <w:rPr>
          <w:sz w:val="28"/>
          <w:szCs w:val="28"/>
        </w:rPr>
        <w:t xml:space="preserve">Il primo modifica alcune disposizioni dell’attuale Direttiva </w:t>
      </w:r>
      <w:r w:rsidRPr="0088090E">
        <w:rPr>
          <w:i/>
          <w:iCs/>
          <w:sz w:val="28"/>
          <w:szCs w:val="28"/>
        </w:rPr>
        <w:t>e-commerce</w:t>
      </w:r>
      <w:r w:rsidRPr="00920436">
        <w:rPr>
          <w:sz w:val="28"/>
          <w:szCs w:val="28"/>
        </w:rPr>
        <w:t xml:space="preserve">, regolamentando il regime di </w:t>
      </w:r>
      <w:r w:rsidR="00E62329" w:rsidRPr="00920436">
        <w:rPr>
          <w:sz w:val="28"/>
          <w:szCs w:val="28"/>
        </w:rPr>
        <w:t>responsabilità</w:t>
      </w:r>
      <w:r w:rsidRPr="00920436">
        <w:rPr>
          <w:sz w:val="28"/>
          <w:szCs w:val="28"/>
        </w:rPr>
        <w:t xml:space="preserve"> delle piattaforme digitali. </w:t>
      </w:r>
    </w:p>
    <w:p w14:paraId="0F7F3A6C" w14:textId="77777777" w:rsidR="007C239D" w:rsidRDefault="00920436" w:rsidP="007C239D">
      <w:pPr>
        <w:pStyle w:val="NormaleWeb"/>
        <w:spacing w:before="0" w:beforeAutospacing="0" w:after="0" w:afterAutospacing="0"/>
        <w:jc w:val="both"/>
        <w:rPr>
          <w:sz w:val="28"/>
          <w:szCs w:val="28"/>
        </w:rPr>
      </w:pPr>
      <w:r w:rsidRPr="00920436">
        <w:rPr>
          <w:sz w:val="28"/>
          <w:szCs w:val="28"/>
        </w:rPr>
        <w:t>Il secondo, invece, introduce in capo ai c.d. “</w:t>
      </w:r>
      <w:proofErr w:type="spellStart"/>
      <w:r w:rsidRPr="00E62329">
        <w:rPr>
          <w:i/>
          <w:iCs/>
          <w:sz w:val="28"/>
          <w:szCs w:val="28"/>
        </w:rPr>
        <w:t>gatekeeper</w:t>
      </w:r>
      <w:proofErr w:type="spellEnd"/>
      <w:r w:rsidRPr="00920436">
        <w:rPr>
          <w:sz w:val="28"/>
          <w:szCs w:val="28"/>
        </w:rPr>
        <w:t>”</w:t>
      </w:r>
      <w:r w:rsidR="0088090E">
        <w:rPr>
          <w:sz w:val="28"/>
          <w:szCs w:val="28"/>
        </w:rPr>
        <w:t xml:space="preserve"> – </w:t>
      </w:r>
      <w:r w:rsidRPr="00920436">
        <w:rPr>
          <w:sz w:val="28"/>
          <w:szCs w:val="28"/>
        </w:rPr>
        <w:t>ossia le piattaforme che controllano l’accesso ai mercati digitali</w:t>
      </w:r>
      <w:r w:rsidR="0088090E">
        <w:rPr>
          <w:sz w:val="28"/>
          <w:szCs w:val="28"/>
        </w:rPr>
        <w:t xml:space="preserve"> – </w:t>
      </w:r>
      <w:r w:rsidRPr="00920436">
        <w:rPr>
          <w:sz w:val="28"/>
          <w:szCs w:val="28"/>
        </w:rPr>
        <w:t xml:space="preserve">una serie di obblighi volti a rendere i mercati digitali </w:t>
      </w:r>
      <w:r w:rsidR="00E62329" w:rsidRPr="00920436">
        <w:rPr>
          <w:sz w:val="28"/>
          <w:szCs w:val="28"/>
        </w:rPr>
        <w:t>più</w:t>
      </w:r>
      <w:r w:rsidR="00E62329">
        <w:rPr>
          <w:sz w:val="28"/>
          <w:szCs w:val="28"/>
        </w:rPr>
        <w:t xml:space="preserve"> </w:t>
      </w:r>
      <w:r w:rsidRPr="00920436">
        <w:rPr>
          <w:sz w:val="28"/>
          <w:szCs w:val="28"/>
        </w:rPr>
        <w:t>equi e contendibili, arginando la tendenza alla creazione di monopoli, nei servizi o nella distribuzione, a cui si assiste oggi</w:t>
      </w:r>
      <w:r w:rsidR="009461DE">
        <w:rPr>
          <w:sz w:val="28"/>
          <w:szCs w:val="28"/>
        </w:rPr>
        <w:t xml:space="preserve"> attraverso una procedura di “</w:t>
      </w:r>
      <w:proofErr w:type="spellStart"/>
      <w:r w:rsidR="009461DE" w:rsidRPr="00E62329">
        <w:rPr>
          <w:i/>
          <w:iCs/>
          <w:sz w:val="28"/>
          <w:szCs w:val="28"/>
        </w:rPr>
        <w:t>inspection</w:t>
      </w:r>
      <w:proofErr w:type="spellEnd"/>
      <w:r w:rsidR="009461DE">
        <w:rPr>
          <w:sz w:val="28"/>
          <w:szCs w:val="28"/>
        </w:rPr>
        <w:t>” degli algoritmi</w:t>
      </w:r>
      <w:r w:rsidRPr="00920436">
        <w:rPr>
          <w:sz w:val="28"/>
          <w:szCs w:val="28"/>
        </w:rPr>
        <w:t>.</w:t>
      </w:r>
      <w:r w:rsidR="00AB0B7C">
        <w:rPr>
          <w:sz w:val="28"/>
          <w:szCs w:val="28"/>
        </w:rPr>
        <w:t xml:space="preserve"> </w:t>
      </w:r>
      <w:r w:rsidRPr="00920436">
        <w:rPr>
          <w:sz w:val="28"/>
          <w:szCs w:val="28"/>
        </w:rPr>
        <w:t xml:space="preserve"> </w:t>
      </w:r>
    </w:p>
    <w:p w14:paraId="2091D1A2" w14:textId="77777777" w:rsidR="007C239D" w:rsidRDefault="00920436" w:rsidP="007C239D">
      <w:pPr>
        <w:pStyle w:val="NormaleWeb"/>
        <w:spacing w:before="0" w:beforeAutospacing="0" w:after="0" w:afterAutospacing="0"/>
        <w:jc w:val="both"/>
        <w:rPr>
          <w:sz w:val="28"/>
          <w:szCs w:val="28"/>
        </w:rPr>
      </w:pPr>
      <w:r w:rsidRPr="00920436">
        <w:rPr>
          <w:sz w:val="28"/>
          <w:szCs w:val="28"/>
        </w:rPr>
        <w:t xml:space="preserve">A completare il quadro delle nuove proposte legislative contribuiscono la bozza di Regolamento sull’Intelligenza Artificiale, </w:t>
      </w:r>
      <w:r w:rsidR="00E62329" w:rsidRPr="00920436">
        <w:rPr>
          <w:sz w:val="28"/>
          <w:szCs w:val="28"/>
        </w:rPr>
        <w:t>nonché</w:t>
      </w:r>
      <w:r w:rsidRPr="00920436">
        <w:rPr>
          <w:sz w:val="28"/>
          <w:szCs w:val="28"/>
        </w:rPr>
        <w:t xml:space="preserve"> la proposta di Regolamento </w:t>
      </w:r>
      <w:r w:rsidRPr="007C239D">
        <w:rPr>
          <w:i/>
          <w:iCs/>
          <w:sz w:val="28"/>
          <w:szCs w:val="28"/>
        </w:rPr>
        <w:t xml:space="preserve">e-Privacy </w:t>
      </w:r>
      <w:r w:rsidRPr="00920436">
        <w:rPr>
          <w:sz w:val="28"/>
          <w:szCs w:val="28"/>
        </w:rPr>
        <w:t xml:space="preserve">che </w:t>
      </w:r>
      <w:r w:rsidR="00E62329" w:rsidRPr="00920436">
        <w:rPr>
          <w:sz w:val="28"/>
          <w:szCs w:val="28"/>
        </w:rPr>
        <w:t>andrà</w:t>
      </w:r>
      <w:r w:rsidRPr="00920436">
        <w:rPr>
          <w:sz w:val="28"/>
          <w:szCs w:val="28"/>
        </w:rPr>
        <w:t xml:space="preserve"> a regolare specificamente la protezione dei dati nelle comunicazioni elettroniche; il Regolamento 2018/1807 sui dati non personali e la Direttiva NIS per la </w:t>
      </w:r>
      <w:proofErr w:type="spellStart"/>
      <w:r w:rsidRPr="00920436">
        <w:rPr>
          <w:sz w:val="28"/>
          <w:szCs w:val="28"/>
        </w:rPr>
        <w:t>cybersecurity</w:t>
      </w:r>
      <w:proofErr w:type="spellEnd"/>
      <w:r w:rsidRPr="00920436">
        <w:rPr>
          <w:sz w:val="28"/>
          <w:szCs w:val="28"/>
        </w:rPr>
        <w:t xml:space="preserve"> (“</w:t>
      </w:r>
      <w:r w:rsidRPr="007C239D">
        <w:rPr>
          <w:i/>
          <w:iCs/>
          <w:sz w:val="28"/>
          <w:szCs w:val="28"/>
        </w:rPr>
        <w:t>Network and Information Security</w:t>
      </w:r>
      <w:r w:rsidRPr="00920436">
        <w:rPr>
          <w:sz w:val="28"/>
          <w:szCs w:val="28"/>
        </w:rPr>
        <w:t xml:space="preserve">”), recepita nel nostro ordinamento attraverso il decreto legislativo 18 maggio 2018, n. 65 (anche detto “decreto legislativo NIS”), in vigore dal 24 giugno 2018; la nuova direttiva SMAV del 2018, sui servizi media audiovisivi. </w:t>
      </w:r>
    </w:p>
    <w:p w14:paraId="48139394" w14:textId="77777777" w:rsidR="007C239D" w:rsidRDefault="009461DE" w:rsidP="007C239D">
      <w:pPr>
        <w:pStyle w:val="NormaleWeb"/>
        <w:spacing w:before="0" w:beforeAutospacing="0" w:after="0" w:afterAutospacing="0"/>
        <w:jc w:val="both"/>
        <w:rPr>
          <w:sz w:val="28"/>
          <w:szCs w:val="28"/>
        </w:rPr>
      </w:pPr>
      <w:r>
        <w:rPr>
          <w:sz w:val="28"/>
          <w:szCs w:val="28"/>
        </w:rPr>
        <w:t>Di recente</w:t>
      </w:r>
      <w:r w:rsidR="007C239D">
        <w:rPr>
          <w:sz w:val="28"/>
          <w:szCs w:val="28"/>
        </w:rPr>
        <w:t>,</w:t>
      </w:r>
      <w:r>
        <w:rPr>
          <w:sz w:val="28"/>
          <w:szCs w:val="28"/>
        </w:rPr>
        <w:t xml:space="preserve"> anche l’ONU ha pubblicato un </w:t>
      </w:r>
      <w:r w:rsidRPr="00ED2A5E">
        <w:rPr>
          <w:i/>
          <w:iCs/>
          <w:sz w:val="28"/>
          <w:szCs w:val="28"/>
        </w:rPr>
        <w:t>report</w:t>
      </w:r>
      <w:r>
        <w:rPr>
          <w:sz w:val="28"/>
          <w:szCs w:val="28"/>
        </w:rPr>
        <w:t xml:space="preserve"> sull’intelligenza artificiale, mettendo in guardia sui pericoli insiti nell’utilizzo di dati biometrici. </w:t>
      </w:r>
    </w:p>
    <w:p w14:paraId="53E12A57" w14:textId="4BCF6835" w:rsidR="00AF310A" w:rsidRDefault="009461DE" w:rsidP="007C239D">
      <w:pPr>
        <w:pStyle w:val="NormaleWeb"/>
        <w:spacing w:before="0" w:beforeAutospacing="0" w:after="0" w:afterAutospacing="0"/>
        <w:jc w:val="both"/>
        <w:rPr>
          <w:sz w:val="28"/>
          <w:szCs w:val="28"/>
        </w:rPr>
      </w:pPr>
      <w:r>
        <w:rPr>
          <w:sz w:val="28"/>
          <w:szCs w:val="28"/>
        </w:rPr>
        <w:t>In Italia</w:t>
      </w:r>
      <w:r w:rsidR="007C239D">
        <w:rPr>
          <w:sz w:val="28"/>
          <w:szCs w:val="28"/>
        </w:rPr>
        <w:t xml:space="preserve">, </w:t>
      </w:r>
      <w:r w:rsidR="00920436" w:rsidRPr="00920436">
        <w:rPr>
          <w:sz w:val="28"/>
          <w:szCs w:val="28"/>
        </w:rPr>
        <w:t>sono state intraprese alcune iniziative, indotte dalla rilevanza sociale di alcuni fenomeni. Ad esempio, in contrasto al fenomeno del c.d. “</w:t>
      </w:r>
      <w:proofErr w:type="spellStart"/>
      <w:r w:rsidR="00920436" w:rsidRPr="0092315C">
        <w:rPr>
          <w:i/>
          <w:iCs/>
          <w:sz w:val="28"/>
          <w:szCs w:val="28"/>
        </w:rPr>
        <w:t>revenge</w:t>
      </w:r>
      <w:proofErr w:type="spellEnd"/>
      <w:r w:rsidR="00920436" w:rsidRPr="0092315C">
        <w:rPr>
          <w:i/>
          <w:iCs/>
          <w:sz w:val="28"/>
          <w:szCs w:val="28"/>
        </w:rPr>
        <w:t xml:space="preserve"> </w:t>
      </w:r>
      <w:proofErr w:type="spellStart"/>
      <w:r w:rsidR="00920436" w:rsidRPr="0092315C">
        <w:rPr>
          <w:i/>
          <w:iCs/>
          <w:sz w:val="28"/>
          <w:szCs w:val="28"/>
        </w:rPr>
        <w:t>porn</w:t>
      </w:r>
      <w:proofErr w:type="spellEnd"/>
      <w:r w:rsidR="00920436" w:rsidRPr="00920436">
        <w:rPr>
          <w:sz w:val="28"/>
          <w:szCs w:val="28"/>
        </w:rPr>
        <w:t>”, il c.d. “</w:t>
      </w:r>
      <w:r w:rsidR="003C40E7">
        <w:rPr>
          <w:sz w:val="28"/>
          <w:szCs w:val="28"/>
        </w:rPr>
        <w:t>D</w:t>
      </w:r>
      <w:r w:rsidR="00920436" w:rsidRPr="00920436">
        <w:rPr>
          <w:sz w:val="28"/>
          <w:szCs w:val="28"/>
        </w:rPr>
        <w:t xml:space="preserve">ecreto </w:t>
      </w:r>
      <w:r w:rsidR="003C40E7">
        <w:rPr>
          <w:sz w:val="28"/>
          <w:szCs w:val="28"/>
        </w:rPr>
        <w:t>C</w:t>
      </w:r>
      <w:r w:rsidR="00920436" w:rsidRPr="00920436">
        <w:rPr>
          <w:sz w:val="28"/>
          <w:szCs w:val="28"/>
        </w:rPr>
        <w:t>apienze”</w:t>
      </w:r>
      <w:r w:rsidR="00BE6D42">
        <w:rPr>
          <w:sz w:val="28"/>
          <w:szCs w:val="28"/>
        </w:rPr>
        <w:t xml:space="preserve"> (</w:t>
      </w:r>
      <w:proofErr w:type="spellStart"/>
      <w:r w:rsidR="00BE6D42">
        <w:rPr>
          <w:sz w:val="28"/>
          <w:szCs w:val="28"/>
        </w:rPr>
        <w:t>D.l.</w:t>
      </w:r>
      <w:proofErr w:type="spellEnd"/>
      <w:r w:rsidR="00BE6D42">
        <w:rPr>
          <w:sz w:val="28"/>
          <w:szCs w:val="28"/>
        </w:rPr>
        <w:t xml:space="preserve"> </w:t>
      </w:r>
      <w:r w:rsidR="00BE6D42" w:rsidRPr="00BE6D42">
        <w:rPr>
          <w:sz w:val="28"/>
          <w:szCs w:val="28"/>
        </w:rPr>
        <w:t>n.</w:t>
      </w:r>
      <w:r w:rsidR="00BE6D42">
        <w:rPr>
          <w:sz w:val="28"/>
          <w:szCs w:val="28"/>
        </w:rPr>
        <w:t xml:space="preserve"> </w:t>
      </w:r>
      <w:r w:rsidR="00BE6D42" w:rsidRPr="00BE6D42">
        <w:rPr>
          <w:sz w:val="28"/>
          <w:szCs w:val="28"/>
        </w:rPr>
        <w:t>139 dell</w:t>
      </w:r>
      <w:r w:rsidR="00BE6D42">
        <w:rPr>
          <w:sz w:val="28"/>
          <w:szCs w:val="28"/>
        </w:rPr>
        <w:t>’8</w:t>
      </w:r>
      <w:r w:rsidR="003C40E7">
        <w:rPr>
          <w:sz w:val="28"/>
          <w:szCs w:val="28"/>
        </w:rPr>
        <w:t xml:space="preserve"> ottobre </w:t>
      </w:r>
      <w:r w:rsidR="00BE6D42">
        <w:rPr>
          <w:sz w:val="28"/>
          <w:szCs w:val="28"/>
        </w:rPr>
        <w:t>202</w:t>
      </w:r>
      <w:r w:rsidR="003C40E7">
        <w:rPr>
          <w:sz w:val="28"/>
          <w:szCs w:val="28"/>
        </w:rPr>
        <w:t xml:space="preserve">1, convertito in legge 3 dicembre 2021, n. 205) </w:t>
      </w:r>
      <w:r w:rsidR="00920436" w:rsidRPr="00920436">
        <w:rPr>
          <w:sz w:val="28"/>
          <w:szCs w:val="28"/>
        </w:rPr>
        <w:t>ha introdotto il nuovo art. 144</w:t>
      </w:r>
      <w:r w:rsidR="0092315C">
        <w:rPr>
          <w:sz w:val="28"/>
          <w:szCs w:val="28"/>
        </w:rPr>
        <w:t>-</w:t>
      </w:r>
      <w:r w:rsidR="00920436" w:rsidRPr="00920436">
        <w:rPr>
          <w:sz w:val="28"/>
          <w:szCs w:val="28"/>
        </w:rPr>
        <w:t xml:space="preserve">bis al Codice Privacy, con il quale si riconosce alle vittime la </w:t>
      </w:r>
      <w:r w:rsidR="0092315C" w:rsidRPr="00920436">
        <w:rPr>
          <w:sz w:val="28"/>
          <w:szCs w:val="28"/>
        </w:rPr>
        <w:t>possibilità</w:t>
      </w:r>
      <w:r w:rsidR="0092315C">
        <w:rPr>
          <w:sz w:val="28"/>
          <w:szCs w:val="28"/>
        </w:rPr>
        <w:t xml:space="preserve"> </w:t>
      </w:r>
      <w:r w:rsidR="00920436" w:rsidRPr="00920436">
        <w:rPr>
          <w:sz w:val="28"/>
          <w:szCs w:val="28"/>
        </w:rPr>
        <w:t xml:space="preserve">di godere di una tutela anticipata, rivolgendosi al Garante mediante reclamo o segnalazione, </w:t>
      </w:r>
      <w:r w:rsidR="0092315C" w:rsidRPr="00920436">
        <w:rPr>
          <w:sz w:val="28"/>
          <w:szCs w:val="28"/>
        </w:rPr>
        <w:t>affinché</w:t>
      </w:r>
      <w:r w:rsidR="0092315C">
        <w:rPr>
          <w:sz w:val="28"/>
          <w:szCs w:val="28"/>
        </w:rPr>
        <w:t xml:space="preserve"> </w:t>
      </w:r>
      <w:r w:rsidR="00920436" w:rsidRPr="00920436">
        <w:rPr>
          <w:sz w:val="28"/>
          <w:szCs w:val="28"/>
        </w:rPr>
        <w:t>questo intervenga, esercitando i poteri di cui gode ai sensi dell’art. 58 GDPR, nell’ipotesi in cui sussista il fondato timore che possa essere commessa una delle condotte descritte dall’art. 612</w:t>
      </w:r>
      <w:r w:rsidR="0092315C">
        <w:rPr>
          <w:sz w:val="28"/>
          <w:szCs w:val="28"/>
        </w:rPr>
        <w:t>-</w:t>
      </w:r>
      <w:r w:rsidR="00920436" w:rsidRPr="00920436">
        <w:rPr>
          <w:sz w:val="28"/>
          <w:szCs w:val="28"/>
        </w:rPr>
        <w:t xml:space="preserve">ter c.p., ossia la diffusione di contenuti sessualmente espliciti non realizzati a tale scopo. </w:t>
      </w:r>
    </w:p>
    <w:p w14:paraId="61BFBE32" w14:textId="6A518BB6" w:rsid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Si veda, in particolare, l’art. 9 del “</w:t>
      </w:r>
      <w:r>
        <w:rPr>
          <w:rFonts w:ascii="Times New Roman" w:hAnsi="Times New Roman" w:cs="Times New Roman"/>
          <w:sz w:val="28"/>
          <w:szCs w:val="28"/>
        </w:rPr>
        <w:t>d</w:t>
      </w:r>
      <w:r w:rsidRPr="003C40E7">
        <w:rPr>
          <w:rFonts w:ascii="Times New Roman" w:hAnsi="Times New Roman" w:cs="Times New Roman"/>
          <w:sz w:val="28"/>
          <w:szCs w:val="28"/>
        </w:rPr>
        <w:t xml:space="preserve">ecreto </w:t>
      </w:r>
      <w:r>
        <w:rPr>
          <w:rFonts w:ascii="Times New Roman" w:hAnsi="Times New Roman" w:cs="Times New Roman"/>
          <w:sz w:val="28"/>
          <w:szCs w:val="28"/>
        </w:rPr>
        <w:t>c</w:t>
      </w:r>
      <w:r w:rsidRPr="003C40E7">
        <w:rPr>
          <w:rFonts w:ascii="Times New Roman" w:hAnsi="Times New Roman" w:cs="Times New Roman"/>
          <w:sz w:val="28"/>
          <w:szCs w:val="28"/>
        </w:rPr>
        <w:t>apienze”, che, se da un lato ha creato scalpore per quanto concerne l’adottata riduzione di alcuni poteri del Garante per la privacy, dall’altro ha</w:t>
      </w:r>
      <w:r>
        <w:rPr>
          <w:rFonts w:ascii="Times New Roman" w:hAnsi="Times New Roman" w:cs="Times New Roman"/>
          <w:sz w:val="28"/>
          <w:szCs w:val="28"/>
        </w:rPr>
        <w:t>, come accennato,</w:t>
      </w:r>
      <w:r w:rsidRPr="003C40E7">
        <w:rPr>
          <w:rFonts w:ascii="Times New Roman" w:hAnsi="Times New Roman" w:cs="Times New Roman"/>
          <w:sz w:val="28"/>
          <w:szCs w:val="28"/>
        </w:rPr>
        <w:t xml:space="preserve"> introdotto disposizioni nuove e necessarie in tema di </w:t>
      </w:r>
      <w:proofErr w:type="spellStart"/>
      <w:r w:rsidRPr="003C40E7">
        <w:rPr>
          <w:rFonts w:ascii="Times New Roman" w:hAnsi="Times New Roman" w:cs="Times New Roman"/>
          <w:i/>
          <w:iCs/>
          <w:sz w:val="28"/>
          <w:szCs w:val="28"/>
        </w:rPr>
        <w:t>revenge</w:t>
      </w:r>
      <w:proofErr w:type="spellEnd"/>
      <w:r>
        <w:rPr>
          <w:rFonts w:ascii="Times New Roman" w:hAnsi="Times New Roman" w:cs="Times New Roman"/>
          <w:i/>
          <w:iCs/>
          <w:sz w:val="28"/>
          <w:szCs w:val="28"/>
        </w:rPr>
        <w:t xml:space="preserve"> </w:t>
      </w:r>
      <w:proofErr w:type="spellStart"/>
      <w:r w:rsidRPr="003C40E7">
        <w:rPr>
          <w:rFonts w:ascii="Times New Roman" w:hAnsi="Times New Roman" w:cs="Times New Roman"/>
          <w:i/>
          <w:iCs/>
          <w:sz w:val="28"/>
          <w:szCs w:val="28"/>
        </w:rPr>
        <w:t>porn</w:t>
      </w:r>
      <w:proofErr w:type="spellEnd"/>
      <w:r w:rsidRPr="003C40E7">
        <w:rPr>
          <w:rFonts w:ascii="Times New Roman" w:hAnsi="Times New Roman" w:cs="Times New Roman"/>
          <w:sz w:val="28"/>
          <w:szCs w:val="28"/>
        </w:rPr>
        <w:t xml:space="preserve">. </w:t>
      </w:r>
    </w:p>
    <w:p w14:paraId="71987874" w14:textId="14A38F5E"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 xml:space="preserve">Per quanto concerne la prima questione, l’art. 9, co. 1, </w:t>
      </w:r>
      <w:proofErr w:type="spellStart"/>
      <w:r w:rsidRPr="003C40E7">
        <w:rPr>
          <w:rFonts w:ascii="Times New Roman" w:hAnsi="Times New Roman" w:cs="Times New Roman"/>
          <w:sz w:val="28"/>
          <w:szCs w:val="28"/>
        </w:rPr>
        <w:t>lett</w:t>
      </w:r>
      <w:proofErr w:type="spellEnd"/>
      <w:r w:rsidRPr="003C40E7">
        <w:rPr>
          <w:rFonts w:ascii="Times New Roman" w:hAnsi="Times New Roman" w:cs="Times New Roman"/>
          <w:sz w:val="28"/>
          <w:szCs w:val="28"/>
        </w:rPr>
        <w:t>. b) del Decreto abroga interamente l’articolo 2-quinquesdecies del Codice Privacy, il quale stabiliva che “</w:t>
      </w:r>
      <w:r w:rsidRPr="003C40E7">
        <w:rPr>
          <w:rFonts w:ascii="Times New Roman" w:hAnsi="Times New Roman" w:cs="Times New Roman"/>
          <w:i/>
          <w:iCs/>
          <w:sz w:val="28"/>
          <w:szCs w:val="28"/>
        </w:rPr>
        <w:t xml:space="preserve">con riguardo ai trattamenti svolti per l’esecuzione di un compito di interesse pubblico che possono presentare rischi elevati ai sensi dell’articolo 35 del Regolamento, il Garante </w:t>
      </w:r>
      <w:r w:rsidRPr="003C40E7">
        <w:rPr>
          <w:rFonts w:ascii="Times New Roman" w:hAnsi="Times New Roman" w:cs="Times New Roman"/>
          <w:i/>
          <w:iCs/>
          <w:sz w:val="28"/>
          <w:szCs w:val="28"/>
        </w:rPr>
        <w:lastRenderedPageBreak/>
        <w:t>può, sulla base di quanto disposto dall’articolo 36, paragrafo 5, del medesimo Regolamento e con provvedimenti di carattere generale adottati d’ufficio, prescrivere misure e accorgimenti a garanzia dell’interessato, che il titolare del trattamento è tenuto ad adottare</w:t>
      </w:r>
      <w:r w:rsidRPr="003C40E7">
        <w:rPr>
          <w:rFonts w:ascii="Times New Roman" w:hAnsi="Times New Roman" w:cs="Times New Roman"/>
          <w:sz w:val="28"/>
          <w:szCs w:val="28"/>
        </w:rPr>
        <w:t xml:space="preserve">”. In sostanza, dunque, la norma ha espunto dal Codice una disposizione che imponeva alla P.A. di consultare il Garante prima di </w:t>
      </w:r>
      <w:proofErr w:type="gramStart"/>
      <w:r w:rsidRPr="003C40E7">
        <w:rPr>
          <w:rFonts w:ascii="Times New Roman" w:hAnsi="Times New Roman" w:cs="Times New Roman"/>
          <w:sz w:val="28"/>
          <w:szCs w:val="28"/>
        </w:rPr>
        <w:t>porre in essere</w:t>
      </w:r>
      <w:proofErr w:type="gramEnd"/>
      <w:r w:rsidRPr="003C40E7">
        <w:rPr>
          <w:rFonts w:ascii="Times New Roman" w:hAnsi="Times New Roman" w:cs="Times New Roman"/>
          <w:sz w:val="28"/>
          <w:szCs w:val="28"/>
        </w:rPr>
        <w:t xml:space="preserve"> trattamenti ad alto rischio – come quelli relativi ai dati sanitari – nell’interesse pubblico affinché potesse intervenire a tutela del soggetto interessato.</w:t>
      </w:r>
    </w:p>
    <w:p w14:paraId="0151F8A0"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Il testo dell’art. 9, significativamente modificato in sede di conversione del decreto-legge nel corso dell’esame in Senato, reca disposizioni in materia di protezione dei dati personali.</w:t>
      </w:r>
    </w:p>
    <w:p w14:paraId="40BBB69E"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 xml:space="preserve">In particolare, il </w:t>
      </w:r>
      <w:r w:rsidRPr="003C40E7">
        <w:rPr>
          <w:rFonts w:ascii="Times New Roman" w:hAnsi="Times New Roman" w:cs="Times New Roman"/>
          <w:sz w:val="28"/>
          <w:szCs w:val="28"/>
          <w:u w:val="single"/>
        </w:rPr>
        <w:t>comma 1</w:t>
      </w:r>
      <w:r w:rsidRPr="003C40E7">
        <w:rPr>
          <w:rFonts w:ascii="Times New Roman" w:hAnsi="Times New Roman" w:cs="Times New Roman"/>
          <w:sz w:val="28"/>
          <w:szCs w:val="28"/>
        </w:rPr>
        <w:t xml:space="preserve"> novella il Codice della privacy (d.lgs. n. 196 del 2003):</w:t>
      </w:r>
    </w:p>
    <w:p w14:paraId="7C59907B"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-prevedendo che il trattamento di dati personali effettuato per l’esecuzione di un compito di interesse pubblico possa trovare fondamento e base giuridica, oltre che nella legge e – nei casi previsti dalla legge – nel regolamento, anche in un atto amministrativo generale (modifica dell’art. 2-ter del Codice) e che tale ampliamento della base giuridica valga anche per il trattamento dei dati particolari (sanità pubblica, medicina del lavoro, archiviazione nel pubblico interesse o per ricerca scientifica o storica o a fini statistici) disciplinato dall’art. 2-sexies del Codice e per il trattamento dei dati personali per fini di sicurezza nazionale o difesa, disciplinato dall’art. 58 del Codice;</w:t>
      </w:r>
    </w:p>
    <w:p w14:paraId="1308B61F"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-consentendo il trattamento di dati personali effettuato per l’esecuzione di un compito di interesse pubblico o per l’esercizio di pubblici poteri, da parte di una serie di soggetti pubblici, anche per l’adempimento di un compito svolto nel pubblico interesse o per l’esercizio di pubblici poteri attribuiti ai suddetti soggetti pubblici (nuovo comma 1-bis dell’art. 2-ter del Codice);</w:t>
      </w:r>
    </w:p>
    <w:p w14:paraId="503F8B6B"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-introducendo una disciplina specifica per il trattamento di dati personali relativi alla salute quando gli stessi siano “privi di elementi identificativi diretti” (art. 2-sexies, comma 1-bis, del Codice);</w:t>
      </w:r>
    </w:p>
    <w:p w14:paraId="30D45EA4"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-abrogando l’articolo 2-quinquesdecies del Codice della privacy che, nel caso di trattamenti di dati personali svolti per l’esecuzione di un compito di interesse pubblico, tali da poter presentare un rischio elevato per i diritti e le libertà delle persone fisiche, consentiva al Garante di adottare d’ufficio provvedimenti di carattere generale, prescriventi misure e accorgimenti a garanzia dell’interessato;</w:t>
      </w:r>
    </w:p>
    <w:p w14:paraId="5E3F7A17"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-prevedendo che il trattamento dei dati relativi al traffico telefonico e telematico che devono essere conservati dal fornitore per finalità di accertamento e repressione di reati, sia effettuato nel rispetto delle misure e degli accorgimenti a garanzia dell’interessato prescritti dal Garante con provvedimento “di carattere generale” (modifica dell’art. 132, comma 5, del Codice);</w:t>
      </w:r>
    </w:p>
    <w:p w14:paraId="443BAD41"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 xml:space="preserve">-potenziando la competenza del Garante al fine di prevenire la diffusione di materiali, foto o video, sessualmente espliciti (nuovo art. 144-bis del Codice, rubricato </w:t>
      </w:r>
      <w:r w:rsidRPr="003C40E7">
        <w:rPr>
          <w:rFonts w:ascii="Times New Roman" w:hAnsi="Times New Roman" w:cs="Times New Roman"/>
          <w:i/>
          <w:iCs/>
          <w:sz w:val="28"/>
          <w:szCs w:val="28"/>
        </w:rPr>
        <w:t xml:space="preserve">Revenge </w:t>
      </w:r>
      <w:proofErr w:type="spellStart"/>
      <w:r w:rsidRPr="003C40E7">
        <w:rPr>
          <w:rFonts w:ascii="Times New Roman" w:hAnsi="Times New Roman" w:cs="Times New Roman"/>
          <w:i/>
          <w:iCs/>
          <w:sz w:val="28"/>
          <w:szCs w:val="28"/>
        </w:rPr>
        <w:t>porn</w:t>
      </w:r>
      <w:proofErr w:type="spellEnd"/>
      <w:r w:rsidRPr="003C40E7">
        <w:rPr>
          <w:rFonts w:ascii="Times New Roman" w:hAnsi="Times New Roman" w:cs="Times New Roman"/>
          <w:sz w:val="28"/>
          <w:szCs w:val="28"/>
        </w:rPr>
        <w:t xml:space="preserve">). In particolare, la disposizione prevede che chiunque, compresi i minori ultraquattordicenni, abbia fondato motivo di ritenere che immagini, audio, video o altri documenti informatici a contenuto sessualmente esplicito che lo riguardano, destinati </w:t>
      </w:r>
      <w:r w:rsidRPr="003C40E7">
        <w:rPr>
          <w:rFonts w:ascii="Times New Roman" w:hAnsi="Times New Roman" w:cs="Times New Roman"/>
          <w:sz w:val="28"/>
          <w:szCs w:val="28"/>
        </w:rPr>
        <w:lastRenderedPageBreak/>
        <w:t xml:space="preserve">a rimanere privati, possano essere oggetto di invio, consegna, cessione, pubblicazione o diffusione attraverso piattaforme digitali, senza il suo consenso, può rivolgersi, mediante segnalazione, al Garante, il quale, entro 48 ore può rivolgere avvertimenti, ammonimenti, imporre una limitazione provvisoria o definitiva al trattamento, ordinare la rettifica, la cancellazione di dati personali o la limitazione del trattamento e infliggere una sanzione amministrativa pecuniaria. In base al </w:t>
      </w:r>
      <w:r w:rsidRPr="003C40E7">
        <w:rPr>
          <w:rFonts w:ascii="Times New Roman" w:hAnsi="Times New Roman" w:cs="Times New Roman"/>
          <w:sz w:val="28"/>
          <w:szCs w:val="28"/>
          <w:u w:val="single"/>
        </w:rPr>
        <w:t>comma 6</w:t>
      </w:r>
      <w:r w:rsidRPr="003C40E7">
        <w:rPr>
          <w:rFonts w:ascii="Times New Roman" w:hAnsi="Times New Roman" w:cs="Times New Roman"/>
          <w:sz w:val="28"/>
          <w:szCs w:val="28"/>
        </w:rPr>
        <w:t xml:space="preserve"> dell’art. 9, i fornitori di servizi di condivisione di contenuti, ovunque stabiliti, devono entro 6 mesi dalla legge di conversione pubblicare il proprio recapito, ai fini dell’adozione dei provvedimenti da parte del Garante;</w:t>
      </w:r>
    </w:p>
    <w:p w14:paraId="0305D029" w14:textId="6130CCE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 xml:space="preserve">-intervenendo sul parere che il Garante deve rendere al legislatore in vista dell’adozione di una disciplina relativa al trattamento dei dati, per circoscriverne i presupposti (modifica dell’art. 154 del Codice). Inoltre, quando il Presidente del Consiglio dei ministri dichiari che ragioni di urgenza non consentono la consultazione preventiva, e comunque nei casi di adozione di </w:t>
      </w:r>
      <w:proofErr w:type="spellStart"/>
      <w:r w:rsidRPr="003C40E7">
        <w:rPr>
          <w:rFonts w:ascii="Times New Roman" w:hAnsi="Times New Roman" w:cs="Times New Roman"/>
          <w:sz w:val="28"/>
          <w:szCs w:val="28"/>
        </w:rPr>
        <w:t>decreti-legge</w:t>
      </w:r>
      <w:proofErr w:type="spellEnd"/>
      <w:r w:rsidRPr="003C40E7">
        <w:rPr>
          <w:rFonts w:ascii="Times New Roman" w:hAnsi="Times New Roman" w:cs="Times New Roman"/>
          <w:sz w:val="28"/>
          <w:szCs w:val="28"/>
        </w:rPr>
        <w:t xml:space="preserve">, si prevede che il Garante esprima il parere in una fase successiva, vale a dire in sede di esame parlamentare dei disegni di legge o delle leggi di conversione dei </w:t>
      </w:r>
      <w:proofErr w:type="spellStart"/>
      <w:r w:rsidRPr="003C40E7">
        <w:rPr>
          <w:rFonts w:ascii="Times New Roman" w:hAnsi="Times New Roman" w:cs="Times New Roman"/>
          <w:sz w:val="28"/>
          <w:szCs w:val="28"/>
        </w:rPr>
        <w:t>decreti-legge</w:t>
      </w:r>
      <w:proofErr w:type="spellEnd"/>
      <w:r w:rsidRPr="003C40E7">
        <w:rPr>
          <w:rFonts w:ascii="Times New Roman" w:hAnsi="Times New Roman" w:cs="Times New Roman"/>
          <w:sz w:val="28"/>
          <w:szCs w:val="28"/>
        </w:rPr>
        <w:t xml:space="preserve"> o in sede di vaglio definitivo degli schemi di decreto legislativo sottoposti al parere delle Commissioni parlamentari;</w:t>
      </w:r>
    </w:p>
    <w:p w14:paraId="110F5B56"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-consentendo l’omissione della previa notifica della violazione contestata nei confronti dei soggetti pubblici che trattano i dati quando il loro trattamento abbia già arrecato pregiudizio agli interessati (modifica dell’art. 166 del Codice);</w:t>
      </w:r>
    </w:p>
    <w:p w14:paraId="152FACB1"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-introducendo la possibilità di applicare, a titolo di sanzione accessoria rispetto alle sanzioni amministrative pecuniarie comminate dal Garante, l’ingiunzione a realizzare campagne di comunicazione istituzionale di sensibilizzazione sulla protezione dei dati personali (modifica dell’art. 166 del Codice);</w:t>
      </w:r>
    </w:p>
    <w:p w14:paraId="6100C07D"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-subordinando l’applicazione della fattispecie penale di inosservanza di provvedimenti del Garante (punita con la reclusione da tre mesi a due anni) al “concreto nocumento” dei soggetti interessati e alla querela della persona offesa (modifica all’art. 170 del Codice).</w:t>
      </w:r>
    </w:p>
    <w:p w14:paraId="74E57278"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 xml:space="preserve">Il </w:t>
      </w:r>
      <w:r w:rsidRPr="003C40E7">
        <w:rPr>
          <w:rFonts w:ascii="Times New Roman" w:hAnsi="Times New Roman" w:cs="Times New Roman"/>
          <w:sz w:val="28"/>
          <w:szCs w:val="28"/>
          <w:u w:val="single"/>
        </w:rPr>
        <w:t>comma 2</w:t>
      </w:r>
      <w:r w:rsidRPr="003C40E7">
        <w:rPr>
          <w:rFonts w:ascii="Times New Roman" w:hAnsi="Times New Roman" w:cs="Times New Roman"/>
          <w:sz w:val="28"/>
          <w:szCs w:val="28"/>
        </w:rPr>
        <w:t xml:space="preserve"> si pone come disposizione di coordinamento, conseguente all’abrogazione dell’articolo 2-quinquiesdecies del Codice della privacy.</w:t>
      </w:r>
    </w:p>
    <w:p w14:paraId="2165577D"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 xml:space="preserve">Il </w:t>
      </w:r>
      <w:r w:rsidRPr="003C40E7">
        <w:rPr>
          <w:rFonts w:ascii="Times New Roman" w:hAnsi="Times New Roman" w:cs="Times New Roman"/>
          <w:sz w:val="28"/>
          <w:szCs w:val="28"/>
          <w:u w:val="single"/>
        </w:rPr>
        <w:t>comma 3</w:t>
      </w:r>
      <w:r w:rsidRPr="003C40E7">
        <w:rPr>
          <w:rFonts w:ascii="Times New Roman" w:hAnsi="Times New Roman" w:cs="Times New Roman"/>
          <w:sz w:val="28"/>
          <w:szCs w:val="28"/>
        </w:rPr>
        <w:t xml:space="preserve"> modifica il d.lgs. n. 51 del 2018, relativo alla protezione delle persone fisiche con riguardo al trattamento dei dati personali da parte delle autorità competenti a fini di prevenzione, indagine, accertamento e perseguimento di reati o esecuzione di sanzioni penali, nonché alla libera circolazione di tali dati, per:</w:t>
      </w:r>
    </w:p>
    <w:p w14:paraId="47DA0D7B"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-confermare l’estensione agli atti amministrativi generali della base giuridica del trattamento;</w:t>
      </w:r>
    </w:p>
    <w:p w14:paraId="134414EF"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-sostituire, nella determinazione dei termini, delle modalità di conservazione, dei soggetti legittimati ad accedere ai dati nonché delle modalità e delle condizioni per l’esercizio dei diritti dell’interessato, l’attuale riferimento a un regolamento governativo con quello a un decreto ministeriale;</w:t>
      </w:r>
    </w:p>
    <w:p w14:paraId="35E3C1DB"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lastRenderedPageBreak/>
        <w:t>-circoscrivere, anche in questo caso, l’applicabilità del reato di inosservanza dei provvedimenti del Garante, alle ipotesi di concreto nocumento arrecato ad uno o più interessati e alla presentazione di querela della persona offesa.</w:t>
      </w:r>
    </w:p>
    <w:p w14:paraId="7D90CEC3"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 xml:space="preserve">Il </w:t>
      </w:r>
      <w:r w:rsidRPr="003C40E7">
        <w:rPr>
          <w:rFonts w:ascii="Times New Roman" w:hAnsi="Times New Roman" w:cs="Times New Roman"/>
          <w:sz w:val="28"/>
          <w:szCs w:val="28"/>
          <w:u w:val="single"/>
        </w:rPr>
        <w:t>comma 4</w:t>
      </w:r>
      <w:r w:rsidRPr="003C40E7">
        <w:rPr>
          <w:rFonts w:ascii="Times New Roman" w:hAnsi="Times New Roman" w:cs="Times New Roman"/>
          <w:sz w:val="28"/>
          <w:szCs w:val="28"/>
        </w:rPr>
        <w:t xml:space="preserve"> interviene sull’art. 7 del decreto-legge n. 34 del 2020 per modificare ed integrare la disciplina concernente il trattamento di dati personali da parte del Ministero della salute. Tale disciplina, nella versione vigente, concerne i dati personali – anche relativi alla salute degli assistiti – raccolti nei sistemi informativi del Servizio sanitario nazionale ed autorizza il suddetto Ministero al relativo trattamento, al fine di sviluppare metodologie predittive dell’evoluzione del fabbisogno di salute della popolazione, demandando ad un decreto di natura regolamentare del Ministro della salute – adottato previo parere del Garante per la protezione dei dati personali – la definizione delle norme attuative. Le novelle in esame prevedono che il decreto sia invece di natura non regolamentare – fermo restando il parere del suddetto Garante –, estendono, con riferimento a dati personali non sanitari, l’ambito delle norme di rango legislativo in esame e del relativo decreto attuativo e pongono una norma transitoria, valida nelle more dell'emanazione del medesimo decreto.</w:t>
      </w:r>
    </w:p>
    <w:p w14:paraId="375917BC"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 xml:space="preserve">Il </w:t>
      </w:r>
      <w:r w:rsidRPr="003C40E7">
        <w:rPr>
          <w:rFonts w:ascii="Times New Roman" w:hAnsi="Times New Roman" w:cs="Times New Roman"/>
          <w:sz w:val="28"/>
          <w:szCs w:val="28"/>
          <w:u w:val="single"/>
        </w:rPr>
        <w:t>comma 5</w:t>
      </w:r>
      <w:r w:rsidRPr="003C40E7">
        <w:rPr>
          <w:rFonts w:ascii="Times New Roman" w:hAnsi="Times New Roman" w:cs="Times New Roman"/>
          <w:sz w:val="28"/>
          <w:szCs w:val="28"/>
        </w:rPr>
        <w:t xml:space="preserve"> introduce disposizioni di coordinamento relative alla previsione che ha esteso agli atti amministrativi generali la base giuridica del trattamento dati (v. sopra).</w:t>
      </w:r>
    </w:p>
    <w:p w14:paraId="6FF05BBD"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 xml:space="preserve">Il </w:t>
      </w:r>
      <w:r w:rsidRPr="003C40E7">
        <w:rPr>
          <w:rFonts w:ascii="Times New Roman" w:hAnsi="Times New Roman" w:cs="Times New Roman"/>
          <w:sz w:val="28"/>
          <w:szCs w:val="28"/>
          <w:u w:val="single"/>
        </w:rPr>
        <w:t>comma 7</w:t>
      </w:r>
      <w:r w:rsidRPr="003C40E7">
        <w:rPr>
          <w:rFonts w:ascii="Times New Roman" w:hAnsi="Times New Roman" w:cs="Times New Roman"/>
          <w:sz w:val="28"/>
          <w:szCs w:val="28"/>
        </w:rPr>
        <w:t xml:space="preserve"> riduce a 30 giorni il termine per i pareri che il Garante renda su atti riconducibili al Piano nazionale di ripresa e resilienza (PNRR), al Piano nazionale per gli investimenti complementari ed al Piano nazionale integrato per l’energia e il clima 2030 e prevede che quel termine sia improrogabile (ed una volta decorso, si può comunque procedere, pur in assenza di parere).</w:t>
      </w:r>
    </w:p>
    <w:p w14:paraId="72FC56B2" w14:textId="77777777"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 xml:space="preserve">Il </w:t>
      </w:r>
      <w:r w:rsidRPr="003C40E7">
        <w:rPr>
          <w:rFonts w:ascii="Times New Roman" w:hAnsi="Times New Roman" w:cs="Times New Roman"/>
          <w:sz w:val="28"/>
          <w:szCs w:val="28"/>
          <w:u w:val="single"/>
        </w:rPr>
        <w:t>comma 8</w:t>
      </w:r>
      <w:r w:rsidRPr="003C40E7">
        <w:rPr>
          <w:rFonts w:ascii="Times New Roman" w:hAnsi="Times New Roman" w:cs="Times New Roman"/>
          <w:sz w:val="28"/>
          <w:szCs w:val="28"/>
        </w:rPr>
        <w:t xml:space="preserve"> interviene sugli articoli 1 e 2 della legge n. 5 del 2018, al fine di prevedere che i diritti dell’utente iscritto al registro pubblico delle opposizioni, nonché gli obblighi in capo agli operatori di call center operino indipendentemente dalle modalità in cui il trattamento delle numerazioni è stato effettuato, ovvero con o senza operatore con l’impiego del telefono, ma anche in via più generale mediante sistemi automatizzati di chiamata senza l’intervento di un operatore.</w:t>
      </w:r>
    </w:p>
    <w:p w14:paraId="5596E060" w14:textId="2D4D4B3F" w:rsidR="003C40E7" w:rsidRPr="003C40E7" w:rsidRDefault="003C40E7" w:rsidP="003C40E7">
      <w:pPr>
        <w:pStyle w:val="Testonotaapidipagina"/>
        <w:jc w:val="both"/>
        <w:rPr>
          <w:rFonts w:ascii="Times New Roman" w:hAnsi="Times New Roman" w:cs="Times New Roman"/>
          <w:sz w:val="28"/>
          <w:szCs w:val="28"/>
        </w:rPr>
      </w:pPr>
      <w:r w:rsidRPr="003C40E7">
        <w:rPr>
          <w:rFonts w:ascii="Times New Roman" w:hAnsi="Times New Roman" w:cs="Times New Roman"/>
          <w:sz w:val="28"/>
          <w:szCs w:val="28"/>
        </w:rPr>
        <w:t xml:space="preserve">I </w:t>
      </w:r>
      <w:r w:rsidRPr="003C40E7">
        <w:rPr>
          <w:rFonts w:ascii="Times New Roman" w:hAnsi="Times New Roman" w:cs="Times New Roman"/>
          <w:sz w:val="28"/>
          <w:szCs w:val="28"/>
          <w:u w:val="single"/>
        </w:rPr>
        <w:t>commi da 9 a 12</w:t>
      </w:r>
      <w:r w:rsidRPr="003C40E7">
        <w:rPr>
          <w:rFonts w:ascii="Times New Roman" w:hAnsi="Times New Roman" w:cs="Times New Roman"/>
          <w:sz w:val="28"/>
          <w:szCs w:val="28"/>
        </w:rPr>
        <w:t xml:space="preserve"> prevedono una sospensione (eccezion fatta per la prevenzione e la repressione dei reati) della installazione e utilizzazione di impianti di videosorveglianza con sistemi di riconoscimento facciale operanti attraverso l’uso dei dati biometrici in luoghi pubblici o aperti al pubblico, da parte di autorità pubbliche o soggetti privati. Tale moratoria è prevista “fino all’entrata in vigore di una disciplina legislativa della materia”, e comunque non oltre il 31 dicembre 2023.</w:t>
      </w:r>
    </w:p>
    <w:p w14:paraId="4E82237E" w14:textId="77777777" w:rsidR="003C40E7" w:rsidRDefault="003C40E7" w:rsidP="007C239D">
      <w:pPr>
        <w:pStyle w:val="NormaleWeb"/>
        <w:spacing w:before="0" w:beforeAutospacing="0" w:after="0" w:afterAutospacing="0"/>
        <w:jc w:val="both"/>
        <w:rPr>
          <w:sz w:val="28"/>
          <w:szCs w:val="28"/>
        </w:rPr>
      </w:pPr>
    </w:p>
    <w:p w14:paraId="7AF80526" w14:textId="65F3C533" w:rsidR="00920436" w:rsidRPr="00920436" w:rsidRDefault="00920436" w:rsidP="007C239D">
      <w:pPr>
        <w:pStyle w:val="NormaleWeb"/>
        <w:spacing w:before="0" w:beforeAutospacing="0" w:after="0" w:afterAutospacing="0"/>
        <w:jc w:val="both"/>
        <w:rPr>
          <w:sz w:val="28"/>
          <w:szCs w:val="28"/>
        </w:rPr>
      </w:pPr>
      <w:r w:rsidRPr="00920436">
        <w:rPr>
          <w:sz w:val="28"/>
          <w:szCs w:val="28"/>
        </w:rPr>
        <w:t xml:space="preserve">In ambito parlamentare si riscontra </w:t>
      </w:r>
      <w:r w:rsidR="0092315C" w:rsidRPr="00920436">
        <w:rPr>
          <w:sz w:val="28"/>
          <w:szCs w:val="28"/>
        </w:rPr>
        <w:t>sensibilità</w:t>
      </w:r>
      <w:r w:rsidRPr="00920436">
        <w:rPr>
          <w:sz w:val="28"/>
          <w:szCs w:val="28"/>
        </w:rPr>
        <w:t xml:space="preserve"> verso il fenomeno del c.d. “</w:t>
      </w:r>
      <w:proofErr w:type="spellStart"/>
      <w:r w:rsidRPr="0092315C">
        <w:rPr>
          <w:i/>
          <w:iCs/>
          <w:sz w:val="28"/>
          <w:szCs w:val="28"/>
        </w:rPr>
        <w:t>hate</w:t>
      </w:r>
      <w:proofErr w:type="spellEnd"/>
      <w:r w:rsidRPr="0092315C">
        <w:rPr>
          <w:i/>
          <w:iCs/>
          <w:sz w:val="28"/>
          <w:szCs w:val="28"/>
        </w:rPr>
        <w:t xml:space="preserve"> </w:t>
      </w:r>
      <w:proofErr w:type="spellStart"/>
      <w:r w:rsidRPr="0092315C">
        <w:rPr>
          <w:i/>
          <w:iCs/>
          <w:sz w:val="28"/>
          <w:szCs w:val="28"/>
        </w:rPr>
        <w:t>speech</w:t>
      </w:r>
      <w:proofErr w:type="spellEnd"/>
      <w:r w:rsidRPr="00920436">
        <w:rPr>
          <w:sz w:val="28"/>
          <w:szCs w:val="28"/>
        </w:rPr>
        <w:t xml:space="preserve">”. Sebbene nel nostro ordinamento manchi ancora una legge </w:t>
      </w:r>
      <w:r w:rsidRPr="00E964BA">
        <w:rPr>
          <w:i/>
          <w:iCs/>
          <w:sz w:val="28"/>
          <w:szCs w:val="28"/>
        </w:rPr>
        <w:t>ad hoc</w:t>
      </w:r>
      <w:r w:rsidRPr="00920436">
        <w:rPr>
          <w:sz w:val="28"/>
          <w:szCs w:val="28"/>
        </w:rPr>
        <w:t xml:space="preserve"> per i discorsi d’odio, diverse proposte sono giunte in discussione alle Camere. Le due </w:t>
      </w:r>
      <w:r w:rsidR="0092315C" w:rsidRPr="00920436">
        <w:rPr>
          <w:sz w:val="28"/>
          <w:szCs w:val="28"/>
        </w:rPr>
        <w:t>più</w:t>
      </w:r>
      <w:r w:rsidRPr="00920436">
        <w:rPr>
          <w:sz w:val="28"/>
          <w:szCs w:val="28"/>
        </w:rPr>
        <w:t xml:space="preserve"> rilevanti sono il DDL </w:t>
      </w:r>
      <w:proofErr w:type="spellStart"/>
      <w:r w:rsidRPr="00920436">
        <w:rPr>
          <w:sz w:val="28"/>
          <w:szCs w:val="28"/>
        </w:rPr>
        <w:t>Cirinn</w:t>
      </w:r>
      <w:r w:rsidR="0092315C">
        <w:rPr>
          <w:sz w:val="28"/>
          <w:szCs w:val="28"/>
        </w:rPr>
        <w:t>à</w:t>
      </w:r>
      <w:proofErr w:type="spellEnd"/>
      <w:r w:rsidRPr="00920436">
        <w:rPr>
          <w:sz w:val="28"/>
          <w:szCs w:val="28"/>
        </w:rPr>
        <w:t xml:space="preserve"> e il DDL Boldrini, presentato lo scorso anno. </w:t>
      </w:r>
    </w:p>
    <w:p w14:paraId="1A09FCFA" w14:textId="3A08EC51" w:rsidR="00920436" w:rsidRPr="00920436" w:rsidRDefault="00721A27" w:rsidP="00AF310A">
      <w:pPr>
        <w:pStyle w:val="NormaleWeb"/>
        <w:spacing w:before="0" w:beforeAutospacing="0" w:after="0" w:afterAutospacing="0"/>
        <w:jc w:val="both"/>
        <w:rPr>
          <w:sz w:val="28"/>
          <w:szCs w:val="28"/>
        </w:rPr>
      </w:pPr>
      <w:r>
        <w:rPr>
          <w:sz w:val="28"/>
          <w:szCs w:val="28"/>
        </w:rPr>
        <w:t>Il</w:t>
      </w:r>
      <w:r w:rsidR="00920436" w:rsidRPr="00920436">
        <w:rPr>
          <w:sz w:val="28"/>
          <w:szCs w:val="28"/>
        </w:rPr>
        <w:t xml:space="preserve"> Governo ha</w:t>
      </w:r>
      <w:r w:rsidR="0039416D">
        <w:rPr>
          <w:sz w:val="28"/>
          <w:szCs w:val="28"/>
        </w:rPr>
        <w:t>,</w:t>
      </w:r>
      <w:r w:rsidR="00920436" w:rsidRPr="00920436">
        <w:rPr>
          <w:sz w:val="28"/>
          <w:szCs w:val="28"/>
        </w:rPr>
        <w:t xml:space="preserve"> inoltre</w:t>
      </w:r>
      <w:r w:rsidR="0039416D">
        <w:rPr>
          <w:sz w:val="28"/>
          <w:szCs w:val="28"/>
        </w:rPr>
        <w:t>,</w:t>
      </w:r>
      <w:r w:rsidR="00920436" w:rsidRPr="00920436">
        <w:rPr>
          <w:sz w:val="28"/>
          <w:szCs w:val="28"/>
        </w:rPr>
        <w:t xml:space="preserve"> </w:t>
      </w:r>
      <w:r>
        <w:rPr>
          <w:sz w:val="28"/>
          <w:szCs w:val="28"/>
        </w:rPr>
        <w:t xml:space="preserve">recentemente </w:t>
      </w:r>
      <w:r w:rsidR="00920436" w:rsidRPr="00920436">
        <w:rPr>
          <w:sz w:val="28"/>
          <w:szCs w:val="28"/>
        </w:rPr>
        <w:t>adottato il decreto legislativo</w:t>
      </w:r>
      <w:r>
        <w:rPr>
          <w:sz w:val="28"/>
          <w:szCs w:val="28"/>
        </w:rPr>
        <w:t xml:space="preserve"> 4 novembre 2021, n. 170, pubblicato il 25 novembre scorso</w:t>
      </w:r>
      <w:r w:rsidR="00920436" w:rsidRPr="00920436">
        <w:rPr>
          <w:sz w:val="28"/>
          <w:szCs w:val="28"/>
        </w:rPr>
        <w:t>, di attuazione della Direttiva 77</w:t>
      </w:r>
      <w:r>
        <w:rPr>
          <w:sz w:val="28"/>
          <w:szCs w:val="28"/>
        </w:rPr>
        <w:t>1</w:t>
      </w:r>
      <w:r w:rsidR="00920436" w:rsidRPr="00920436">
        <w:rPr>
          <w:sz w:val="28"/>
          <w:szCs w:val="28"/>
        </w:rPr>
        <w:t xml:space="preserve">/2019. Il decreto disciplina alcuni aspetti dei contratti per la fornitura di servizi digitali, </w:t>
      </w:r>
      <w:r w:rsidR="00920436" w:rsidRPr="00920436">
        <w:rPr>
          <w:sz w:val="28"/>
          <w:szCs w:val="28"/>
        </w:rPr>
        <w:lastRenderedPageBreak/>
        <w:t>introducendo nuove disposizioni nel Codice del Consumo</w:t>
      </w:r>
      <w:r>
        <w:rPr>
          <w:rStyle w:val="Rimandonotaapidipagina"/>
          <w:sz w:val="28"/>
          <w:szCs w:val="28"/>
        </w:rPr>
        <w:footnoteReference w:id="133"/>
      </w:r>
      <w:r w:rsidR="00920436" w:rsidRPr="00920436">
        <w:rPr>
          <w:sz w:val="28"/>
          <w:szCs w:val="28"/>
        </w:rPr>
        <w:t>, estendendo la tutela fornita da quest’ultimo anche ai contratti in cui professionista si obbliga a fornire un servizio o un contenuto digitale a fronte non della corresponsione di un prezzo, ma della cessione di dati personali da parte del consumatore. Il decreto interviene</w:t>
      </w:r>
      <w:r w:rsidR="00AF310A">
        <w:rPr>
          <w:sz w:val="28"/>
          <w:szCs w:val="28"/>
        </w:rPr>
        <w:t>,</w:t>
      </w:r>
      <w:r w:rsidR="00920436" w:rsidRPr="00920436">
        <w:rPr>
          <w:sz w:val="28"/>
          <w:szCs w:val="28"/>
        </w:rPr>
        <w:t xml:space="preserve"> dunque</w:t>
      </w:r>
      <w:r w:rsidR="00AF310A">
        <w:rPr>
          <w:sz w:val="28"/>
          <w:szCs w:val="28"/>
        </w:rPr>
        <w:t>,</w:t>
      </w:r>
      <w:r w:rsidR="00920436" w:rsidRPr="00920436">
        <w:rPr>
          <w:sz w:val="28"/>
          <w:szCs w:val="28"/>
        </w:rPr>
        <w:t xml:space="preserve"> sul </w:t>
      </w:r>
      <w:r w:rsidR="00920436" w:rsidRPr="00CE7580">
        <w:rPr>
          <w:sz w:val="28"/>
          <w:szCs w:val="28"/>
        </w:rPr>
        <w:t>dibattuto tema della patrimonializzazione e commercializzazione</w:t>
      </w:r>
      <w:r w:rsidR="001A55B0" w:rsidRPr="00CE7580">
        <w:rPr>
          <w:sz w:val="28"/>
          <w:szCs w:val="28"/>
        </w:rPr>
        <w:t>, c</w:t>
      </w:r>
      <w:r w:rsidR="00E964BA" w:rsidRPr="00CE7580">
        <w:rPr>
          <w:sz w:val="28"/>
          <w:szCs w:val="28"/>
        </w:rPr>
        <w:t>.</w:t>
      </w:r>
      <w:r w:rsidR="001A55B0" w:rsidRPr="00CE7580">
        <w:rPr>
          <w:sz w:val="28"/>
          <w:szCs w:val="28"/>
        </w:rPr>
        <w:t>d</w:t>
      </w:r>
      <w:r w:rsidR="00E964BA" w:rsidRPr="00CE7580">
        <w:rPr>
          <w:sz w:val="28"/>
          <w:szCs w:val="28"/>
        </w:rPr>
        <w:t>.</w:t>
      </w:r>
      <w:r w:rsidR="001A55B0" w:rsidRPr="00CE7580">
        <w:rPr>
          <w:sz w:val="28"/>
          <w:szCs w:val="28"/>
        </w:rPr>
        <w:t xml:space="preserve"> monetizzazione</w:t>
      </w:r>
      <w:r w:rsidR="00920436" w:rsidRPr="00CE7580">
        <w:rPr>
          <w:sz w:val="28"/>
          <w:szCs w:val="28"/>
        </w:rPr>
        <w:t xml:space="preserve"> dei dati personali</w:t>
      </w:r>
      <w:r w:rsidR="00920436" w:rsidRPr="001A55B0">
        <w:rPr>
          <w:b/>
          <w:bCs/>
          <w:sz w:val="28"/>
          <w:szCs w:val="28"/>
        </w:rPr>
        <w:t>,</w:t>
      </w:r>
      <w:r w:rsidR="00920436" w:rsidRPr="00920436">
        <w:rPr>
          <w:sz w:val="28"/>
          <w:szCs w:val="28"/>
        </w:rPr>
        <w:t xml:space="preserve"> sempre </w:t>
      </w:r>
      <w:r w:rsidR="0092315C" w:rsidRPr="00920436">
        <w:rPr>
          <w:sz w:val="28"/>
          <w:szCs w:val="28"/>
        </w:rPr>
        <w:t>più</w:t>
      </w:r>
      <w:r w:rsidR="00920436" w:rsidRPr="00920436">
        <w:rPr>
          <w:sz w:val="28"/>
          <w:szCs w:val="28"/>
        </w:rPr>
        <w:t xml:space="preserve"> rilevante nell’economia moderna. </w:t>
      </w:r>
    </w:p>
    <w:p w14:paraId="0C3AC5A9" w14:textId="6D1A56B0" w:rsidR="00920436" w:rsidRDefault="00920436" w:rsidP="00AF310A">
      <w:pPr>
        <w:pStyle w:val="NormaleWeb"/>
        <w:spacing w:before="0" w:beforeAutospacing="0" w:after="0" w:afterAutospacing="0"/>
        <w:jc w:val="both"/>
        <w:rPr>
          <w:sz w:val="28"/>
          <w:szCs w:val="28"/>
        </w:rPr>
      </w:pPr>
      <w:r w:rsidRPr="00920436">
        <w:rPr>
          <w:sz w:val="28"/>
          <w:szCs w:val="28"/>
        </w:rPr>
        <w:t xml:space="preserve">Sotto altro profilo, ricordiamo che, in precedenza, con l’art. 8 ter del </w:t>
      </w:r>
      <w:proofErr w:type="spellStart"/>
      <w:r w:rsidRPr="00920436">
        <w:rPr>
          <w:sz w:val="28"/>
          <w:szCs w:val="28"/>
        </w:rPr>
        <w:t>d.l.</w:t>
      </w:r>
      <w:proofErr w:type="spellEnd"/>
      <w:r w:rsidRPr="00920436">
        <w:rPr>
          <w:sz w:val="28"/>
          <w:szCs w:val="28"/>
        </w:rPr>
        <w:t xml:space="preserve"> 135/2018 (c.d. Decreto Semplificazioni 2019), aggiunto in sede di conversione in legge, è stata introdotta nel nostro ordinamento la definizione di </w:t>
      </w:r>
      <w:r w:rsidRPr="00920436">
        <w:rPr>
          <w:i/>
          <w:iCs/>
          <w:sz w:val="28"/>
          <w:szCs w:val="28"/>
        </w:rPr>
        <w:t xml:space="preserve">tecnologie basate su registri distribuiti </w:t>
      </w:r>
      <w:r w:rsidRPr="00920436">
        <w:rPr>
          <w:sz w:val="28"/>
          <w:szCs w:val="28"/>
        </w:rPr>
        <w:t xml:space="preserve">(o </w:t>
      </w:r>
      <w:proofErr w:type="spellStart"/>
      <w:r w:rsidRPr="00920436">
        <w:rPr>
          <w:i/>
          <w:iCs/>
          <w:sz w:val="28"/>
          <w:szCs w:val="28"/>
        </w:rPr>
        <w:t>blockchain</w:t>
      </w:r>
      <w:proofErr w:type="spellEnd"/>
      <w:r w:rsidRPr="00920436">
        <w:rPr>
          <w:sz w:val="28"/>
          <w:szCs w:val="28"/>
        </w:rPr>
        <w:t xml:space="preserve">) e di </w:t>
      </w:r>
      <w:proofErr w:type="spellStart"/>
      <w:r w:rsidRPr="00920436">
        <w:rPr>
          <w:i/>
          <w:iCs/>
          <w:sz w:val="28"/>
          <w:szCs w:val="28"/>
        </w:rPr>
        <w:t>smart</w:t>
      </w:r>
      <w:proofErr w:type="spellEnd"/>
      <w:r w:rsidRPr="00920436">
        <w:rPr>
          <w:i/>
          <w:iCs/>
          <w:sz w:val="28"/>
          <w:szCs w:val="28"/>
        </w:rPr>
        <w:t xml:space="preserve"> </w:t>
      </w:r>
      <w:proofErr w:type="spellStart"/>
      <w:r w:rsidRPr="00920436">
        <w:rPr>
          <w:i/>
          <w:iCs/>
          <w:sz w:val="28"/>
          <w:szCs w:val="28"/>
        </w:rPr>
        <w:t>contract</w:t>
      </w:r>
      <w:proofErr w:type="spellEnd"/>
      <w:r w:rsidRPr="00920436">
        <w:rPr>
          <w:sz w:val="28"/>
          <w:szCs w:val="28"/>
        </w:rPr>
        <w:t xml:space="preserve">. </w:t>
      </w:r>
    </w:p>
    <w:p w14:paraId="50954911" w14:textId="5583D4D4" w:rsidR="005A65A4" w:rsidRDefault="00AB0B7C" w:rsidP="00920436">
      <w:pPr>
        <w:pStyle w:val="NormaleWeb"/>
        <w:jc w:val="both"/>
        <w:rPr>
          <w:i/>
          <w:iCs/>
          <w:sz w:val="28"/>
          <w:szCs w:val="28"/>
        </w:rPr>
      </w:pPr>
      <w:r>
        <w:rPr>
          <w:sz w:val="28"/>
          <w:szCs w:val="28"/>
        </w:rPr>
        <w:t xml:space="preserve">Dalle linee evolutive della normativa si intravede </w:t>
      </w:r>
      <w:r w:rsidR="0092315C">
        <w:rPr>
          <w:sz w:val="28"/>
          <w:szCs w:val="28"/>
        </w:rPr>
        <w:t>la necessità</w:t>
      </w:r>
      <w:r>
        <w:rPr>
          <w:sz w:val="28"/>
          <w:szCs w:val="28"/>
        </w:rPr>
        <w:t xml:space="preserve"> di conciliare la digitalizzazione ed il concetto di interoperabilità dei sistemi con la tutela dei dati.</w:t>
      </w:r>
      <w:r w:rsidR="0092315C">
        <w:rPr>
          <w:sz w:val="28"/>
          <w:szCs w:val="28"/>
        </w:rPr>
        <w:t xml:space="preserve"> </w:t>
      </w:r>
      <w:r>
        <w:rPr>
          <w:sz w:val="28"/>
          <w:szCs w:val="28"/>
        </w:rPr>
        <w:t>Le nuove Linee Guida dell’</w:t>
      </w:r>
      <w:proofErr w:type="spellStart"/>
      <w:r>
        <w:rPr>
          <w:sz w:val="28"/>
          <w:szCs w:val="28"/>
        </w:rPr>
        <w:t>Agid</w:t>
      </w:r>
      <w:proofErr w:type="spellEnd"/>
      <w:r w:rsidR="00AF310A">
        <w:rPr>
          <w:sz w:val="28"/>
          <w:szCs w:val="28"/>
        </w:rPr>
        <w:t>,</w:t>
      </w:r>
      <w:r>
        <w:rPr>
          <w:sz w:val="28"/>
          <w:szCs w:val="28"/>
        </w:rPr>
        <w:t xml:space="preserve"> </w:t>
      </w:r>
      <w:r w:rsidR="00A732D1">
        <w:rPr>
          <w:sz w:val="28"/>
          <w:szCs w:val="28"/>
        </w:rPr>
        <w:t xml:space="preserve">con i relativi protocolli informatici </w:t>
      </w:r>
      <w:r>
        <w:rPr>
          <w:sz w:val="28"/>
          <w:szCs w:val="28"/>
        </w:rPr>
        <w:t xml:space="preserve">ed il sistema </w:t>
      </w:r>
      <w:proofErr w:type="spellStart"/>
      <w:r w:rsidRPr="00AF310A">
        <w:rPr>
          <w:i/>
          <w:iCs/>
          <w:sz w:val="28"/>
          <w:szCs w:val="28"/>
        </w:rPr>
        <w:t>Cloud</w:t>
      </w:r>
      <w:proofErr w:type="spellEnd"/>
      <w:r>
        <w:rPr>
          <w:sz w:val="28"/>
          <w:szCs w:val="28"/>
        </w:rPr>
        <w:t xml:space="preserve"> PA</w:t>
      </w:r>
      <w:r w:rsidR="0092315C">
        <w:rPr>
          <w:rStyle w:val="Rimandonotaapidipagina"/>
          <w:sz w:val="28"/>
          <w:szCs w:val="28"/>
        </w:rPr>
        <w:footnoteReference w:id="134"/>
      </w:r>
      <w:r w:rsidR="00AF310A">
        <w:rPr>
          <w:sz w:val="28"/>
          <w:szCs w:val="28"/>
        </w:rPr>
        <w:t>,</w:t>
      </w:r>
      <w:r>
        <w:rPr>
          <w:sz w:val="28"/>
          <w:szCs w:val="28"/>
        </w:rPr>
        <w:t xml:space="preserve"> cercano di rispondere a tale esigenza secondo le indicazioni della Commissione Europea. Il 2 dicembre 2020, infatti, quest’ultima</w:t>
      </w:r>
      <w:r w:rsidR="00AF310A">
        <w:rPr>
          <w:sz w:val="28"/>
          <w:szCs w:val="28"/>
        </w:rPr>
        <w:t>,</w:t>
      </w:r>
      <w:r>
        <w:rPr>
          <w:sz w:val="28"/>
          <w:szCs w:val="28"/>
        </w:rPr>
        <w:t xml:space="preserve"> in materia di giustizia</w:t>
      </w:r>
      <w:r w:rsidR="00AF310A">
        <w:rPr>
          <w:sz w:val="28"/>
          <w:szCs w:val="28"/>
        </w:rPr>
        <w:t>,</w:t>
      </w:r>
      <w:r>
        <w:rPr>
          <w:sz w:val="28"/>
          <w:szCs w:val="28"/>
        </w:rPr>
        <w:t xml:space="preserve"> ha pubblicato la Comunicazione </w:t>
      </w:r>
      <w:proofErr w:type="spellStart"/>
      <w:r w:rsidRPr="00AB0B7C">
        <w:rPr>
          <w:i/>
          <w:iCs/>
          <w:sz w:val="28"/>
          <w:szCs w:val="28"/>
        </w:rPr>
        <w:t>Digitalisation</w:t>
      </w:r>
      <w:proofErr w:type="spellEnd"/>
      <w:r w:rsidRPr="00AB0B7C">
        <w:rPr>
          <w:i/>
          <w:iCs/>
          <w:sz w:val="28"/>
          <w:szCs w:val="28"/>
        </w:rPr>
        <w:t xml:space="preserve"> of </w:t>
      </w:r>
      <w:proofErr w:type="spellStart"/>
      <w:r w:rsidRPr="00AB0B7C">
        <w:rPr>
          <w:i/>
          <w:iCs/>
          <w:sz w:val="28"/>
          <w:szCs w:val="28"/>
        </w:rPr>
        <w:t>Jiustice</w:t>
      </w:r>
      <w:proofErr w:type="spellEnd"/>
      <w:r w:rsidRPr="00AB0B7C">
        <w:rPr>
          <w:i/>
          <w:iCs/>
          <w:sz w:val="28"/>
          <w:szCs w:val="28"/>
        </w:rPr>
        <w:t xml:space="preserve"> in the </w:t>
      </w:r>
      <w:r>
        <w:rPr>
          <w:i/>
          <w:iCs/>
          <w:sz w:val="28"/>
          <w:szCs w:val="28"/>
        </w:rPr>
        <w:t xml:space="preserve">in the </w:t>
      </w:r>
      <w:proofErr w:type="spellStart"/>
      <w:r>
        <w:rPr>
          <w:i/>
          <w:iCs/>
          <w:sz w:val="28"/>
          <w:szCs w:val="28"/>
        </w:rPr>
        <w:t>European</w:t>
      </w:r>
      <w:proofErr w:type="spellEnd"/>
      <w:r>
        <w:rPr>
          <w:i/>
          <w:iCs/>
          <w:sz w:val="28"/>
          <w:szCs w:val="28"/>
        </w:rPr>
        <w:t xml:space="preserve"> Union, A </w:t>
      </w:r>
      <w:proofErr w:type="spellStart"/>
      <w:r>
        <w:rPr>
          <w:i/>
          <w:iCs/>
          <w:sz w:val="28"/>
          <w:szCs w:val="28"/>
        </w:rPr>
        <w:t>tool</w:t>
      </w:r>
      <w:proofErr w:type="spellEnd"/>
      <w:r>
        <w:rPr>
          <w:i/>
          <w:iCs/>
          <w:sz w:val="28"/>
          <w:szCs w:val="28"/>
        </w:rPr>
        <w:t xml:space="preserve"> box of </w:t>
      </w:r>
      <w:proofErr w:type="spellStart"/>
      <w:r>
        <w:rPr>
          <w:i/>
          <w:iCs/>
          <w:sz w:val="28"/>
          <w:szCs w:val="28"/>
        </w:rPr>
        <w:t>opportunities</w:t>
      </w:r>
      <w:proofErr w:type="spellEnd"/>
      <w:r>
        <w:rPr>
          <w:i/>
          <w:iCs/>
          <w:sz w:val="28"/>
          <w:szCs w:val="28"/>
        </w:rPr>
        <w:t xml:space="preserve"> (COM</w:t>
      </w:r>
      <w:r w:rsidR="00A27247">
        <w:rPr>
          <w:i/>
          <w:iCs/>
          <w:sz w:val="28"/>
          <w:szCs w:val="28"/>
        </w:rPr>
        <w:t xml:space="preserve"> </w:t>
      </w:r>
      <w:r>
        <w:rPr>
          <w:i/>
          <w:iCs/>
          <w:sz w:val="28"/>
          <w:szCs w:val="28"/>
        </w:rPr>
        <w:t>(2020)710</w:t>
      </w:r>
      <w:r w:rsidR="00AF310A" w:rsidRPr="00AF310A">
        <w:rPr>
          <w:sz w:val="28"/>
          <w:szCs w:val="28"/>
        </w:rPr>
        <w:t>)</w:t>
      </w:r>
      <w:r w:rsidRPr="00AF310A">
        <w:rPr>
          <w:sz w:val="28"/>
          <w:szCs w:val="28"/>
        </w:rPr>
        <w:t xml:space="preserve"> e</w:t>
      </w:r>
      <w:r>
        <w:rPr>
          <w:i/>
          <w:iCs/>
          <w:sz w:val="28"/>
          <w:szCs w:val="28"/>
        </w:rPr>
        <w:t xml:space="preserve"> </w:t>
      </w:r>
      <w:r w:rsidRPr="00AB0B7C">
        <w:rPr>
          <w:sz w:val="28"/>
          <w:szCs w:val="28"/>
        </w:rPr>
        <w:t>documento di accompagnamento</w:t>
      </w:r>
      <w:r w:rsidR="0092315C">
        <w:rPr>
          <w:sz w:val="28"/>
          <w:szCs w:val="28"/>
        </w:rPr>
        <w:t xml:space="preserve"> </w:t>
      </w:r>
      <w:r w:rsidR="00AF310A">
        <w:rPr>
          <w:sz w:val="28"/>
          <w:szCs w:val="28"/>
        </w:rPr>
        <w:t>(</w:t>
      </w:r>
      <w:r>
        <w:rPr>
          <w:sz w:val="28"/>
          <w:szCs w:val="28"/>
        </w:rPr>
        <w:t>JWD</w:t>
      </w:r>
      <w:r w:rsidR="00A27247">
        <w:rPr>
          <w:sz w:val="28"/>
          <w:szCs w:val="28"/>
        </w:rPr>
        <w:t xml:space="preserve"> </w:t>
      </w:r>
      <w:r>
        <w:rPr>
          <w:sz w:val="28"/>
          <w:szCs w:val="28"/>
        </w:rPr>
        <w:t>(2020) 540</w:t>
      </w:r>
      <w:r w:rsidR="00AF310A">
        <w:rPr>
          <w:sz w:val="28"/>
          <w:szCs w:val="28"/>
        </w:rPr>
        <w:t>)</w:t>
      </w:r>
      <w:r>
        <w:rPr>
          <w:sz w:val="28"/>
          <w:szCs w:val="28"/>
        </w:rPr>
        <w:t xml:space="preserve">, indicando le nuove linee di azione a cui attenersi: </w:t>
      </w:r>
      <w:proofErr w:type="spellStart"/>
      <w:r w:rsidRPr="00AB0B7C">
        <w:rPr>
          <w:i/>
          <w:iCs/>
          <w:sz w:val="28"/>
          <w:szCs w:val="28"/>
        </w:rPr>
        <w:t>digital</w:t>
      </w:r>
      <w:proofErr w:type="spellEnd"/>
      <w:r w:rsidRPr="00AB0B7C">
        <w:rPr>
          <w:i/>
          <w:iCs/>
          <w:sz w:val="28"/>
          <w:szCs w:val="28"/>
        </w:rPr>
        <w:t xml:space="preserve"> </w:t>
      </w:r>
      <w:proofErr w:type="spellStart"/>
      <w:r w:rsidRPr="00AB0B7C">
        <w:rPr>
          <w:i/>
          <w:iCs/>
          <w:sz w:val="28"/>
          <w:szCs w:val="28"/>
        </w:rPr>
        <w:t>transformation</w:t>
      </w:r>
      <w:proofErr w:type="spellEnd"/>
      <w:r w:rsidRPr="00AB0B7C">
        <w:rPr>
          <w:i/>
          <w:iCs/>
          <w:sz w:val="28"/>
          <w:szCs w:val="28"/>
        </w:rPr>
        <w:t xml:space="preserve"> e design dei processi.</w:t>
      </w:r>
      <w:r>
        <w:rPr>
          <w:i/>
          <w:iCs/>
          <w:sz w:val="28"/>
          <w:szCs w:val="28"/>
        </w:rPr>
        <w:t xml:space="preserve"> </w:t>
      </w:r>
      <w:r w:rsidRPr="00AB0B7C">
        <w:rPr>
          <w:sz w:val="28"/>
          <w:szCs w:val="28"/>
        </w:rPr>
        <w:t>La Commissione ha affermato che</w:t>
      </w:r>
      <w:r>
        <w:rPr>
          <w:i/>
          <w:iCs/>
          <w:sz w:val="28"/>
          <w:szCs w:val="28"/>
        </w:rPr>
        <w:t xml:space="preserve"> “La Giustizia è un</w:t>
      </w:r>
      <w:r w:rsidR="00A732D1">
        <w:rPr>
          <w:i/>
          <w:iCs/>
          <w:sz w:val="28"/>
          <w:szCs w:val="28"/>
        </w:rPr>
        <w:t xml:space="preserve">a </w:t>
      </w:r>
      <w:r>
        <w:rPr>
          <w:i/>
          <w:iCs/>
          <w:sz w:val="28"/>
          <w:szCs w:val="28"/>
        </w:rPr>
        <w:t>delle componenti strategiche per una società basata sui valori UE e per un’economia resiliente”.</w:t>
      </w:r>
    </w:p>
    <w:p w14:paraId="406BDFBF" w14:textId="77777777" w:rsidR="00AF310A" w:rsidRDefault="00A732D1" w:rsidP="00920436">
      <w:pPr>
        <w:pStyle w:val="NormaleWeb"/>
        <w:jc w:val="both"/>
        <w:rPr>
          <w:sz w:val="28"/>
          <w:szCs w:val="28"/>
        </w:rPr>
      </w:pPr>
      <w:r>
        <w:rPr>
          <w:sz w:val="28"/>
          <w:szCs w:val="28"/>
        </w:rPr>
        <w:t>Nel settore della giustizia</w:t>
      </w:r>
      <w:r w:rsidR="00E964BA">
        <w:rPr>
          <w:sz w:val="28"/>
          <w:szCs w:val="28"/>
        </w:rPr>
        <w:t>,</w:t>
      </w:r>
      <w:r>
        <w:rPr>
          <w:sz w:val="28"/>
          <w:szCs w:val="28"/>
        </w:rPr>
        <w:t xml:space="preserve"> così come in altri settori come la sanità, a scuola, i trasporti, p</w:t>
      </w:r>
      <w:r w:rsidR="00AB0B7C" w:rsidRPr="00A732D1">
        <w:rPr>
          <w:sz w:val="28"/>
          <w:szCs w:val="28"/>
        </w:rPr>
        <w:t xml:space="preserve">rerequisito della digitalizzazione </w:t>
      </w:r>
      <w:r>
        <w:rPr>
          <w:sz w:val="28"/>
          <w:szCs w:val="28"/>
        </w:rPr>
        <w:t>(</w:t>
      </w:r>
      <w:r w:rsidR="00AB0B7C" w:rsidRPr="00A732D1">
        <w:rPr>
          <w:sz w:val="28"/>
          <w:szCs w:val="28"/>
        </w:rPr>
        <w:t xml:space="preserve">che è un concetto diverso dall’informatizzazione, </w:t>
      </w:r>
      <w:r w:rsidR="00AB0B7C" w:rsidRPr="00A732D1">
        <w:rPr>
          <w:sz w:val="28"/>
          <w:szCs w:val="28"/>
        </w:rPr>
        <w:lastRenderedPageBreak/>
        <w:t>anzi un</w:t>
      </w:r>
      <w:r w:rsidRPr="00A732D1">
        <w:rPr>
          <w:sz w:val="28"/>
          <w:szCs w:val="28"/>
        </w:rPr>
        <w:t xml:space="preserve">a </w:t>
      </w:r>
      <w:r w:rsidR="00AB0B7C" w:rsidRPr="00A732D1">
        <w:rPr>
          <w:sz w:val="28"/>
          <w:szCs w:val="28"/>
        </w:rPr>
        <w:t>sua evoluzione, un suo salto quantico</w:t>
      </w:r>
      <w:r>
        <w:rPr>
          <w:sz w:val="28"/>
          <w:szCs w:val="28"/>
        </w:rPr>
        <w:t>)</w:t>
      </w:r>
      <w:r w:rsidR="00AB0B7C" w:rsidRPr="00A732D1">
        <w:rPr>
          <w:sz w:val="28"/>
          <w:szCs w:val="28"/>
        </w:rPr>
        <w:t xml:space="preserve">, </w:t>
      </w:r>
      <w:r>
        <w:rPr>
          <w:sz w:val="28"/>
          <w:szCs w:val="28"/>
        </w:rPr>
        <w:t xml:space="preserve">è </w:t>
      </w:r>
      <w:r w:rsidRPr="00CE7580">
        <w:rPr>
          <w:sz w:val="28"/>
          <w:szCs w:val="28"/>
        </w:rPr>
        <w:t xml:space="preserve">la re-ingegnerizzazione dei processi e del </w:t>
      </w:r>
      <w:r w:rsidRPr="00AF310A">
        <w:rPr>
          <w:i/>
          <w:iCs/>
          <w:sz w:val="28"/>
          <w:szCs w:val="28"/>
        </w:rPr>
        <w:t>design</w:t>
      </w:r>
      <w:r w:rsidRPr="00CE7580">
        <w:rPr>
          <w:sz w:val="28"/>
          <w:szCs w:val="28"/>
        </w:rPr>
        <w:t xml:space="preserve"> dei sistemi di supporto, tenendo a mente le esigenze dei cittadini e delle imprese. La Commissione ha riscontrato diversi </w:t>
      </w:r>
      <w:proofErr w:type="spellStart"/>
      <w:r w:rsidRPr="00AF310A">
        <w:rPr>
          <w:i/>
          <w:iCs/>
          <w:sz w:val="28"/>
          <w:szCs w:val="28"/>
        </w:rPr>
        <w:t>Tool</w:t>
      </w:r>
      <w:proofErr w:type="spellEnd"/>
      <w:r w:rsidRPr="00AF310A">
        <w:rPr>
          <w:i/>
          <w:iCs/>
          <w:sz w:val="28"/>
          <w:szCs w:val="28"/>
        </w:rPr>
        <w:t xml:space="preserve"> IT</w:t>
      </w:r>
      <w:r w:rsidRPr="00CE7580">
        <w:rPr>
          <w:sz w:val="28"/>
          <w:szCs w:val="28"/>
        </w:rPr>
        <w:t>, ma senza alcuna considerazione sulla interoperabilità. Quest’ultima rappresenta l’indice evolutivo dello sviluppo tecnologico per ottimizzare le risorse pubbliche</w:t>
      </w:r>
      <w:r w:rsidR="009535D2" w:rsidRPr="00CE7580">
        <w:rPr>
          <w:sz w:val="28"/>
          <w:szCs w:val="28"/>
        </w:rPr>
        <w:t>: il passaggio dall’informatizzazione alla digitalizzazione si basa sulle c</w:t>
      </w:r>
      <w:r w:rsidR="00E964BA" w:rsidRPr="00CE7580">
        <w:rPr>
          <w:sz w:val="28"/>
          <w:szCs w:val="28"/>
        </w:rPr>
        <w:t>.</w:t>
      </w:r>
      <w:r w:rsidR="009535D2" w:rsidRPr="00CE7580">
        <w:rPr>
          <w:sz w:val="28"/>
          <w:szCs w:val="28"/>
        </w:rPr>
        <w:t>d</w:t>
      </w:r>
      <w:r w:rsidR="00E964BA" w:rsidRPr="00CE7580">
        <w:rPr>
          <w:sz w:val="28"/>
          <w:szCs w:val="28"/>
        </w:rPr>
        <w:t>.</w:t>
      </w:r>
      <w:r w:rsidR="009535D2" w:rsidRPr="00CE7580">
        <w:rPr>
          <w:sz w:val="28"/>
          <w:szCs w:val="28"/>
        </w:rPr>
        <w:t xml:space="preserve"> “infrastrutture </w:t>
      </w:r>
      <w:proofErr w:type="spellStart"/>
      <w:r w:rsidR="009535D2" w:rsidRPr="00CE7580">
        <w:rPr>
          <w:sz w:val="28"/>
          <w:szCs w:val="28"/>
        </w:rPr>
        <w:t>iperconvergenti</w:t>
      </w:r>
      <w:proofErr w:type="spellEnd"/>
      <w:r w:rsidR="009535D2" w:rsidRPr="00CE7580">
        <w:rPr>
          <w:sz w:val="28"/>
          <w:szCs w:val="28"/>
        </w:rPr>
        <w:t xml:space="preserve">”, rappresentate da componenti </w:t>
      </w:r>
      <w:r w:rsidR="009535D2" w:rsidRPr="00AF310A">
        <w:rPr>
          <w:i/>
          <w:iCs/>
          <w:sz w:val="28"/>
          <w:szCs w:val="28"/>
        </w:rPr>
        <w:t>hardware</w:t>
      </w:r>
      <w:r w:rsidR="009535D2" w:rsidRPr="00CE7580">
        <w:rPr>
          <w:sz w:val="28"/>
          <w:szCs w:val="28"/>
        </w:rPr>
        <w:t xml:space="preserve"> </w:t>
      </w:r>
      <w:r w:rsidR="00A27247" w:rsidRPr="00CE7580">
        <w:rPr>
          <w:sz w:val="28"/>
          <w:szCs w:val="28"/>
        </w:rPr>
        <w:t>estremamente</w:t>
      </w:r>
      <w:r w:rsidR="009535D2" w:rsidRPr="00CE7580">
        <w:rPr>
          <w:sz w:val="28"/>
          <w:szCs w:val="28"/>
        </w:rPr>
        <w:t xml:space="preserve"> “modulari”. La caratterizzazione delle architetture si deve al </w:t>
      </w:r>
      <w:proofErr w:type="spellStart"/>
      <w:r w:rsidR="009535D2" w:rsidRPr="00CE7580">
        <w:rPr>
          <w:i/>
          <w:iCs/>
          <w:sz w:val="28"/>
          <w:szCs w:val="28"/>
        </w:rPr>
        <w:t>layer</w:t>
      </w:r>
      <w:proofErr w:type="spellEnd"/>
      <w:r w:rsidR="007D0045" w:rsidRPr="00CE7580">
        <w:rPr>
          <w:i/>
          <w:iCs/>
          <w:sz w:val="28"/>
          <w:szCs w:val="28"/>
        </w:rPr>
        <w:t xml:space="preserve"> software</w:t>
      </w:r>
      <w:r w:rsidR="007D0045" w:rsidRPr="00CE7580">
        <w:rPr>
          <w:sz w:val="28"/>
          <w:szCs w:val="28"/>
        </w:rPr>
        <w:t xml:space="preserve">, grazie al quale le risorse di </w:t>
      </w:r>
      <w:proofErr w:type="spellStart"/>
      <w:r w:rsidR="007D0045" w:rsidRPr="00CE7580">
        <w:rPr>
          <w:i/>
          <w:iCs/>
          <w:sz w:val="28"/>
          <w:szCs w:val="28"/>
        </w:rPr>
        <w:t>computing</w:t>
      </w:r>
      <w:proofErr w:type="spellEnd"/>
      <w:r w:rsidR="007D0045" w:rsidRPr="00CE7580">
        <w:rPr>
          <w:i/>
          <w:iCs/>
          <w:sz w:val="28"/>
          <w:szCs w:val="28"/>
        </w:rPr>
        <w:t xml:space="preserve"> e </w:t>
      </w:r>
      <w:proofErr w:type="spellStart"/>
      <w:r w:rsidR="007D0045" w:rsidRPr="00CE7580">
        <w:rPr>
          <w:i/>
          <w:iCs/>
          <w:sz w:val="28"/>
          <w:szCs w:val="28"/>
        </w:rPr>
        <w:t>storage</w:t>
      </w:r>
      <w:proofErr w:type="spellEnd"/>
      <w:r w:rsidR="007D0045" w:rsidRPr="00CE7580">
        <w:rPr>
          <w:sz w:val="28"/>
          <w:szCs w:val="28"/>
        </w:rPr>
        <w:t xml:space="preserve"> di ogni nodo sono combinate in un </w:t>
      </w:r>
      <w:r w:rsidR="007D0045" w:rsidRPr="00AF310A">
        <w:rPr>
          <w:i/>
          <w:iCs/>
          <w:sz w:val="28"/>
          <w:szCs w:val="28"/>
        </w:rPr>
        <w:t>pool</w:t>
      </w:r>
      <w:r w:rsidR="007D0045" w:rsidRPr="00CE7580">
        <w:rPr>
          <w:sz w:val="28"/>
          <w:szCs w:val="28"/>
        </w:rPr>
        <w:t xml:space="preserve"> unico e messe a disposizione con i vantaggi dell’elasticità e della scalabilità.</w:t>
      </w:r>
      <w:r w:rsidR="00B031C2" w:rsidRPr="00CE7580">
        <w:rPr>
          <w:sz w:val="28"/>
          <w:szCs w:val="28"/>
        </w:rPr>
        <w:t xml:space="preserve"> Significative</w:t>
      </w:r>
      <w:r w:rsidR="00B031C2">
        <w:rPr>
          <w:sz w:val="28"/>
          <w:szCs w:val="28"/>
        </w:rPr>
        <w:t xml:space="preserve"> sono risultate le proposte della Commissione per i </w:t>
      </w:r>
      <w:proofErr w:type="spellStart"/>
      <w:r w:rsidR="00B031C2">
        <w:rPr>
          <w:sz w:val="28"/>
          <w:szCs w:val="28"/>
        </w:rPr>
        <w:t>tool</w:t>
      </w:r>
      <w:proofErr w:type="spellEnd"/>
      <w:r w:rsidR="00B031C2">
        <w:rPr>
          <w:sz w:val="28"/>
          <w:szCs w:val="28"/>
        </w:rPr>
        <w:t xml:space="preserve"> IT di cooperazione giudiziaria </w:t>
      </w:r>
      <w:r w:rsidR="00B031C2" w:rsidRPr="00E964BA">
        <w:rPr>
          <w:i/>
          <w:iCs/>
          <w:sz w:val="28"/>
          <w:szCs w:val="28"/>
        </w:rPr>
        <w:t>cross-</w:t>
      </w:r>
      <w:proofErr w:type="spellStart"/>
      <w:r w:rsidR="00B031C2" w:rsidRPr="00E964BA">
        <w:rPr>
          <w:i/>
          <w:iCs/>
          <w:sz w:val="28"/>
          <w:szCs w:val="28"/>
        </w:rPr>
        <w:t>border</w:t>
      </w:r>
      <w:proofErr w:type="spellEnd"/>
      <w:r w:rsidR="00B031C2" w:rsidRPr="00E964BA">
        <w:rPr>
          <w:i/>
          <w:iCs/>
          <w:sz w:val="28"/>
          <w:szCs w:val="28"/>
        </w:rPr>
        <w:t>.</w:t>
      </w:r>
      <w:r w:rsidR="00B031C2">
        <w:rPr>
          <w:sz w:val="28"/>
          <w:szCs w:val="28"/>
        </w:rPr>
        <w:t xml:space="preserve"> </w:t>
      </w:r>
    </w:p>
    <w:p w14:paraId="52C3DC4F" w14:textId="77777777" w:rsidR="009C29F1" w:rsidRDefault="00B031C2" w:rsidP="009C29F1">
      <w:pPr>
        <w:pStyle w:val="NormaleWeb"/>
        <w:spacing w:before="0" w:beforeAutospacing="0" w:after="0" w:afterAutospacing="0"/>
        <w:jc w:val="both"/>
        <w:rPr>
          <w:sz w:val="28"/>
          <w:szCs w:val="28"/>
        </w:rPr>
      </w:pPr>
      <w:r>
        <w:rPr>
          <w:sz w:val="28"/>
          <w:szCs w:val="28"/>
        </w:rPr>
        <w:t>Piattaforme di comunicazione e scambi di dati,</w:t>
      </w:r>
      <w:r w:rsidR="007D0045">
        <w:rPr>
          <w:sz w:val="28"/>
          <w:szCs w:val="28"/>
        </w:rPr>
        <w:t xml:space="preserve"> </w:t>
      </w:r>
      <w:r>
        <w:rPr>
          <w:sz w:val="28"/>
          <w:szCs w:val="28"/>
        </w:rPr>
        <w:t>registri interconnessi dovrebbero essere una realtà già consolidata, ma sono poco sfruttati.</w:t>
      </w:r>
      <w:r w:rsidR="00AE5DE0">
        <w:rPr>
          <w:sz w:val="28"/>
          <w:szCs w:val="28"/>
        </w:rPr>
        <w:t xml:space="preserve"> </w:t>
      </w:r>
      <w:proofErr w:type="spellStart"/>
      <w:r w:rsidRPr="009C29F1">
        <w:rPr>
          <w:i/>
          <w:iCs/>
          <w:sz w:val="28"/>
          <w:szCs w:val="28"/>
        </w:rPr>
        <w:t>Eurlex</w:t>
      </w:r>
      <w:proofErr w:type="spellEnd"/>
      <w:r>
        <w:rPr>
          <w:sz w:val="28"/>
          <w:szCs w:val="28"/>
        </w:rPr>
        <w:t xml:space="preserve">, </w:t>
      </w:r>
      <w:r w:rsidR="00AE5DE0">
        <w:rPr>
          <w:sz w:val="28"/>
          <w:szCs w:val="28"/>
        </w:rPr>
        <w:t xml:space="preserve">il portale </w:t>
      </w:r>
      <w:r w:rsidR="00AE5DE0" w:rsidRPr="009C29F1">
        <w:rPr>
          <w:i/>
          <w:iCs/>
          <w:sz w:val="28"/>
          <w:szCs w:val="28"/>
        </w:rPr>
        <w:t>E-</w:t>
      </w:r>
      <w:proofErr w:type="spellStart"/>
      <w:r w:rsidR="00AE5DE0" w:rsidRPr="009C29F1">
        <w:rPr>
          <w:i/>
          <w:iCs/>
          <w:sz w:val="28"/>
          <w:szCs w:val="28"/>
        </w:rPr>
        <w:t>justice</w:t>
      </w:r>
      <w:proofErr w:type="spellEnd"/>
      <w:r w:rsidR="00AE5DE0">
        <w:rPr>
          <w:sz w:val="28"/>
          <w:szCs w:val="28"/>
        </w:rPr>
        <w:t xml:space="preserve">, il sistema </w:t>
      </w:r>
      <w:r w:rsidR="00AE5DE0" w:rsidRPr="009C29F1">
        <w:rPr>
          <w:i/>
          <w:iCs/>
          <w:sz w:val="28"/>
          <w:szCs w:val="28"/>
        </w:rPr>
        <w:t xml:space="preserve">Business </w:t>
      </w:r>
      <w:proofErr w:type="spellStart"/>
      <w:r w:rsidR="00AE5DE0" w:rsidRPr="009C29F1">
        <w:rPr>
          <w:i/>
          <w:iCs/>
          <w:sz w:val="28"/>
          <w:szCs w:val="28"/>
        </w:rPr>
        <w:t>Registers</w:t>
      </w:r>
      <w:proofErr w:type="spellEnd"/>
      <w:r w:rsidR="00AE5DE0" w:rsidRPr="009C29F1">
        <w:rPr>
          <w:i/>
          <w:iCs/>
          <w:sz w:val="28"/>
          <w:szCs w:val="28"/>
        </w:rPr>
        <w:t xml:space="preserve"> </w:t>
      </w:r>
      <w:proofErr w:type="spellStart"/>
      <w:r w:rsidR="00AE5DE0" w:rsidRPr="009C29F1">
        <w:rPr>
          <w:i/>
          <w:iCs/>
          <w:sz w:val="28"/>
          <w:szCs w:val="28"/>
        </w:rPr>
        <w:t>Interconnession</w:t>
      </w:r>
      <w:proofErr w:type="spellEnd"/>
      <w:r w:rsidR="00AE5DE0" w:rsidRPr="009C29F1">
        <w:rPr>
          <w:i/>
          <w:iCs/>
          <w:sz w:val="28"/>
          <w:szCs w:val="28"/>
        </w:rPr>
        <w:t xml:space="preserve"> System</w:t>
      </w:r>
      <w:r w:rsidR="00AE5DE0">
        <w:rPr>
          <w:sz w:val="28"/>
          <w:szCs w:val="28"/>
        </w:rPr>
        <w:t xml:space="preserve"> (BRIS), il sistema ECLI (per la identificazione dei </w:t>
      </w:r>
      <w:r w:rsidR="00AE5DE0" w:rsidRPr="00A27247">
        <w:rPr>
          <w:i/>
          <w:iCs/>
          <w:sz w:val="28"/>
          <w:szCs w:val="28"/>
        </w:rPr>
        <w:t>case law</w:t>
      </w:r>
      <w:r w:rsidR="00AE5DE0">
        <w:rPr>
          <w:sz w:val="28"/>
          <w:szCs w:val="28"/>
        </w:rPr>
        <w:t xml:space="preserve"> e della minima base di metadati), il sistema </w:t>
      </w:r>
      <w:r w:rsidR="00AE5DE0" w:rsidRPr="009C29F1">
        <w:rPr>
          <w:i/>
          <w:iCs/>
          <w:sz w:val="28"/>
          <w:szCs w:val="28"/>
        </w:rPr>
        <w:t>E-</w:t>
      </w:r>
      <w:proofErr w:type="spellStart"/>
      <w:r w:rsidR="00AE5DE0" w:rsidRPr="009C29F1">
        <w:rPr>
          <w:i/>
          <w:iCs/>
          <w:sz w:val="28"/>
          <w:szCs w:val="28"/>
        </w:rPr>
        <w:t>Codex</w:t>
      </w:r>
      <w:proofErr w:type="spellEnd"/>
      <w:r w:rsidR="00AE5DE0">
        <w:rPr>
          <w:sz w:val="28"/>
          <w:szCs w:val="28"/>
        </w:rPr>
        <w:t xml:space="preserve">, sistemi che facilitano l’accesso </w:t>
      </w:r>
      <w:r w:rsidR="00AE5DE0" w:rsidRPr="00E964BA">
        <w:rPr>
          <w:i/>
          <w:iCs/>
          <w:sz w:val="28"/>
          <w:szCs w:val="28"/>
        </w:rPr>
        <w:t>cross-</w:t>
      </w:r>
      <w:proofErr w:type="spellStart"/>
      <w:r w:rsidR="00AE5DE0" w:rsidRPr="00E964BA">
        <w:rPr>
          <w:i/>
          <w:iCs/>
          <w:sz w:val="28"/>
          <w:szCs w:val="28"/>
        </w:rPr>
        <w:t>border</w:t>
      </w:r>
      <w:proofErr w:type="spellEnd"/>
      <w:r w:rsidR="00AE5DE0">
        <w:rPr>
          <w:sz w:val="28"/>
          <w:szCs w:val="28"/>
        </w:rPr>
        <w:t xml:space="preserve"> alle informazioni giudiziarie da parte dell’autorità e dei privati e anche quelli che facilitano la cooperazione giudiziaria dovranno diventare i “</w:t>
      </w:r>
      <w:proofErr w:type="spellStart"/>
      <w:r w:rsidR="00AE5DE0" w:rsidRPr="00A27247">
        <w:rPr>
          <w:i/>
          <w:iCs/>
          <w:sz w:val="28"/>
          <w:szCs w:val="28"/>
        </w:rPr>
        <w:t>gold</w:t>
      </w:r>
      <w:proofErr w:type="spellEnd"/>
      <w:r w:rsidR="00AE5DE0" w:rsidRPr="00A27247">
        <w:rPr>
          <w:i/>
          <w:iCs/>
          <w:sz w:val="28"/>
          <w:szCs w:val="28"/>
        </w:rPr>
        <w:t xml:space="preserve"> standard</w:t>
      </w:r>
      <w:r w:rsidR="00AE5DE0">
        <w:rPr>
          <w:sz w:val="28"/>
          <w:szCs w:val="28"/>
        </w:rPr>
        <w:t xml:space="preserve">”, con un punto di accesso unico ad una rete europea. </w:t>
      </w:r>
    </w:p>
    <w:p w14:paraId="0EA1C06B" w14:textId="6E0BC1ED" w:rsidR="009C29F1" w:rsidRDefault="00AE5DE0" w:rsidP="009C29F1">
      <w:pPr>
        <w:pStyle w:val="NormaleWeb"/>
        <w:spacing w:before="0" w:beforeAutospacing="0" w:after="0" w:afterAutospacing="0"/>
        <w:jc w:val="both"/>
        <w:rPr>
          <w:sz w:val="28"/>
          <w:szCs w:val="28"/>
        </w:rPr>
      </w:pPr>
      <w:r>
        <w:rPr>
          <w:sz w:val="28"/>
          <w:szCs w:val="28"/>
        </w:rPr>
        <w:t>Ma cosa succede se lo scambio di dati deve avvenire con Paesi non europei?</w:t>
      </w:r>
      <w:r w:rsidR="00B031C2">
        <w:rPr>
          <w:sz w:val="28"/>
          <w:szCs w:val="28"/>
        </w:rPr>
        <w:t xml:space="preserve"> </w:t>
      </w:r>
      <w:r w:rsidRPr="009C29F1">
        <w:rPr>
          <w:sz w:val="28"/>
          <w:szCs w:val="28"/>
        </w:rPr>
        <w:t>L’</w:t>
      </w:r>
      <w:proofErr w:type="spellStart"/>
      <w:r w:rsidRPr="00AE5DE0">
        <w:rPr>
          <w:i/>
          <w:iCs/>
          <w:sz w:val="28"/>
          <w:szCs w:val="28"/>
        </w:rPr>
        <w:t>European</w:t>
      </w:r>
      <w:proofErr w:type="spellEnd"/>
      <w:r w:rsidRPr="00AE5DE0">
        <w:rPr>
          <w:i/>
          <w:iCs/>
          <w:sz w:val="28"/>
          <w:szCs w:val="28"/>
        </w:rPr>
        <w:t xml:space="preserve"> Data </w:t>
      </w:r>
      <w:proofErr w:type="spellStart"/>
      <w:r w:rsidRPr="00AE5DE0">
        <w:rPr>
          <w:i/>
          <w:iCs/>
          <w:sz w:val="28"/>
          <w:szCs w:val="28"/>
        </w:rPr>
        <w:t>Protection</w:t>
      </w:r>
      <w:proofErr w:type="spellEnd"/>
      <w:r w:rsidRPr="00AE5DE0">
        <w:rPr>
          <w:i/>
          <w:iCs/>
          <w:sz w:val="28"/>
          <w:szCs w:val="28"/>
        </w:rPr>
        <w:t xml:space="preserve"> Board</w:t>
      </w:r>
      <w:r>
        <w:rPr>
          <w:sz w:val="28"/>
          <w:szCs w:val="28"/>
        </w:rPr>
        <w:t xml:space="preserve">, la Commissione che riunisce le Autorità di Protezione dei dati </w:t>
      </w:r>
      <w:r w:rsidR="00A27247">
        <w:rPr>
          <w:sz w:val="28"/>
          <w:szCs w:val="28"/>
        </w:rPr>
        <w:t>personali nazionali</w:t>
      </w:r>
      <w:r>
        <w:rPr>
          <w:sz w:val="28"/>
          <w:szCs w:val="28"/>
        </w:rPr>
        <w:t xml:space="preserve"> che operano in tutt</w:t>
      </w:r>
      <w:r w:rsidR="00A27247">
        <w:rPr>
          <w:sz w:val="28"/>
          <w:szCs w:val="28"/>
        </w:rPr>
        <w:t xml:space="preserve">a </w:t>
      </w:r>
      <w:r>
        <w:rPr>
          <w:sz w:val="28"/>
          <w:szCs w:val="28"/>
        </w:rPr>
        <w:t>Europa</w:t>
      </w:r>
      <w:r w:rsidR="00E964BA">
        <w:rPr>
          <w:sz w:val="28"/>
          <w:szCs w:val="28"/>
        </w:rPr>
        <w:t>,</w:t>
      </w:r>
      <w:r>
        <w:rPr>
          <w:sz w:val="28"/>
          <w:szCs w:val="28"/>
        </w:rPr>
        <w:t xml:space="preserve"> lo scorso anno ha lanciato una consultazione pubblica su uno schema di provvedimento che aveva un unico obiettivo dichiarato: quello di identificare </w:t>
      </w:r>
      <w:r w:rsidR="00E964BA">
        <w:rPr>
          <w:sz w:val="28"/>
          <w:szCs w:val="28"/>
        </w:rPr>
        <w:t>rimedi e</w:t>
      </w:r>
      <w:r>
        <w:rPr>
          <w:sz w:val="28"/>
          <w:szCs w:val="28"/>
        </w:rPr>
        <w:t xml:space="preserve"> </w:t>
      </w:r>
      <w:r w:rsidR="00E964BA">
        <w:rPr>
          <w:sz w:val="28"/>
          <w:szCs w:val="28"/>
        </w:rPr>
        <w:t>soluzioni,</w:t>
      </w:r>
      <w:r>
        <w:rPr>
          <w:sz w:val="28"/>
          <w:szCs w:val="28"/>
        </w:rPr>
        <w:t xml:space="preserve"> oltre alle attuali “</w:t>
      </w:r>
      <w:r w:rsidRPr="00EA68A9">
        <w:rPr>
          <w:i/>
          <w:iCs/>
          <w:sz w:val="28"/>
          <w:szCs w:val="28"/>
        </w:rPr>
        <w:t xml:space="preserve">general </w:t>
      </w:r>
      <w:proofErr w:type="spellStart"/>
      <w:r w:rsidRPr="00EA68A9">
        <w:rPr>
          <w:i/>
          <w:iCs/>
          <w:sz w:val="28"/>
          <w:szCs w:val="28"/>
        </w:rPr>
        <w:t>clauses</w:t>
      </w:r>
      <w:proofErr w:type="spellEnd"/>
      <w:r>
        <w:rPr>
          <w:sz w:val="28"/>
          <w:szCs w:val="28"/>
        </w:rPr>
        <w:t>”</w:t>
      </w:r>
      <w:r w:rsidR="00A27247">
        <w:rPr>
          <w:sz w:val="28"/>
          <w:szCs w:val="28"/>
        </w:rPr>
        <w:t xml:space="preserve"> </w:t>
      </w:r>
      <w:r>
        <w:rPr>
          <w:sz w:val="28"/>
          <w:szCs w:val="28"/>
        </w:rPr>
        <w:t xml:space="preserve">capaci di garantire il trasferimento dei dati personali dall’Europa agli Stati Uniti. Dopo la sentenza della Corte di Giustizia C-311/2018, ormai nota come </w:t>
      </w:r>
      <w:proofErr w:type="spellStart"/>
      <w:r w:rsidRPr="00E964BA">
        <w:rPr>
          <w:i/>
          <w:iCs/>
          <w:sz w:val="28"/>
          <w:szCs w:val="28"/>
        </w:rPr>
        <w:t>Schrems</w:t>
      </w:r>
      <w:proofErr w:type="spellEnd"/>
      <w:r w:rsidRPr="00E964BA">
        <w:rPr>
          <w:i/>
          <w:iCs/>
          <w:sz w:val="28"/>
          <w:szCs w:val="28"/>
        </w:rPr>
        <w:t xml:space="preserve"> II</w:t>
      </w:r>
      <w:r w:rsidR="00EA68A9" w:rsidRPr="00E964BA">
        <w:rPr>
          <w:i/>
          <w:iCs/>
          <w:sz w:val="28"/>
          <w:szCs w:val="28"/>
        </w:rPr>
        <w:t>,</w:t>
      </w:r>
      <w:r w:rsidR="00EA68A9">
        <w:rPr>
          <w:sz w:val="28"/>
          <w:szCs w:val="28"/>
        </w:rPr>
        <w:t xml:space="preserve"> i giudici di Lussemburgo hanno dichiarato a tal fine invalido il c</w:t>
      </w:r>
      <w:r w:rsidR="00E964BA">
        <w:rPr>
          <w:sz w:val="28"/>
          <w:szCs w:val="28"/>
        </w:rPr>
        <w:t>.</w:t>
      </w:r>
      <w:r w:rsidR="00EA68A9">
        <w:rPr>
          <w:sz w:val="28"/>
          <w:szCs w:val="28"/>
        </w:rPr>
        <w:t>d</w:t>
      </w:r>
      <w:r w:rsidR="00E964BA">
        <w:rPr>
          <w:sz w:val="28"/>
          <w:szCs w:val="28"/>
        </w:rPr>
        <w:t>.</w:t>
      </w:r>
      <w:r w:rsidR="00EA68A9">
        <w:rPr>
          <w:sz w:val="28"/>
          <w:szCs w:val="28"/>
        </w:rPr>
        <w:t xml:space="preserve"> </w:t>
      </w:r>
      <w:r w:rsidR="00EA68A9" w:rsidRPr="009C29F1">
        <w:rPr>
          <w:i/>
          <w:iCs/>
          <w:sz w:val="28"/>
          <w:szCs w:val="28"/>
        </w:rPr>
        <w:t xml:space="preserve">Privacy </w:t>
      </w:r>
      <w:proofErr w:type="spellStart"/>
      <w:r w:rsidR="00EA68A9" w:rsidRPr="009C29F1">
        <w:rPr>
          <w:i/>
          <w:iCs/>
          <w:sz w:val="28"/>
          <w:szCs w:val="28"/>
        </w:rPr>
        <w:t>Shield</w:t>
      </w:r>
      <w:proofErr w:type="spellEnd"/>
      <w:r w:rsidR="00EA68A9" w:rsidRPr="009C29F1">
        <w:rPr>
          <w:sz w:val="28"/>
          <w:szCs w:val="28"/>
        </w:rPr>
        <w:t>, erigendo, così di fatto, un muro giuridico difficilmente penetrabile tra</w:t>
      </w:r>
      <w:r w:rsidR="00EA68A9">
        <w:rPr>
          <w:sz w:val="28"/>
          <w:szCs w:val="28"/>
        </w:rPr>
        <w:t xml:space="preserve"> Europa e Stati Uniti in fatto di trasferimento di dati personali. </w:t>
      </w:r>
    </w:p>
    <w:p w14:paraId="70F7CD48" w14:textId="6D8B289B" w:rsidR="009C29F1" w:rsidRDefault="00EA68A9" w:rsidP="009C29F1">
      <w:pPr>
        <w:pStyle w:val="NormaleWeb"/>
        <w:spacing w:before="0" w:beforeAutospacing="0" w:after="0" w:afterAutospacing="0"/>
        <w:jc w:val="both"/>
        <w:rPr>
          <w:sz w:val="28"/>
          <w:szCs w:val="28"/>
        </w:rPr>
      </w:pPr>
      <w:r>
        <w:rPr>
          <w:sz w:val="28"/>
          <w:szCs w:val="28"/>
        </w:rPr>
        <w:t xml:space="preserve">La partecipazione alla consultazione pubblica da parte di tutti gli </w:t>
      </w:r>
      <w:r w:rsidRPr="00E964BA">
        <w:rPr>
          <w:i/>
          <w:iCs/>
          <w:sz w:val="28"/>
          <w:szCs w:val="28"/>
        </w:rPr>
        <w:t>stakeholder</w:t>
      </w:r>
      <w:r>
        <w:rPr>
          <w:sz w:val="28"/>
          <w:szCs w:val="28"/>
        </w:rPr>
        <w:t xml:space="preserve"> pubblici e privati è preziosa, perché il trasferimento dei dati non è solo con gli USA, ma anche con altri paesi non europei. </w:t>
      </w:r>
    </w:p>
    <w:p w14:paraId="52725606" w14:textId="77777777" w:rsidR="009C29F1" w:rsidRDefault="00EA68A9" w:rsidP="009C29F1">
      <w:pPr>
        <w:pStyle w:val="NormaleWeb"/>
        <w:spacing w:before="0" w:beforeAutospacing="0" w:after="0" w:afterAutospacing="0"/>
        <w:jc w:val="both"/>
        <w:rPr>
          <w:sz w:val="28"/>
          <w:szCs w:val="28"/>
        </w:rPr>
      </w:pPr>
      <w:r>
        <w:rPr>
          <w:sz w:val="28"/>
          <w:szCs w:val="28"/>
        </w:rPr>
        <w:t>La Corte di Giustizia dell’Unione Europea</w:t>
      </w:r>
      <w:r w:rsidR="009C29F1">
        <w:rPr>
          <w:sz w:val="28"/>
          <w:szCs w:val="28"/>
        </w:rPr>
        <w:t>,</w:t>
      </w:r>
      <w:r>
        <w:rPr>
          <w:sz w:val="28"/>
          <w:szCs w:val="28"/>
        </w:rPr>
        <w:t xml:space="preserve"> con la sentenza </w:t>
      </w:r>
      <w:proofErr w:type="spellStart"/>
      <w:r w:rsidRPr="00E964BA">
        <w:rPr>
          <w:i/>
          <w:iCs/>
          <w:sz w:val="28"/>
          <w:szCs w:val="28"/>
        </w:rPr>
        <w:t>Schrems</w:t>
      </w:r>
      <w:proofErr w:type="spellEnd"/>
      <w:r w:rsidRPr="00E964BA">
        <w:rPr>
          <w:i/>
          <w:iCs/>
          <w:sz w:val="28"/>
          <w:szCs w:val="28"/>
        </w:rPr>
        <w:t xml:space="preserve"> II</w:t>
      </w:r>
      <w:r w:rsidR="009C29F1">
        <w:rPr>
          <w:sz w:val="28"/>
          <w:szCs w:val="28"/>
        </w:rPr>
        <w:t xml:space="preserve">, </w:t>
      </w:r>
      <w:r>
        <w:rPr>
          <w:sz w:val="28"/>
          <w:szCs w:val="28"/>
        </w:rPr>
        <w:t xml:space="preserve">ha accertato che le leggi americane non riconoscono agli interessati un livello di tutela equivalente rispetto a quello loro riconosciuti dalla disciplina europea in materia di protezione dei dati personali. </w:t>
      </w:r>
    </w:p>
    <w:p w14:paraId="4C22B135" w14:textId="77777777" w:rsidR="009C29F1" w:rsidRDefault="00EA68A9" w:rsidP="009C29F1">
      <w:pPr>
        <w:pStyle w:val="NormaleWeb"/>
        <w:spacing w:before="0" w:beforeAutospacing="0" w:after="0" w:afterAutospacing="0"/>
        <w:jc w:val="both"/>
        <w:rPr>
          <w:sz w:val="28"/>
          <w:szCs w:val="28"/>
        </w:rPr>
      </w:pPr>
      <w:r>
        <w:rPr>
          <w:sz w:val="28"/>
          <w:szCs w:val="28"/>
        </w:rPr>
        <w:t xml:space="preserve">Il </w:t>
      </w:r>
      <w:proofErr w:type="spellStart"/>
      <w:r w:rsidRPr="00E964BA">
        <w:rPr>
          <w:i/>
          <w:iCs/>
          <w:sz w:val="28"/>
          <w:szCs w:val="28"/>
        </w:rPr>
        <w:t>draft</w:t>
      </w:r>
      <w:proofErr w:type="spellEnd"/>
      <w:r>
        <w:rPr>
          <w:sz w:val="28"/>
          <w:szCs w:val="28"/>
        </w:rPr>
        <w:t xml:space="preserve"> di provvedimento posto in consultazione non supera la considerazione che occorre un intervento normativo che allinei gli ordinamenti. </w:t>
      </w:r>
    </w:p>
    <w:p w14:paraId="7BC3D5B7" w14:textId="77777777" w:rsidR="009C29F1" w:rsidRDefault="00EA68A9" w:rsidP="009C29F1">
      <w:pPr>
        <w:pStyle w:val="NormaleWeb"/>
        <w:spacing w:before="0" w:beforeAutospacing="0" w:after="0" w:afterAutospacing="0"/>
        <w:jc w:val="both"/>
        <w:rPr>
          <w:sz w:val="28"/>
          <w:szCs w:val="28"/>
        </w:rPr>
      </w:pPr>
      <w:r>
        <w:rPr>
          <w:sz w:val="28"/>
          <w:szCs w:val="28"/>
        </w:rPr>
        <w:t xml:space="preserve">I rimedi contrattuali o tecnologici da soli non risolvono il problema. </w:t>
      </w:r>
      <w:r w:rsidR="00A27247">
        <w:rPr>
          <w:sz w:val="28"/>
          <w:szCs w:val="28"/>
        </w:rPr>
        <w:t>È</w:t>
      </w:r>
      <w:r>
        <w:rPr>
          <w:sz w:val="28"/>
          <w:szCs w:val="28"/>
        </w:rPr>
        <w:t xml:space="preserve"> necessario che la diplomazia europea e statunitense si mettano alla ricerca di una soluzione più </w:t>
      </w:r>
      <w:r>
        <w:rPr>
          <w:sz w:val="28"/>
          <w:szCs w:val="28"/>
        </w:rPr>
        <w:lastRenderedPageBreak/>
        <w:t xml:space="preserve">definitiva attraverso uno strumento pattizio capace di garantire con sicurezza la libera circolazione dei dati. </w:t>
      </w:r>
    </w:p>
    <w:p w14:paraId="21C82804" w14:textId="77777777" w:rsidR="009C29F1" w:rsidRDefault="009C29F1" w:rsidP="009C29F1">
      <w:pPr>
        <w:pStyle w:val="NormaleWeb"/>
        <w:spacing w:before="0" w:beforeAutospacing="0" w:after="0" w:afterAutospacing="0"/>
        <w:jc w:val="both"/>
        <w:rPr>
          <w:sz w:val="28"/>
          <w:szCs w:val="28"/>
        </w:rPr>
      </w:pPr>
    </w:p>
    <w:p w14:paraId="41D166B0" w14:textId="77777777" w:rsidR="009C29F1" w:rsidRDefault="00EA68A9" w:rsidP="009C29F1">
      <w:pPr>
        <w:pStyle w:val="NormaleWeb"/>
        <w:spacing w:before="0" w:beforeAutospacing="0" w:after="0" w:afterAutospacing="0"/>
        <w:jc w:val="both"/>
        <w:rPr>
          <w:sz w:val="28"/>
          <w:szCs w:val="28"/>
        </w:rPr>
      </w:pPr>
      <w:r>
        <w:rPr>
          <w:sz w:val="28"/>
          <w:szCs w:val="28"/>
        </w:rPr>
        <w:t xml:space="preserve">Si pensi al caso </w:t>
      </w:r>
      <w:r w:rsidR="008E6544">
        <w:rPr>
          <w:sz w:val="28"/>
          <w:szCs w:val="28"/>
        </w:rPr>
        <w:t xml:space="preserve">della disciplina </w:t>
      </w:r>
      <w:r>
        <w:rPr>
          <w:sz w:val="28"/>
          <w:szCs w:val="28"/>
        </w:rPr>
        <w:t>FATCA</w:t>
      </w:r>
      <w:r w:rsidR="00731B4D">
        <w:rPr>
          <w:rStyle w:val="Rimandonotaapidipagina"/>
          <w:sz w:val="28"/>
          <w:szCs w:val="28"/>
        </w:rPr>
        <w:footnoteReference w:id="135"/>
      </w:r>
      <w:r w:rsidR="008E6544">
        <w:rPr>
          <w:sz w:val="28"/>
          <w:szCs w:val="28"/>
        </w:rPr>
        <w:t xml:space="preserve"> </w:t>
      </w:r>
      <w:r w:rsidR="008E6544" w:rsidRPr="008E6544">
        <w:rPr>
          <w:sz w:val="28"/>
          <w:szCs w:val="28"/>
        </w:rPr>
        <w:t>(</w:t>
      </w:r>
      <w:proofErr w:type="spellStart"/>
      <w:r w:rsidR="008E6544" w:rsidRPr="008E6544">
        <w:rPr>
          <w:i/>
          <w:iCs/>
          <w:sz w:val="28"/>
          <w:szCs w:val="28"/>
        </w:rPr>
        <w:t>Foreign</w:t>
      </w:r>
      <w:proofErr w:type="spellEnd"/>
      <w:r w:rsidR="008E6544" w:rsidRPr="008E6544">
        <w:rPr>
          <w:i/>
          <w:iCs/>
          <w:sz w:val="28"/>
          <w:szCs w:val="28"/>
        </w:rPr>
        <w:t xml:space="preserve"> Account </w:t>
      </w:r>
      <w:proofErr w:type="spellStart"/>
      <w:r w:rsidR="008E6544" w:rsidRPr="008E6544">
        <w:rPr>
          <w:i/>
          <w:iCs/>
          <w:sz w:val="28"/>
          <w:szCs w:val="28"/>
        </w:rPr>
        <w:t>Tax</w:t>
      </w:r>
      <w:proofErr w:type="spellEnd"/>
      <w:r w:rsidR="008E6544" w:rsidRPr="008E6544">
        <w:rPr>
          <w:i/>
          <w:iCs/>
          <w:sz w:val="28"/>
          <w:szCs w:val="28"/>
        </w:rPr>
        <w:t xml:space="preserve"> </w:t>
      </w:r>
      <w:proofErr w:type="spellStart"/>
      <w:r w:rsidR="008E6544" w:rsidRPr="008E6544">
        <w:rPr>
          <w:i/>
          <w:iCs/>
          <w:sz w:val="28"/>
          <w:szCs w:val="28"/>
        </w:rPr>
        <w:t>Compliance</w:t>
      </w:r>
      <w:proofErr w:type="spellEnd"/>
      <w:r w:rsidR="008E6544" w:rsidRPr="008E6544">
        <w:rPr>
          <w:i/>
          <w:iCs/>
          <w:sz w:val="28"/>
          <w:szCs w:val="28"/>
        </w:rPr>
        <w:t xml:space="preserve"> </w:t>
      </w:r>
      <w:proofErr w:type="spellStart"/>
      <w:r w:rsidR="008E6544" w:rsidRPr="008E6544">
        <w:rPr>
          <w:i/>
          <w:iCs/>
          <w:sz w:val="28"/>
          <w:szCs w:val="28"/>
        </w:rPr>
        <w:t>Act</w:t>
      </w:r>
      <w:proofErr w:type="spellEnd"/>
      <w:r w:rsidR="008E6544" w:rsidRPr="008E6544">
        <w:rPr>
          <w:sz w:val="28"/>
          <w:szCs w:val="28"/>
        </w:rPr>
        <w:t>)</w:t>
      </w:r>
      <w:r w:rsidR="008E6544">
        <w:rPr>
          <w:sz w:val="28"/>
          <w:szCs w:val="28"/>
        </w:rPr>
        <w:t xml:space="preserve">, che, come noto, </w:t>
      </w:r>
      <w:r w:rsidR="004B287D">
        <w:rPr>
          <w:sz w:val="28"/>
          <w:szCs w:val="28"/>
        </w:rPr>
        <w:t>è nata</w:t>
      </w:r>
      <w:r w:rsidR="00731B4D" w:rsidRPr="00731B4D">
        <w:rPr>
          <w:sz w:val="28"/>
          <w:szCs w:val="28"/>
        </w:rPr>
        <w:t xml:space="preserve"> come disciplina unilaterale</w:t>
      </w:r>
      <w:r w:rsidR="00731B4D">
        <w:rPr>
          <w:sz w:val="28"/>
          <w:szCs w:val="28"/>
        </w:rPr>
        <w:t xml:space="preserve"> statunitense, salvo poi acquisire reciprocità sostanziale tramite i vari accordi intergovernativi sottoscritti </w:t>
      </w:r>
      <w:r w:rsidR="00731B4D" w:rsidRPr="00FF3019">
        <w:rPr>
          <w:i/>
          <w:iCs/>
          <w:sz w:val="28"/>
          <w:szCs w:val="28"/>
        </w:rPr>
        <w:t>ad hoc</w:t>
      </w:r>
      <w:r w:rsidR="00731B4D">
        <w:rPr>
          <w:sz w:val="28"/>
          <w:szCs w:val="28"/>
        </w:rPr>
        <w:t xml:space="preserve"> dai vari Paesi che intendono aderire alla disciplina. </w:t>
      </w:r>
    </w:p>
    <w:p w14:paraId="29471E19" w14:textId="77777777" w:rsidR="009C29F1" w:rsidRDefault="00731B4D" w:rsidP="009C29F1">
      <w:pPr>
        <w:pStyle w:val="NormaleWeb"/>
        <w:spacing w:before="0" w:beforeAutospacing="0" w:after="0" w:afterAutospacing="0"/>
        <w:jc w:val="both"/>
        <w:rPr>
          <w:sz w:val="28"/>
          <w:szCs w:val="28"/>
        </w:rPr>
      </w:pPr>
      <w:r>
        <w:rPr>
          <w:sz w:val="28"/>
          <w:szCs w:val="28"/>
        </w:rPr>
        <w:t xml:space="preserve">L’Italia vi ha aderito tramite </w:t>
      </w:r>
      <w:r w:rsidR="00FF3019">
        <w:rPr>
          <w:sz w:val="28"/>
          <w:szCs w:val="28"/>
        </w:rPr>
        <w:t>l’“</w:t>
      </w:r>
      <w:proofErr w:type="spellStart"/>
      <w:r w:rsidR="00FF3019" w:rsidRPr="00FF3019">
        <w:rPr>
          <w:i/>
          <w:iCs/>
          <w:sz w:val="28"/>
          <w:szCs w:val="28"/>
        </w:rPr>
        <w:t>Iga</w:t>
      </w:r>
      <w:proofErr w:type="spellEnd"/>
      <w:r w:rsidR="00FF3019">
        <w:rPr>
          <w:sz w:val="28"/>
          <w:szCs w:val="28"/>
        </w:rPr>
        <w:t xml:space="preserve">” (accordo del gennaio 2014), che ha dato attuazione al FATCA traducendo la disciplina in </w:t>
      </w:r>
      <w:r w:rsidR="00FF3019" w:rsidRPr="00FF3019">
        <w:rPr>
          <w:sz w:val="28"/>
          <w:szCs w:val="28"/>
        </w:rPr>
        <w:t>uno scambio automatico annuale di informazioni tra le autorità fiscali dei due Paesi che interessa non più esclusivamente i cittadini statunitensi ma anche i conti correnti e assimilati detenuti in territorio statunitense da residenti italiani</w:t>
      </w:r>
      <w:r w:rsidR="00FF3019">
        <w:rPr>
          <w:sz w:val="28"/>
          <w:szCs w:val="28"/>
        </w:rPr>
        <w:t>.</w:t>
      </w:r>
      <w:r w:rsidR="00067609">
        <w:rPr>
          <w:sz w:val="28"/>
          <w:szCs w:val="28"/>
        </w:rPr>
        <w:t xml:space="preserve"> </w:t>
      </w:r>
    </w:p>
    <w:p w14:paraId="6A9B29BD" w14:textId="195D3F03" w:rsidR="00067609" w:rsidRDefault="00FF3019" w:rsidP="009C29F1">
      <w:pPr>
        <w:pStyle w:val="NormaleWeb"/>
        <w:spacing w:before="0" w:beforeAutospacing="0" w:after="0" w:afterAutospacing="0"/>
        <w:jc w:val="both"/>
        <w:rPr>
          <w:sz w:val="28"/>
          <w:szCs w:val="28"/>
        </w:rPr>
      </w:pPr>
      <w:r>
        <w:rPr>
          <w:sz w:val="28"/>
          <w:szCs w:val="28"/>
        </w:rPr>
        <w:t xml:space="preserve">Ebbene, </w:t>
      </w:r>
      <w:r w:rsidR="00D11514">
        <w:rPr>
          <w:sz w:val="28"/>
          <w:szCs w:val="28"/>
        </w:rPr>
        <w:t>l</w:t>
      </w:r>
      <w:r w:rsidR="00D11514" w:rsidRPr="00D11514">
        <w:rPr>
          <w:sz w:val="28"/>
          <w:szCs w:val="28"/>
        </w:rPr>
        <w:t>a disciplina FATCA ha un impatto non sol</w:t>
      </w:r>
      <w:r w:rsidR="00D11514">
        <w:rPr>
          <w:sz w:val="28"/>
          <w:szCs w:val="28"/>
        </w:rPr>
        <w:t>amente in ambito</w:t>
      </w:r>
      <w:r w:rsidR="00D11514" w:rsidRPr="00D11514">
        <w:rPr>
          <w:sz w:val="28"/>
          <w:szCs w:val="28"/>
        </w:rPr>
        <w:t xml:space="preserve"> fiscale, ma incide gravemente </w:t>
      </w:r>
      <w:r w:rsidR="00D11514">
        <w:rPr>
          <w:sz w:val="28"/>
          <w:szCs w:val="28"/>
        </w:rPr>
        <w:t xml:space="preserve">anche </w:t>
      </w:r>
      <w:r w:rsidR="00D11514" w:rsidRPr="00D11514">
        <w:rPr>
          <w:sz w:val="28"/>
          <w:szCs w:val="28"/>
        </w:rPr>
        <w:t>sulle procedure di gestione interna dei dati (personali e finanziari).</w:t>
      </w:r>
      <w:r w:rsidR="00D11514">
        <w:rPr>
          <w:sz w:val="28"/>
          <w:szCs w:val="28"/>
        </w:rPr>
        <w:t xml:space="preserve"> Infatti, gli istituti bancari</w:t>
      </w:r>
      <w:r w:rsidR="00D11514" w:rsidRPr="00D11514">
        <w:rPr>
          <w:sz w:val="28"/>
          <w:szCs w:val="28"/>
        </w:rPr>
        <w:t xml:space="preserve"> devono monitorare tutti i rapporti finanziari riconducibili a persone fisiche ed enti fiscalmente residenti negli USA.</w:t>
      </w:r>
      <w:r w:rsidR="00067609">
        <w:rPr>
          <w:sz w:val="28"/>
          <w:szCs w:val="28"/>
        </w:rPr>
        <w:t xml:space="preserve"> L</w:t>
      </w:r>
      <w:r w:rsidR="00832CE0">
        <w:rPr>
          <w:sz w:val="28"/>
          <w:szCs w:val="28"/>
        </w:rPr>
        <w:t>’elemento di maggiore impatto è</w:t>
      </w:r>
      <w:r w:rsidR="00067609">
        <w:rPr>
          <w:sz w:val="28"/>
          <w:szCs w:val="28"/>
        </w:rPr>
        <w:t xml:space="preserve">, dunque, </w:t>
      </w:r>
      <w:r w:rsidR="00832CE0">
        <w:rPr>
          <w:sz w:val="28"/>
          <w:szCs w:val="28"/>
        </w:rPr>
        <w:t xml:space="preserve">che gli </w:t>
      </w:r>
      <w:r w:rsidR="00067609">
        <w:rPr>
          <w:sz w:val="28"/>
          <w:szCs w:val="28"/>
        </w:rPr>
        <w:t>istituti</w:t>
      </w:r>
      <w:r w:rsidR="00832CE0">
        <w:rPr>
          <w:sz w:val="28"/>
          <w:szCs w:val="28"/>
        </w:rPr>
        <w:t xml:space="preserve"> finanziari dell’Unione </w:t>
      </w:r>
      <w:r w:rsidR="004B287D">
        <w:rPr>
          <w:sz w:val="28"/>
          <w:szCs w:val="28"/>
        </w:rPr>
        <w:t>e</w:t>
      </w:r>
      <w:r w:rsidR="00832CE0">
        <w:rPr>
          <w:sz w:val="28"/>
          <w:szCs w:val="28"/>
        </w:rPr>
        <w:t xml:space="preserve">uropea sono tenuti </w:t>
      </w:r>
      <w:r w:rsidR="00067609">
        <w:rPr>
          <w:sz w:val="28"/>
          <w:szCs w:val="28"/>
        </w:rPr>
        <w:t>a divulgare informazioni</w:t>
      </w:r>
      <w:r w:rsidR="00C00F45">
        <w:rPr>
          <w:sz w:val="28"/>
          <w:szCs w:val="28"/>
        </w:rPr>
        <w:t>,</w:t>
      </w:r>
      <w:r w:rsidR="00067609">
        <w:rPr>
          <w:sz w:val="28"/>
          <w:szCs w:val="28"/>
        </w:rPr>
        <w:t xml:space="preserve"> anche dettagliate</w:t>
      </w:r>
      <w:r w:rsidR="00C00F45">
        <w:rPr>
          <w:sz w:val="28"/>
          <w:szCs w:val="28"/>
        </w:rPr>
        <w:t>,</w:t>
      </w:r>
      <w:r w:rsidR="00067609">
        <w:rPr>
          <w:sz w:val="28"/>
          <w:szCs w:val="28"/>
        </w:rPr>
        <w:t xml:space="preserve"> relative ai conti detenuti da presunti cittadini statunitensi. Evidente il problema che si pone nell’ambito della materia della protezione dei dati personali.</w:t>
      </w:r>
    </w:p>
    <w:p w14:paraId="5A3A8AFD" w14:textId="0CE7E6B5" w:rsidR="009C29F1" w:rsidRDefault="00067609" w:rsidP="009C29F1">
      <w:pPr>
        <w:pStyle w:val="NormaleWeb"/>
        <w:spacing w:before="0" w:beforeAutospacing="0" w:after="0" w:afterAutospacing="0"/>
        <w:jc w:val="both"/>
        <w:rPr>
          <w:sz w:val="28"/>
          <w:szCs w:val="28"/>
        </w:rPr>
      </w:pPr>
      <w:r>
        <w:rPr>
          <w:sz w:val="28"/>
          <w:szCs w:val="28"/>
        </w:rPr>
        <w:t>Tra le questioni di maggiore rilevanza possiamo menzionare</w:t>
      </w:r>
      <w:r w:rsidR="00F772D6">
        <w:rPr>
          <w:sz w:val="28"/>
          <w:szCs w:val="28"/>
        </w:rPr>
        <w:t>,</w:t>
      </w:r>
      <w:r>
        <w:rPr>
          <w:sz w:val="28"/>
          <w:szCs w:val="28"/>
        </w:rPr>
        <w:t xml:space="preserve"> da un lato, la posizione dei c.d. “</w:t>
      </w:r>
      <w:proofErr w:type="spellStart"/>
      <w:r w:rsidRPr="00067609">
        <w:rPr>
          <w:i/>
          <w:iCs/>
          <w:sz w:val="28"/>
          <w:szCs w:val="28"/>
        </w:rPr>
        <w:t>Accidentals</w:t>
      </w:r>
      <w:proofErr w:type="spellEnd"/>
      <w:r w:rsidRPr="00067609">
        <w:rPr>
          <w:i/>
          <w:iCs/>
          <w:sz w:val="28"/>
          <w:szCs w:val="28"/>
        </w:rPr>
        <w:t xml:space="preserve"> Americans</w:t>
      </w:r>
      <w:r>
        <w:rPr>
          <w:sz w:val="28"/>
          <w:szCs w:val="28"/>
        </w:rPr>
        <w:t>”</w:t>
      </w:r>
      <w:r>
        <w:rPr>
          <w:rStyle w:val="Rimandonotaapidipagina"/>
          <w:sz w:val="28"/>
          <w:szCs w:val="28"/>
        </w:rPr>
        <w:footnoteReference w:id="136"/>
      </w:r>
      <w:r>
        <w:rPr>
          <w:sz w:val="28"/>
          <w:szCs w:val="28"/>
        </w:rPr>
        <w:t>,</w:t>
      </w:r>
      <w:r w:rsidR="00F772D6">
        <w:rPr>
          <w:sz w:val="28"/>
          <w:szCs w:val="28"/>
        </w:rPr>
        <w:t xml:space="preserve"> cittadini europei </w:t>
      </w:r>
      <w:r>
        <w:rPr>
          <w:sz w:val="28"/>
          <w:szCs w:val="28"/>
        </w:rPr>
        <w:t>che</w:t>
      </w:r>
      <w:r w:rsidR="00F772D6">
        <w:rPr>
          <w:sz w:val="28"/>
          <w:szCs w:val="28"/>
        </w:rPr>
        <w:t xml:space="preserve">, a causa degli </w:t>
      </w:r>
      <w:r w:rsidR="00F772D6" w:rsidRPr="00F772D6">
        <w:rPr>
          <w:sz w:val="28"/>
          <w:szCs w:val="28"/>
        </w:rPr>
        <w:t xml:space="preserve">elevati </w:t>
      </w:r>
      <w:proofErr w:type="spellStart"/>
      <w:r w:rsidR="00F772D6" w:rsidRPr="00F772D6">
        <w:rPr>
          <w:i/>
          <w:iCs/>
          <w:sz w:val="28"/>
          <w:szCs w:val="28"/>
        </w:rPr>
        <w:t>compliance</w:t>
      </w:r>
      <w:proofErr w:type="spellEnd"/>
      <w:r w:rsidR="00F772D6" w:rsidRPr="00F772D6">
        <w:rPr>
          <w:i/>
          <w:iCs/>
          <w:sz w:val="28"/>
          <w:szCs w:val="28"/>
        </w:rPr>
        <w:t xml:space="preserve"> </w:t>
      </w:r>
      <w:proofErr w:type="spellStart"/>
      <w:r w:rsidR="00F772D6" w:rsidRPr="00F772D6">
        <w:rPr>
          <w:i/>
          <w:iCs/>
          <w:sz w:val="28"/>
          <w:szCs w:val="28"/>
        </w:rPr>
        <w:t>costs</w:t>
      </w:r>
      <w:proofErr w:type="spellEnd"/>
      <w:r w:rsidR="00F772D6" w:rsidRPr="00F772D6">
        <w:rPr>
          <w:sz w:val="28"/>
          <w:szCs w:val="28"/>
        </w:rPr>
        <w:t xml:space="preserve"> connessi al </w:t>
      </w:r>
      <w:r w:rsidR="00547B29">
        <w:rPr>
          <w:sz w:val="28"/>
          <w:szCs w:val="28"/>
        </w:rPr>
        <w:t>FATCA</w:t>
      </w:r>
      <w:r w:rsidR="00F772D6">
        <w:rPr>
          <w:sz w:val="28"/>
          <w:szCs w:val="28"/>
        </w:rPr>
        <w:t>,</w:t>
      </w:r>
      <w:r>
        <w:rPr>
          <w:sz w:val="28"/>
          <w:szCs w:val="28"/>
        </w:rPr>
        <w:t xml:space="preserve"> si sono</w:t>
      </w:r>
      <w:r w:rsidRPr="00067609">
        <w:rPr>
          <w:sz w:val="28"/>
          <w:szCs w:val="28"/>
        </w:rPr>
        <w:t xml:space="preserve"> vist</w:t>
      </w:r>
      <w:r>
        <w:rPr>
          <w:sz w:val="28"/>
          <w:szCs w:val="28"/>
        </w:rPr>
        <w:t>i</w:t>
      </w:r>
      <w:r w:rsidRPr="00067609">
        <w:rPr>
          <w:sz w:val="28"/>
          <w:szCs w:val="28"/>
        </w:rPr>
        <w:t xml:space="preserve"> negare l</w:t>
      </w:r>
      <w:r>
        <w:rPr>
          <w:sz w:val="28"/>
          <w:szCs w:val="28"/>
        </w:rPr>
        <w:t>’</w:t>
      </w:r>
      <w:r w:rsidRPr="00067609">
        <w:rPr>
          <w:sz w:val="28"/>
          <w:szCs w:val="28"/>
        </w:rPr>
        <w:t>accesso a servizi bancari essenziali nell</w:t>
      </w:r>
      <w:r>
        <w:rPr>
          <w:sz w:val="28"/>
          <w:szCs w:val="28"/>
        </w:rPr>
        <w:t>’</w:t>
      </w:r>
      <w:r w:rsidRPr="00067609">
        <w:rPr>
          <w:sz w:val="28"/>
          <w:szCs w:val="28"/>
        </w:rPr>
        <w:t>U</w:t>
      </w:r>
      <w:r>
        <w:rPr>
          <w:sz w:val="28"/>
          <w:szCs w:val="28"/>
        </w:rPr>
        <w:t>E</w:t>
      </w:r>
      <w:r w:rsidRPr="00067609">
        <w:rPr>
          <w:sz w:val="28"/>
          <w:szCs w:val="28"/>
        </w:rPr>
        <w:t xml:space="preserve">, </w:t>
      </w:r>
      <w:r>
        <w:rPr>
          <w:sz w:val="28"/>
          <w:szCs w:val="28"/>
        </w:rPr>
        <w:t>con conseguente</w:t>
      </w:r>
      <w:r w:rsidRPr="00067609">
        <w:rPr>
          <w:sz w:val="28"/>
          <w:szCs w:val="28"/>
        </w:rPr>
        <w:t xml:space="preserve"> violazione della direttiva sui conti di pagamento (direttiva 2014/92/UE) e della Carta dei diritti fondamentali dell</w:t>
      </w:r>
      <w:r>
        <w:rPr>
          <w:sz w:val="28"/>
          <w:szCs w:val="28"/>
        </w:rPr>
        <w:t>’</w:t>
      </w:r>
      <w:r w:rsidRPr="00067609">
        <w:rPr>
          <w:sz w:val="28"/>
          <w:szCs w:val="28"/>
        </w:rPr>
        <w:t>UE</w:t>
      </w:r>
      <w:r w:rsidR="0010087D">
        <w:rPr>
          <w:rStyle w:val="Rimandonotaapidipagina"/>
          <w:sz w:val="28"/>
          <w:szCs w:val="28"/>
        </w:rPr>
        <w:footnoteReference w:id="137"/>
      </w:r>
      <w:r>
        <w:rPr>
          <w:sz w:val="28"/>
          <w:szCs w:val="28"/>
        </w:rPr>
        <w:t>; e dall’altro l</w:t>
      </w:r>
      <w:r w:rsidR="00B55CBF">
        <w:rPr>
          <w:sz w:val="28"/>
          <w:szCs w:val="28"/>
        </w:rPr>
        <w:t xml:space="preserve">’intervento del GDPR, entrato in vigore nel 2018, </w:t>
      </w:r>
      <w:r w:rsidR="00B55CBF" w:rsidRPr="00B55CBF">
        <w:rPr>
          <w:sz w:val="28"/>
          <w:szCs w:val="28"/>
        </w:rPr>
        <w:t xml:space="preserve">che riguarda i dati </w:t>
      </w:r>
      <w:r w:rsidR="00B55CBF" w:rsidRPr="009C29F1">
        <w:rPr>
          <w:i/>
          <w:iCs/>
          <w:sz w:val="28"/>
          <w:szCs w:val="28"/>
        </w:rPr>
        <w:t>online</w:t>
      </w:r>
      <w:r w:rsidR="00B55CBF" w:rsidRPr="00B55CBF">
        <w:rPr>
          <w:sz w:val="28"/>
          <w:szCs w:val="28"/>
        </w:rPr>
        <w:t xml:space="preserve"> di ogni tipo e si applica anche allo scambio automatico di informazioni in ambito fiscale</w:t>
      </w:r>
      <w:r w:rsidR="00F772D6">
        <w:rPr>
          <w:sz w:val="28"/>
          <w:szCs w:val="28"/>
        </w:rPr>
        <w:t>, andando a bilanciare il diritto dei cittadini alla protezione dei dati personali nei confronti del preminente interesse degli Stati alla tutela del fisco.</w:t>
      </w:r>
      <w:r w:rsidR="004B287D">
        <w:rPr>
          <w:sz w:val="28"/>
          <w:szCs w:val="28"/>
        </w:rPr>
        <w:t xml:space="preserve"> </w:t>
      </w:r>
    </w:p>
    <w:p w14:paraId="43B7F2BE" w14:textId="77777777" w:rsidR="009C29F1" w:rsidRDefault="004B287D" w:rsidP="009C29F1">
      <w:pPr>
        <w:pStyle w:val="NormaleWeb"/>
        <w:spacing w:before="0" w:beforeAutospacing="0" w:after="0" w:afterAutospacing="0"/>
        <w:jc w:val="both"/>
        <w:rPr>
          <w:sz w:val="28"/>
          <w:szCs w:val="28"/>
        </w:rPr>
      </w:pPr>
      <w:r>
        <w:rPr>
          <w:sz w:val="28"/>
          <w:szCs w:val="28"/>
        </w:rPr>
        <w:lastRenderedPageBreak/>
        <w:t>In particolare, il GDPR prevede che la trasmissione dei rilevanti dati personali dalla UE a stati terzi, come gli USA, possa avvenire solo se questi ultimi garantiscono un livello di sicurezza equivalente a quello previsto nell’Unione europea dal GDPR.</w:t>
      </w:r>
      <w:r w:rsidR="00681768">
        <w:rPr>
          <w:sz w:val="28"/>
          <w:szCs w:val="28"/>
        </w:rPr>
        <w:t xml:space="preserve"> </w:t>
      </w:r>
      <w:r w:rsidRPr="004B287D">
        <w:rPr>
          <w:sz w:val="28"/>
          <w:szCs w:val="28"/>
        </w:rPr>
        <w:t xml:space="preserve">Purtroppo, </w:t>
      </w:r>
      <w:r>
        <w:rPr>
          <w:sz w:val="28"/>
          <w:szCs w:val="28"/>
        </w:rPr>
        <w:t xml:space="preserve">però, </w:t>
      </w:r>
      <w:r w:rsidRPr="004B287D">
        <w:rPr>
          <w:sz w:val="28"/>
          <w:szCs w:val="28"/>
        </w:rPr>
        <w:t xml:space="preserve">gli accordi tra </w:t>
      </w:r>
      <w:r>
        <w:rPr>
          <w:sz w:val="28"/>
          <w:szCs w:val="28"/>
        </w:rPr>
        <w:t>gli Stati dell’Unione europea</w:t>
      </w:r>
      <w:r w:rsidRPr="004B287D">
        <w:rPr>
          <w:sz w:val="28"/>
          <w:szCs w:val="28"/>
        </w:rPr>
        <w:t xml:space="preserve"> e </w:t>
      </w:r>
      <w:r>
        <w:rPr>
          <w:sz w:val="28"/>
          <w:szCs w:val="28"/>
        </w:rPr>
        <w:t xml:space="preserve">gli </w:t>
      </w:r>
      <w:r w:rsidRPr="004B287D">
        <w:rPr>
          <w:sz w:val="28"/>
          <w:szCs w:val="28"/>
        </w:rPr>
        <w:t>Usa non operano in maniera effettiva sulla base del</w:t>
      </w:r>
      <w:r>
        <w:rPr>
          <w:sz w:val="28"/>
          <w:szCs w:val="28"/>
        </w:rPr>
        <w:t xml:space="preserve"> principio di </w:t>
      </w:r>
      <w:r w:rsidRPr="004B287D">
        <w:rPr>
          <w:sz w:val="28"/>
          <w:szCs w:val="28"/>
        </w:rPr>
        <w:t>reciprocità</w:t>
      </w:r>
      <w:r>
        <w:rPr>
          <w:sz w:val="28"/>
          <w:szCs w:val="28"/>
        </w:rPr>
        <w:t>:</w:t>
      </w:r>
      <w:r w:rsidRPr="004B287D">
        <w:rPr>
          <w:sz w:val="28"/>
          <w:szCs w:val="28"/>
        </w:rPr>
        <w:t xml:space="preserve"> gli Stati Uniti non trasmettono </w:t>
      </w:r>
      <w:r>
        <w:rPr>
          <w:sz w:val="28"/>
          <w:szCs w:val="28"/>
        </w:rPr>
        <w:t>in Europa</w:t>
      </w:r>
      <w:r w:rsidRPr="004B287D">
        <w:rPr>
          <w:sz w:val="28"/>
          <w:szCs w:val="28"/>
        </w:rPr>
        <w:t xml:space="preserve"> dati equivalenti, cosicché il sistema multilaterale che era stato inizialmente previsto dall’Ue e dagli Usa sta entrando in crisi</w:t>
      </w:r>
      <w:r>
        <w:rPr>
          <w:rStyle w:val="Rimandonotaapidipagina"/>
          <w:sz w:val="28"/>
          <w:szCs w:val="28"/>
        </w:rPr>
        <w:footnoteReference w:id="138"/>
      </w:r>
      <w:r w:rsidR="00985244">
        <w:rPr>
          <w:sz w:val="28"/>
          <w:szCs w:val="28"/>
        </w:rPr>
        <w:t xml:space="preserve">. </w:t>
      </w:r>
    </w:p>
    <w:p w14:paraId="3168BD6F" w14:textId="49A11538" w:rsidR="00985244" w:rsidRDefault="00985244" w:rsidP="009C29F1">
      <w:pPr>
        <w:pStyle w:val="NormaleWeb"/>
        <w:spacing w:before="0" w:beforeAutospacing="0" w:after="0" w:afterAutospacing="0"/>
        <w:jc w:val="both"/>
        <w:rPr>
          <w:sz w:val="28"/>
          <w:szCs w:val="28"/>
        </w:rPr>
      </w:pPr>
      <w:r>
        <w:rPr>
          <w:sz w:val="28"/>
          <w:szCs w:val="28"/>
        </w:rPr>
        <w:t xml:space="preserve">Si </w:t>
      </w:r>
      <w:r w:rsidR="00C00F45">
        <w:rPr>
          <w:sz w:val="28"/>
          <w:szCs w:val="28"/>
        </w:rPr>
        <w:t>è reso</w:t>
      </w:r>
      <w:r>
        <w:rPr>
          <w:sz w:val="28"/>
          <w:szCs w:val="28"/>
        </w:rPr>
        <w:t>, quindi, necessario un intervento da parte dell’Unione europea, affinché siano modificati o riavviati agli accordi che prevedono lo scambio di informazioni tra UE e Stati Uniti, per (</w:t>
      </w:r>
      <w:proofErr w:type="spellStart"/>
      <w:r>
        <w:rPr>
          <w:sz w:val="28"/>
          <w:szCs w:val="28"/>
        </w:rPr>
        <w:t>ri</w:t>
      </w:r>
      <w:proofErr w:type="spellEnd"/>
      <w:r>
        <w:rPr>
          <w:sz w:val="28"/>
          <w:szCs w:val="28"/>
        </w:rPr>
        <w:t xml:space="preserve">)stabilire una vera simmetria nel trasferimento dei dati tra USA e UE. Il rischio paventato è quello di una possibile </w:t>
      </w:r>
      <w:r w:rsidR="00251F80">
        <w:rPr>
          <w:sz w:val="28"/>
          <w:szCs w:val="28"/>
        </w:rPr>
        <w:t xml:space="preserve">attuazione della c.d. </w:t>
      </w:r>
      <w:proofErr w:type="spellStart"/>
      <w:r w:rsidR="00251F80" w:rsidRPr="00251F80">
        <w:rPr>
          <w:i/>
          <w:iCs/>
          <w:sz w:val="28"/>
          <w:szCs w:val="28"/>
        </w:rPr>
        <w:t>blo</w:t>
      </w:r>
      <w:r w:rsidR="00251F80">
        <w:rPr>
          <w:i/>
          <w:iCs/>
          <w:sz w:val="28"/>
          <w:szCs w:val="28"/>
        </w:rPr>
        <w:t>c</w:t>
      </w:r>
      <w:r w:rsidR="00251F80" w:rsidRPr="00251F80">
        <w:rPr>
          <w:i/>
          <w:iCs/>
          <w:sz w:val="28"/>
          <w:szCs w:val="28"/>
        </w:rPr>
        <w:t>king</w:t>
      </w:r>
      <w:proofErr w:type="spellEnd"/>
      <w:r w:rsidR="00251F80" w:rsidRPr="00251F80">
        <w:rPr>
          <w:i/>
          <w:iCs/>
          <w:sz w:val="28"/>
          <w:szCs w:val="28"/>
        </w:rPr>
        <w:t xml:space="preserve"> </w:t>
      </w:r>
      <w:proofErr w:type="spellStart"/>
      <w:r w:rsidR="00251F80" w:rsidRPr="00251F80">
        <w:rPr>
          <w:i/>
          <w:iCs/>
          <w:sz w:val="28"/>
          <w:szCs w:val="28"/>
        </w:rPr>
        <w:t>legislation</w:t>
      </w:r>
      <w:proofErr w:type="spellEnd"/>
      <w:r w:rsidR="00251F80">
        <w:rPr>
          <w:sz w:val="28"/>
          <w:szCs w:val="28"/>
        </w:rPr>
        <w:t>, ossia una disciplina che, nelle more di una ridefinizione degli accordi attuativi dei FATCA, non permetterebbe la trasmissione dei dati oltreoceano fintantoché la reciprocità e le tutele del GDPR non vengano ristabilite.</w:t>
      </w:r>
    </w:p>
    <w:p w14:paraId="64979864" w14:textId="77777777" w:rsidR="00547B29" w:rsidRDefault="008E5B22" w:rsidP="008354FD">
      <w:pPr>
        <w:pStyle w:val="NormaleWeb"/>
        <w:spacing w:before="0" w:beforeAutospacing="0" w:after="0" w:afterAutospacing="0"/>
        <w:jc w:val="both"/>
        <w:rPr>
          <w:sz w:val="28"/>
          <w:szCs w:val="28"/>
        </w:rPr>
      </w:pPr>
      <w:r>
        <w:rPr>
          <w:sz w:val="28"/>
          <w:szCs w:val="28"/>
        </w:rPr>
        <w:t xml:space="preserve">Nel frattempo, l’utilizzo delle </w:t>
      </w:r>
      <w:r w:rsidRPr="008E5B22">
        <w:rPr>
          <w:sz w:val="28"/>
          <w:szCs w:val="28"/>
        </w:rPr>
        <w:t>Clausole generali (c.d. “</w:t>
      </w:r>
      <w:r w:rsidRPr="008E5B22">
        <w:rPr>
          <w:i/>
          <w:iCs/>
          <w:sz w:val="28"/>
          <w:szCs w:val="28"/>
        </w:rPr>
        <w:t>clausole standardizzate approvate dalla Commissione Europea</w:t>
      </w:r>
      <w:r w:rsidRPr="008E5B22">
        <w:rPr>
          <w:sz w:val="28"/>
          <w:szCs w:val="28"/>
        </w:rPr>
        <w:t>”</w:t>
      </w:r>
      <w:r>
        <w:rPr>
          <w:sz w:val="28"/>
          <w:szCs w:val="28"/>
        </w:rPr>
        <w:t>)</w:t>
      </w:r>
      <w:r w:rsidRPr="008E5B22">
        <w:rPr>
          <w:sz w:val="28"/>
          <w:szCs w:val="28"/>
        </w:rPr>
        <w:t xml:space="preserve"> utilizzate da organizzazioni che aderiscono a programmi internazionali di protezione dati</w:t>
      </w:r>
      <w:r w:rsidR="008354FD">
        <w:rPr>
          <w:sz w:val="28"/>
          <w:szCs w:val="28"/>
        </w:rPr>
        <w:t>,</w:t>
      </w:r>
      <w:r>
        <w:rPr>
          <w:sz w:val="28"/>
          <w:szCs w:val="28"/>
        </w:rPr>
        <w:t xml:space="preserve"> è p</w:t>
      </w:r>
      <w:r w:rsidRPr="008E5B22">
        <w:rPr>
          <w:sz w:val="28"/>
          <w:szCs w:val="28"/>
        </w:rPr>
        <w:t>robabilmente è l’unico modo attuale per il trasferimento dei dati dall’Europa agli Stati Uniti.</w:t>
      </w:r>
      <w:r>
        <w:rPr>
          <w:sz w:val="28"/>
          <w:szCs w:val="28"/>
        </w:rPr>
        <w:t xml:space="preserve"> </w:t>
      </w:r>
    </w:p>
    <w:p w14:paraId="665D2055" w14:textId="77777777" w:rsidR="00547B29" w:rsidRDefault="00E91FC3" w:rsidP="008354FD">
      <w:pPr>
        <w:pStyle w:val="NormaleWeb"/>
        <w:spacing w:before="0" w:beforeAutospacing="0" w:after="0" w:afterAutospacing="0"/>
        <w:jc w:val="both"/>
        <w:rPr>
          <w:sz w:val="28"/>
          <w:szCs w:val="28"/>
        </w:rPr>
      </w:pPr>
      <w:r w:rsidRPr="00E91FC3">
        <w:rPr>
          <w:sz w:val="28"/>
          <w:szCs w:val="28"/>
        </w:rPr>
        <w:t>Pertanto, le clausole contrattuali che garantiscono adeguate garanzie di protezione dei dati possono essere utilizzate come base per il trasferimento di dati</w:t>
      </w:r>
      <w:r>
        <w:rPr>
          <w:sz w:val="28"/>
          <w:szCs w:val="28"/>
        </w:rPr>
        <w:t xml:space="preserve"> e informazioni</w:t>
      </w:r>
      <w:r w:rsidRPr="00E91FC3">
        <w:rPr>
          <w:sz w:val="28"/>
          <w:szCs w:val="28"/>
        </w:rPr>
        <w:t xml:space="preserve"> dall</w:t>
      </w:r>
      <w:r>
        <w:rPr>
          <w:sz w:val="28"/>
          <w:szCs w:val="28"/>
        </w:rPr>
        <w:t>’</w:t>
      </w:r>
      <w:r w:rsidRPr="00E91FC3">
        <w:rPr>
          <w:sz w:val="28"/>
          <w:szCs w:val="28"/>
        </w:rPr>
        <w:t>U</w:t>
      </w:r>
      <w:r>
        <w:rPr>
          <w:sz w:val="28"/>
          <w:szCs w:val="28"/>
        </w:rPr>
        <w:t>nione europea</w:t>
      </w:r>
      <w:r w:rsidRPr="00E91FC3">
        <w:rPr>
          <w:sz w:val="28"/>
          <w:szCs w:val="28"/>
        </w:rPr>
        <w:t xml:space="preserve"> a paesi terzi, sebbene la Corte </w:t>
      </w:r>
      <w:r>
        <w:rPr>
          <w:sz w:val="28"/>
          <w:szCs w:val="28"/>
        </w:rPr>
        <w:t xml:space="preserve">Europea </w:t>
      </w:r>
      <w:r w:rsidRPr="00E91FC3">
        <w:rPr>
          <w:sz w:val="28"/>
          <w:szCs w:val="28"/>
        </w:rPr>
        <w:t>abbia chiarito che l</w:t>
      </w:r>
      <w:r>
        <w:rPr>
          <w:sz w:val="28"/>
          <w:szCs w:val="28"/>
        </w:rPr>
        <w:t>’</w:t>
      </w:r>
      <w:r w:rsidRPr="00E91FC3">
        <w:rPr>
          <w:sz w:val="28"/>
          <w:szCs w:val="28"/>
        </w:rPr>
        <w:t>autorità di controllo di ciascuno Stato membro è tenuta a sospendere o vietare il trasferimento di dati personali a un Paese extra UE quando, a causa di circostanze specifiche, si presume che le clausole stesse non siano, o non possano essere rispettate in quel Paese, e che la protezione dei dati trasferiti, prevista dal diritto dell</w:t>
      </w:r>
      <w:r>
        <w:rPr>
          <w:sz w:val="28"/>
          <w:szCs w:val="28"/>
        </w:rPr>
        <w:t>’</w:t>
      </w:r>
      <w:r w:rsidRPr="00E91FC3">
        <w:rPr>
          <w:sz w:val="28"/>
          <w:szCs w:val="28"/>
        </w:rPr>
        <w:t>Unione, non possa essere garantita.</w:t>
      </w:r>
      <w:r w:rsidR="00681768">
        <w:rPr>
          <w:sz w:val="28"/>
          <w:szCs w:val="28"/>
        </w:rPr>
        <w:t xml:space="preserve"> </w:t>
      </w:r>
    </w:p>
    <w:p w14:paraId="1CC3D446" w14:textId="26BE1CA1" w:rsidR="008E5B22" w:rsidRDefault="008E5B22" w:rsidP="008354FD">
      <w:pPr>
        <w:pStyle w:val="NormaleWeb"/>
        <w:spacing w:before="0" w:beforeAutospacing="0" w:after="0" w:afterAutospacing="0"/>
        <w:jc w:val="both"/>
        <w:rPr>
          <w:sz w:val="28"/>
          <w:szCs w:val="28"/>
        </w:rPr>
      </w:pPr>
      <w:r>
        <w:rPr>
          <w:sz w:val="28"/>
          <w:szCs w:val="28"/>
        </w:rPr>
        <w:t>Inoltre,</w:t>
      </w:r>
      <w:r w:rsidR="00E91FC3">
        <w:rPr>
          <w:sz w:val="28"/>
          <w:szCs w:val="28"/>
        </w:rPr>
        <w:t xml:space="preserve"> l’</w:t>
      </w:r>
      <w:r w:rsidR="00E91FC3" w:rsidRPr="00E91FC3">
        <w:rPr>
          <w:sz w:val="28"/>
          <w:szCs w:val="28"/>
        </w:rPr>
        <w:t xml:space="preserve">esportatore </w:t>
      </w:r>
      <w:r w:rsidR="00E91FC3">
        <w:rPr>
          <w:sz w:val="28"/>
          <w:szCs w:val="28"/>
        </w:rPr>
        <w:t>europeo di dati</w:t>
      </w:r>
      <w:r w:rsidR="00E91FC3" w:rsidRPr="00E91FC3">
        <w:rPr>
          <w:sz w:val="28"/>
          <w:szCs w:val="28"/>
        </w:rPr>
        <w:t xml:space="preserve"> </w:t>
      </w:r>
      <w:r w:rsidR="00E91FC3">
        <w:rPr>
          <w:sz w:val="28"/>
          <w:szCs w:val="28"/>
        </w:rPr>
        <w:t xml:space="preserve">personali </w:t>
      </w:r>
      <w:r w:rsidR="00E91FC3" w:rsidRPr="00E91FC3">
        <w:rPr>
          <w:sz w:val="28"/>
          <w:szCs w:val="28"/>
        </w:rPr>
        <w:t>e l</w:t>
      </w:r>
      <w:r w:rsidR="00E91FC3">
        <w:rPr>
          <w:sz w:val="28"/>
          <w:szCs w:val="28"/>
        </w:rPr>
        <w:t>’</w:t>
      </w:r>
      <w:r w:rsidR="00E91FC3" w:rsidRPr="00E91FC3">
        <w:rPr>
          <w:sz w:val="28"/>
          <w:szCs w:val="28"/>
        </w:rPr>
        <w:t>importatore extra UE</w:t>
      </w:r>
      <w:r w:rsidR="008354FD">
        <w:rPr>
          <w:sz w:val="28"/>
          <w:szCs w:val="28"/>
        </w:rPr>
        <w:t>,</w:t>
      </w:r>
      <w:r w:rsidR="00E91FC3" w:rsidRPr="00E91FC3">
        <w:rPr>
          <w:sz w:val="28"/>
          <w:szCs w:val="28"/>
        </w:rPr>
        <w:t xml:space="preserve"> sono obbligati</w:t>
      </w:r>
      <w:r w:rsidR="00E91FC3">
        <w:rPr>
          <w:sz w:val="28"/>
          <w:szCs w:val="28"/>
        </w:rPr>
        <w:t xml:space="preserve"> </w:t>
      </w:r>
      <w:r w:rsidR="00E91FC3" w:rsidRPr="00E91FC3">
        <w:rPr>
          <w:sz w:val="28"/>
          <w:szCs w:val="28"/>
        </w:rPr>
        <w:t>ad effettuare le proprie valutazioni sui</w:t>
      </w:r>
      <w:r w:rsidR="00E91FC3">
        <w:rPr>
          <w:sz w:val="28"/>
          <w:szCs w:val="28"/>
        </w:rPr>
        <w:t xml:space="preserve"> singoli</w:t>
      </w:r>
      <w:r w:rsidR="00E91FC3" w:rsidRPr="00E91FC3">
        <w:rPr>
          <w:sz w:val="28"/>
          <w:szCs w:val="28"/>
        </w:rPr>
        <w:t xml:space="preserve"> trasferimenti esistenti entro le clausole standardizzate, e la possibilità di trasferire dati personali sulla base delle clausole contrattuali tipo dipenderà dal risultato della valutazione effettuata dall</w:t>
      </w:r>
      <w:r w:rsidR="00E91FC3">
        <w:rPr>
          <w:sz w:val="28"/>
          <w:szCs w:val="28"/>
        </w:rPr>
        <w:t>’</w:t>
      </w:r>
      <w:r w:rsidR="00E91FC3" w:rsidRPr="00E91FC3">
        <w:rPr>
          <w:sz w:val="28"/>
          <w:szCs w:val="28"/>
        </w:rPr>
        <w:t>esportatore sulle garanzie offerte nel paese importatore (in particolare, gli USA)</w:t>
      </w:r>
      <w:r w:rsidR="008354FD">
        <w:rPr>
          <w:sz w:val="28"/>
          <w:szCs w:val="28"/>
        </w:rPr>
        <w:t>,</w:t>
      </w:r>
      <w:r w:rsidR="00E91FC3" w:rsidRPr="00E91FC3">
        <w:rPr>
          <w:sz w:val="28"/>
          <w:szCs w:val="28"/>
        </w:rPr>
        <w:t xml:space="preserve"> nel rispetto dell</w:t>
      </w:r>
      <w:r w:rsidR="00E91FC3">
        <w:rPr>
          <w:sz w:val="28"/>
          <w:szCs w:val="28"/>
        </w:rPr>
        <w:t>’</w:t>
      </w:r>
      <w:r w:rsidR="00E91FC3" w:rsidRPr="00E91FC3">
        <w:rPr>
          <w:sz w:val="28"/>
          <w:szCs w:val="28"/>
        </w:rPr>
        <w:t>adeguatezza della tutela</w:t>
      </w:r>
      <w:r w:rsidR="00E91FC3">
        <w:rPr>
          <w:sz w:val="28"/>
          <w:szCs w:val="28"/>
        </w:rPr>
        <w:t xml:space="preserve"> e del principio di proporzionalità.</w:t>
      </w:r>
      <w:r w:rsidR="00D1328B">
        <w:rPr>
          <w:sz w:val="28"/>
          <w:szCs w:val="28"/>
        </w:rPr>
        <w:t xml:space="preserve"> Inoltre</w:t>
      </w:r>
      <w:r w:rsidR="00D1328B" w:rsidRPr="00D1328B">
        <w:rPr>
          <w:sz w:val="28"/>
          <w:szCs w:val="28"/>
        </w:rPr>
        <w:t>, il loro utilizzo deve essere supportato anche dalla collaborazione diplomatica per preservare le relazioni tra i due Paesi</w:t>
      </w:r>
      <w:r w:rsidR="00547B29">
        <w:rPr>
          <w:sz w:val="28"/>
          <w:szCs w:val="28"/>
        </w:rPr>
        <w:t>.</w:t>
      </w:r>
    </w:p>
    <w:p w14:paraId="2583B3B5" w14:textId="77777777" w:rsidR="008354FD" w:rsidRDefault="00E91FC3" w:rsidP="008354FD">
      <w:pPr>
        <w:pStyle w:val="NormaleWeb"/>
        <w:spacing w:before="0" w:beforeAutospacing="0" w:after="0" w:afterAutospacing="0"/>
        <w:jc w:val="both"/>
        <w:rPr>
          <w:sz w:val="28"/>
          <w:szCs w:val="28"/>
        </w:rPr>
      </w:pPr>
      <w:r w:rsidRPr="00E91FC3">
        <w:rPr>
          <w:sz w:val="28"/>
          <w:szCs w:val="28"/>
        </w:rPr>
        <w:t xml:space="preserve">Anche il Comitato europeo per la protezione dei dati, nelle sue </w:t>
      </w:r>
      <w:proofErr w:type="spellStart"/>
      <w:r w:rsidRPr="00E91FC3">
        <w:rPr>
          <w:sz w:val="28"/>
          <w:szCs w:val="28"/>
        </w:rPr>
        <w:t>FAQs</w:t>
      </w:r>
      <w:proofErr w:type="spellEnd"/>
      <w:r w:rsidRPr="00E91FC3">
        <w:rPr>
          <w:sz w:val="28"/>
          <w:szCs w:val="28"/>
        </w:rPr>
        <w:t xml:space="preserve"> relative al caso </w:t>
      </w:r>
      <w:proofErr w:type="spellStart"/>
      <w:r w:rsidRPr="00E91FC3">
        <w:rPr>
          <w:sz w:val="28"/>
          <w:szCs w:val="28"/>
        </w:rPr>
        <w:t>Schrems</w:t>
      </w:r>
      <w:proofErr w:type="spellEnd"/>
      <w:r w:rsidRPr="00E91FC3">
        <w:rPr>
          <w:sz w:val="28"/>
          <w:szCs w:val="28"/>
        </w:rPr>
        <w:t xml:space="preserve"> II</w:t>
      </w:r>
      <w:r w:rsidR="00681768">
        <w:rPr>
          <w:rStyle w:val="Rimandonotaapidipagina"/>
          <w:sz w:val="28"/>
          <w:szCs w:val="28"/>
        </w:rPr>
        <w:footnoteReference w:id="139"/>
      </w:r>
      <w:r w:rsidRPr="00E91FC3">
        <w:rPr>
          <w:sz w:val="28"/>
          <w:szCs w:val="28"/>
        </w:rPr>
        <w:t xml:space="preserve">, </w:t>
      </w:r>
      <w:r>
        <w:rPr>
          <w:sz w:val="28"/>
          <w:szCs w:val="28"/>
        </w:rPr>
        <w:t>ha riconosciuto</w:t>
      </w:r>
      <w:r w:rsidRPr="00E91FC3">
        <w:rPr>
          <w:sz w:val="28"/>
          <w:szCs w:val="28"/>
        </w:rPr>
        <w:t xml:space="preserve"> espressamente che le clausole contrattuali standardizzate </w:t>
      </w:r>
      <w:r w:rsidRPr="00E91FC3">
        <w:rPr>
          <w:sz w:val="28"/>
          <w:szCs w:val="28"/>
        </w:rPr>
        <w:lastRenderedPageBreak/>
        <w:t>possono ancora essere considerate strumenti adeguati, se sono incluse misure aggiuntive per proteggere il trasferimento dei dati.</w:t>
      </w:r>
      <w:r>
        <w:rPr>
          <w:sz w:val="28"/>
          <w:szCs w:val="28"/>
        </w:rPr>
        <w:t xml:space="preserve"> </w:t>
      </w:r>
    </w:p>
    <w:p w14:paraId="1E4342BF" w14:textId="01F4C058" w:rsidR="00E91FC3" w:rsidRDefault="00E91FC3" w:rsidP="008354FD">
      <w:pPr>
        <w:pStyle w:val="NormaleWeb"/>
        <w:spacing w:before="0" w:beforeAutospacing="0" w:after="0" w:afterAutospacing="0"/>
        <w:jc w:val="both"/>
        <w:rPr>
          <w:sz w:val="28"/>
          <w:szCs w:val="28"/>
        </w:rPr>
      </w:pPr>
      <w:r w:rsidRPr="00E91FC3">
        <w:rPr>
          <w:sz w:val="28"/>
          <w:szCs w:val="28"/>
        </w:rPr>
        <w:t>È stato affermato che: “</w:t>
      </w:r>
      <w:r w:rsidRPr="00E91FC3">
        <w:rPr>
          <w:i/>
          <w:iCs/>
          <w:sz w:val="28"/>
          <w:szCs w:val="28"/>
        </w:rPr>
        <w:t>Il Comitato europeo per la protezione dei dati sta attualmente analizzando la sentenza della Corte per determinare il tipo di misure supplementari che potrebbero essere fornite in aggiunta alle clausole contrattuali tipo, siano esse misure legali, tecniche o organizzative, per trasferire dati a paesi terzi in cui le clausole standardizzate non forniranno da sole il livello sufficiente di garanzie. Il Comitato sta esaminando ulteriormente in cosa potrebbero consistere queste misure supplementari e fornirà ulteriori indicazioni</w:t>
      </w:r>
      <w:r w:rsidRPr="00E91FC3">
        <w:rPr>
          <w:sz w:val="28"/>
          <w:szCs w:val="28"/>
        </w:rPr>
        <w:t>”</w:t>
      </w:r>
      <w:r w:rsidR="00681768">
        <w:rPr>
          <w:rStyle w:val="Rimandonotaapidipagina"/>
          <w:sz w:val="28"/>
          <w:szCs w:val="28"/>
        </w:rPr>
        <w:footnoteReference w:id="140"/>
      </w:r>
      <w:r w:rsidR="00302D35">
        <w:rPr>
          <w:sz w:val="28"/>
          <w:szCs w:val="28"/>
        </w:rPr>
        <w:t>.</w:t>
      </w:r>
    </w:p>
    <w:p w14:paraId="24F3A006" w14:textId="77777777" w:rsidR="000021BF" w:rsidRDefault="00D1328B" w:rsidP="008354FD">
      <w:pPr>
        <w:pStyle w:val="NormaleWeb"/>
        <w:spacing w:before="0" w:beforeAutospacing="0" w:after="0" w:afterAutospacing="0"/>
        <w:jc w:val="both"/>
        <w:rPr>
          <w:sz w:val="28"/>
          <w:szCs w:val="28"/>
        </w:rPr>
      </w:pPr>
      <w:r>
        <w:rPr>
          <w:sz w:val="28"/>
          <w:szCs w:val="28"/>
        </w:rPr>
        <w:t>Comunque, n</w:t>
      </w:r>
      <w:r w:rsidRPr="00D1328B">
        <w:rPr>
          <w:sz w:val="28"/>
          <w:szCs w:val="28"/>
        </w:rPr>
        <w:t>el caso dei contribuenti, la trasmissione dei dati non deve eccedere la finalità fiscale (</w:t>
      </w:r>
      <w:r>
        <w:rPr>
          <w:sz w:val="28"/>
          <w:szCs w:val="28"/>
        </w:rPr>
        <w:t xml:space="preserve">c.d. </w:t>
      </w:r>
      <w:r w:rsidRPr="00D1328B">
        <w:rPr>
          <w:sz w:val="28"/>
          <w:szCs w:val="28"/>
        </w:rPr>
        <w:t>“limitazione delle finalità”), deve essere adeguata, pertinente e limitata a quanto necessario rispetto alle finalità per le quali i dati sono trattati (</w:t>
      </w:r>
      <w:r>
        <w:rPr>
          <w:sz w:val="28"/>
          <w:szCs w:val="28"/>
        </w:rPr>
        <w:t xml:space="preserve">c.d. </w:t>
      </w:r>
      <w:r w:rsidRPr="00D1328B">
        <w:rPr>
          <w:sz w:val="28"/>
          <w:szCs w:val="28"/>
        </w:rPr>
        <w:t>“minimizzazione dei dati”)</w:t>
      </w:r>
      <w:r w:rsidR="00547B29">
        <w:rPr>
          <w:rStyle w:val="Rimandonotaapidipagina"/>
          <w:sz w:val="28"/>
          <w:szCs w:val="28"/>
        </w:rPr>
        <w:footnoteReference w:id="141"/>
      </w:r>
      <w:r w:rsidRPr="00D1328B">
        <w:rPr>
          <w:sz w:val="28"/>
          <w:szCs w:val="28"/>
        </w:rPr>
        <w:t>.</w:t>
      </w:r>
      <w:r w:rsidR="00C00F45">
        <w:rPr>
          <w:sz w:val="28"/>
          <w:szCs w:val="28"/>
        </w:rPr>
        <w:t xml:space="preserve"> </w:t>
      </w:r>
      <w:r>
        <w:rPr>
          <w:sz w:val="28"/>
          <w:szCs w:val="28"/>
        </w:rPr>
        <w:t xml:space="preserve">Se le richiamate garanzie non verranno rispettate, </w:t>
      </w:r>
      <w:r w:rsidR="008354FD">
        <w:rPr>
          <w:sz w:val="28"/>
          <w:szCs w:val="28"/>
        </w:rPr>
        <w:t>ci sarà</w:t>
      </w:r>
      <w:r>
        <w:rPr>
          <w:sz w:val="28"/>
          <w:szCs w:val="28"/>
        </w:rPr>
        <w:t xml:space="preserve"> il rischio che in Europa si possa propendere per la creazione</w:t>
      </w:r>
      <w:r w:rsidRPr="00D1328B">
        <w:rPr>
          <w:sz w:val="28"/>
          <w:szCs w:val="28"/>
        </w:rPr>
        <w:t xml:space="preserve"> </w:t>
      </w:r>
      <w:r>
        <w:rPr>
          <w:sz w:val="28"/>
          <w:szCs w:val="28"/>
        </w:rPr>
        <w:t>di</w:t>
      </w:r>
      <w:r w:rsidRPr="00D1328B">
        <w:rPr>
          <w:sz w:val="28"/>
          <w:szCs w:val="28"/>
        </w:rPr>
        <w:t xml:space="preserve"> vere e proprie “</w:t>
      </w:r>
      <w:proofErr w:type="spellStart"/>
      <w:r w:rsidRPr="00D1328B">
        <w:rPr>
          <w:i/>
          <w:iCs/>
          <w:sz w:val="28"/>
          <w:szCs w:val="28"/>
        </w:rPr>
        <w:t>black</w:t>
      </w:r>
      <w:proofErr w:type="spellEnd"/>
      <w:r w:rsidRPr="00D1328B">
        <w:rPr>
          <w:i/>
          <w:iCs/>
          <w:sz w:val="28"/>
          <w:szCs w:val="28"/>
        </w:rPr>
        <w:t xml:space="preserve"> list</w:t>
      </w:r>
      <w:r w:rsidRPr="00D1328B">
        <w:rPr>
          <w:sz w:val="28"/>
          <w:szCs w:val="28"/>
        </w:rPr>
        <w:t xml:space="preserve">” di Stati extra-UE che non garantiscono la tutela della privacy dei cittadini europei, </w:t>
      </w:r>
      <w:r>
        <w:rPr>
          <w:sz w:val="28"/>
          <w:szCs w:val="28"/>
        </w:rPr>
        <w:t>e ciò avrà</w:t>
      </w:r>
      <w:r w:rsidRPr="00D1328B">
        <w:rPr>
          <w:sz w:val="28"/>
          <w:szCs w:val="28"/>
        </w:rPr>
        <w:t xml:space="preserve"> </w:t>
      </w:r>
      <w:r>
        <w:rPr>
          <w:sz w:val="28"/>
          <w:szCs w:val="28"/>
        </w:rPr>
        <w:t>inevitabili</w:t>
      </w:r>
      <w:r w:rsidRPr="00D1328B">
        <w:rPr>
          <w:sz w:val="28"/>
          <w:szCs w:val="28"/>
        </w:rPr>
        <w:t xml:space="preserve"> conseguenze sul piano de</w:t>
      </w:r>
      <w:r w:rsidR="008354FD">
        <w:rPr>
          <w:sz w:val="28"/>
          <w:szCs w:val="28"/>
        </w:rPr>
        <w:t xml:space="preserve">gli scambi e dei </w:t>
      </w:r>
      <w:r w:rsidRPr="00D1328B">
        <w:rPr>
          <w:sz w:val="28"/>
          <w:szCs w:val="28"/>
        </w:rPr>
        <w:t>commerci internazionali</w:t>
      </w:r>
      <w:r>
        <w:rPr>
          <w:sz w:val="28"/>
          <w:szCs w:val="28"/>
        </w:rPr>
        <w:t>.</w:t>
      </w:r>
    </w:p>
    <w:p w14:paraId="385CC3DA" w14:textId="77777777" w:rsidR="000021BF" w:rsidRDefault="000021BF" w:rsidP="008354FD">
      <w:pPr>
        <w:pStyle w:val="NormaleWeb"/>
        <w:spacing w:before="0" w:beforeAutospacing="0" w:after="0" w:afterAutospacing="0"/>
        <w:jc w:val="both"/>
        <w:rPr>
          <w:sz w:val="28"/>
          <w:szCs w:val="28"/>
        </w:rPr>
      </w:pPr>
    </w:p>
    <w:p w14:paraId="59D26553" w14:textId="77777777" w:rsidR="000021BF" w:rsidRDefault="000021BF" w:rsidP="000021BF">
      <w:pPr>
        <w:pStyle w:val="NormaleWeb"/>
        <w:spacing w:before="0" w:beforeAutospacing="0" w:after="0" w:afterAutospacing="0"/>
        <w:jc w:val="both"/>
        <w:rPr>
          <w:sz w:val="28"/>
          <w:szCs w:val="28"/>
        </w:rPr>
      </w:pPr>
      <w:r>
        <w:rPr>
          <w:sz w:val="28"/>
          <w:szCs w:val="28"/>
        </w:rPr>
        <w:t>Come si è visto, i</w:t>
      </w:r>
      <w:r w:rsidRPr="00CE2C1E">
        <w:rPr>
          <w:sz w:val="28"/>
          <w:szCs w:val="28"/>
        </w:rPr>
        <w:t xml:space="preserve"> problemi e </w:t>
      </w:r>
      <w:r>
        <w:rPr>
          <w:sz w:val="28"/>
          <w:szCs w:val="28"/>
        </w:rPr>
        <w:t>i</w:t>
      </w:r>
      <w:r w:rsidRPr="00CE2C1E">
        <w:rPr>
          <w:sz w:val="28"/>
          <w:szCs w:val="28"/>
        </w:rPr>
        <w:t xml:space="preserve"> temi </w:t>
      </w:r>
      <w:r>
        <w:rPr>
          <w:sz w:val="28"/>
          <w:szCs w:val="28"/>
        </w:rPr>
        <w:t xml:space="preserve">sono molto trasversali: si sono spesso </w:t>
      </w:r>
      <w:r w:rsidRPr="00CE2C1E">
        <w:rPr>
          <w:sz w:val="28"/>
          <w:szCs w:val="28"/>
        </w:rPr>
        <w:t>sovrappo</w:t>
      </w:r>
      <w:r>
        <w:rPr>
          <w:sz w:val="28"/>
          <w:szCs w:val="28"/>
        </w:rPr>
        <w:t>ste</w:t>
      </w:r>
      <w:r w:rsidRPr="00CE2C1E">
        <w:rPr>
          <w:sz w:val="28"/>
          <w:szCs w:val="28"/>
        </w:rPr>
        <w:t xml:space="preserve"> delle competenze in materia di supervisione e controllo attribuite alle diverse Autorità all’interno del nostro ordinamento</w:t>
      </w:r>
      <w:r>
        <w:rPr>
          <w:sz w:val="28"/>
          <w:szCs w:val="28"/>
        </w:rPr>
        <w:t xml:space="preserve">, con </w:t>
      </w:r>
      <w:r w:rsidRPr="00CE2C1E">
        <w:rPr>
          <w:sz w:val="28"/>
          <w:szCs w:val="28"/>
        </w:rPr>
        <w:t>difficoltà nell’attuazione della disciplina</w:t>
      </w:r>
      <w:r>
        <w:rPr>
          <w:sz w:val="28"/>
          <w:szCs w:val="28"/>
        </w:rPr>
        <w:t xml:space="preserve">, e ciò potrebbe determinare </w:t>
      </w:r>
      <w:r w:rsidRPr="00CE2C1E">
        <w:rPr>
          <w:sz w:val="28"/>
          <w:szCs w:val="28"/>
        </w:rPr>
        <w:t xml:space="preserve">un impatto negativo sull’efficacia delle misure adottate. </w:t>
      </w:r>
    </w:p>
    <w:p w14:paraId="778606E7" w14:textId="77777777" w:rsidR="000021BF" w:rsidRPr="00CE2C1E" w:rsidRDefault="000021BF" w:rsidP="000021BF">
      <w:pPr>
        <w:pStyle w:val="NormaleWeb"/>
        <w:spacing w:before="0" w:beforeAutospacing="0" w:after="0" w:afterAutospacing="0"/>
        <w:jc w:val="both"/>
        <w:rPr>
          <w:sz w:val="28"/>
          <w:szCs w:val="28"/>
        </w:rPr>
      </w:pPr>
      <w:r>
        <w:rPr>
          <w:sz w:val="28"/>
          <w:szCs w:val="28"/>
        </w:rPr>
        <w:t>Servirebbe m</w:t>
      </w:r>
      <w:r w:rsidRPr="00CE2C1E">
        <w:rPr>
          <w:sz w:val="28"/>
          <w:szCs w:val="28"/>
        </w:rPr>
        <w:t>aggiore chiarezza nel riparto delle competenze</w:t>
      </w:r>
      <w:r>
        <w:rPr>
          <w:sz w:val="28"/>
          <w:szCs w:val="28"/>
        </w:rPr>
        <w:t xml:space="preserve">: si potrebbero usare meglio le </w:t>
      </w:r>
      <w:r w:rsidRPr="00CE2C1E">
        <w:rPr>
          <w:sz w:val="28"/>
          <w:szCs w:val="28"/>
        </w:rPr>
        <w:t>risorse e</w:t>
      </w:r>
      <w:r>
        <w:rPr>
          <w:sz w:val="28"/>
          <w:szCs w:val="28"/>
        </w:rPr>
        <w:t xml:space="preserve"> l’applicazione della disciplina sarebbe più sicura.</w:t>
      </w:r>
    </w:p>
    <w:p w14:paraId="6BC3BF61" w14:textId="77777777" w:rsidR="000021BF" w:rsidRPr="00CE2C1E" w:rsidRDefault="000021BF" w:rsidP="000021BF">
      <w:pPr>
        <w:pStyle w:val="NormaleWeb"/>
        <w:spacing w:before="0" w:beforeAutospacing="0" w:after="0" w:afterAutospacing="0"/>
        <w:jc w:val="both"/>
        <w:rPr>
          <w:sz w:val="28"/>
          <w:szCs w:val="28"/>
        </w:rPr>
      </w:pPr>
      <w:r w:rsidRPr="00CE2C1E">
        <w:rPr>
          <w:sz w:val="28"/>
          <w:szCs w:val="28"/>
        </w:rPr>
        <w:t xml:space="preserve">Nonostante </w:t>
      </w:r>
      <w:r>
        <w:rPr>
          <w:sz w:val="28"/>
          <w:szCs w:val="28"/>
        </w:rPr>
        <w:t>il problema sia noto,</w:t>
      </w:r>
      <w:r w:rsidRPr="00CE2C1E">
        <w:rPr>
          <w:sz w:val="28"/>
          <w:szCs w:val="28"/>
        </w:rPr>
        <w:t xml:space="preserve"> </w:t>
      </w:r>
      <w:r>
        <w:rPr>
          <w:sz w:val="28"/>
          <w:szCs w:val="28"/>
        </w:rPr>
        <w:t xml:space="preserve">non </w:t>
      </w:r>
      <w:r w:rsidRPr="00CE2C1E">
        <w:rPr>
          <w:sz w:val="28"/>
          <w:szCs w:val="28"/>
        </w:rPr>
        <w:t xml:space="preserve">è ancora stato intrapreso un indirizzo </w:t>
      </w:r>
      <w:r>
        <w:rPr>
          <w:sz w:val="28"/>
          <w:szCs w:val="28"/>
        </w:rPr>
        <w:t>per una soluzione unanime</w:t>
      </w:r>
      <w:r w:rsidRPr="00CE2C1E">
        <w:rPr>
          <w:sz w:val="28"/>
          <w:szCs w:val="28"/>
        </w:rPr>
        <w:t xml:space="preserve">. </w:t>
      </w:r>
      <w:r>
        <w:rPr>
          <w:sz w:val="28"/>
          <w:szCs w:val="28"/>
        </w:rPr>
        <w:t xml:space="preserve">Intanto, allora, si procede con una </w:t>
      </w:r>
      <w:r w:rsidRPr="00CE2C1E">
        <w:rPr>
          <w:sz w:val="28"/>
          <w:szCs w:val="28"/>
        </w:rPr>
        <w:t xml:space="preserve">collaborazione fra le Autorità esistenti, ma </w:t>
      </w:r>
      <w:r>
        <w:rPr>
          <w:sz w:val="28"/>
          <w:szCs w:val="28"/>
        </w:rPr>
        <w:t xml:space="preserve">non si esclude, in futuro, </w:t>
      </w:r>
      <w:r w:rsidRPr="00CE2C1E">
        <w:rPr>
          <w:sz w:val="28"/>
          <w:szCs w:val="28"/>
        </w:rPr>
        <w:t>la nascita di un’unica Autorità</w:t>
      </w:r>
      <w:r>
        <w:rPr>
          <w:sz w:val="28"/>
          <w:szCs w:val="28"/>
        </w:rPr>
        <w:t xml:space="preserve"> con tutte le competenze necessarie.</w:t>
      </w:r>
    </w:p>
    <w:p w14:paraId="4F91E8FE" w14:textId="77777777" w:rsidR="000021BF" w:rsidRPr="00CE2C1E" w:rsidRDefault="000021BF" w:rsidP="000021BF">
      <w:pPr>
        <w:pStyle w:val="NormaleWeb"/>
        <w:spacing w:before="0" w:beforeAutospacing="0" w:after="0" w:afterAutospacing="0"/>
        <w:jc w:val="both"/>
        <w:rPr>
          <w:sz w:val="28"/>
          <w:szCs w:val="28"/>
        </w:rPr>
      </w:pPr>
      <w:r>
        <w:rPr>
          <w:sz w:val="28"/>
          <w:szCs w:val="28"/>
        </w:rPr>
        <w:lastRenderedPageBreak/>
        <w:t>Le</w:t>
      </w:r>
      <w:r w:rsidRPr="00CE2C1E">
        <w:rPr>
          <w:sz w:val="28"/>
          <w:szCs w:val="28"/>
        </w:rPr>
        <w:t xml:space="preserve"> nuove proposte di Regolamento presentate dalla Commissione</w:t>
      </w:r>
      <w:r>
        <w:rPr>
          <w:sz w:val="28"/>
          <w:szCs w:val="28"/>
        </w:rPr>
        <w:t xml:space="preserve"> europea si limitano </w:t>
      </w:r>
      <w:r w:rsidRPr="00CE2C1E">
        <w:rPr>
          <w:sz w:val="28"/>
          <w:szCs w:val="28"/>
        </w:rPr>
        <w:t>ad incoraggiare la collaborazione fra le Autorità e</w:t>
      </w:r>
      <w:r>
        <w:rPr>
          <w:sz w:val="28"/>
          <w:szCs w:val="28"/>
        </w:rPr>
        <w:t>sistenti, ed è rimesso</w:t>
      </w:r>
      <w:r w:rsidRPr="00CE2C1E">
        <w:rPr>
          <w:sz w:val="28"/>
          <w:szCs w:val="28"/>
        </w:rPr>
        <w:t xml:space="preserve"> agli Stati membri l’onere di disciplinare le modalità concrete.</w:t>
      </w:r>
    </w:p>
    <w:p w14:paraId="2BA442C0" w14:textId="77777777" w:rsidR="000021BF" w:rsidRDefault="000021BF" w:rsidP="000021BF">
      <w:pPr>
        <w:pStyle w:val="NormaleWeb"/>
        <w:spacing w:before="0" w:beforeAutospacing="0" w:after="0" w:afterAutospacing="0"/>
        <w:jc w:val="both"/>
        <w:rPr>
          <w:sz w:val="28"/>
          <w:szCs w:val="28"/>
        </w:rPr>
      </w:pPr>
      <w:r>
        <w:rPr>
          <w:sz w:val="28"/>
          <w:szCs w:val="28"/>
        </w:rPr>
        <w:t xml:space="preserve">Il </w:t>
      </w:r>
      <w:r w:rsidRPr="0095713B">
        <w:rPr>
          <w:sz w:val="28"/>
          <w:szCs w:val="28"/>
        </w:rPr>
        <w:t>problema</w:t>
      </w:r>
      <w:r>
        <w:rPr>
          <w:sz w:val="28"/>
          <w:szCs w:val="28"/>
        </w:rPr>
        <w:t xml:space="preserve"> non è</w:t>
      </w:r>
      <w:r w:rsidRPr="0095713B">
        <w:rPr>
          <w:sz w:val="28"/>
          <w:szCs w:val="28"/>
        </w:rPr>
        <w:t xml:space="preserve"> </w:t>
      </w:r>
      <w:r>
        <w:rPr>
          <w:sz w:val="28"/>
          <w:szCs w:val="28"/>
        </w:rPr>
        <w:t>solamente</w:t>
      </w:r>
      <w:r w:rsidRPr="0095713B">
        <w:rPr>
          <w:sz w:val="28"/>
          <w:szCs w:val="28"/>
        </w:rPr>
        <w:t xml:space="preserve"> teorico, in quanto </w:t>
      </w:r>
      <w:r>
        <w:rPr>
          <w:sz w:val="28"/>
          <w:szCs w:val="28"/>
        </w:rPr>
        <w:t>ha effetto</w:t>
      </w:r>
      <w:r w:rsidRPr="0095713B">
        <w:rPr>
          <w:sz w:val="28"/>
          <w:szCs w:val="28"/>
        </w:rPr>
        <w:t xml:space="preserve"> sull’effettività della disciplina e sull’efficacia della tutela che l’ordinamento intende garantire ai soggetti coinvolti. </w:t>
      </w:r>
    </w:p>
    <w:p w14:paraId="57A1777F" w14:textId="77777777" w:rsidR="000021BF" w:rsidRPr="0095713B" w:rsidRDefault="000021BF" w:rsidP="000021BF">
      <w:pPr>
        <w:pStyle w:val="NormaleWeb"/>
        <w:spacing w:before="0" w:beforeAutospacing="0" w:after="0" w:afterAutospacing="0"/>
        <w:jc w:val="both"/>
        <w:rPr>
          <w:sz w:val="28"/>
          <w:szCs w:val="28"/>
        </w:rPr>
      </w:pPr>
      <w:r w:rsidRPr="0095713B">
        <w:rPr>
          <w:sz w:val="28"/>
          <w:szCs w:val="28"/>
        </w:rPr>
        <w:t xml:space="preserve">I dubbi </w:t>
      </w:r>
      <w:r>
        <w:rPr>
          <w:sz w:val="28"/>
          <w:szCs w:val="28"/>
        </w:rPr>
        <w:t>in materia, nonché</w:t>
      </w:r>
      <w:r w:rsidRPr="0095713B">
        <w:rPr>
          <w:sz w:val="28"/>
          <w:szCs w:val="28"/>
        </w:rPr>
        <w:t xml:space="preserve"> </w:t>
      </w:r>
      <w:r>
        <w:rPr>
          <w:sz w:val="28"/>
          <w:szCs w:val="28"/>
        </w:rPr>
        <w:t>l</w:t>
      </w:r>
      <w:r w:rsidRPr="0095713B">
        <w:rPr>
          <w:sz w:val="28"/>
          <w:szCs w:val="28"/>
        </w:rPr>
        <w:t>a concorrenza fra le diverse Autorità</w:t>
      </w:r>
      <w:r>
        <w:rPr>
          <w:sz w:val="28"/>
          <w:szCs w:val="28"/>
        </w:rPr>
        <w:t>, incidono</w:t>
      </w:r>
      <w:r w:rsidRPr="0095713B">
        <w:rPr>
          <w:sz w:val="28"/>
          <w:szCs w:val="28"/>
        </w:rPr>
        <w:t xml:space="preserve"> negativamente sull’applicazione della disciplina, inficiandone la portata.</w:t>
      </w:r>
    </w:p>
    <w:p w14:paraId="6872225E" w14:textId="77777777" w:rsidR="000021BF" w:rsidRDefault="000021BF" w:rsidP="000021BF">
      <w:pPr>
        <w:pStyle w:val="NormaleWeb"/>
        <w:spacing w:before="0" w:beforeAutospacing="0" w:after="0" w:afterAutospacing="0"/>
        <w:jc w:val="both"/>
        <w:rPr>
          <w:sz w:val="28"/>
          <w:szCs w:val="28"/>
        </w:rPr>
      </w:pPr>
      <w:r>
        <w:rPr>
          <w:sz w:val="28"/>
          <w:szCs w:val="28"/>
        </w:rPr>
        <w:t>Il</w:t>
      </w:r>
      <w:r w:rsidRPr="0095713B">
        <w:rPr>
          <w:sz w:val="28"/>
          <w:szCs w:val="28"/>
        </w:rPr>
        <w:t xml:space="preserve"> lavoro </w:t>
      </w:r>
      <w:r>
        <w:rPr>
          <w:sz w:val="28"/>
          <w:szCs w:val="28"/>
        </w:rPr>
        <w:t xml:space="preserve">delle autorità dovrebbe essere </w:t>
      </w:r>
      <w:r w:rsidRPr="0095713B">
        <w:rPr>
          <w:sz w:val="28"/>
          <w:szCs w:val="28"/>
        </w:rPr>
        <w:t>sinergico già nella fase di indagine e analisi dei problemi</w:t>
      </w:r>
      <w:r>
        <w:rPr>
          <w:sz w:val="28"/>
          <w:szCs w:val="28"/>
        </w:rPr>
        <w:t>, vista la complessità delle fattispecie che emergono.</w:t>
      </w:r>
      <w:r w:rsidRPr="0095713B">
        <w:rPr>
          <w:sz w:val="28"/>
          <w:szCs w:val="28"/>
        </w:rPr>
        <w:t xml:space="preserve"> </w:t>
      </w:r>
    </w:p>
    <w:p w14:paraId="7D9D6B2D" w14:textId="77777777" w:rsidR="000021BF" w:rsidRDefault="000021BF" w:rsidP="000021BF">
      <w:pPr>
        <w:pStyle w:val="NormaleWeb"/>
        <w:spacing w:before="0" w:beforeAutospacing="0" w:after="0" w:afterAutospacing="0"/>
        <w:jc w:val="both"/>
        <w:rPr>
          <w:sz w:val="28"/>
          <w:szCs w:val="28"/>
        </w:rPr>
      </w:pPr>
      <w:r>
        <w:rPr>
          <w:sz w:val="28"/>
          <w:szCs w:val="28"/>
        </w:rPr>
        <w:t>Si faccia l’esempio dell’</w:t>
      </w:r>
      <w:r w:rsidRPr="0095713B">
        <w:rPr>
          <w:sz w:val="28"/>
          <w:szCs w:val="28"/>
        </w:rPr>
        <w:t xml:space="preserve">Indagine conoscitiva sui </w:t>
      </w:r>
      <w:r w:rsidRPr="00430254">
        <w:rPr>
          <w:i/>
          <w:iCs/>
          <w:sz w:val="28"/>
          <w:szCs w:val="28"/>
        </w:rPr>
        <w:t>Big Data</w:t>
      </w:r>
      <w:r>
        <w:rPr>
          <w:rStyle w:val="Rimandonotaapidipagina"/>
          <w:sz w:val="28"/>
          <w:szCs w:val="28"/>
        </w:rPr>
        <w:footnoteReference w:id="142"/>
      </w:r>
      <w:r w:rsidRPr="0095713B">
        <w:rPr>
          <w:sz w:val="28"/>
          <w:szCs w:val="28"/>
        </w:rPr>
        <w:t xml:space="preserve">, </w:t>
      </w:r>
      <w:r>
        <w:rPr>
          <w:sz w:val="28"/>
          <w:szCs w:val="28"/>
        </w:rPr>
        <w:t xml:space="preserve">che è stata </w:t>
      </w:r>
      <w:r w:rsidRPr="0095713B">
        <w:rPr>
          <w:sz w:val="28"/>
          <w:szCs w:val="28"/>
        </w:rPr>
        <w:t xml:space="preserve">condotta </w:t>
      </w:r>
      <w:r>
        <w:rPr>
          <w:sz w:val="28"/>
          <w:szCs w:val="28"/>
        </w:rPr>
        <w:t>insieme</w:t>
      </w:r>
      <w:r w:rsidRPr="0095713B">
        <w:rPr>
          <w:sz w:val="28"/>
          <w:szCs w:val="28"/>
        </w:rPr>
        <w:t xml:space="preserve"> da </w:t>
      </w:r>
      <w:r>
        <w:rPr>
          <w:sz w:val="28"/>
          <w:szCs w:val="28"/>
        </w:rPr>
        <w:t>Antitrust</w:t>
      </w:r>
      <w:r w:rsidRPr="0095713B">
        <w:rPr>
          <w:sz w:val="28"/>
          <w:szCs w:val="28"/>
        </w:rPr>
        <w:t xml:space="preserve">, AGCOM e Garante </w:t>
      </w:r>
      <w:r>
        <w:rPr>
          <w:sz w:val="28"/>
          <w:szCs w:val="28"/>
        </w:rPr>
        <w:t>della P</w:t>
      </w:r>
      <w:r w:rsidRPr="0095713B">
        <w:rPr>
          <w:sz w:val="28"/>
          <w:szCs w:val="28"/>
        </w:rPr>
        <w:t>rivacy</w:t>
      </w:r>
      <w:r>
        <w:rPr>
          <w:sz w:val="28"/>
          <w:szCs w:val="28"/>
        </w:rPr>
        <w:t xml:space="preserve">, ed è stata </w:t>
      </w:r>
      <w:r w:rsidRPr="0095713B">
        <w:rPr>
          <w:sz w:val="28"/>
          <w:szCs w:val="28"/>
        </w:rPr>
        <w:t>pubblicata nel 2018</w:t>
      </w:r>
      <w:r>
        <w:rPr>
          <w:sz w:val="28"/>
          <w:szCs w:val="28"/>
        </w:rPr>
        <w:t>: si tratta di un caso in cui, unendo le diverse prospettive, le Autorità sono riuscite ad avere un quadro completo del fenomeno che dovevano affrontare.</w:t>
      </w:r>
    </w:p>
    <w:p w14:paraId="1B25A74B" w14:textId="77777777" w:rsidR="000021BF" w:rsidRDefault="000021BF" w:rsidP="000021BF">
      <w:pPr>
        <w:pStyle w:val="NormaleWeb"/>
        <w:spacing w:before="0" w:beforeAutospacing="0" w:after="0" w:afterAutospacing="0"/>
        <w:jc w:val="both"/>
        <w:rPr>
          <w:sz w:val="28"/>
          <w:szCs w:val="28"/>
        </w:rPr>
      </w:pPr>
      <w:r w:rsidRPr="0095713B">
        <w:rPr>
          <w:sz w:val="28"/>
          <w:szCs w:val="28"/>
        </w:rPr>
        <w:t>I</w:t>
      </w:r>
      <w:r>
        <w:rPr>
          <w:sz w:val="28"/>
          <w:szCs w:val="28"/>
        </w:rPr>
        <w:t xml:space="preserve">l problema sta, poi, nella fase di implementazione delle misure, perché si crea una situazione di confusione, per la quale </w:t>
      </w:r>
      <w:r w:rsidRPr="0095713B">
        <w:rPr>
          <w:sz w:val="28"/>
          <w:szCs w:val="28"/>
        </w:rPr>
        <w:t>più Autorità rivendicano la propria competenza</w:t>
      </w:r>
      <w:r>
        <w:rPr>
          <w:sz w:val="28"/>
          <w:szCs w:val="28"/>
        </w:rPr>
        <w:t xml:space="preserve">, e così si </w:t>
      </w:r>
      <w:r w:rsidRPr="0095713B">
        <w:rPr>
          <w:sz w:val="28"/>
          <w:szCs w:val="28"/>
        </w:rPr>
        <w:t>rischia di</w:t>
      </w:r>
      <w:r>
        <w:rPr>
          <w:sz w:val="28"/>
          <w:szCs w:val="28"/>
        </w:rPr>
        <w:t xml:space="preserve"> pregiudicare i soggetti che chiedono la </w:t>
      </w:r>
      <w:r w:rsidRPr="0095713B">
        <w:rPr>
          <w:sz w:val="28"/>
          <w:szCs w:val="28"/>
        </w:rPr>
        <w:t>tutel</w:t>
      </w:r>
      <w:r>
        <w:rPr>
          <w:sz w:val="28"/>
          <w:szCs w:val="28"/>
        </w:rPr>
        <w:t>a</w:t>
      </w:r>
      <w:r w:rsidRPr="0095713B">
        <w:rPr>
          <w:sz w:val="28"/>
          <w:szCs w:val="28"/>
        </w:rPr>
        <w:t xml:space="preserve"> previst</w:t>
      </w:r>
      <w:r>
        <w:rPr>
          <w:sz w:val="28"/>
          <w:szCs w:val="28"/>
        </w:rPr>
        <w:t>a</w:t>
      </w:r>
      <w:r w:rsidRPr="0095713B">
        <w:rPr>
          <w:sz w:val="28"/>
          <w:szCs w:val="28"/>
        </w:rPr>
        <w:t xml:space="preserve"> dall’ordinamento</w:t>
      </w:r>
      <w:r>
        <w:rPr>
          <w:sz w:val="28"/>
          <w:szCs w:val="28"/>
        </w:rPr>
        <w:t>.</w:t>
      </w:r>
    </w:p>
    <w:p w14:paraId="0E8FAB29" w14:textId="77777777" w:rsidR="000021BF" w:rsidRPr="0095713B" w:rsidRDefault="000021BF" w:rsidP="000021BF">
      <w:pPr>
        <w:pStyle w:val="NormaleWeb"/>
        <w:spacing w:before="0" w:beforeAutospacing="0" w:after="0" w:afterAutospacing="0"/>
        <w:jc w:val="both"/>
        <w:rPr>
          <w:sz w:val="28"/>
          <w:szCs w:val="28"/>
        </w:rPr>
      </w:pPr>
      <w:r>
        <w:rPr>
          <w:sz w:val="28"/>
          <w:szCs w:val="28"/>
        </w:rPr>
        <w:t>Per fare un altro esempio pratico, si pensi alla</w:t>
      </w:r>
      <w:r w:rsidRPr="0095713B">
        <w:rPr>
          <w:sz w:val="28"/>
          <w:szCs w:val="28"/>
        </w:rPr>
        <w:t xml:space="preserve"> Direttiva SMAV</w:t>
      </w:r>
      <w:r>
        <w:rPr>
          <w:sz w:val="28"/>
          <w:szCs w:val="28"/>
        </w:rPr>
        <w:t>:</w:t>
      </w:r>
      <w:r w:rsidRPr="0095713B">
        <w:rPr>
          <w:sz w:val="28"/>
          <w:szCs w:val="28"/>
        </w:rPr>
        <w:t xml:space="preserve"> con riferimento alle nuove disposizioni poste a tutela dei minori</w:t>
      </w:r>
      <w:r>
        <w:rPr>
          <w:sz w:val="28"/>
          <w:szCs w:val="28"/>
        </w:rPr>
        <w:t xml:space="preserve"> potrebbero sorgere problemi, perché si prevede </w:t>
      </w:r>
      <w:r w:rsidRPr="0095713B">
        <w:rPr>
          <w:sz w:val="28"/>
          <w:szCs w:val="28"/>
        </w:rPr>
        <w:t>che,</w:t>
      </w:r>
      <w:r>
        <w:rPr>
          <w:sz w:val="28"/>
          <w:szCs w:val="28"/>
        </w:rPr>
        <w:t xml:space="preserve"> per evitare</w:t>
      </w:r>
      <w:r w:rsidRPr="0095713B">
        <w:rPr>
          <w:sz w:val="28"/>
          <w:szCs w:val="28"/>
        </w:rPr>
        <w:t xml:space="preserve"> la</w:t>
      </w:r>
      <w:r>
        <w:rPr>
          <w:sz w:val="28"/>
          <w:szCs w:val="28"/>
        </w:rPr>
        <w:t xml:space="preserve"> </w:t>
      </w:r>
      <w:r w:rsidRPr="0095713B">
        <w:rPr>
          <w:sz w:val="28"/>
          <w:szCs w:val="28"/>
        </w:rPr>
        <w:t xml:space="preserve">fruizione da parte </w:t>
      </w:r>
      <w:r>
        <w:rPr>
          <w:sz w:val="28"/>
          <w:szCs w:val="28"/>
        </w:rPr>
        <w:t>di questi</w:t>
      </w:r>
      <w:r w:rsidRPr="0095713B">
        <w:rPr>
          <w:sz w:val="28"/>
          <w:szCs w:val="28"/>
        </w:rPr>
        <w:t xml:space="preserve"> di contenuti </w:t>
      </w:r>
      <w:r>
        <w:rPr>
          <w:sz w:val="28"/>
          <w:szCs w:val="28"/>
        </w:rPr>
        <w:t>pericolosi per il</w:t>
      </w:r>
      <w:r w:rsidRPr="0095713B">
        <w:rPr>
          <w:sz w:val="28"/>
          <w:szCs w:val="28"/>
        </w:rPr>
        <w:t xml:space="preserve"> loro sviluppo fisico, mentale o morale</w:t>
      </w:r>
      <w:r>
        <w:rPr>
          <w:sz w:val="28"/>
          <w:szCs w:val="28"/>
        </w:rPr>
        <w:t>,</w:t>
      </w:r>
      <w:r w:rsidRPr="0095713B">
        <w:rPr>
          <w:sz w:val="28"/>
          <w:szCs w:val="28"/>
        </w:rPr>
        <w:t xml:space="preserve"> i fornitori di servizi media audiovisivi siano soggetti a misure introdotte </w:t>
      </w:r>
      <w:r>
        <w:rPr>
          <w:sz w:val="28"/>
          <w:szCs w:val="28"/>
        </w:rPr>
        <w:t>dai singoli</w:t>
      </w:r>
      <w:r w:rsidRPr="0095713B">
        <w:rPr>
          <w:sz w:val="28"/>
          <w:szCs w:val="28"/>
        </w:rPr>
        <w:t xml:space="preserve"> Stati</w:t>
      </w:r>
      <w:r>
        <w:rPr>
          <w:sz w:val="28"/>
          <w:szCs w:val="28"/>
        </w:rPr>
        <w:t xml:space="preserve"> (es. </w:t>
      </w:r>
      <w:r w:rsidRPr="0095713B">
        <w:rPr>
          <w:sz w:val="28"/>
          <w:szCs w:val="28"/>
        </w:rPr>
        <w:t>meccanismi volti a verificare l’età di chi accede</w:t>
      </w:r>
      <w:r>
        <w:rPr>
          <w:sz w:val="28"/>
          <w:szCs w:val="28"/>
        </w:rPr>
        <w:t xml:space="preserve"> ai servizi). Eppure, resta fermo che</w:t>
      </w:r>
      <w:r w:rsidRPr="0095713B">
        <w:rPr>
          <w:sz w:val="28"/>
          <w:szCs w:val="28"/>
        </w:rPr>
        <w:t xml:space="preserve"> i dati personali dei minori</w:t>
      </w:r>
      <w:r>
        <w:rPr>
          <w:sz w:val="28"/>
          <w:szCs w:val="28"/>
        </w:rPr>
        <w:t xml:space="preserve">, </w:t>
      </w:r>
      <w:r w:rsidRPr="0095713B">
        <w:rPr>
          <w:sz w:val="28"/>
          <w:szCs w:val="28"/>
        </w:rPr>
        <w:t>così raccolti</w:t>
      </w:r>
      <w:r>
        <w:rPr>
          <w:sz w:val="28"/>
          <w:szCs w:val="28"/>
        </w:rPr>
        <w:t xml:space="preserve">, </w:t>
      </w:r>
      <w:r w:rsidRPr="0095713B">
        <w:rPr>
          <w:sz w:val="28"/>
          <w:szCs w:val="28"/>
        </w:rPr>
        <w:t>non possono essere trattati a fini commerciali</w:t>
      </w:r>
      <w:r>
        <w:rPr>
          <w:sz w:val="28"/>
          <w:szCs w:val="28"/>
        </w:rPr>
        <w:t>, né</w:t>
      </w:r>
      <w:r w:rsidRPr="0095713B">
        <w:rPr>
          <w:sz w:val="28"/>
          <w:szCs w:val="28"/>
        </w:rPr>
        <w:t xml:space="preserve"> per finalità di </w:t>
      </w:r>
      <w:r w:rsidRPr="00717A65">
        <w:rPr>
          <w:i/>
          <w:iCs/>
          <w:sz w:val="28"/>
          <w:szCs w:val="28"/>
        </w:rPr>
        <w:t>marketing</w:t>
      </w:r>
      <w:r w:rsidRPr="0095713B">
        <w:rPr>
          <w:sz w:val="28"/>
          <w:szCs w:val="28"/>
        </w:rPr>
        <w:t xml:space="preserve"> diretto, </w:t>
      </w:r>
      <w:proofErr w:type="spellStart"/>
      <w:r w:rsidRPr="0095713B">
        <w:rPr>
          <w:sz w:val="28"/>
          <w:szCs w:val="28"/>
        </w:rPr>
        <w:t>profilazione</w:t>
      </w:r>
      <w:proofErr w:type="spellEnd"/>
      <w:r w:rsidRPr="0095713B">
        <w:rPr>
          <w:sz w:val="28"/>
          <w:szCs w:val="28"/>
        </w:rPr>
        <w:t xml:space="preserve"> o pubblicità mirata sulla base dei comportamenti.</w:t>
      </w:r>
    </w:p>
    <w:p w14:paraId="38A5FF3D" w14:textId="77777777" w:rsidR="000021BF" w:rsidRDefault="000021BF" w:rsidP="000021BF">
      <w:pPr>
        <w:pStyle w:val="NormaleWeb"/>
        <w:spacing w:before="0" w:beforeAutospacing="0" w:after="0" w:afterAutospacing="0"/>
        <w:jc w:val="both"/>
        <w:rPr>
          <w:sz w:val="28"/>
          <w:szCs w:val="28"/>
        </w:rPr>
      </w:pPr>
      <w:r>
        <w:rPr>
          <w:sz w:val="28"/>
          <w:szCs w:val="28"/>
        </w:rPr>
        <w:t>Il problema è palese: si devono riunire tutte le</w:t>
      </w:r>
      <w:r w:rsidRPr="0095713B">
        <w:rPr>
          <w:sz w:val="28"/>
          <w:szCs w:val="28"/>
        </w:rPr>
        <w:t xml:space="preserve"> competenze dell’AGCOM, dell’AGCM e del Garante </w:t>
      </w:r>
      <w:r>
        <w:rPr>
          <w:sz w:val="28"/>
          <w:szCs w:val="28"/>
        </w:rPr>
        <w:t xml:space="preserve">della </w:t>
      </w:r>
      <w:r w:rsidRPr="0095713B">
        <w:rPr>
          <w:sz w:val="28"/>
          <w:szCs w:val="28"/>
        </w:rPr>
        <w:t xml:space="preserve">Privacy. </w:t>
      </w:r>
    </w:p>
    <w:p w14:paraId="533D9B9A" w14:textId="77777777" w:rsidR="000021BF" w:rsidRDefault="000021BF" w:rsidP="000021BF">
      <w:pPr>
        <w:pStyle w:val="NormaleWeb"/>
        <w:spacing w:before="0" w:beforeAutospacing="0" w:after="0" w:afterAutospacing="0"/>
        <w:jc w:val="both"/>
        <w:rPr>
          <w:sz w:val="28"/>
          <w:szCs w:val="28"/>
        </w:rPr>
      </w:pPr>
      <w:r w:rsidRPr="0095713B">
        <w:rPr>
          <w:sz w:val="28"/>
          <w:szCs w:val="28"/>
        </w:rPr>
        <w:t>L</w:t>
      </w:r>
      <w:r>
        <w:rPr>
          <w:sz w:val="28"/>
          <w:szCs w:val="28"/>
        </w:rPr>
        <w:t>’Autorità Garante delle Comunicazioni deve</w:t>
      </w:r>
      <w:r w:rsidRPr="0095713B">
        <w:rPr>
          <w:sz w:val="28"/>
          <w:szCs w:val="28"/>
        </w:rPr>
        <w:t xml:space="preserve"> vigilare sui servizi media audiovisivi, in particolare sulle piattaforme di condivisione video </w:t>
      </w:r>
      <w:r>
        <w:rPr>
          <w:sz w:val="28"/>
          <w:szCs w:val="28"/>
        </w:rPr>
        <w:t>(anche</w:t>
      </w:r>
      <w:r w:rsidRPr="0095713B">
        <w:rPr>
          <w:sz w:val="28"/>
          <w:szCs w:val="28"/>
        </w:rPr>
        <w:t xml:space="preserve"> </w:t>
      </w:r>
      <w:r w:rsidRPr="00717A65">
        <w:rPr>
          <w:i/>
          <w:iCs/>
          <w:sz w:val="28"/>
          <w:szCs w:val="28"/>
        </w:rPr>
        <w:t>social media</w:t>
      </w:r>
      <w:r>
        <w:rPr>
          <w:i/>
          <w:iCs/>
          <w:sz w:val="28"/>
          <w:szCs w:val="28"/>
        </w:rPr>
        <w:t>)</w:t>
      </w:r>
      <w:r w:rsidRPr="0095713B">
        <w:rPr>
          <w:sz w:val="28"/>
          <w:szCs w:val="28"/>
        </w:rPr>
        <w:t>.</w:t>
      </w:r>
    </w:p>
    <w:p w14:paraId="7D8757FB" w14:textId="77777777" w:rsidR="000021BF" w:rsidRDefault="000021BF" w:rsidP="000021BF">
      <w:pPr>
        <w:pStyle w:val="NormaleWeb"/>
        <w:spacing w:before="0" w:beforeAutospacing="0" w:after="0" w:afterAutospacing="0"/>
        <w:jc w:val="both"/>
        <w:rPr>
          <w:sz w:val="28"/>
          <w:szCs w:val="28"/>
        </w:rPr>
      </w:pPr>
      <w:r>
        <w:rPr>
          <w:sz w:val="28"/>
          <w:szCs w:val="28"/>
        </w:rPr>
        <w:t>Per quanto concerne il</w:t>
      </w:r>
      <w:r w:rsidRPr="0095713B">
        <w:rPr>
          <w:sz w:val="28"/>
          <w:szCs w:val="28"/>
        </w:rPr>
        <w:t xml:space="preserve"> </w:t>
      </w:r>
      <w:r>
        <w:rPr>
          <w:sz w:val="28"/>
          <w:szCs w:val="28"/>
        </w:rPr>
        <w:t>rinvio al</w:t>
      </w:r>
      <w:r w:rsidRPr="0095713B">
        <w:rPr>
          <w:sz w:val="28"/>
          <w:szCs w:val="28"/>
        </w:rPr>
        <w:t xml:space="preserve"> </w:t>
      </w:r>
      <w:r w:rsidRPr="00717A65">
        <w:rPr>
          <w:i/>
          <w:iCs/>
          <w:sz w:val="28"/>
          <w:szCs w:val="28"/>
        </w:rPr>
        <w:t>marketing</w:t>
      </w:r>
      <w:r w:rsidRPr="0095713B">
        <w:rPr>
          <w:sz w:val="28"/>
          <w:szCs w:val="28"/>
        </w:rPr>
        <w:t xml:space="preserve"> e alla pubblicità</w:t>
      </w:r>
      <w:r>
        <w:rPr>
          <w:sz w:val="28"/>
          <w:szCs w:val="28"/>
        </w:rPr>
        <w:t>, questo richiede</w:t>
      </w:r>
      <w:r w:rsidRPr="0095713B">
        <w:rPr>
          <w:sz w:val="28"/>
          <w:szCs w:val="28"/>
        </w:rPr>
        <w:t xml:space="preserve"> </w:t>
      </w:r>
      <w:r>
        <w:rPr>
          <w:sz w:val="28"/>
          <w:szCs w:val="28"/>
        </w:rPr>
        <w:t xml:space="preserve">una tutela </w:t>
      </w:r>
      <w:r w:rsidRPr="0095713B">
        <w:rPr>
          <w:sz w:val="28"/>
          <w:szCs w:val="28"/>
        </w:rPr>
        <w:t xml:space="preserve">dei consumatori, </w:t>
      </w:r>
      <w:r>
        <w:rPr>
          <w:sz w:val="28"/>
          <w:szCs w:val="28"/>
        </w:rPr>
        <w:t>con conseguente competenza dell’Antitrust.</w:t>
      </w:r>
    </w:p>
    <w:p w14:paraId="4C472DBF" w14:textId="77777777" w:rsidR="000021BF" w:rsidRDefault="000021BF" w:rsidP="000021BF">
      <w:pPr>
        <w:pStyle w:val="NormaleWeb"/>
        <w:spacing w:before="0" w:beforeAutospacing="0" w:after="0" w:afterAutospacing="0"/>
        <w:jc w:val="both"/>
        <w:rPr>
          <w:sz w:val="28"/>
          <w:szCs w:val="28"/>
        </w:rPr>
      </w:pPr>
      <w:r>
        <w:rPr>
          <w:sz w:val="28"/>
          <w:szCs w:val="28"/>
        </w:rPr>
        <w:t>Infine, il Garante della Privacy è necessario per la raccolta</w:t>
      </w:r>
      <w:r w:rsidRPr="0095713B">
        <w:rPr>
          <w:sz w:val="28"/>
          <w:szCs w:val="28"/>
        </w:rPr>
        <w:t xml:space="preserve"> di dati personali</w:t>
      </w:r>
      <w:r>
        <w:rPr>
          <w:sz w:val="28"/>
          <w:szCs w:val="28"/>
        </w:rPr>
        <w:t>, interventi già avvenuti per il</w:t>
      </w:r>
      <w:r w:rsidRPr="0095713B">
        <w:rPr>
          <w:sz w:val="28"/>
          <w:szCs w:val="28"/>
        </w:rPr>
        <w:t xml:space="preserve"> controllo dell’età dei soggetti che accedono </w:t>
      </w:r>
      <w:r>
        <w:rPr>
          <w:sz w:val="28"/>
          <w:szCs w:val="28"/>
        </w:rPr>
        <w:t>ai</w:t>
      </w:r>
      <w:r w:rsidRPr="0095713B">
        <w:rPr>
          <w:sz w:val="28"/>
          <w:szCs w:val="28"/>
        </w:rPr>
        <w:t xml:space="preserve"> </w:t>
      </w:r>
      <w:r w:rsidRPr="00717A65">
        <w:rPr>
          <w:i/>
          <w:iCs/>
          <w:sz w:val="28"/>
          <w:szCs w:val="28"/>
        </w:rPr>
        <w:t>social</w:t>
      </w:r>
      <w:r w:rsidRPr="0095713B">
        <w:rPr>
          <w:sz w:val="28"/>
          <w:szCs w:val="28"/>
        </w:rPr>
        <w:t xml:space="preserve">, in risposta ai gravissimi episodi </w:t>
      </w:r>
      <w:r>
        <w:rPr>
          <w:sz w:val="28"/>
          <w:szCs w:val="28"/>
        </w:rPr>
        <w:t>avvenuti su</w:t>
      </w:r>
      <w:r w:rsidRPr="0095713B">
        <w:rPr>
          <w:sz w:val="28"/>
          <w:szCs w:val="28"/>
        </w:rPr>
        <w:t xml:space="preserve"> </w:t>
      </w:r>
      <w:proofErr w:type="spellStart"/>
      <w:r w:rsidRPr="00117DDD">
        <w:rPr>
          <w:i/>
          <w:iCs/>
          <w:sz w:val="28"/>
          <w:szCs w:val="28"/>
        </w:rPr>
        <w:t>Tik</w:t>
      </w:r>
      <w:proofErr w:type="spellEnd"/>
      <w:r w:rsidRPr="00117DDD">
        <w:rPr>
          <w:i/>
          <w:iCs/>
          <w:sz w:val="28"/>
          <w:szCs w:val="28"/>
        </w:rPr>
        <w:t xml:space="preserve"> </w:t>
      </w:r>
      <w:proofErr w:type="spellStart"/>
      <w:r w:rsidRPr="00117DDD">
        <w:rPr>
          <w:i/>
          <w:iCs/>
          <w:sz w:val="28"/>
          <w:szCs w:val="28"/>
        </w:rPr>
        <w:t>Tok</w:t>
      </w:r>
      <w:proofErr w:type="spellEnd"/>
      <w:r w:rsidRPr="0095713B">
        <w:rPr>
          <w:sz w:val="28"/>
          <w:szCs w:val="28"/>
        </w:rPr>
        <w:t xml:space="preserve">. </w:t>
      </w:r>
    </w:p>
    <w:p w14:paraId="61B2D213" w14:textId="77777777" w:rsidR="000021BF" w:rsidRPr="0095713B" w:rsidRDefault="000021BF" w:rsidP="000021BF">
      <w:pPr>
        <w:pStyle w:val="NormaleWeb"/>
        <w:spacing w:before="0" w:beforeAutospacing="0" w:after="0" w:afterAutospacing="0"/>
        <w:jc w:val="both"/>
        <w:rPr>
          <w:sz w:val="28"/>
          <w:szCs w:val="28"/>
        </w:rPr>
      </w:pPr>
    </w:p>
    <w:p w14:paraId="24320D01" w14:textId="77777777" w:rsidR="000021BF" w:rsidRDefault="000021BF" w:rsidP="000021BF">
      <w:pPr>
        <w:pStyle w:val="NormaleWeb"/>
        <w:spacing w:before="0" w:beforeAutospacing="0" w:after="0" w:afterAutospacing="0"/>
        <w:jc w:val="both"/>
        <w:rPr>
          <w:sz w:val="28"/>
          <w:szCs w:val="28"/>
        </w:rPr>
      </w:pPr>
      <w:r>
        <w:rPr>
          <w:sz w:val="28"/>
          <w:szCs w:val="28"/>
        </w:rPr>
        <w:t xml:space="preserve">Il </w:t>
      </w:r>
      <w:r w:rsidRPr="00117DDD">
        <w:rPr>
          <w:i/>
          <w:iCs/>
          <w:sz w:val="28"/>
          <w:szCs w:val="28"/>
        </w:rPr>
        <w:t xml:space="preserve">Digital Services </w:t>
      </w:r>
      <w:proofErr w:type="spellStart"/>
      <w:r w:rsidRPr="00117DDD">
        <w:rPr>
          <w:i/>
          <w:iCs/>
          <w:sz w:val="28"/>
          <w:szCs w:val="28"/>
        </w:rPr>
        <w:t>Act</w:t>
      </w:r>
      <w:proofErr w:type="spellEnd"/>
      <w:r>
        <w:rPr>
          <w:i/>
          <w:iCs/>
          <w:sz w:val="28"/>
          <w:szCs w:val="28"/>
        </w:rPr>
        <w:t xml:space="preserve">, </w:t>
      </w:r>
      <w:r>
        <w:rPr>
          <w:sz w:val="28"/>
          <w:szCs w:val="28"/>
        </w:rPr>
        <w:t>dal canto suo,</w:t>
      </w:r>
      <w:r w:rsidRPr="0095713B">
        <w:rPr>
          <w:sz w:val="28"/>
          <w:szCs w:val="28"/>
        </w:rPr>
        <w:t xml:space="preserve"> </w:t>
      </w:r>
      <w:r>
        <w:rPr>
          <w:sz w:val="28"/>
          <w:szCs w:val="28"/>
        </w:rPr>
        <w:t xml:space="preserve">si limita a </w:t>
      </w:r>
      <w:r w:rsidRPr="0095713B">
        <w:rPr>
          <w:sz w:val="28"/>
          <w:szCs w:val="28"/>
        </w:rPr>
        <w:t>preved</w:t>
      </w:r>
      <w:r>
        <w:rPr>
          <w:sz w:val="28"/>
          <w:szCs w:val="28"/>
        </w:rPr>
        <w:t>ere</w:t>
      </w:r>
      <w:r w:rsidRPr="0095713B">
        <w:rPr>
          <w:sz w:val="28"/>
          <w:szCs w:val="28"/>
        </w:rPr>
        <w:t xml:space="preserve"> l’istituzione </w:t>
      </w:r>
      <w:r>
        <w:rPr>
          <w:sz w:val="28"/>
          <w:szCs w:val="28"/>
        </w:rPr>
        <w:t>dei c.d</w:t>
      </w:r>
      <w:r>
        <w:rPr>
          <w:i/>
          <w:iCs/>
          <w:sz w:val="28"/>
          <w:szCs w:val="28"/>
        </w:rPr>
        <w:t xml:space="preserve">. </w:t>
      </w:r>
      <w:r w:rsidRPr="00117DDD">
        <w:rPr>
          <w:sz w:val="28"/>
          <w:szCs w:val="28"/>
        </w:rPr>
        <w:t>“</w:t>
      </w:r>
      <w:r w:rsidRPr="00117DDD">
        <w:rPr>
          <w:i/>
          <w:iCs/>
          <w:sz w:val="28"/>
          <w:szCs w:val="28"/>
        </w:rPr>
        <w:t>coordinatori nazionali per i servizi digitali</w:t>
      </w:r>
      <w:r w:rsidRPr="00117DDD">
        <w:rPr>
          <w:sz w:val="28"/>
          <w:szCs w:val="28"/>
        </w:rPr>
        <w:t>”</w:t>
      </w:r>
      <w:r>
        <w:rPr>
          <w:sz w:val="28"/>
          <w:szCs w:val="28"/>
        </w:rPr>
        <w:t>, cioè</w:t>
      </w:r>
      <w:r w:rsidRPr="0095713B">
        <w:rPr>
          <w:sz w:val="28"/>
          <w:szCs w:val="28"/>
        </w:rPr>
        <w:t xml:space="preserve"> autorità nazionali competenti per il </w:t>
      </w:r>
      <w:r w:rsidRPr="0095713B">
        <w:rPr>
          <w:sz w:val="28"/>
          <w:szCs w:val="28"/>
        </w:rPr>
        <w:lastRenderedPageBreak/>
        <w:t>controllo e l’attuazione della disciplina</w:t>
      </w:r>
      <w:r>
        <w:rPr>
          <w:sz w:val="28"/>
          <w:szCs w:val="28"/>
        </w:rPr>
        <w:t>. Sicuramente tali poteri potrebbero essere attribuiti all’AGCOM, ma è solo una delle tante possibilità.</w:t>
      </w:r>
    </w:p>
    <w:p w14:paraId="2F299AA2" w14:textId="77777777" w:rsidR="000021BF" w:rsidRDefault="000021BF" w:rsidP="000021BF">
      <w:pPr>
        <w:pStyle w:val="NormaleWeb"/>
        <w:spacing w:before="0" w:beforeAutospacing="0" w:after="0" w:afterAutospacing="0"/>
        <w:jc w:val="both"/>
        <w:rPr>
          <w:sz w:val="28"/>
          <w:szCs w:val="28"/>
        </w:rPr>
      </w:pPr>
      <w:r>
        <w:rPr>
          <w:sz w:val="28"/>
          <w:szCs w:val="28"/>
        </w:rPr>
        <w:t>Anche</w:t>
      </w:r>
      <w:r w:rsidRPr="0095713B">
        <w:rPr>
          <w:sz w:val="28"/>
          <w:szCs w:val="28"/>
        </w:rPr>
        <w:t xml:space="preserve"> le altre Autorità</w:t>
      </w:r>
      <w:r>
        <w:rPr>
          <w:sz w:val="28"/>
          <w:szCs w:val="28"/>
        </w:rPr>
        <w:t xml:space="preserve">, infatti, </w:t>
      </w:r>
      <w:r w:rsidRPr="0095713B">
        <w:rPr>
          <w:sz w:val="28"/>
          <w:szCs w:val="28"/>
        </w:rPr>
        <w:t xml:space="preserve">potrebbero rivendicare i poteri previsti dal DSA, specialmente </w:t>
      </w:r>
      <w:r>
        <w:rPr>
          <w:sz w:val="28"/>
          <w:szCs w:val="28"/>
        </w:rPr>
        <w:t>perché</w:t>
      </w:r>
      <w:r w:rsidRPr="0095713B">
        <w:rPr>
          <w:sz w:val="28"/>
          <w:szCs w:val="28"/>
        </w:rPr>
        <w:t xml:space="preserve"> il Regolamento </w:t>
      </w:r>
      <w:r>
        <w:rPr>
          <w:sz w:val="28"/>
          <w:szCs w:val="28"/>
        </w:rPr>
        <w:t xml:space="preserve">esplicitamente </w:t>
      </w:r>
      <w:r w:rsidRPr="0095713B">
        <w:rPr>
          <w:sz w:val="28"/>
          <w:szCs w:val="28"/>
        </w:rPr>
        <w:t xml:space="preserve">prevede </w:t>
      </w:r>
      <w:r>
        <w:rPr>
          <w:sz w:val="28"/>
          <w:szCs w:val="28"/>
        </w:rPr>
        <w:t>la possibilità di</w:t>
      </w:r>
      <w:r w:rsidRPr="0095713B">
        <w:rPr>
          <w:sz w:val="28"/>
          <w:szCs w:val="28"/>
        </w:rPr>
        <w:t xml:space="preserve"> designare contestualmente</w:t>
      </w:r>
      <w:r>
        <w:rPr>
          <w:sz w:val="28"/>
          <w:szCs w:val="28"/>
        </w:rPr>
        <w:t xml:space="preserve"> più soggetti</w:t>
      </w:r>
      <w:r w:rsidRPr="0095713B">
        <w:rPr>
          <w:sz w:val="28"/>
          <w:szCs w:val="28"/>
        </w:rPr>
        <w:t xml:space="preserve"> competenti.</w:t>
      </w:r>
    </w:p>
    <w:p w14:paraId="6A1E0653" w14:textId="77777777" w:rsidR="000021BF" w:rsidRDefault="000021BF" w:rsidP="000021BF">
      <w:pPr>
        <w:pStyle w:val="NormaleWeb"/>
        <w:spacing w:before="0" w:beforeAutospacing="0" w:after="0" w:afterAutospacing="0"/>
        <w:jc w:val="both"/>
        <w:rPr>
          <w:sz w:val="28"/>
          <w:szCs w:val="28"/>
        </w:rPr>
      </w:pPr>
      <w:r>
        <w:rPr>
          <w:sz w:val="28"/>
          <w:szCs w:val="28"/>
        </w:rPr>
        <w:t xml:space="preserve">Oppure, si potrebbe istituire </w:t>
      </w:r>
      <w:r w:rsidRPr="0095713B">
        <w:rPr>
          <w:sz w:val="28"/>
          <w:szCs w:val="28"/>
        </w:rPr>
        <w:t xml:space="preserve">un’Autorità </w:t>
      </w:r>
      <w:r w:rsidRPr="00117DDD">
        <w:rPr>
          <w:i/>
          <w:iCs/>
          <w:sz w:val="28"/>
          <w:szCs w:val="28"/>
        </w:rPr>
        <w:t>ex novo</w:t>
      </w:r>
      <w:r w:rsidRPr="0095713B">
        <w:rPr>
          <w:sz w:val="28"/>
          <w:szCs w:val="28"/>
        </w:rPr>
        <w:t>.</w:t>
      </w:r>
    </w:p>
    <w:p w14:paraId="1CE59750" w14:textId="77777777" w:rsidR="000021BF" w:rsidRPr="0095713B" w:rsidRDefault="000021BF" w:rsidP="000021BF">
      <w:pPr>
        <w:pStyle w:val="NormaleWeb"/>
        <w:spacing w:before="0" w:beforeAutospacing="0" w:after="0" w:afterAutospacing="0"/>
        <w:jc w:val="both"/>
        <w:rPr>
          <w:sz w:val="28"/>
          <w:szCs w:val="28"/>
        </w:rPr>
      </w:pPr>
      <w:r>
        <w:rPr>
          <w:sz w:val="28"/>
          <w:szCs w:val="28"/>
        </w:rPr>
        <w:t xml:space="preserve">Ancora, auspicabilmente, </w:t>
      </w:r>
      <w:r w:rsidRPr="0095713B">
        <w:rPr>
          <w:sz w:val="28"/>
          <w:szCs w:val="28"/>
        </w:rPr>
        <w:t xml:space="preserve">si potrebbe </w:t>
      </w:r>
      <w:r>
        <w:rPr>
          <w:sz w:val="28"/>
          <w:szCs w:val="28"/>
        </w:rPr>
        <w:t>optare per</w:t>
      </w:r>
      <w:r w:rsidRPr="0095713B">
        <w:rPr>
          <w:sz w:val="28"/>
          <w:szCs w:val="28"/>
        </w:rPr>
        <w:t xml:space="preserve"> l’accorpamento delle diverse Autorità, riunificando le competenze di quelle già esistenti</w:t>
      </w:r>
      <w:r>
        <w:rPr>
          <w:sz w:val="28"/>
          <w:szCs w:val="28"/>
        </w:rPr>
        <w:t>.</w:t>
      </w:r>
    </w:p>
    <w:p w14:paraId="2EEAA6E3" w14:textId="77777777" w:rsidR="000021BF" w:rsidRPr="0095713B" w:rsidRDefault="000021BF" w:rsidP="000021BF">
      <w:pPr>
        <w:pStyle w:val="NormaleWeb"/>
        <w:spacing w:before="0" w:beforeAutospacing="0" w:after="0" w:afterAutospacing="0"/>
        <w:jc w:val="both"/>
        <w:rPr>
          <w:sz w:val="28"/>
          <w:szCs w:val="28"/>
        </w:rPr>
      </w:pPr>
      <w:r>
        <w:rPr>
          <w:sz w:val="28"/>
          <w:szCs w:val="28"/>
        </w:rPr>
        <w:t>Ad ogni modo, sui singoli Stati incombe</w:t>
      </w:r>
      <w:r w:rsidRPr="0095713B">
        <w:rPr>
          <w:sz w:val="28"/>
          <w:szCs w:val="28"/>
        </w:rPr>
        <w:t xml:space="preserve"> l’onere di determinare quali compiti siano attribuiti a ciascuna </w:t>
      </w:r>
      <w:r>
        <w:rPr>
          <w:sz w:val="28"/>
          <w:szCs w:val="28"/>
        </w:rPr>
        <w:t xml:space="preserve">Autorità e </w:t>
      </w:r>
      <w:r w:rsidRPr="0095713B">
        <w:rPr>
          <w:sz w:val="28"/>
          <w:szCs w:val="28"/>
        </w:rPr>
        <w:t>le modalità di cooperazione fra le une e le altre.</w:t>
      </w:r>
    </w:p>
    <w:p w14:paraId="7B112F99" w14:textId="77777777" w:rsidR="000021BF" w:rsidRDefault="000021BF" w:rsidP="000021BF">
      <w:pPr>
        <w:pStyle w:val="NormaleWeb"/>
        <w:spacing w:before="0" w:beforeAutospacing="0" w:after="0" w:afterAutospacing="0"/>
        <w:jc w:val="both"/>
        <w:rPr>
          <w:sz w:val="28"/>
          <w:szCs w:val="28"/>
        </w:rPr>
      </w:pPr>
      <w:r>
        <w:rPr>
          <w:sz w:val="28"/>
          <w:szCs w:val="28"/>
        </w:rPr>
        <w:t>Si vedano le</w:t>
      </w:r>
      <w:r w:rsidRPr="0095713B">
        <w:rPr>
          <w:sz w:val="28"/>
          <w:szCs w:val="28"/>
        </w:rPr>
        <w:t xml:space="preserve"> osservazioni formulate dell’EPDS nell’</w:t>
      </w:r>
      <w:r w:rsidRPr="00E52495">
        <w:rPr>
          <w:i/>
          <w:iCs/>
          <w:sz w:val="28"/>
          <w:szCs w:val="28"/>
        </w:rPr>
        <w:t>Opinion 1/2021</w:t>
      </w:r>
      <w:r>
        <w:rPr>
          <w:sz w:val="28"/>
          <w:szCs w:val="28"/>
        </w:rPr>
        <w:t xml:space="preserve">: </w:t>
      </w:r>
      <w:r w:rsidRPr="0095713B">
        <w:rPr>
          <w:sz w:val="28"/>
          <w:szCs w:val="28"/>
        </w:rPr>
        <w:t xml:space="preserve">data la trasversalità delle attività oggetto della regolamentazione, è </w:t>
      </w:r>
      <w:r>
        <w:rPr>
          <w:sz w:val="28"/>
          <w:szCs w:val="28"/>
        </w:rPr>
        <w:t>quasi scontato che vi</w:t>
      </w:r>
      <w:r w:rsidRPr="0095713B">
        <w:rPr>
          <w:sz w:val="28"/>
          <w:szCs w:val="28"/>
        </w:rPr>
        <w:t xml:space="preserve"> sarà la concorrenza di più autorità, </w:t>
      </w:r>
      <w:r>
        <w:rPr>
          <w:sz w:val="28"/>
          <w:szCs w:val="28"/>
        </w:rPr>
        <w:t>soprattutto di quelle</w:t>
      </w:r>
      <w:r w:rsidRPr="0095713B">
        <w:rPr>
          <w:sz w:val="28"/>
          <w:szCs w:val="28"/>
        </w:rPr>
        <w:t xml:space="preserve"> responsabili per la protezione dei dati personali</w:t>
      </w:r>
      <w:r>
        <w:rPr>
          <w:sz w:val="28"/>
          <w:szCs w:val="28"/>
        </w:rPr>
        <w:t>, poiché queste vengono in rilievo ogni volta</w:t>
      </w:r>
      <w:r w:rsidRPr="0095713B">
        <w:rPr>
          <w:sz w:val="28"/>
          <w:szCs w:val="28"/>
        </w:rPr>
        <w:t xml:space="preserve"> in cui le attività includano l’utilizzo di dati personali. Per </w:t>
      </w:r>
      <w:r>
        <w:rPr>
          <w:sz w:val="28"/>
          <w:szCs w:val="28"/>
        </w:rPr>
        <w:t>questo motivo</w:t>
      </w:r>
      <w:r w:rsidRPr="0095713B">
        <w:rPr>
          <w:sz w:val="28"/>
          <w:szCs w:val="28"/>
        </w:rPr>
        <w:t xml:space="preserve">, </w:t>
      </w:r>
      <w:r>
        <w:rPr>
          <w:sz w:val="28"/>
          <w:szCs w:val="28"/>
        </w:rPr>
        <w:t>il Comitato</w:t>
      </w:r>
      <w:r w:rsidRPr="0095713B">
        <w:rPr>
          <w:sz w:val="28"/>
          <w:szCs w:val="28"/>
        </w:rPr>
        <w:t xml:space="preserve"> </w:t>
      </w:r>
      <w:r>
        <w:rPr>
          <w:sz w:val="28"/>
          <w:szCs w:val="28"/>
        </w:rPr>
        <w:t>spera</w:t>
      </w:r>
      <w:r w:rsidRPr="0095713B">
        <w:rPr>
          <w:sz w:val="28"/>
          <w:szCs w:val="28"/>
        </w:rPr>
        <w:t xml:space="preserve"> che la versione definitiva del Regolamento </w:t>
      </w:r>
      <w:r>
        <w:rPr>
          <w:sz w:val="28"/>
          <w:szCs w:val="28"/>
        </w:rPr>
        <w:t>individui</w:t>
      </w:r>
      <w:r w:rsidRPr="0095713B">
        <w:rPr>
          <w:sz w:val="28"/>
          <w:szCs w:val="28"/>
        </w:rPr>
        <w:t xml:space="preserve"> un criterio legal</w:t>
      </w:r>
      <w:r>
        <w:rPr>
          <w:sz w:val="28"/>
          <w:szCs w:val="28"/>
        </w:rPr>
        <w:t xml:space="preserve">e </w:t>
      </w:r>
      <w:r w:rsidRPr="0095713B">
        <w:rPr>
          <w:sz w:val="28"/>
          <w:szCs w:val="28"/>
        </w:rPr>
        <w:t xml:space="preserve">sul quale basare la cooperazione, </w:t>
      </w:r>
      <w:r>
        <w:rPr>
          <w:sz w:val="28"/>
          <w:szCs w:val="28"/>
        </w:rPr>
        <w:t>strutturi</w:t>
      </w:r>
      <w:r w:rsidRPr="0095713B">
        <w:rPr>
          <w:sz w:val="28"/>
          <w:szCs w:val="28"/>
        </w:rPr>
        <w:t xml:space="preserve"> la cooperazione fra le diverse </w:t>
      </w:r>
      <w:r>
        <w:rPr>
          <w:sz w:val="28"/>
          <w:szCs w:val="28"/>
        </w:rPr>
        <w:t>A</w:t>
      </w:r>
      <w:r w:rsidRPr="0095713B">
        <w:rPr>
          <w:sz w:val="28"/>
          <w:szCs w:val="28"/>
        </w:rPr>
        <w:t>utorità e</w:t>
      </w:r>
      <w:r>
        <w:rPr>
          <w:sz w:val="28"/>
          <w:szCs w:val="28"/>
        </w:rPr>
        <w:t xml:space="preserve"> precisi con chiarezza </w:t>
      </w:r>
      <w:r w:rsidRPr="0095713B">
        <w:rPr>
          <w:sz w:val="28"/>
          <w:szCs w:val="28"/>
        </w:rPr>
        <w:t xml:space="preserve">le </w:t>
      </w:r>
      <w:r>
        <w:rPr>
          <w:sz w:val="28"/>
          <w:szCs w:val="28"/>
        </w:rPr>
        <w:t>A</w:t>
      </w:r>
      <w:r w:rsidRPr="0095713B">
        <w:rPr>
          <w:sz w:val="28"/>
          <w:szCs w:val="28"/>
        </w:rPr>
        <w:t xml:space="preserve">utorità coinvolte nella cooperazione e le circostanze </w:t>
      </w:r>
      <w:r>
        <w:rPr>
          <w:sz w:val="28"/>
          <w:szCs w:val="28"/>
        </w:rPr>
        <w:t>che prevedono tale</w:t>
      </w:r>
      <w:r w:rsidRPr="0095713B">
        <w:rPr>
          <w:sz w:val="28"/>
          <w:szCs w:val="28"/>
        </w:rPr>
        <w:t xml:space="preserve"> cooperazione</w:t>
      </w:r>
      <w:r>
        <w:rPr>
          <w:sz w:val="28"/>
          <w:szCs w:val="28"/>
        </w:rPr>
        <w:t>.</w:t>
      </w:r>
    </w:p>
    <w:p w14:paraId="5D5BF851" w14:textId="77777777" w:rsidR="000021BF" w:rsidRPr="0095713B" w:rsidRDefault="000021BF" w:rsidP="000021BF">
      <w:pPr>
        <w:pStyle w:val="NormaleWeb"/>
        <w:spacing w:before="0" w:beforeAutospacing="0" w:after="0" w:afterAutospacing="0"/>
        <w:jc w:val="both"/>
        <w:rPr>
          <w:sz w:val="28"/>
          <w:szCs w:val="28"/>
        </w:rPr>
      </w:pPr>
    </w:p>
    <w:p w14:paraId="2C521F75" w14:textId="77777777" w:rsidR="000021BF" w:rsidRPr="0095713B" w:rsidRDefault="000021BF" w:rsidP="000021BF">
      <w:pPr>
        <w:pStyle w:val="NormaleWeb"/>
        <w:spacing w:before="0" w:beforeAutospacing="0" w:after="0" w:afterAutospacing="0"/>
        <w:jc w:val="both"/>
        <w:rPr>
          <w:sz w:val="28"/>
          <w:szCs w:val="28"/>
        </w:rPr>
      </w:pPr>
      <w:r>
        <w:rPr>
          <w:sz w:val="28"/>
          <w:szCs w:val="28"/>
        </w:rPr>
        <w:t>Per quanto concerne il</w:t>
      </w:r>
      <w:r w:rsidRPr="0095713B">
        <w:rPr>
          <w:sz w:val="28"/>
          <w:szCs w:val="28"/>
        </w:rPr>
        <w:t xml:space="preserve"> </w:t>
      </w:r>
      <w:r w:rsidRPr="002E12E3">
        <w:rPr>
          <w:i/>
          <w:iCs/>
          <w:sz w:val="28"/>
          <w:szCs w:val="28"/>
        </w:rPr>
        <w:t xml:space="preserve">Digital </w:t>
      </w:r>
      <w:proofErr w:type="spellStart"/>
      <w:r w:rsidRPr="002E12E3">
        <w:rPr>
          <w:i/>
          <w:iCs/>
          <w:sz w:val="28"/>
          <w:szCs w:val="28"/>
        </w:rPr>
        <w:t>Markets</w:t>
      </w:r>
      <w:proofErr w:type="spellEnd"/>
      <w:r w:rsidRPr="002E12E3">
        <w:rPr>
          <w:i/>
          <w:iCs/>
          <w:sz w:val="28"/>
          <w:szCs w:val="28"/>
        </w:rPr>
        <w:t xml:space="preserve"> </w:t>
      </w:r>
      <w:proofErr w:type="spellStart"/>
      <w:r w:rsidRPr="002E12E3">
        <w:rPr>
          <w:i/>
          <w:iCs/>
          <w:sz w:val="28"/>
          <w:szCs w:val="28"/>
        </w:rPr>
        <w:t>Act</w:t>
      </w:r>
      <w:proofErr w:type="spellEnd"/>
      <w:r w:rsidRPr="0095713B">
        <w:rPr>
          <w:sz w:val="28"/>
          <w:szCs w:val="28"/>
        </w:rPr>
        <w:t xml:space="preserve">, </w:t>
      </w:r>
      <w:r>
        <w:rPr>
          <w:sz w:val="28"/>
          <w:szCs w:val="28"/>
        </w:rPr>
        <w:t xml:space="preserve">si </w:t>
      </w:r>
      <w:r w:rsidRPr="0095713B">
        <w:rPr>
          <w:sz w:val="28"/>
          <w:szCs w:val="28"/>
        </w:rPr>
        <w:t>richiama</w:t>
      </w:r>
      <w:r>
        <w:rPr>
          <w:sz w:val="28"/>
          <w:szCs w:val="28"/>
        </w:rPr>
        <w:t>no</w:t>
      </w:r>
      <w:r w:rsidRPr="0095713B">
        <w:rPr>
          <w:sz w:val="28"/>
          <w:szCs w:val="28"/>
        </w:rPr>
        <w:t xml:space="preserve"> </w:t>
      </w:r>
      <w:r>
        <w:rPr>
          <w:sz w:val="28"/>
          <w:szCs w:val="28"/>
        </w:rPr>
        <w:t>ipotesi di</w:t>
      </w:r>
      <w:r w:rsidRPr="0095713B">
        <w:rPr>
          <w:sz w:val="28"/>
          <w:szCs w:val="28"/>
        </w:rPr>
        <w:t xml:space="preserve"> concorrenza di diverse Autorità</w:t>
      </w:r>
      <w:r>
        <w:rPr>
          <w:sz w:val="28"/>
          <w:szCs w:val="28"/>
        </w:rPr>
        <w:t xml:space="preserve">: </w:t>
      </w:r>
      <w:r w:rsidRPr="0095713B">
        <w:rPr>
          <w:sz w:val="28"/>
          <w:szCs w:val="28"/>
        </w:rPr>
        <w:t>diverse norme hanno ad oggetto lo sfruttamento dei dati personali da parte dei “</w:t>
      </w:r>
      <w:proofErr w:type="spellStart"/>
      <w:r w:rsidRPr="00E52495">
        <w:rPr>
          <w:i/>
          <w:iCs/>
          <w:sz w:val="28"/>
          <w:szCs w:val="28"/>
        </w:rPr>
        <w:t>gatekeeper</w:t>
      </w:r>
      <w:r>
        <w:rPr>
          <w:i/>
          <w:iCs/>
          <w:sz w:val="28"/>
          <w:szCs w:val="28"/>
        </w:rPr>
        <w:t>s</w:t>
      </w:r>
      <w:proofErr w:type="spellEnd"/>
      <w:r w:rsidRPr="0095713B">
        <w:rPr>
          <w:sz w:val="28"/>
          <w:szCs w:val="28"/>
        </w:rPr>
        <w:t xml:space="preserve">”, ossia </w:t>
      </w:r>
      <w:r>
        <w:rPr>
          <w:sz w:val="28"/>
          <w:szCs w:val="28"/>
        </w:rPr>
        <w:t>de</w:t>
      </w:r>
      <w:r w:rsidRPr="0095713B">
        <w:rPr>
          <w:sz w:val="28"/>
          <w:szCs w:val="28"/>
        </w:rPr>
        <w:t xml:space="preserve">i soggetti destinatari della disciplina, </w:t>
      </w:r>
      <w:r>
        <w:rPr>
          <w:sz w:val="28"/>
          <w:szCs w:val="28"/>
        </w:rPr>
        <w:t>preannunciando</w:t>
      </w:r>
      <w:r w:rsidRPr="0095713B">
        <w:rPr>
          <w:sz w:val="28"/>
          <w:szCs w:val="28"/>
        </w:rPr>
        <w:t xml:space="preserve"> il possibile intervento del Garante</w:t>
      </w:r>
      <w:r>
        <w:rPr>
          <w:sz w:val="28"/>
          <w:szCs w:val="28"/>
        </w:rPr>
        <w:t>, oltre all’ovvia competenza dell’Antitrust.</w:t>
      </w:r>
    </w:p>
    <w:p w14:paraId="658D91C9" w14:textId="77777777" w:rsidR="000021BF" w:rsidRPr="0095713B" w:rsidRDefault="000021BF" w:rsidP="000021BF">
      <w:pPr>
        <w:pStyle w:val="NormaleWeb"/>
        <w:spacing w:before="0" w:beforeAutospacing="0" w:after="0" w:afterAutospacing="0"/>
        <w:jc w:val="both"/>
        <w:rPr>
          <w:sz w:val="28"/>
          <w:szCs w:val="28"/>
        </w:rPr>
      </w:pPr>
      <w:r w:rsidRPr="0095713B">
        <w:rPr>
          <w:sz w:val="28"/>
          <w:szCs w:val="28"/>
        </w:rPr>
        <w:t xml:space="preserve">L’art. 32 della proposta prevede </w:t>
      </w:r>
      <w:r>
        <w:rPr>
          <w:sz w:val="28"/>
          <w:szCs w:val="28"/>
        </w:rPr>
        <w:t>anche</w:t>
      </w:r>
      <w:r w:rsidRPr="0095713B">
        <w:rPr>
          <w:sz w:val="28"/>
          <w:szCs w:val="28"/>
        </w:rPr>
        <w:t xml:space="preserve"> la creazione di un comitato consultivo </w:t>
      </w:r>
      <w:r>
        <w:rPr>
          <w:sz w:val="28"/>
          <w:szCs w:val="28"/>
        </w:rPr>
        <w:t>per</w:t>
      </w:r>
      <w:r w:rsidRPr="0095713B">
        <w:rPr>
          <w:sz w:val="28"/>
          <w:szCs w:val="28"/>
        </w:rPr>
        <w:t xml:space="preserve"> assistere la Commissione nello svolgimento delle funzioni</w:t>
      </w:r>
      <w:r>
        <w:rPr>
          <w:sz w:val="28"/>
          <w:szCs w:val="28"/>
        </w:rPr>
        <w:t>. Su questo elemento</w:t>
      </w:r>
      <w:r w:rsidRPr="0095713B">
        <w:rPr>
          <w:sz w:val="28"/>
          <w:szCs w:val="28"/>
        </w:rPr>
        <w:t xml:space="preserve"> si è pronunciato l’EDPS con l’</w:t>
      </w:r>
      <w:r w:rsidRPr="00E52495">
        <w:rPr>
          <w:i/>
          <w:iCs/>
          <w:sz w:val="28"/>
          <w:szCs w:val="28"/>
        </w:rPr>
        <w:t>Opinion 2/2021</w:t>
      </w:r>
      <w:r>
        <w:rPr>
          <w:rStyle w:val="Rimandonotaapidipagina"/>
          <w:sz w:val="28"/>
          <w:szCs w:val="28"/>
        </w:rPr>
        <w:footnoteReference w:id="143"/>
      </w:r>
      <w:r>
        <w:rPr>
          <w:sz w:val="28"/>
          <w:szCs w:val="28"/>
        </w:rPr>
        <w:t xml:space="preserve">, secondo cui </w:t>
      </w:r>
      <w:r w:rsidRPr="0095713B">
        <w:rPr>
          <w:sz w:val="28"/>
          <w:szCs w:val="28"/>
        </w:rPr>
        <w:t xml:space="preserve">i membri dell’EDPB </w:t>
      </w:r>
      <w:r>
        <w:rPr>
          <w:sz w:val="28"/>
          <w:szCs w:val="28"/>
        </w:rPr>
        <w:t>dovrebbero prendere</w:t>
      </w:r>
      <w:r w:rsidRPr="0095713B">
        <w:rPr>
          <w:sz w:val="28"/>
          <w:szCs w:val="28"/>
        </w:rPr>
        <w:t xml:space="preserve"> parte a tale comitato</w:t>
      </w:r>
      <w:r>
        <w:rPr>
          <w:sz w:val="28"/>
          <w:szCs w:val="28"/>
        </w:rPr>
        <w:t xml:space="preserve"> consultivo</w:t>
      </w:r>
      <w:r w:rsidRPr="0095713B">
        <w:rPr>
          <w:sz w:val="28"/>
          <w:szCs w:val="28"/>
        </w:rPr>
        <w:t xml:space="preserve"> e</w:t>
      </w:r>
      <w:r>
        <w:rPr>
          <w:sz w:val="28"/>
          <w:szCs w:val="28"/>
        </w:rPr>
        <w:t xml:space="preserve"> bisognerebbe </w:t>
      </w:r>
      <w:r w:rsidRPr="0095713B">
        <w:rPr>
          <w:sz w:val="28"/>
          <w:szCs w:val="28"/>
        </w:rPr>
        <w:t>struttura</w:t>
      </w:r>
      <w:r>
        <w:rPr>
          <w:sz w:val="28"/>
          <w:szCs w:val="28"/>
        </w:rPr>
        <w:t>re al meglio</w:t>
      </w:r>
      <w:r w:rsidRPr="0095713B">
        <w:rPr>
          <w:sz w:val="28"/>
          <w:szCs w:val="28"/>
        </w:rPr>
        <w:t xml:space="preserve"> la cooperazione fra le diverse </w:t>
      </w:r>
      <w:r>
        <w:rPr>
          <w:sz w:val="28"/>
          <w:szCs w:val="28"/>
        </w:rPr>
        <w:t>A</w:t>
      </w:r>
      <w:r w:rsidRPr="0095713B">
        <w:rPr>
          <w:sz w:val="28"/>
          <w:szCs w:val="28"/>
        </w:rPr>
        <w:t xml:space="preserve">utorità competenti </w:t>
      </w:r>
      <w:r>
        <w:rPr>
          <w:sz w:val="28"/>
          <w:szCs w:val="28"/>
        </w:rPr>
        <w:t>potenzialmente</w:t>
      </w:r>
      <w:r w:rsidRPr="0095713B">
        <w:rPr>
          <w:sz w:val="28"/>
          <w:szCs w:val="28"/>
        </w:rPr>
        <w:t xml:space="preserve"> coinvolte</w:t>
      </w:r>
      <w:r>
        <w:rPr>
          <w:sz w:val="28"/>
          <w:szCs w:val="28"/>
        </w:rPr>
        <w:t xml:space="preserve"> (</w:t>
      </w:r>
      <w:r w:rsidRPr="0095713B">
        <w:rPr>
          <w:sz w:val="28"/>
          <w:szCs w:val="28"/>
        </w:rPr>
        <w:t>indicando la base giuridica idonea a giustificare lo scambio di informazioni fra le stesse</w:t>
      </w:r>
      <w:r>
        <w:rPr>
          <w:sz w:val="28"/>
          <w:szCs w:val="28"/>
        </w:rPr>
        <w:t>).</w:t>
      </w:r>
    </w:p>
    <w:p w14:paraId="3B9B7C10" w14:textId="781D4173" w:rsidR="00A53C89" w:rsidRDefault="000021BF" w:rsidP="00A53C89">
      <w:pPr>
        <w:pStyle w:val="NormaleWeb"/>
        <w:spacing w:before="0" w:beforeAutospacing="0" w:after="0" w:afterAutospacing="0"/>
        <w:jc w:val="both"/>
        <w:rPr>
          <w:sz w:val="28"/>
          <w:szCs w:val="28"/>
        </w:rPr>
      </w:pPr>
      <w:r>
        <w:rPr>
          <w:sz w:val="28"/>
          <w:szCs w:val="28"/>
        </w:rPr>
        <w:t>Si può affermare, in conclusione</w:t>
      </w:r>
      <w:r w:rsidRPr="0095713B">
        <w:rPr>
          <w:sz w:val="28"/>
          <w:szCs w:val="28"/>
        </w:rPr>
        <w:t xml:space="preserve">, </w:t>
      </w:r>
      <w:r>
        <w:rPr>
          <w:sz w:val="28"/>
          <w:szCs w:val="28"/>
        </w:rPr>
        <w:t xml:space="preserve">che </w:t>
      </w:r>
      <w:r w:rsidRPr="0095713B">
        <w:rPr>
          <w:sz w:val="28"/>
          <w:szCs w:val="28"/>
        </w:rPr>
        <w:t>il quadro normativo vigente</w:t>
      </w:r>
      <w:r>
        <w:rPr>
          <w:sz w:val="28"/>
          <w:szCs w:val="28"/>
        </w:rPr>
        <w:t xml:space="preserve"> e</w:t>
      </w:r>
      <w:r w:rsidRPr="0095713B">
        <w:rPr>
          <w:sz w:val="28"/>
          <w:szCs w:val="28"/>
        </w:rPr>
        <w:t xml:space="preserve"> le prospettive di riforma </w:t>
      </w:r>
      <w:r>
        <w:rPr>
          <w:sz w:val="28"/>
          <w:szCs w:val="28"/>
        </w:rPr>
        <w:t>non sono rassicuranti per lo scopo qui analizzato: è, tuttavia, un elemento importante, per cui servirebbe, il prima possibile,</w:t>
      </w:r>
      <w:r w:rsidRPr="0095713B">
        <w:rPr>
          <w:sz w:val="28"/>
          <w:szCs w:val="28"/>
        </w:rPr>
        <w:t xml:space="preserve"> riorganizza</w:t>
      </w:r>
      <w:r>
        <w:rPr>
          <w:sz w:val="28"/>
          <w:szCs w:val="28"/>
        </w:rPr>
        <w:t>re il</w:t>
      </w:r>
      <w:r w:rsidRPr="0095713B">
        <w:rPr>
          <w:sz w:val="28"/>
          <w:szCs w:val="28"/>
        </w:rPr>
        <w:t xml:space="preserve"> sistema</w:t>
      </w:r>
      <w:r>
        <w:rPr>
          <w:rStyle w:val="Rimandonotaapidipagina"/>
          <w:sz w:val="28"/>
          <w:szCs w:val="28"/>
        </w:rPr>
        <w:footnoteReference w:id="144"/>
      </w:r>
      <w:r>
        <w:rPr>
          <w:sz w:val="28"/>
          <w:szCs w:val="28"/>
        </w:rPr>
        <w:t>.</w:t>
      </w:r>
      <w:r w:rsidR="00A53C89">
        <w:rPr>
          <w:sz w:val="28"/>
          <w:szCs w:val="28"/>
        </w:rPr>
        <w:br w:type="page"/>
      </w:r>
    </w:p>
    <w:p w14:paraId="3FFBF308" w14:textId="7F594F38" w:rsidR="00A75A26" w:rsidRPr="00A53C89" w:rsidRDefault="00A75A26" w:rsidP="00A53C89">
      <w:pPr>
        <w:pStyle w:val="NormaleWeb"/>
        <w:spacing w:before="0" w:beforeAutospacing="0" w:after="0" w:afterAutospacing="0"/>
        <w:jc w:val="both"/>
        <w:rPr>
          <w:sz w:val="28"/>
          <w:szCs w:val="28"/>
        </w:rPr>
      </w:pPr>
      <w:r w:rsidRPr="00C14844">
        <w:rPr>
          <w:b/>
          <w:bCs/>
          <w:sz w:val="32"/>
          <w:szCs w:val="32"/>
        </w:rPr>
        <w:lastRenderedPageBreak/>
        <w:t>Capitolo</w:t>
      </w:r>
      <w:r w:rsidR="008F4198" w:rsidRPr="008F4198">
        <w:rPr>
          <w:b/>
          <w:bCs/>
          <w:sz w:val="32"/>
          <w:szCs w:val="32"/>
        </w:rPr>
        <w:t xml:space="preserve"> </w:t>
      </w:r>
      <w:r w:rsidR="008F4198" w:rsidRPr="00C14844">
        <w:rPr>
          <w:b/>
          <w:bCs/>
          <w:sz w:val="32"/>
          <w:szCs w:val="32"/>
        </w:rPr>
        <w:t>IX</w:t>
      </w:r>
    </w:p>
    <w:p w14:paraId="0E945F67" w14:textId="0C39F4F4" w:rsidR="005A65A4" w:rsidRPr="00C14844" w:rsidRDefault="00BF1C65" w:rsidP="00920436">
      <w:pPr>
        <w:pStyle w:val="NormaleWeb"/>
        <w:jc w:val="both"/>
        <w:rPr>
          <w:b/>
          <w:bCs/>
          <w:sz w:val="32"/>
          <w:szCs w:val="32"/>
        </w:rPr>
      </w:pPr>
      <w:r w:rsidRPr="00C14844">
        <w:rPr>
          <w:b/>
          <w:bCs/>
          <w:sz w:val="32"/>
          <w:szCs w:val="32"/>
        </w:rPr>
        <w:t>Servizio civile digitale</w:t>
      </w:r>
    </w:p>
    <w:p w14:paraId="46AD880D" w14:textId="77777777" w:rsidR="008E2937" w:rsidRDefault="007D0045" w:rsidP="008E2937">
      <w:pPr>
        <w:pStyle w:val="NormaleWeb"/>
        <w:spacing w:before="0" w:beforeAutospacing="0" w:after="0" w:afterAutospacing="0"/>
        <w:jc w:val="both"/>
        <w:rPr>
          <w:sz w:val="28"/>
          <w:szCs w:val="28"/>
        </w:rPr>
      </w:pPr>
      <w:r>
        <w:rPr>
          <w:sz w:val="28"/>
          <w:szCs w:val="28"/>
        </w:rPr>
        <w:t>Si parla di “</w:t>
      </w:r>
      <w:r w:rsidRPr="007D0045">
        <w:rPr>
          <w:i/>
          <w:iCs/>
          <w:sz w:val="28"/>
          <w:szCs w:val="28"/>
        </w:rPr>
        <w:t>servizio civile digitale</w:t>
      </w:r>
      <w:r>
        <w:rPr>
          <w:sz w:val="28"/>
          <w:szCs w:val="28"/>
        </w:rPr>
        <w:t>”</w:t>
      </w:r>
      <w:r w:rsidR="00BF1C65">
        <w:rPr>
          <w:sz w:val="28"/>
          <w:szCs w:val="28"/>
        </w:rPr>
        <w:t xml:space="preserve"> per indicare l’utilizzo del digitale nello svolgimento di attività di interesse pubblico. Il servizio civile digitale è </w:t>
      </w:r>
      <w:r w:rsidR="00A27247">
        <w:rPr>
          <w:sz w:val="28"/>
          <w:szCs w:val="28"/>
        </w:rPr>
        <w:t>teso, ad</w:t>
      </w:r>
      <w:r w:rsidR="00BF1C65">
        <w:rPr>
          <w:sz w:val="28"/>
          <w:szCs w:val="28"/>
        </w:rPr>
        <w:t xml:space="preserve"> esempio, a</w:t>
      </w:r>
      <w:r w:rsidR="00A732D1">
        <w:rPr>
          <w:sz w:val="28"/>
          <w:szCs w:val="28"/>
        </w:rPr>
        <w:t xml:space="preserve"> c</w:t>
      </w:r>
      <w:r w:rsidR="00BF1C65">
        <w:rPr>
          <w:sz w:val="28"/>
          <w:szCs w:val="28"/>
        </w:rPr>
        <w:t>o</w:t>
      </w:r>
      <w:r w:rsidR="00A732D1">
        <w:rPr>
          <w:sz w:val="28"/>
          <w:szCs w:val="28"/>
        </w:rPr>
        <w:t xml:space="preserve">mbattere fenomeni devianti come quelli multiformi </w:t>
      </w:r>
      <w:r w:rsidR="00A732D1" w:rsidRPr="00CE7580">
        <w:rPr>
          <w:sz w:val="28"/>
          <w:szCs w:val="28"/>
        </w:rPr>
        <w:t xml:space="preserve">della corruzione. </w:t>
      </w:r>
    </w:p>
    <w:p w14:paraId="22684B37" w14:textId="77777777" w:rsidR="008E2937" w:rsidRDefault="00BF1C65" w:rsidP="008E2937">
      <w:pPr>
        <w:pStyle w:val="NormaleWeb"/>
        <w:spacing w:before="0" w:beforeAutospacing="0" w:after="0" w:afterAutospacing="0"/>
        <w:jc w:val="both"/>
        <w:rPr>
          <w:sz w:val="28"/>
          <w:szCs w:val="28"/>
        </w:rPr>
      </w:pPr>
      <w:r w:rsidRPr="00CE7580">
        <w:rPr>
          <w:sz w:val="28"/>
          <w:szCs w:val="28"/>
        </w:rPr>
        <w:t xml:space="preserve">Per citare un’applicazione </w:t>
      </w:r>
      <w:r w:rsidR="00A27247" w:rsidRPr="00CE7580">
        <w:rPr>
          <w:sz w:val="28"/>
          <w:szCs w:val="28"/>
        </w:rPr>
        <w:t>concreta,</w:t>
      </w:r>
      <w:r w:rsidR="00A732D1" w:rsidRPr="00CE7580">
        <w:rPr>
          <w:sz w:val="28"/>
          <w:szCs w:val="28"/>
        </w:rPr>
        <w:t xml:space="preserve"> di recente si è proceduto alla </w:t>
      </w:r>
      <w:r w:rsidR="007D0045" w:rsidRPr="00CE7580">
        <w:rPr>
          <w:sz w:val="28"/>
          <w:szCs w:val="28"/>
        </w:rPr>
        <w:t>c</w:t>
      </w:r>
      <w:r w:rsidR="00CA66AC" w:rsidRPr="00CE7580">
        <w:rPr>
          <w:sz w:val="28"/>
          <w:szCs w:val="28"/>
        </w:rPr>
        <w:t>.</w:t>
      </w:r>
      <w:r w:rsidR="00A732D1" w:rsidRPr="00CE7580">
        <w:rPr>
          <w:sz w:val="28"/>
          <w:szCs w:val="28"/>
        </w:rPr>
        <w:t>d</w:t>
      </w:r>
      <w:r w:rsidR="00CA66AC" w:rsidRPr="00CE7580">
        <w:rPr>
          <w:sz w:val="28"/>
          <w:szCs w:val="28"/>
        </w:rPr>
        <w:t>.</w:t>
      </w:r>
      <w:r w:rsidR="00A732D1" w:rsidRPr="00CE7580">
        <w:rPr>
          <w:sz w:val="28"/>
          <w:szCs w:val="28"/>
        </w:rPr>
        <w:t xml:space="preserve"> Robustezza di piattaforme per le segnalazioni di </w:t>
      </w:r>
      <w:proofErr w:type="spellStart"/>
      <w:r w:rsidR="00A732D1" w:rsidRPr="00CE7580">
        <w:rPr>
          <w:i/>
          <w:iCs/>
          <w:sz w:val="28"/>
          <w:szCs w:val="28"/>
        </w:rPr>
        <w:t>whistleblowing</w:t>
      </w:r>
      <w:proofErr w:type="spellEnd"/>
      <w:r w:rsidR="00A732D1" w:rsidRPr="00CE7580">
        <w:rPr>
          <w:sz w:val="28"/>
          <w:szCs w:val="28"/>
        </w:rPr>
        <w:t xml:space="preserve"> al Responsabile della prevenzione, corruzione e trasparenza. Il portale utilizza un protocoll</w:t>
      </w:r>
      <w:r w:rsidR="00CA66AC" w:rsidRPr="00CE7580">
        <w:rPr>
          <w:sz w:val="28"/>
          <w:szCs w:val="28"/>
        </w:rPr>
        <w:t>o</w:t>
      </w:r>
      <w:r w:rsidR="00A732D1" w:rsidRPr="00CE7580">
        <w:rPr>
          <w:sz w:val="28"/>
          <w:szCs w:val="28"/>
        </w:rPr>
        <w:t xml:space="preserve"> di crittografia in grado di</w:t>
      </w:r>
      <w:r w:rsidR="00A732D1">
        <w:rPr>
          <w:sz w:val="28"/>
          <w:szCs w:val="28"/>
        </w:rPr>
        <w:t xml:space="preserve"> garantire la riservatezza dell’identità del segnalante, del contenuto della segnalazione e della documentazione allegata.</w:t>
      </w:r>
      <w:r w:rsidR="00A27247">
        <w:rPr>
          <w:sz w:val="28"/>
          <w:szCs w:val="28"/>
        </w:rPr>
        <w:t xml:space="preserve"> </w:t>
      </w:r>
      <w:r w:rsidR="00920436" w:rsidRPr="00920436">
        <w:rPr>
          <w:sz w:val="28"/>
          <w:szCs w:val="28"/>
        </w:rPr>
        <w:t xml:space="preserve">È curioso che, alla notevole attenzione sociale e politica, non corrisponda una proporzionale </w:t>
      </w:r>
      <w:r w:rsidR="00A27247" w:rsidRPr="00920436">
        <w:rPr>
          <w:sz w:val="28"/>
          <w:szCs w:val="28"/>
        </w:rPr>
        <w:t>densità</w:t>
      </w:r>
      <w:r w:rsidR="00920436" w:rsidRPr="00920436">
        <w:rPr>
          <w:sz w:val="28"/>
          <w:szCs w:val="28"/>
        </w:rPr>
        <w:t xml:space="preserve"> di casistica giurisprudenziale. </w:t>
      </w:r>
    </w:p>
    <w:p w14:paraId="095BC546" w14:textId="77777777" w:rsidR="008E2937" w:rsidRDefault="00920436" w:rsidP="008E2937">
      <w:pPr>
        <w:pStyle w:val="NormaleWeb"/>
        <w:spacing w:before="0" w:beforeAutospacing="0" w:after="0" w:afterAutospacing="0"/>
        <w:jc w:val="both"/>
        <w:rPr>
          <w:sz w:val="28"/>
          <w:szCs w:val="28"/>
        </w:rPr>
      </w:pPr>
      <w:r w:rsidRPr="00920436">
        <w:rPr>
          <w:sz w:val="28"/>
          <w:szCs w:val="28"/>
        </w:rPr>
        <w:t>I fenomeni in questione sembrano restare al di fuori della dimensione giudiziaria. Storicamente, in un primo tempo, l’esplosione del mondo digitale è avvenuta per gran parte addirittura al di fuori della stessa dimensione giuridica; talvolta in un vero e proprio far west. Oggi</w:t>
      </w:r>
      <w:r w:rsidR="008E2937">
        <w:rPr>
          <w:sz w:val="28"/>
          <w:szCs w:val="28"/>
        </w:rPr>
        <w:t>,</w:t>
      </w:r>
      <w:r w:rsidRPr="00920436">
        <w:rPr>
          <w:sz w:val="28"/>
          <w:szCs w:val="28"/>
        </w:rPr>
        <w:t xml:space="preserve"> questo non è </w:t>
      </w:r>
      <w:r w:rsidR="00A27247" w:rsidRPr="00920436">
        <w:rPr>
          <w:sz w:val="28"/>
          <w:szCs w:val="28"/>
        </w:rPr>
        <w:t>più</w:t>
      </w:r>
      <w:r w:rsidR="00A27247">
        <w:rPr>
          <w:sz w:val="28"/>
          <w:szCs w:val="28"/>
        </w:rPr>
        <w:t xml:space="preserve"> </w:t>
      </w:r>
      <w:r w:rsidRPr="00920436">
        <w:rPr>
          <w:sz w:val="28"/>
          <w:szCs w:val="28"/>
        </w:rPr>
        <w:t>vero ma le regole del gioco sembrano applicarsi con mo</w:t>
      </w:r>
      <w:r w:rsidR="00B40441">
        <w:rPr>
          <w:sz w:val="28"/>
          <w:szCs w:val="28"/>
        </w:rPr>
        <w:t xml:space="preserve">lta difficoltà. </w:t>
      </w:r>
    </w:p>
    <w:p w14:paraId="775A7D0A" w14:textId="77777777" w:rsidR="008E2937" w:rsidRDefault="00920436" w:rsidP="008E2937">
      <w:pPr>
        <w:pStyle w:val="NormaleWeb"/>
        <w:spacing w:before="0" w:beforeAutospacing="0" w:after="0" w:afterAutospacing="0"/>
        <w:jc w:val="both"/>
        <w:rPr>
          <w:sz w:val="28"/>
          <w:szCs w:val="28"/>
        </w:rPr>
      </w:pPr>
      <w:r w:rsidRPr="00920436">
        <w:rPr>
          <w:sz w:val="28"/>
          <w:szCs w:val="28"/>
        </w:rPr>
        <w:t xml:space="preserve">Su un fronte, quello delle piattaforme </w:t>
      </w:r>
      <w:r w:rsidRPr="008E2937">
        <w:rPr>
          <w:i/>
          <w:iCs/>
          <w:sz w:val="28"/>
          <w:szCs w:val="28"/>
        </w:rPr>
        <w:t>social</w:t>
      </w:r>
      <w:r w:rsidRPr="00920436">
        <w:rPr>
          <w:sz w:val="28"/>
          <w:szCs w:val="28"/>
        </w:rPr>
        <w:t>, sono queste stesse a dettare le regole e, almeno in parte o nelle intenzioni, costituiscono anche gli organi di giustizia.</w:t>
      </w:r>
      <w:r w:rsidRPr="00920436">
        <w:rPr>
          <w:sz w:val="28"/>
          <w:szCs w:val="28"/>
        </w:rPr>
        <w:br/>
        <w:t>Sull’altro fronte, del c.d. “</w:t>
      </w:r>
      <w:r w:rsidRPr="008E2937">
        <w:rPr>
          <w:i/>
          <w:iCs/>
          <w:sz w:val="28"/>
          <w:szCs w:val="28"/>
        </w:rPr>
        <w:t>marketing digitale</w:t>
      </w:r>
      <w:r w:rsidRPr="00920436">
        <w:rPr>
          <w:sz w:val="28"/>
          <w:szCs w:val="28"/>
        </w:rPr>
        <w:t xml:space="preserve">”, l’economia </w:t>
      </w:r>
      <w:r w:rsidRPr="00920436">
        <w:rPr>
          <w:i/>
          <w:iCs/>
          <w:sz w:val="28"/>
          <w:szCs w:val="28"/>
        </w:rPr>
        <w:t xml:space="preserve">data </w:t>
      </w:r>
      <w:proofErr w:type="spellStart"/>
      <w:r w:rsidRPr="00920436">
        <w:rPr>
          <w:i/>
          <w:iCs/>
          <w:sz w:val="28"/>
          <w:szCs w:val="28"/>
        </w:rPr>
        <w:t>driven</w:t>
      </w:r>
      <w:proofErr w:type="spellEnd"/>
      <w:r w:rsidRPr="00920436">
        <w:rPr>
          <w:i/>
          <w:iCs/>
          <w:sz w:val="28"/>
          <w:szCs w:val="28"/>
        </w:rPr>
        <w:t xml:space="preserve"> </w:t>
      </w:r>
      <w:r w:rsidRPr="00920436">
        <w:rPr>
          <w:sz w:val="28"/>
          <w:szCs w:val="28"/>
        </w:rPr>
        <w:t xml:space="preserve">sembra sottrarsi ad ogni regola, fatta eccezione per la disciplina della protezione dei dati personali, che </w:t>
      </w:r>
      <w:r w:rsidRPr="00CE7580">
        <w:rPr>
          <w:sz w:val="28"/>
          <w:szCs w:val="28"/>
        </w:rPr>
        <w:t xml:space="preserve">sembra atteggiarsi talvolta ad ultima barriera ad una incontrollata libertà di azione. </w:t>
      </w:r>
    </w:p>
    <w:p w14:paraId="59FCD564" w14:textId="77777777" w:rsidR="008E2937" w:rsidRDefault="00920436" w:rsidP="008E2937">
      <w:pPr>
        <w:pStyle w:val="NormaleWeb"/>
        <w:spacing w:before="0" w:beforeAutospacing="0" w:after="0" w:afterAutospacing="0"/>
        <w:jc w:val="both"/>
        <w:rPr>
          <w:sz w:val="28"/>
          <w:szCs w:val="28"/>
        </w:rPr>
      </w:pPr>
      <w:r w:rsidRPr="00CE7580">
        <w:rPr>
          <w:sz w:val="28"/>
          <w:szCs w:val="28"/>
        </w:rPr>
        <w:t xml:space="preserve">Il principale presidio di </w:t>
      </w:r>
      <w:r w:rsidR="00A27247" w:rsidRPr="00CE7580">
        <w:rPr>
          <w:sz w:val="28"/>
          <w:szCs w:val="28"/>
        </w:rPr>
        <w:t xml:space="preserve">legalità </w:t>
      </w:r>
      <w:r w:rsidRPr="00CE7580">
        <w:rPr>
          <w:sz w:val="28"/>
          <w:szCs w:val="28"/>
        </w:rPr>
        <w:t xml:space="preserve">è rappresentato dalle </w:t>
      </w:r>
      <w:r w:rsidR="00A27247" w:rsidRPr="00CE7580">
        <w:rPr>
          <w:sz w:val="28"/>
          <w:szCs w:val="28"/>
        </w:rPr>
        <w:t xml:space="preserve">autorità </w:t>
      </w:r>
      <w:r w:rsidRPr="00CE7580">
        <w:rPr>
          <w:sz w:val="28"/>
          <w:szCs w:val="28"/>
        </w:rPr>
        <w:t xml:space="preserve">garanti. </w:t>
      </w:r>
    </w:p>
    <w:p w14:paraId="5192DFF9" w14:textId="77777777" w:rsidR="008E2937" w:rsidRDefault="008E2937" w:rsidP="008E2937">
      <w:pPr>
        <w:pStyle w:val="NormaleWeb"/>
        <w:spacing w:before="0" w:beforeAutospacing="0" w:after="0" w:afterAutospacing="0"/>
        <w:jc w:val="both"/>
        <w:rPr>
          <w:sz w:val="28"/>
          <w:szCs w:val="28"/>
        </w:rPr>
      </w:pPr>
    </w:p>
    <w:p w14:paraId="70AD3039" w14:textId="53933631" w:rsidR="008E2937" w:rsidRDefault="00920436" w:rsidP="008E2937">
      <w:pPr>
        <w:pStyle w:val="NormaleWeb"/>
        <w:spacing w:before="0" w:beforeAutospacing="0" w:after="0" w:afterAutospacing="0"/>
        <w:jc w:val="both"/>
        <w:rPr>
          <w:sz w:val="28"/>
          <w:szCs w:val="28"/>
        </w:rPr>
      </w:pPr>
      <w:r w:rsidRPr="00CE7580">
        <w:rPr>
          <w:sz w:val="28"/>
          <w:szCs w:val="28"/>
        </w:rPr>
        <w:t>Nelle pronunce del Garante della privacy (GPDP) si riscontra un</w:t>
      </w:r>
      <w:r w:rsidR="00FD52C0" w:rsidRPr="00CE7580">
        <w:rPr>
          <w:sz w:val="28"/>
          <w:szCs w:val="28"/>
        </w:rPr>
        <w:t>a particolare attenzione alla tutela dei dati personali nel processo in corso di costruzione dell’interoperabilità digitale</w:t>
      </w:r>
      <w:r w:rsidR="000C2875" w:rsidRPr="00CE7580">
        <w:rPr>
          <w:sz w:val="28"/>
          <w:szCs w:val="28"/>
        </w:rPr>
        <w:t xml:space="preserve"> basata sulle cd porte di dominio API</w:t>
      </w:r>
      <w:r w:rsidR="00FD52C0" w:rsidRPr="00CE7580">
        <w:rPr>
          <w:sz w:val="28"/>
          <w:szCs w:val="28"/>
        </w:rPr>
        <w:t>, cercando di individuare sempre il titolare del trattamento, come centro di imp</w:t>
      </w:r>
      <w:r w:rsidR="000C2875" w:rsidRPr="00CE7580">
        <w:rPr>
          <w:sz w:val="28"/>
          <w:szCs w:val="28"/>
        </w:rPr>
        <w:t>u</w:t>
      </w:r>
      <w:r w:rsidR="00FD52C0" w:rsidRPr="00CE7580">
        <w:rPr>
          <w:sz w:val="28"/>
          <w:szCs w:val="28"/>
        </w:rPr>
        <w:t>tazione della responsabilità</w:t>
      </w:r>
      <w:r w:rsidRPr="00CE7580">
        <w:rPr>
          <w:sz w:val="28"/>
          <w:szCs w:val="28"/>
        </w:rPr>
        <w:t xml:space="preserve">. </w:t>
      </w:r>
    </w:p>
    <w:p w14:paraId="4CB7D4CE" w14:textId="77777777" w:rsidR="008E2937" w:rsidRDefault="00A27247" w:rsidP="008E2937">
      <w:pPr>
        <w:pStyle w:val="NormaleWeb"/>
        <w:spacing w:before="0" w:beforeAutospacing="0" w:after="0" w:afterAutospacing="0"/>
        <w:jc w:val="both"/>
        <w:rPr>
          <w:sz w:val="28"/>
          <w:szCs w:val="28"/>
        </w:rPr>
      </w:pPr>
      <w:r w:rsidRPr="00CE7580">
        <w:rPr>
          <w:sz w:val="28"/>
          <w:szCs w:val="28"/>
        </w:rPr>
        <w:t>È</w:t>
      </w:r>
      <w:r w:rsidR="00920436" w:rsidRPr="00CE7580">
        <w:rPr>
          <w:sz w:val="28"/>
          <w:szCs w:val="28"/>
        </w:rPr>
        <w:t xml:space="preserve"> attiva l’</w:t>
      </w:r>
      <w:r w:rsidR="00CA66AC" w:rsidRPr="00CE7580">
        <w:rPr>
          <w:sz w:val="28"/>
          <w:szCs w:val="28"/>
        </w:rPr>
        <w:t xml:space="preserve">Autorità </w:t>
      </w:r>
      <w:r w:rsidR="00920436" w:rsidRPr="00CE7580">
        <w:rPr>
          <w:sz w:val="28"/>
          <w:szCs w:val="28"/>
        </w:rPr>
        <w:t xml:space="preserve">garante della concorrenza e del mercato (AGCM), con riguardo alla protezione dei consumatori dei servizi digitali, sia nei confronti delle piattaforme </w:t>
      </w:r>
      <w:r w:rsidR="00920436" w:rsidRPr="008E2937">
        <w:rPr>
          <w:i/>
          <w:iCs/>
          <w:sz w:val="28"/>
          <w:szCs w:val="28"/>
        </w:rPr>
        <w:t>social</w:t>
      </w:r>
      <w:r w:rsidR="00920436" w:rsidRPr="00CE7580">
        <w:rPr>
          <w:sz w:val="28"/>
          <w:szCs w:val="28"/>
        </w:rPr>
        <w:t xml:space="preserve">, sia con riguardo alle nuove dinamiche di promozione e </w:t>
      </w:r>
      <w:r w:rsidRPr="00CE7580">
        <w:rPr>
          <w:sz w:val="28"/>
          <w:szCs w:val="28"/>
        </w:rPr>
        <w:t xml:space="preserve">pubblicità </w:t>
      </w:r>
      <w:r w:rsidR="00920436" w:rsidRPr="00CE7580">
        <w:rPr>
          <w:sz w:val="28"/>
          <w:szCs w:val="28"/>
        </w:rPr>
        <w:t>commerciale. L</w:t>
      </w:r>
      <w:r w:rsidRPr="00CE7580">
        <w:rPr>
          <w:sz w:val="28"/>
          <w:szCs w:val="28"/>
        </w:rPr>
        <w:t>’</w:t>
      </w:r>
      <w:r w:rsidR="00CA66AC" w:rsidRPr="00CE7580">
        <w:rPr>
          <w:sz w:val="28"/>
          <w:szCs w:val="28"/>
        </w:rPr>
        <w:t xml:space="preserve">Autorità </w:t>
      </w:r>
      <w:r w:rsidR="00920436" w:rsidRPr="00CE7580">
        <w:rPr>
          <w:sz w:val="28"/>
          <w:szCs w:val="28"/>
        </w:rPr>
        <w:t xml:space="preserve">garante delle comunicazioni (AGCOM) è particolarmente attenta, naturalmente, ai profili della comunicazione digitale, con particolare riguardo per le campagne di odio e di denigrazione. </w:t>
      </w:r>
    </w:p>
    <w:p w14:paraId="4BBE30EF" w14:textId="77777777" w:rsidR="008E2937" w:rsidRDefault="00920436" w:rsidP="008E2937">
      <w:pPr>
        <w:pStyle w:val="NormaleWeb"/>
        <w:spacing w:before="0" w:beforeAutospacing="0" w:after="0" w:afterAutospacing="0"/>
        <w:jc w:val="both"/>
        <w:rPr>
          <w:sz w:val="28"/>
          <w:szCs w:val="28"/>
        </w:rPr>
      </w:pPr>
      <w:r w:rsidRPr="00CE7580">
        <w:rPr>
          <w:sz w:val="28"/>
          <w:szCs w:val="28"/>
        </w:rPr>
        <w:t>Va</w:t>
      </w:r>
      <w:r w:rsidR="008E2937">
        <w:rPr>
          <w:sz w:val="28"/>
          <w:szCs w:val="28"/>
        </w:rPr>
        <w:t>,</w:t>
      </w:r>
      <w:r w:rsidRPr="00CE7580">
        <w:rPr>
          <w:sz w:val="28"/>
          <w:szCs w:val="28"/>
        </w:rPr>
        <w:t xml:space="preserve"> peraltro</w:t>
      </w:r>
      <w:r w:rsidR="008E2937">
        <w:rPr>
          <w:sz w:val="28"/>
          <w:szCs w:val="28"/>
        </w:rPr>
        <w:t>,</w:t>
      </w:r>
      <w:r w:rsidRPr="00CE7580">
        <w:rPr>
          <w:sz w:val="28"/>
          <w:szCs w:val="28"/>
        </w:rPr>
        <w:t xml:space="preserve"> riscontrato che il riparto di competenze fra le diverse </w:t>
      </w:r>
      <w:r w:rsidR="00A27247" w:rsidRPr="00CE7580">
        <w:rPr>
          <w:sz w:val="28"/>
          <w:szCs w:val="28"/>
        </w:rPr>
        <w:t>Autorità</w:t>
      </w:r>
      <w:r w:rsidRPr="00CE7580">
        <w:rPr>
          <w:sz w:val="28"/>
          <w:szCs w:val="28"/>
        </w:rPr>
        <w:t xml:space="preserve"> rappresenta un profilo sempre </w:t>
      </w:r>
      <w:r w:rsidR="00A27247" w:rsidRPr="00CE7580">
        <w:rPr>
          <w:sz w:val="28"/>
          <w:szCs w:val="28"/>
        </w:rPr>
        <w:t>più</w:t>
      </w:r>
      <w:r w:rsidRPr="00CE7580">
        <w:rPr>
          <w:sz w:val="28"/>
          <w:szCs w:val="28"/>
        </w:rPr>
        <w:t xml:space="preserve"> incerto, data</w:t>
      </w:r>
      <w:r w:rsidRPr="00920436">
        <w:rPr>
          <w:sz w:val="28"/>
          <w:szCs w:val="28"/>
        </w:rPr>
        <w:t xml:space="preserve"> la </w:t>
      </w:r>
      <w:r w:rsidR="00A27247" w:rsidRPr="00920436">
        <w:rPr>
          <w:sz w:val="28"/>
          <w:szCs w:val="28"/>
        </w:rPr>
        <w:t>trasversalità</w:t>
      </w:r>
      <w:r w:rsidRPr="00920436">
        <w:rPr>
          <w:sz w:val="28"/>
          <w:szCs w:val="28"/>
        </w:rPr>
        <w:t xml:space="preserve"> dei temi affrontati. </w:t>
      </w:r>
    </w:p>
    <w:p w14:paraId="65B16A7D" w14:textId="77777777" w:rsidR="008E2937" w:rsidRDefault="00CA66AC" w:rsidP="008E2937">
      <w:pPr>
        <w:pStyle w:val="NormaleWeb"/>
        <w:spacing w:before="0" w:beforeAutospacing="0" w:after="0" w:afterAutospacing="0"/>
        <w:jc w:val="both"/>
        <w:rPr>
          <w:sz w:val="28"/>
          <w:szCs w:val="28"/>
        </w:rPr>
      </w:pPr>
      <w:r w:rsidRPr="00920436">
        <w:rPr>
          <w:sz w:val="28"/>
          <w:szCs w:val="28"/>
        </w:rPr>
        <w:t>È, comunque,</w:t>
      </w:r>
      <w:r w:rsidR="00920436" w:rsidRPr="00920436">
        <w:rPr>
          <w:sz w:val="28"/>
          <w:szCs w:val="28"/>
        </w:rPr>
        <w:t xml:space="preserve"> utile analizzare il quadro generale delle questioni verso le quali queste hanno maggiormente posto la propria attenzione, anche nel tentativo di comprendere quali problemi siano maggiormente rilevanti, prevedendo anche quali tematiche potrebbero arrivare nelle aule dei tribunali. </w:t>
      </w:r>
    </w:p>
    <w:p w14:paraId="140CEC72" w14:textId="77777777" w:rsidR="008E2937" w:rsidRDefault="00920436" w:rsidP="008E2937">
      <w:pPr>
        <w:pStyle w:val="NormaleWeb"/>
        <w:spacing w:before="0" w:beforeAutospacing="0" w:after="0" w:afterAutospacing="0"/>
        <w:jc w:val="both"/>
        <w:rPr>
          <w:sz w:val="28"/>
          <w:szCs w:val="28"/>
        </w:rPr>
      </w:pPr>
      <w:r w:rsidRPr="00920436">
        <w:rPr>
          <w:sz w:val="28"/>
          <w:szCs w:val="28"/>
        </w:rPr>
        <w:lastRenderedPageBreak/>
        <w:t xml:space="preserve">Il GPDP, ad esempio, si è pronunciato sulla necessità di rimuovere alcuni contenuti dai </w:t>
      </w:r>
      <w:r w:rsidRPr="008E2937">
        <w:rPr>
          <w:i/>
          <w:iCs/>
          <w:sz w:val="28"/>
          <w:szCs w:val="28"/>
        </w:rPr>
        <w:t>social media</w:t>
      </w:r>
      <w:r w:rsidRPr="00920436">
        <w:rPr>
          <w:sz w:val="28"/>
          <w:szCs w:val="28"/>
        </w:rPr>
        <w:t xml:space="preserve">, nel caso di coinvolgimento di soggetti minori o di episodi che integrassero il reato di diffamazione. </w:t>
      </w:r>
    </w:p>
    <w:p w14:paraId="5E764FC2" w14:textId="238BFB03" w:rsidR="008E2937" w:rsidRPr="008E2937" w:rsidRDefault="00920436" w:rsidP="008E2937">
      <w:pPr>
        <w:pStyle w:val="NormaleWeb"/>
        <w:spacing w:before="0" w:beforeAutospacing="0" w:after="0" w:afterAutospacing="0"/>
        <w:jc w:val="both"/>
        <w:rPr>
          <w:sz w:val="28"/>
          <w:szCs w:val="28"/>
        </w:rPr>
      </w:pPr>
      <w:r w:rsidRPr="00920436">
        <w:rPr>
          <w:sz w:val="28"/>
          <w:szCs w:val="28"/>
        </w:rPr>
        <w:t>L’AGCM ha</w:t>
      </w:r>
      <w:r w:rsidR="008E2937">
        <w:rPr>
          <w:sz w:val="28"/>
          <w:szCs w:val="28"/>
        </w:rPr>
        <w:t>,</w:t>
      </w:r>
      <w:r w:rsidRPr="00920436">
        <w:rPr>
          <w:sz w:val="28"/>
          <w:szCs w:val="28"/>
        </w:rPr>
        <w:t xml:space="preserve"> invece</w:t>
      </w:r>
      <w:r w:rsidR="008E2937">
        <w:rPr>
          <w:sz w:val="28"/>
          <w:szCs w:val="28"/>
        </w:rPr>
        <w:t>,</w:t>
      </w:r>
      <w:r w:rsidRPr="00920436">
        <w:rPr>
          <w:sz w:val="28"/>
          <w:szCs w:val="28"/>
        </w:rPr>
        <w:t xml:space="preserve"> toccato ampiamente il tema delle </w:t>
      </w:r>
      <w:r w:rsidR="00A27247" w:rsidRPr="00920436">
        <w:rPr>
          <w:sz w:val="28"/>
          <w:szCs w:val="28"/>
        </w:rPr>
        <w:t>pubblicità</w:t>
      </w:r>
      <w:r w:rsidR="00A27247">
        <w:rPr>
          <w:sz w:val="28"/>
          <w:szCs w:val="28"/>
        </w:rPr>
        <w:t xml:space="preserve"> </w:t>
      </w:r>
      <w:r w:rsidRPr="008E2937">
        <w:rPr>
          <w:i/>
          <w:iCs/>
          <w:sz w:val="28"/>
          <w:szCs w:val="28"/>
        </w:rPr>
        <w:t>online</w:t>
      </w:r>
      <w:r w:rsidRPr="00920436">
        <w:rPr>
          <w:sz w:val="28"/>
          <w:szCs w:val="28"/>
        </w:rPr>
        <w:t>, soprattutto con riguardo all’</w:t>
      </w:r>
      <w:r w:rsidR="00CA66AC" w:rsidRPr="00920436">
        <w:rPr>
          <w:sz w:val="28"/>
          <w:szCs w:val="28"/>
        </w:rPr>
        <w:t>attività</w:t>
      </w:r>
      <w:r w:rsidR="00CA66AC">
        <w:rPr>
          <w:sz w:val="28"/>
          <w:szCs w:val="28"/>
        </w:rPr>
        <w:t xml:space="preserve"> </w:t>
      </w:r>
      <w:r w:rsidRPr="00920436">
        <w:rPr>
          <w:sz w:val="28"/>
          <w:szCs w:val="28"/>
        </w:rPr>
        <w:t xml:space="preserve">svolta dagli </w:t>
      </w:r>
      <w:proofErr w:type="spellStart"/>
      <w:r w:rsidRPr="00CA66AC">
        <w:rPr>
          <w:i/>
          <w:iCs/>
          <w:sz w:val="28"/>
          <w:szCs w:val="28"/>
        </w:rPr>
        <w:t>influencer</w:t>
      </w:r>
      <w:proofErr w:type="spellEnd"/>
      <w:r w:rsidRPr="00920436">
        <w:rPr>
          <w:sz w:val="28"/>
          <w:szCs w:val="28"/>
        </w:rPr>
        <w:t xml:space="preserve">, incrociando la propria </w:t>
      </w:r>
      <w:r w:rsidR="00CA66AC" w:rsidRPr="00920436">
        <w:rPr>
          <w:sz w:val="28"/>
          <w:szCs w:val="28"/>
        </w:rPr>
        <w:t>attività</w:t>
      </w:r>
      <w:r w:rsidR="00CA66AC">
        <w:rPr>
          <w:sz w:val="28"/>
          <w:szCs w:val="28"/>
        </w:rPr>
        <w:t xml:space="preserve"> </w:t>
      </w:r>
      <w:r w:rsidRPr="00920436">
        <w:rPr>
          <w:sz w:val="28"/>
          <w:szCs w:val="28"/>
        </w:rPr>
        <w:t>all’introduzione di nuove regole – anche e soprattutto a livello europeo – volte a disciplinarne il comportamento. Parallelamente, vi è un’</w:t>
      </w:r>
      <w:r w:rsidR="00CA66AC" w:rsidRPr="00920436">
        <w:rPr>
          <w:sz w:val="28"/>
          <w:szCs w:val="28"/>
        </w:rPr>
        <w:t>attività</w:t>
      </w:r>
      <w:r w:rsidR="00CA66AC">
        <w:rPr>
          <w:sz w:val="28"/>
          <w:szCs w:val="28"/>
        </w:rPr>
        <w:t xml:space="preserve"> </w:t>
      </w:r>
      <w:r w:rsidRPr="00920436">
        <w:rPr>
          <w:sz w:val="28"/>
          <w:szCs w:val="28"/>
        </w:rPr>
        <w:t>cospicua nel settore della tutela dei marchi, legata ai nuovi rischi di contraffazione e non solo sorti con l’avvento dell’economia digitale</w:t>
      </w:r>
      <w:r w:rsidR="00AE1216">
        <w:rPr>
          <w:rStyle w:val="Rimandonotaapidipagina"/>
          <w:sz w:val="28"/>
          <w:szCs w:val="28"/>
        </w:rPr>
        <w:footnoteReference w:id="145"/>
      </w:r>
      <w:r w:rsidRPr="00920436">
        <w:rPr>
          <w:sz w:val="28"/>
          <w:szCs w:val="28"/>
        </w:rPr>
        <w:t>.</w:t>
      </w:r>
    </w:p>
    <w:p w14:paraId="6BA056E0" w14:textId="77777777" w:rsidR="008E2937" w:rsidRDefault="00920436" w:rsidP="008E2937">
      <w:pPr>
        <w:pStyle w:val="NormaleWeb"/>
        <w:spacing w:before="0" w:beforeAutospacing="0" w:after="0" w:afterAutospacing="0"/>
        <w:jc w:val="both"/>
        <w:rPr>
          <w:sz w:val="28"/>
          <w:szCs w:val="28"/>
        </w:rPr>
      </w:pPr>
      <w:r w:rsidRPr="00920436">
        <w:rPr>
          <w:sz w:val="28"/>
          <w:szCs w:val="28"/>
        </w:rPr>
        <w:t xml:space="preserve">L’AGCOM, infine, ha rivendicato su </w:t>
      </w:r>
      <w:r w:rsidR="00CA66AC" w:rsidRPr="00920436">
        <w:rPr>
          <w:sz w:val="28"/>
          <w:szCs w:val="28"/>
        </w:rPr>
        <w:t>più</w:t>
      </w:r>
      <w:r w:rsidR="00CA66AC">
        <w:rPr>
          <w:sz w:val="28"/>
          <w:szCs w:val="28"/>
        </w:rPr>
        <w:t xml:space="preserve"> </w:t>
      </w:r>
      <w:r w:rsidRPr="00920436">
        <w:rPr>
          <w:sz w:val="28"/>
          <w:szCs w:val="28"/>
        </w:rPr>
        <w:t xml:space="preserve">fronti l’importanza del proprio ruolo, anche tenendo conto delle modifiche che saranno apportate dal recepimento della nuova Direttiva SMAV (Servizi Media </w:t>
      </w:r>
      <w:proofErr w:type="spellStart"/>
      <w:r w:rsidRPr="00920436">
        <w:rPr>
          <w:sz w:val="28"/>
          <w:szCs w:val="28"/>
        </w:rPr>
        <w:t>AudioVisivi</w:t>
      </w:r>
      <w:proofErr w:type="spellEnd"/>
      <w:r w:rsidRPr="00920436">
        <w:rPr>
          <w:sz w:val="28"/>
          <w:szCs w:val="28"/>
        </w:rPr>
        <w:t xml:space="preserve">), che qualifica i servizi di </w:t>
      </w:r>
      <w:r w:rsidRPr="008E2937">
        <w:rPr>
          <w:i/>
          <w:iCs/>
          <w:sz w:val="28"/>
          <w:szCs w:val="28"/>
        </w:rPr>
        <w:t>video-</w:t>
      </w:r>
      <w:proofErr w:type="spellStart"/>
      <w:r w:rsidRPr="008E2937">
        <w:rPr>
          <w:i/>
          <w:iCs/>
          <w:sz w:val="28"/>
          <w:szCs w:val="28"/>
        </w:rPr>
        <w:t>sharing</w:t>
      </w:r>
      <w:proofErr w:type="spellEnd"/>
      <w:r w:rsidRPr="00920436">
        <w:rPr>
          <w:sz w:val="28"/>
          <w:szCs w:val="28"/>
        </w:rPr>
        <w:t xml:space="preserve"> come </w:t>
      </w:r>
      <w:r w:rsidRPr="008E2937">
        <w:rPr>
          <w:i/>
          <w:iCs/>
          <w:sz w:val="28"/>
          <w:szCs w:val="28"/>
        </w:rPr>
        <w:t>media</w:t>
      </w:r>
      <w:r w:rsidRPr="00920436">
        <w:rPr>
          <w:sz w:val="28"/>
          <w:szCs w:val="28"/>
        </w:rPr>
        <w:t>, facendo rientrare il controllo sui contenuti condivisi attraverso questi strumenti entro l’ambito di competenza dell’</w:t>
      </w:r>
      <w:r w:rsidR="00CA66AC" w:rsidRPr="00920436">
        <w:rPr>
          <w:sz w:val="28"/>
          <w:szCs w:val="28"/>
        </w:rPr>
        <w:t>Autorità</w:t>
      </w:r>
      <w:r w:rsidR="00CA66AC">
        <w:rPr>
          <w:sz w:val="28"/>
          <w:szCs w:val="28"/>
        </w:rPr>
        <w:t>.</w:t>
      </w:r>
      <w:r w:rsidRPr="00920436">
        <w:rPr>
          <w:sz w:val="28"/>
          <w:szCs w:val="28"/>
        </w:rPr>
        <w:t xml:space="preserve"> </w:t>
      </w:r>
    </w:p>
    <w:p w14:paraId="6BFB74DB" w14:textId="77777777" w:rsidR="008E2937" w:rsidRDefault="00920436" w:rsidP="008E2937">
      <w:pPr>
        <w:pStyle w:val="NormaleWeb"/>
        <w:spacing w:before="0" w:beforeAutospacing="0" w:after="0" w:afterAutospacing="0"/>
        <w:jc w:val="both"/>
        <w:rPr>
          <w:b/>
          <w:bCs/>
          <w:sz w:val="28"/>
          <w:szCs w:val="28"/>
        </w:rPr>
      </w:pPr>
      <w:r w:rsidRPr="00920436">
        <w:rPr>
          <w:sz w:val="28"/>
          <w:szCs w:val="28"/>
        </w:rPr>
        <w:t xml:space="preserve">Tornando a quanto detto prima in merito alla sempre maggiore sovrapposizione dell’ambito di intervento delle </w:t>
      </w:r>
      <w:r w:rsidR="00CA66AC" w:rsidRPr="00920436">
        <w:rPr>
          <w:sz w:val="28"/>
          <w:szCs w:val="28"/>
        </w:rPr>
        <w:t>Autorità</w:t>
      </w:r>
      <w:r w:rsidRPr="00920436">
        <w:rPr>
          <w:sz w:val="28"/>
          <w:szCs w:val="28"/>
        </w:rPr>
        <w:t xml:space="preserve">, </w:t>
      </w:r>
      <w:r w:rsidR="00CA66AC" w:rsidRPr="00920436">
        <w:rPr>
          <w:sz w:val="28"/>
          <w:szCs w:val="28"/>
        </w:rPr>
        <w:t>può</w:t>
      </w:r>
      <w:r w:rsidRPr="00920436">
        <w:rPr>
          <w:sz w:val="28"/>
          <w:szCs w:val="28"/>
        </w:rPr>
        <w:t xml:space="preserve"> evidenziarsi una certa </w:t>
      </w:r>
      <w:r w:rsidR="00CA66AC" w:rsidRPr="00920436">
        <w:rPr>
          <w:sz w:val="28"/>
          <w:szCs w:val="28"/>
        </w:rPr>
        <w:t>affinità</w:t>
      </w:r>
      <w:r w:rsidRPr="00920436">
        <w:rPr>
          <w:sz w:val="28"/>
          <w:szCs w:val="28"/>
        </w:rPr>
        <w:t xml:space="preserve"> fra alcune delle tematiche affrontate dall’AGCOM e dall’AGCM, con ad esempio per quanto riguarda appunto l’</w:t>
      </w:r>
      <w:r w:rsidR="00CA66AC" w:rsidRPr="00920436">
        <w:rPr>
          <w:sz w:val="28"/>
          <w:szCs w:val="28"/>
        </w:rPr>
        <w:t>attività</w:t>
      </w:r>
      <w:r w:rsidR="00CA66AC">
        <w:rPr>
          <w:sz w:val="28"/>
          <w:szCs w:val="28"/>
        </w:rPr>
        <w:t xml:space="preserve"> </w:t>
      </w:r>
      <w:r w:rsidRPr="00920436">
        <w:rPr>
          <w:sz w:val="28"/>
          <w:szCs w:val="28"/>
        </w:rPr>
        <w:t xml:space="preserve">pubblicitaria e di sponsorizzazione portata avanti dagli </w:t>
      </w:r>
      <w:proofErr w:type="spellStart"/>
      <w:r w:rsidRPr="00CA66AC">
        <w:rPr>
          <w:i/>
          <w:iCs/>
          <w:sz w:val="28"/>
          <w:szCs w:val="28"/>
        </w:rPr>
        <w:t>influencer</w:t>
      </w:r>
      <w:proofErr w:type="spellEnd"/>
      <w:r w:rsidRPr="00920436">
        <w:rPr>
          <w:sz w:val="28"/>
          <w:szCs w:val="28"/>
        </w:rPr>
        <w:t xml:space="preserve">. </w:t>
      </w:r>
      <w:r w:rsidRPr="00920436">
        <w:rPr>
          <w:b/>
          <w:bCs/>
          <w:sz w:val="28"/>
          <w:szCs w:val="28"/>
        </w:rPr>
        <w:t xml:space="preserve"> </w:t>
      </w:r>
    </w:p>
    <w:p w14:paraId="3FDBC314" w14:textId="77777777" w:rsidR="008E2937" w:rsidRDefault="00920436" w:rsidP="008E2937">
      <w:pPr>
        <w:pStyle w:val="NormaleWeb"/>
        <w:spacing w:before="0" w:beforeAutospacing="0" w:after="0" w:afterAutospacing="0"/>
        <w:jc w:val="both"/>
        <w:rPr>
          <w:sz w:val="28"/>
          <w:szCs w:val="28"/>
        </w:rPr>
      </w:pPr>
      <w:r w:rsidRPr="00920436">
        <w:rPr>
          <w:sz w:val="28"/>
          <w:szCs w:val="28"/>
        </w:rPr>
        <w:t xml:space="preserve">La bassa </w:t>
      </w:r>
      <w:r w:rsidR="00CA66AC" w:rsidRPr="00920436">
        <w:rPr>
          <w:sz w:val="28"/>
          <w:szCs w:val="28"/>
        </w:rPr>
        <w:t>densità</w:t>
      </w:r>
      <w:r w:rsidRPr="00920436">
        <w:rPr>
          <w:sz w:val="28"/>
          <w:szCs w:val="28"/>
        </w:rPr>
        <w:t xml:space="preserve"> di pronunce giudiziali è un indice significativo della inadeguatezza degli attuali strumenti giudiziali con riguardo a fenomeni caratterizzati dalla estrema </w:t>
      </w:r>
      <w:r w:rsidR="00CA66AC" w:rsidRPr="00920436">
        <w:rPr>
          <w:sz w:val="28"/>
          <w:szCs w:val="28"/>
        </w:rPr>
        <w:t>rapidità</w:t>
      </w:r>
      <w:r w:rsidR="00CA66AC">
        <w:rPr>
          <w:sz w:val="28"/>
          <w:szCs w:val="28"/>
        </w:rPr>
        <w:t xml:space="preserve"> </w:t>
      </w:r>
      <w:r w:rsidRPr="00920436">
        <w:rPr>
          <w:sz w:val="28"/>
          <w:szCs w:val="28"/>
        </w:rPr>
        <w:t xml:space="preserve">e frequenza delle condotte; e da una notevole </w:t>
      </w:r>
      <w:r w:rsidR="00CA66AC" w:rsidRPr="00920436">
        <w:rPr>
          <w:sz w:val="28"/>
          <w:szCs w:val="28"/>
        </w:rPr>
        <w:t>varietà</w:t>
      </w:r>
      <w:r w:rsidR="00CA66AC">
        <w:rPr>
          <w:sz w:val="28"/>
          <w:szCs w:val="28"/>
        </w:rPr>
        <w:t xml:space="preserve"> </w:t>
      </w:r>
      <w:r w:rsidRPr="00920436">
        <w:rPr>
          <w:sz w:val="28"/>
          <w:szCs w:val="28"/>
        </w:rPr>
        <w:t xml:space="preserve">degli effetti. </w:t>
      </w:r>
    </w:p>
    <w:p w14:paraId="2943F0B7" w14:textId="77777777" w:rsidR="008E2937" w:rsidRDefault="00920436" w:rsidP="008E2937">
      <w:pPr>
        <w:pStyle w:val="NormaleWeb"/>
        <w:spacing w:before="0" w:beforeAutospacing="0" w:after="0" w:afterAutospacing="0"/>
        <w:jc w:val="both"/>
        <w:rPr>
          <w:sz w:val="28"/>
          <w:szCs w:val="28"/>
        </w:rPr>
      </w:pPr>
      <w:r w:rsidRPr="00920436">
        <w:rPr>
          <w:sz w:val="28"/>
          <w:szCs w:val="28"/>
        </w:rPr>
        <w:t>Tuttavia, è per certi versi paradossale o comunque un segno dei tempi, che</w:t>
      </w:r>
      <w:r w:rsidR="00CA66AC">
        <w:rPr>
          <w:sz w:val="28"/>
          <w:szCs w:val="28"/>
        </w:rPr>
        <w:t xml:space="preserve"> –</w:t>
      </w:r>
      <w:r w:rsidRPr="00920436">
        <w:rPr>
          <w:sz w:val="28"/>
          <w:szCs w:val="28"/>
        </w:rPr>
        <w:t xml:space="preserve"> mentre l’economia e le dinamiche sociali sono caratterizzate sempre </w:t>
      </w:r>
      <w:r w:rsidR="00CA66AC" w:rsidRPr="00920436">
        <w:rPr>
          <w:sz w:val="28"/>
          <w:szCs w:val="28"/>
        </w:rPr>
        <w:t>più</w:t>
      </w:r>
      <w:r w:rsidRPr="00920436">
        <w:rPr>
          <w:sz w:val="28"/>
          <w:szCs w:val="28"/>
        </w:rPr>
        <w:t xml:space="preserve"> dalla digitalizzazione – la domanda di giustizia che deriva da queste dinamiche non trova risposte adeguate in ambito giudiziario. </w:t>
      </w:r>
    </w:p>
    <w:p w14:paraId="0FC8CEEF" w14:textId="77777777" w:rsidR="008E2937" w:rsidRDefault="00920436" w:rsidP="008E2937">
      <w:pPr>
        <w:pStyle w:val="NormaleWeb"/>
        <w:spacing w:before="0" w:beforeAutospacing="0" w:after="0" w:afterAutospacing="0"/>
        <w:jc w:val="both"/>
        <w:rPr>
          <w:sz w:val="28"/>
          <w:szCs w:val="28"/>
        </w:rPr>
      </w:pPr>
      <w:r w:rsidRPr="00920436">
        <w:rPr>
          <w:sz w:val="28"/>
          <w:szCs w:val="28"/>
        </w:rPr>
        <w:lastRenderedPageBreak/>
        <w:t xml:space="preserve">Il </w:t>
      </w:r>
      <w:r w:rsidRPr="00CA66AC">
        <w:rPr>
          <w:i/>
          <w:iCs/>
          <w:sz w:val="28"/>
          <w:szCs w:val="28"/>
        </w:rPr>
        <w:t>deficit</w:t>
      </w:r>
      <w:r w:rsidRPr="00920436">
        <w:rPr>
          <w:sz w:val="28"/>
          <w:szCs w:val="28"/>
        </w:rPr>
        <w:t xml:space="preserve"> di offerta di tutela è da imputare in primo luogo alla lentezza dei tempi delle decisioni, platealmente non sincronizzata alla velocità degli accadimenti; </w:t>
      </w:r>
      <w:r w:rsidR="00CA66AC" w:rsidRPr="00920436">
        <w:rPr>
          <w:sz w:val="28"/>
          <w:szCs w:val="28"/>
        </w:rPr>
        <w:t>in secondo luogo,</w:t>
      </w:r>
      <w:r w:rsidRPr="00920436">
        <w:rPr>
          <w:sz w:val="28"/>
          <w:szCs w:val="28"/>
        </w:rPr>
        <w:t xml:space="preserve"> all’assenza di giudici specializzati; infine, ma non per importanza, all’assenza di strumenti di intervento efficaci e tempestivi. </w:t>
      </w:r>
    </w:p>
    <w:p w14:paraId="0507998C" w14:textId="77777777" w:rsidR="008E2937" w:rsidRDefault="00920436" w:rsidP="008E2937">
      <w:pPr>
        <w:pStyle w:val="NormaleWeb"/>
        <w:spacing w:before="0" w:beforeAutospacing="0" w:after="0" w:afterAutospacing="0"/>
        <w:jc w:val="both"/>
        <w:rPr>
          <w:sz w:val="28"/>
          <w:szCs w:val="28"/>
        </w:rPr>
      </w:pPr>
      <w:r w:rsidRPr="00920436">
        <w:rPr>
          <w:sz w:val="28"/>
          <w:szCs w:val="28"/>
        </w:rPr>
        <w:t xml:space="preserve">Non è un caso che i casi che sono stati </w:t>
      </w:r>
      <w:r w:rsidR="00CA66AC" w:rsidRPr="00920436">
        <w:rPr>
          <w:sz w:val="28"/>
          <w:szCs w:val="28"/>
        </w:rPr>
        <w:t>più</w:t>
      </w:r>
      <w:r w:rsidRPr="00920436">
        <w:rPr>
          <w:sz w:val="28"/>
          <w:szCs w:val="28"/>
        </w:rPr>
        <w:t xml:space="preserve"> frequentemente portati all’attenzione dei giudici riguardano il diritto all’oblio o alla cancellazione dei dati, dopo un tempo rilevante; o, </w:t>
      </w:r>
      <w:r w:rsidR="00CA66AC" w:rsidRPr="00920436">
        <w:rPr>
          <w:sz w:val="28"/>
          <w:szCs w:val="28"/>
        </w:rPr>
        <w:t>più</w:t>
      </w:r>
      <w:r w:rsidRPr="00920436">
        <w:rPr>
          <w:sz w:val="28"/>
          <w:szCs w:val="28"/>
        </w:rPr>
        <w:t xml:space="preserve"> di recente, la cosiddetta “eredità digitale”, ossia l’accesso dei familiari alle informazioni di un defunto nella </w:t>
      </w:r>
      <w:r w:rsidR="00CA66AC" w:rsidRPr="00920436">
        <w:rPr>
          <w:sz w:val="28"/>
          <w:szCs w:val="28"/>
        </w:rPr>
        <w:t>disponibilità</w:t>
      </w:r>
      <w:r w:rsidR="00CA66AC">
        <w:rPr>
          <w:sz w:val="28"/>
          <w:szCs w:val="28"/>
        </w:rPr>
        <w:t xml:space="preserve"> </w:t>
      </w:r>
      <w:r w:rsidRPr="00920436">
        <w:rPr>
          <w:sz w:val="28"/>
          <w:szCs w:val="28"/>
        </w:rPr>
        <w:t xml:space="preserve">di una piattaforma digitale. Insomma, casi in cui la </w:t>
      </w:r>
      <w:r w:rsidR="00CA66AC" w:rsidRPr="00920436">
        <w:rPr>
          <w:sz w:val="28"/>
          <w:szCs w:val="28"/>
        </w:rPr>
        <w:t>rapidità</w:t>
      </w:r>
      <w:r w:rsidR="00CA66AC">
        <w:rPr>
          <w:sz w:val="28"/>
          <w:szCs w:val="28"/>
        </w:rPr>
        <w:t xml:space="preserve"> </w:t>
      </w:r>
      <w:r w:rsidRPr="00920436">
        <w:rPr>
          <w:sz w:val="28"/>
          <w:szCs w:val="28"/>
        </w:rPr>
        <w:t>dell’intervento non è essenziale.</w:t>
      </w:r>
      <w:r w:rsidR="004D69D0">
        <w:rPr>
          <w:sz w:val="28"/>
          <w:szCs w:val="28"/>
        </w:rPr>
        <w:t xml:space="preserve"> </w:t>
      </w:r>
    </w:p>
    <w:p w14:paraId="2B585473" w14:textId="77777777" w:rsidR="008E2937" w:rsidRDefault="004D69D0" w:rsidP="008E2937">
      <w:pPr>
        <w:pStyle w:val="NormaleWeb"/>
        <w:spacing w:before="0" w:beforeAutospacing="0" w:after="0" w:afterAutospacing="0"/>
        <w:jc w:val="both"/>
        <w:rPr>
          <w:i/>
          <w:iCs/>
          <w:sz w:val="28"/>
          <w:szCs w:val="28"/>
        </w:rPr>
      </w:pPr>
      <w:r>
        <w:rPr>
          <w:sz w:val="28"/>
          <w:szCs w:val="28"/>
        </w:rPr>
        <w:t xml:space="preserve">Nell’era digitale cambia il concetto di </w:t>
      </w:r>
      <w:r w:rsidR="00A27247">
        <w:rPr>
          <w:sz w:val="28"/>
          <w:szCs w:val="28"/>
        </w:rPr>
        <w:t>proprietà:</w:t>
      </w:r>
      <w:r>
        <w:rPr>
          <w:sz w:val="28"/>
          <w:szCs w:val="28"/>
        </w:rPr>
        <w:t xml:space="preserve"> Rebecca </w:t>
      </w:r>
      <w:proofErr w:type="spellStart"/>
      <w:r>
        <w:rPr>
          <w:sz w:val="28"/>
          <w:szCs w:val="28"/>
        </w:rPr>
        <w:t>Mardon</w:t>
      </w:r>
      <w:proofErr w:type="spellEnd"/>
      <w:r w:rsidR="00CA66AC">
        <w:rPr>
          <w:sz w:val="28"/>
          <w:szCs w:val="28"/>
        </w:rPr>
        <w:t>,</w:t>
      </w:r>
      <w:r>
        <w:rPr>
          <w:sz w:val="28"/>
          <w:szCs w:val="28"/>
        </w:rPr>
        <w:t xml:space="preserve"> dell’Università di Cardiff</w:t>
      </w:r>
      <w:r w:rsidR="00A27247">
        <w:rPr>
          <w:rStyle w:val="Rimandonotaapidipagina"/>
          <w:sz w:val="28"/>
          <w:szCs w:val="28"/>
        </w:rPr>
        <w:footnoteReference w:id="146"/>
      </w:r>
      <w:r w:rsidR="00CA66AC">
        <w:rPr>
          <w:sz w:val="28"/>
          <w:szCs w:val="28"/>
        </w:rPr>
        <w:t>,</w:t>
      </w:r>
      <w:r w:rsidR="00A27247">
        <w:rPr>
          <w:sz w:val="28"/>
          <w:szCs w:val="28"/>
        </w:rPr>
        <w:t xml:space="preserve"> </w:t>
      </w:r>
      <w:r>
        <w:rPr>
          <w:sz w:val="28"/>
          <w:szCs w:val="28"/>
        </w:rPr>
        <w:t xml:space="preserve">ha scritto che oggi la proprietà è sostituita dall’accesso, </w:t>
      </w:r>
      <w:r w:rsidRPr="004D69D0">
        <w:rPr>
          <w:i/>
          <w:iCs/>
          <w:sz w:val="28"/>
          <w:szCs w:val="28"/>
        </w:rPr>
        <w:t>“età</w:t>
      </w:r>
      <w:r>
        <w:rPr>
          <w:sz w:val="28"/>
          <w:szCs w:val="28"/>
        </w:rPr>
        <w:t xml:space="preserve"> </w:t>
      </w:r>
      <w:r w:rsidRPr="004D69D0">
        <w:rPr>
          <w:i/>
          <w:iCs/>
          <w:sz w:val="28"/>
          <w:szCs w:val="28"/>
        </w:rPr>
        <w:t>dell’accesso</w:t>
      </w:r>
      <w:r>
        <w:rPr>
          <w:sz w:val="28"/>
          <w:szCs w:val="28"/>
        </w:rPr>
        <w:t xml:space="preserve">”, </w:t>
      </w:r>
      <w:r w:rsidRPr="004D69D0">
        <w:rPr>
          <w:i/>
          <w:iCs/>
          <w:sz w:val="28"/>
          <w:szCs w:val="28"/>
        </w:rPr>
        <w:t>in cui</w:t>
      </w:r>
      <w:r>
        <w:rPr>
          <w:sz w:val="28"/>
          <w:szCs w:val="28"/>
        </w:rPr>
        <w:t xml:space="preserve"> </w:t>
      </w:r>
      <w:r w:rsidRPr="004D69D0">
        <w:rPr>
          <w:i/>
          <w:iCs/>
          <w:sz w:val="28"/>
          <w:szCs w:val="28"/>
        </w:rPr>
        <w:t xml:space="preserve">la </w:t>
      </w:r>
      <w:r w:rsidR="00A27247" w:rsidRPr="004D69D0">
        <w:rPr>
          <w:i/>
          <w:iCs/>
          <w:sz w:val="28"/>
          <w:szCs w:val="28"/>
        </w:rPr>
        <w:t>proprietà</w:t>
      </w:r>
      <w:r w:rsidR="00A27247">
        <w:rPr>
          <w:sz w:val="28"/>
          <w:szCs w:val="28"/>
        </w:rPr>
        <w:t xml:space="preserve"> </w:t>
      </w:r>
      <w:r w:rsidR="00A27247" w:rsidRPr="00920436">
        <w:rPr>
          <w:sz w:val="28"/>
          <w:szCs w:val="28"/>
        </w:rPr>
        <w:t>non</w:t>
      </w:r>
      <w:r w:rsidRPr="004D69D0">
        <w:rPr>
          <w:i/>
          <w:iCs/>
          <w:sz w:val="28"/>
          <w:szCs w:val="28"/>
        </w:rPr>
        <w:t xml:space="preserve"> è più importante per i consumatori e diventerà</w:t>
      </w:r>
      <w:r>
        <w:rPr>
          <w:sz w:val="28"/>
          <w:szCs w:val="28"/>
        </w:rPr>
        <w:t xml:space="preserve"> </w:t>
      </w:r>
      <w:r w:rsidRPr="004D69D0">
        <w:rPr>
          <w:i/>
          <w:iCs/>
          <w:sz w:val="28"/>
          <w:szCs w:val="28"/>
        </w:rPr>
        <w:t>presto irrilevante</w:t>
      </w:r>
      <w:r>
        <w:rPr>
          <w:sz w:val="28"/>
          <w:szCs w:val="28"/>
        </w:rPr>
        <w:t xml:space="preserve">. </w:t>
      </w:r>
      <w:r w:rsidRPr="004D69D0">
        <w:rPr>
          <w:i/>
          <w:iCs/>
          <w:sz w:val="28"/>
          <w:szCs w:val="28"/>
        </w:rPr>
        <w:t>Gli ultimi anni hanno visto</w:t>
      </w:r>
      <w:r>
        <w:rPr>
          <w:i/>
          <w:iCs/>
          <w:sz w:val="28"/>
          <w:szCs w:val="28"/>
        </w:rPr>
        <w:t xml:space="preserve"> l’emergere di una serie di modelli basati </w:t>
      </w:r>
      <w:r w:rsidRPr="00CE7580">
        <w:rPr>
          <w:i/>
          <w:iCs/>
          <w:sz w:val="28"/>
          <w:szCs w:val="28"/>
        </w:rPr>
        <w:t>sull’accesso nel regno digitale</w:t>
      </w:r>
      <w:r w:rsidRPr="00CE7580">
        <w:rPr>
          <w:sz w:val="28"/>
          <w:szCs w:val="28"/>
        </w:rPr>
        <w:t>”</w:t>
      </w:r>
      <w:r w:rsidRPr="00CE7580">
        <w:rPr>
          <w:i/>
          <w:iCs/>
          <w:sz w:val="28"/>
          <w:szCs w:val="28"/>
        </w:rPr>
        <w:t xml:space="preserve">. </w:t>
      </w:r>
    </w:p>
    <w:p w14:paraId="5EA55BB4" w14:textId="77777777" w:rsidR="008E2937" w:rsidRDefault="004D69D0" w:rsidP="008E2937">
      <w:pPr>
        <w:pStyle w:val="NormaleWeb"/>
        <w:spacing w:before="0" w:beforeAutospacing="0" w:after="0" w:afterAutospacing="0"/>
        <w:jc w:val="both"/>
        <w:rPr>
          <w:sz w:val="28"/>
          <w:szCs w:val="28"/>
        </w:rPr>
      </w:pPr>
      <w:r w:rsidRPr="00CE7580">
        <w:rPr>
          <w:sz w:val="28"/>
          <w:szCs w:val="28"/>
        </w:rPr>
        <w:t xml:space="preserve">In uno studio realizzato nel 2018 dalla </w:t>
      </w:r>
      <w:r w:rsidRPr="00CE7580">
        <w:rPr>
          <w:i/>
          <w:iCs/>
          <w:sz w:val="28"/>
          <w:szCs w:val="28"/>
        </w:rPr>
        <w:t xml:space="preserve">Norton School of Family and Consumer </w:t>
      </w:r>
      <w:proofErr w:type="spellStart"/>
      <w:r w:rsidRPr="00CE7580">
        <w:rPr>
          <w:i/>
          <w:iCs/>
          <w:sz w:val="28"/>
          <w:szCs w:val="28"/>
        </w:rPr>
        <w:t>Sciences</w:t>
      </w:r>
      <w:proofErr w:type="spellEnd"/>
      <w:r w:rsidRPr="00CE7580">
        <w:rPr>
          <w:sz w:val="28"/>
          <w:szCs w:val="28"/>
        </w:rPr>
        <w:t xml:space="preserve"> dell’Università della Arizona</w:t>
      </w:r>
      <w:r w:rsidR="008E2937">
        <w:rPr>
          <w:sz w:val="28"/>
          <w:szCs w:val="28"/>
        </w:rPr>
        <w:t>,</w:t>
      </w:r>
      <w:r w:rsidRPr="00CE7580">
        <w:rPr>
          <w:sz w:val="28"/>
          <w:szCs w:val="28"/>
        </w:rPr>
        <w:t xml:space="preserve"> è emerso il concetto di proprietà psicologica che applichiamo ad un bene digitale che, in realtà, non ci appartiene. </w:t>
      </w:r>
    </w:p>
    <w:p w14:paraId="2D7AC53C" w14:textId="77777777" w:rsidR="008E2937" w:rsidRDefault="004D69D0" w:rsidP="008E2937">
      <w:pPr>
        <w:pStyle w:val="NormaleWeb"/>
        <w:spacing w:before="0" w:beforeAutospacing="0" w:after="0" w:afterAutospacing="0"/>
        <w:jc w:val="both"/>
        <w:rPr>
          <w:sz w:val="28"/>
          <w:szCs w:val="28"/>
        </w:rPr>
      </w:pPr>
      <w:r w:rsidRPr="00CE7580">
        <w:rPr>
          <w:sz w:val="28"/>
          <w:szCs w:val="28"/>
        </w:rPr>
        <w:t xml:space="preserve">Ecco così che trasformiamo la </w:t>
      </w:r>
      <w:r w:rsidRPr="00CE7580">
        <w:rPr>
          <w:i/>
          <w:iCs/>
          <w:sz w:val="28"/>
          <w:szCs w:val="28"/>
        </w:rPr>
        <w:t xml:space="preserve">non-proprietà </w:t>
      </w:r>
      <w:r w:rsidRPr="00CE7580">
        <w:rPr>
          <w:sz w:val="28"/>
          <w:szCs w:val="28"/>
        </w:rPr>
        <w:t xml:space="preserve">di un bene digitale in </w:t>
      </w:r>
      <w:r w:rsidRPr="00CE7580">
        <w:rPr>
          <w:i/>
          <w:iCs/>
          <w:sz w:val="28"/>
          <w:szCs w:val="28"/>
        </w:rPr>
        <w:t xml:space="preserve">percezione di possesso. </w:t>
      </w:r>
      <w:r w:rsidRPr="00CE7580">
        <w:rPr>
          <w:sz w:val="28"/>
          <w:szCs w:val="28"/>
        </w:rPr>
        <w:t>Una percezione</w:t>
      </w:r>
      <w:r w:rsidRPr="004D69D0">
        <w:rPr>
          <w:sz w:val="28"/>
          <w:szCs w:val="28"/>
        </w:rPr>
        <w:t xml:space="preserve"> di proprietà</w:t>
      </w:r>
      <w:r>
        <w:rPr>
          <w:sz w:val="28"/>
          <w:szCs w:val="28"/>
        </w:rPr>
        <w:t xml:space="preserve"> che risponde principalmente a </w:t>
      </w:r>
      <w:proofErr w:type="gramStart"/>
      <w:r>
        <w:rPr>
          <w:sz w:val="28"/>
          <w:szCs w:val="28"/>
        </w:rPr>
        <w:t>3</w:t>
      </w:r>
      <w:proofErr w:type="gramEnd"/>
      <w:r>
        <w:rPr>
          <w:sz w:val="28"/>
          <w:szCs w:val="28"/>
        </w:rPr>
        <w:t xml:space="preserve"> fattori: la sensazione di avere il controllo sull’oggetto che si possiede, il ruolo che l’oggetto assume per definire chi siamo, l’aiuto che l’oggetto ci fornisce per migliorare il senso di appartenenza nella società.</w:t>
      </w:r>
      <w:r w:rsidR="00923548">
        <w:rPr>
          <w:sz w:val="28"/>
          <w:szCs w:val="28"/>
        </w:rPr>
        <w:t xml:space="preserve"> </w:t>
      </w:r>
    </w:p>
    <w:p w14:paraId="41C0141B" w14:textId="77777777" w:rsidR="008E2937" w:rsidRDefault="00923548" w:rsidP="008E2937">
      <w:pPr>
        <w:pStyle w:val="NormaleWeb"/>
        <w:spacing w:before="0" w:beforeAutospacing="0" w:after="0" w:afterAutospacing="0"/>
        <w:jc w:val="both"/>
        <w:rPr>
          <w:sz w:val="28"/>
          <w:szCs w:val="28"/>
        </w:rPr>
      </w:pPr>
      <w:r>
        <w:rPr>
          <w:sz w:val="28"/>
          <w:szCs w:val="28"/>
        </w:rPr>
        <w:t>Il punto è che comprando un bene digitale</w:t>
      </w:r>
      <w:r w:rsidR="00CA66AC">
        <w:rPr>
          <w:sz w:val="28"/>
          <w:szCs w:val="28"/>
        </w:rPr>
        <w:t xml:space="preserve"> – </w:t>
      </w:r>
      <w:r>
        <w:rPr>
          <w:sz w:val="28"/>
          <w:szCs w:val="28"/>
        </w:rPr>
        <w:t xml:space="preserve">sia </w:t>
      </w:r>
      <w:proofErr w:type="spellStart"/>
      <w:r w:rsidRPr="00923548">
        <w:rPr>
          <w:i/>
          <w:iCs/>
          <w:sz w:val="28"/>
          <w:szCs w:val="28"/>
        </w:rPr>
        <w:t>ebook</w:t>
      </w:r>
      <w:proofErr w:type="spellEnd"/>
      <w:r w:rsidR="008E2937">
        <w:rPr>
          <w:i/>
          <w:iCs/>
          <w:sz w:val="28"/>
          <w:szCs w:val="28"/>
        </w:rPr>
        <w:t>,</w:t>
      </w:r>
      <w:r>
        <w:rPr>
          <w:i/>
          <w:iCs/>
          <w:sz w:val="28"/>
          <w:szCs w:val="28"/>
        </w:rPr>
        <w:t xml:space="preserve"> </w:t>
      </w:r>
      <w:r w:rsidRPr="00923548">
        <w:rPr>
          <w:sz w:val="28"/>
          <w:szCs w:val="28"/>
        </w:rPr>
        <w:t>come un</w:t>
      </w:r>
      <w:r>
        <w:rPr>
          <w:i/>
          <w:iCs/>
          <w:sz w:val="28"/>
          <w:szCs w:val="28"/>
        </w:rPr>
        <w:t xml:space="preserve"> </w:t>
      </w:r>
      <w:r w:rsidRPr="00923548">
        <w:rPr>
          <w:sz w:val="28"/>
          <w:szCs w:val="28"/>
        </w:rPr>
        <w:t>brano</w:t>
      </w:r>
      <w:r>
        <w:rPr>
          <w:sz w:val="28"/>
          <w:szCs w:val="28"/>
        </w:rPr>
        <w:t xml:space="preserve"> musicale o un film</w:t>
      </w:r>
      <w:r w:rsidR="00CA66AC">
        <w:rPr>
          <w:sz w:val="28"/>
          <w:szCs w:val="28"/>
        </w:rPr>
        <w:t xml:space="preserve"> – </w:t>
      </w:r>
      <w:r>
        <w:rPr>
          <w:sz w:val="28"/>
          <w:szCs w:val="28"/>
        </w:rPr>
        <w:t xml:space="preserve">in realtà otteniamo una licenza di utilizzo con restrizioni più o meno ampie. </w:t>
      </w:r>
    </w:p>
    <w:p w14:paraId="4104DAB3" w14:textId="77777777" w:rsidR="008E2937" w:rsidRDefault="00923548" w:rsidP="008E2937">
      <w:pPr>
        <w:pStyle w:val="NormaleWeb"/>
        <w:spacing w:before="0" w:beforeAutospacing="0" w:after="0" w:afterAutospacing="0"/>
        <w:jc w:val="both"/>
        <w:rPr>
          <w:sz w:val="28"/>
          <w:szCs w:val="28"/>
        </w:rPr>
      </w:pPr>
      <w:r>
        <w:rPr>
          <w:sz w:val="28"/>
          <w:szCs w:val="28"/>
        </w:rPr>
        <w:t>Non entriamo in possesso del bene come accade per i beni fisici. Non a caso</w:t>
      </w:r>
      <w:r w:rsidR="008E2937">
        <w:rPr>
          <w:sz w:val="28"/>
          <w:szCs w:val="28"/>
        </w:rPr>
        <w:t>,</w:t>
      </w:r>
      <w:r>
        <w:rPr>
          <w:sz w:val="28"/>
          <w:szCs w:val="28"/>
        </w:rPr>
        <w:t xml:space="preserve"> ci sono esempi di utenti che si sono trovati privati della possibilità di utilizzo di</w:t>
      </w:r>
      <w:r w:rsidR="002A5EBB">
        <w:rPr>
          <w:sz w:val="28"/>
          <w:szCs w:val="28"/>
        </w:rPr>
        <w:t xml:space="preserve"> beni digitali</w:t>
      </w:r>
      <w:r w:rsidR="008E2937">
        <w:rPr>
          <w:sz w:val="28"/>
          <w:szCs w:val="28"/>
        </w:rPr>
        <w:t>,</w:t>
      </w:r>
      <w:r w:rsidR="002A5EBB">
        <w:rPr>
          <w:sz w:val="28"/>
          <w:szCs w:val="28"/>
        </w:rPr>
        <w:t xml:space="preserve"> come nel caso di Microsoft che ha deciso di chiudere il suo servizio di </w:t>
      </w:r>
      <w:proofErr w:type="spellStart"/>
      <w:r w:rsidR="002A5EBB" w:rsidRPr="002A5EBB">
        <w:rPr>
          <w:i/>
          <w:iCs/>
          <w:sz w:val="28"/>
          <w:szCs w:val="28"/>
        </w:rPr>
        <w:t>ebook</w:t>
      </w:r>
      <w:proofErr w:type="spellEnd"/>
      <w:r w:rsidR="002A5EBB">
        <w:rPr>
          <w:i/>
          <w:iCs/>
          <w:sz w:val="28"/>
          <w:szCs w:val="28"/>
        </w:rPr>
        <w:t xml:space="preserve">, </w:t>
      </w:r>
      <w:r w:rsidR="002A5EBB" w:rsidRPr="002A5EBB">
        <w:rPr>
          <w:sz w:val="28"/>
          <w:szCs w:val="28"/>
        </w:rPr>
        <w:t>portandosi dietro tutte le libr</w:t>
      </w:r>
      <w:r w:rsidR="000C2875">
        <w:rPr>
          <w:sz w:val="28"/>
          <w:szCs w:val="28"/>
        </w:rPr>
        <w:t xml:space="preserve">erie dei </w:t>
      </w:r>
      <w:r w:rsidR="00B001FE">
        <w:rPr>
          <w:sz w:val="28"/>
          <w:szCs w:val="28"/>
        </w:rPr>
        <w:t>clienti (anche</w:t>
      </w:r>
      <w:r w:rsidR="000C2875">
        <w:rPr>
          <w:sz w:val="28"/>
          <w:szCs w:val="28"/>
        </w:rPr>
        <w:t xml:space="preserve"> se promettendo loro un rimborso). </w:t>
      </w:r>
    </w:p>
    <w:p w14:paraId="21B0358A" w14:textId="77777777" w:rsidR="008E2937" w:rsidRDefault="008E2937" w:rsidP="008E2937">
      <w:pPr>
        <w:pStyle w:val="NormaleWeb"/>
        <w:spacing w:before="0" w:beforeAutospacing="0" w:after="0" w:afterAutospacing="0"/>
        <w:jc w:val="both"/>
        <w:rPr>
          <w:sz w:val="28"/>
          <w:szCs w:val="28"/>
        </w:rPr>
      </w:pPr>
    </w:p>
    <w:p w14:paraId="140DD170" w14:textId="77777777" w:rsidR="00CA1BFF" w:rsidRDefault="000C2875" w:rsidP="008E2937">
      <w:pPr>
        <w:pStyle w:val="NormaleWeb"/>
        <w:spacing w:before="0" w:beforeAutospacing="0" w:after="0" w:afterAutospacing="0"/>
        <w:jc w:val="both"/>
        <w:rPr>
          <w:sz w:val="28"/>
          <w:szCs w:val="28"/>
        </w:rPr>
      </w:pPr>
      <w:r>
        <w:rPr>
          <w:sz w:val="28"/>
          <w:szCs w:val="28"/>
        </w:rPr>
        <w:t>Il mondo digitale presenta nuove minacce alla proprietà a cui i nostri beni fisici non ci hanno preparato. Si parla di regolare il “</w:t>
      </w:r>
      <w:r w:rsidRPr="000C2875">
        <w:rPr>
          <w:i/>
          <w:iCs/>
          <w:sz w:val="28"/>
          <w:szCs w:val="28"/>
        </w:rPr>
        <w:t>patrimonio digitale”</w:t>
      </w:r>
      <w:r>
        <w:rPr>
          <w:i/>
          <w:iCs/>
          <w:sz w:val="28"/>
          <w:szCs w:val="28"/>
        </w:rPr>
        <w:t xml:space="preserve"> </w:t>
      </w:r>
      <w:r w:rsidRPr="000C2875">
        <w:rPr>
          <w:sz w:val="28"/>
          <w:szCs w:val="28"/>
        </w:rPr>
        <w:t>e la</w:t>
      </w:r>
      <w:r>
        <w:rPr>
          <w:i/>
          <w:iCs/>
          <w:sz w:val="28"/>
          <w:szCs w:val="28"/>
        </w:rPr>
        <w:t xml:space="preserve"> </w:t>
      </w:r>
      <w:r w:rsidRPr="009F6423">
        <w:rPr>
          <w:sz w:val="28"/>
          <w:szCs w:val="28"/>
        </w:rPr>
        <w:t>c</w:t>
      </w:r>
      <w:r w:rsidR="009F6423" w:rsidRPr="009F6423">
        <w:rPr>
          <w:sz w:val="28"/>
          <w:szCs w:val="28"/>
        </w:rPr>
        <w:t>.</w:t>
      </w:r>
      <w:r w:rsidRPr="009F6423">
        <w:rPr>
          <w:sz w:val="28"/>
          <w:szCs w:val="28"/>
        </w:rPr>
        <w:t>d</w:t>
      </w:r>
      <w:r w:rsidR="009F6423" w:rsidRPr="009F6423">
        <w:rPr>
          <w:sz w:val="28"/>
          <w:szCs w:val="28"/>
        </w:rPr>
        <w:t>.</w:t>
      </w:r>
      <w:r w:rsidRPr="009F6423">
        <w:rPr>
          <w:sz w:val="28"/>
          <w:szCs w:val="28"/>
        </w:rPr>
        <w:t xml:space="preserve"> “</w:t>
      </w:r>
      <w:r>
        <w:rPr>
          <w:i/>
          <w:iCs/>
          <w:sz w:val="28"/>
          <w:szCs w:val="28"/>
        </w:rPr>
        <w:t>successione digitale</w:t>
      </w:r>
      <w:r w:rsidRPr="009F6423">
        <w:rPr>
          <w:sz w:val="28"/>
          <w:szCs w:val="28"/>
        </w:rPr>
        <w:t>”,</w:t>
      </w:r>
      <w:r>
        <w:rPr>
          <w:i/>
          <w:iCs/>
          <w:sz w:val="28"/>
          <w:szCs w:val="28"/>
        </w:rPr>
        <w:t xml:space="preserve"> </w:t>
      </w:r>
      <w:r w:rsidRPr="000C2875">
        <w:rPr>
          <w:sz w:val="28"/>
          <w:szCs w:val="28"/>
        </w:rPr>
        <w:t>distinguendo</w:t>
      </w:r>
      <w:r>
        <w:rPr>
          <w:sz w:val="28"/>
          <w:szCs w:val="28"/>
        </w:rPr>
        <w:t xml:space="preserve"> beni digitali (c</w:t>
      </w:r>
      <w:r w:rsidR="009F6423">
        <w:rPr>
          <w:sz w:val="28"/>
          <w:szCs w:val="28"/>
        </w:rPr>
        <w:t>.</w:t>
      </w:r>
      <w:r>
        <w:rPr>
          <w:sz w:val="28"/>
          <w:szCs w:val="28"/>
        </w:rPr>
        <w:t>d</w:t>
      </w:r>
      <w:r w:rsidR="009F6423">
        <w:rPr>
          <w:sz w:val="28"/>
          <w:szCs w:val="28"/>
        </w:rPr>
        <w:t>.</w:t>
      </w:r>
      <w:r>
        <w:rPr>
          <w:sz w:val="28"/>
          <w:szCs w:val="28"/>
        </w:rPr>
        <w:t xml:space="preserve"> </w:t>
      </w:r>
      <w:proofErr w:type="spellStart"/>
      <w:r w:rsidRPr="000C2875">
        <w:rPr>
          <w:i/>
          <w:iCs/>
          <w:sz w:val="28"/>
          <w:szCs w:val="28"/>
        </w:rPr>
        <w:t>digital</w:t>
      </w:r>
      <w:proofErr w:type="spellEnd"/>
      <w:r w:rsidRPr="000C2875">
        <w:rPr>
          <w:i/>
          <w:iCs/>
          <w:sz w:val="28"/>
          <w:szCs w:val="28"/>
        </w:rPr>
        <w:t xml:space="preserve"> </w:t>
      </w:r>
      <w:proofErr w:type="spellStart"/>
      <w:r w:rsidRPr="000C2875">
        <w:rPr>
          <w:i/>
          <w:iCs/>
          <w:sz w:val="28"/>
          <w:szCs w:val="28"/>
        </w:rPr>
        <w:t>assets</w:t>
      </w:r>
      <w:proofErr w:type="spellEnd"/>
      <w:r>
        <w:rPr>
          <w:sz w:val="28"/>
          <w:szCs w:val="28"/>
        </w:rPr>
        <w:t>) a contenuto patrimoniale</w:t>
      </w:r>
      <w:r w:rsidR="00CA1BFF">
        <w:rPr>
          <w:sz w:val="28"/>
          <w:szCs w:val="28"/>
        </w:rPr>
        <w:t xml:space="preserve">, </w:t>
      </w:r>
      <w:r>
        <w:rPr>
          <w:sz w:val="28"/>
          <w:szCs w:val="28"/>
        </w:rPr>
        <w:t xml:space="preserve">come </w:t>
      </w:r>
      <w:proofErr w:type="spellStart"/>
      <w:r w:rsidRPr="000C2875">
        <w:rPr>
          <w:i/>
          <w:iCs/>
          <w:sz w:val="28"/>
          <w:szCs w:val="28"/>
        </w:rPr>
        <w:t>Bitcoin</w:t>
      </w:r>
      <w:proofErr w:type="spellEnd"/>
      <w:r w:rsidR="00CA1BFF">
        <w:rPr>
          <w:i/>
          <w:iCs/>
          <w:sz w:val="28"/>
          <w:szCs w:val="28"/>
        </w:rPr>
        <w:t>,</w:t>
      </w:r>
      <w:r>
        <w:rPr>
          <w:i/>
          <w:iCs/>
          <w:sz w:val="28"/>
          <w:szCs w:val="28"/>
        </w:rPr>
        <w:t xml:space="preserve"> </w:t>
      </w:r>
      <w:r w:rsidRPr="000C2875">
        <w:rPr>
          <w:sz w:val="28"/>
          <w:szCs w:val="28"/>
        </w:rPr>
        <w:t>basata su tecnologia</w:t>
      </w:r>
      <w:r>
        <w:rPr>
          <w:i/>
          <w:iCs/>
          <w:sz w:val="28"/>
          <w:szCs w:val="28"/>
        </w:rPr>
        <w:t xml:space="preserve"> </w:t>
      </w:r>
      <w:proofErr w:type="spellStart"/>
      <w:r>
        <w:rPr>
          <w:i/>
          <w:iCs/>
          <w:sz w:val="28"/>
          <w:szCs w:val="28"/>
        </w:rPr>
        <w:t>blockchain</w:t>
      </w:r>
      <w:proofErr w:type="spellEnd"/>
      <w:r>
        <w:rPr>
          <w:i/>
          <w:iCs/>
          <w:sz w:val="28"/>
          <w:szCs w:val="28"/>
        </w:rPr>
        <w:t xml:space="preserve"> </w:t>
      </w:r>
      <w:r w:rsidRPr="000C2875">
        <w:rPr>
          <w:sz w:val="28"/>
          <w:szCs w:val="28"/>
        </w:rPr>
        <w:t xml:space="preserve">e beni </w:t>
      </w:r>
      <w:r w:rsidR="00FE6367">
        <w:rPr>
          <w:sz w:val="28"/>
          <w:szCs w:val="28"/>
        </w:rPr>
        <w:t>a contenuto non patrimoniale</w:t>
      </w:r>
      <w:r w:rsidR="00CA1BFF">
        <w:rPr>
          <w:sz w:val="28"/>
          <w:szCs w:val="28"/>
        </w:rPr>
        <w:t>,</w:t>
      </w:r>
      <w:r w:rsidR="00FE6367">
        <w:rPr>
          <w:sz w:val="28"/>
          <w:szCs w:val="28"/>
        </w:rPr>
        <w:t xml:space="preserve"> </w:t>
      </w:r>
      <w:r w:rsidR="00B001FE">
        <w:rPr>
          <w:sz w:val="28"/>
          <w:szCs w:val="28"/>
        </w:rPr>
        <w:t>che dovrebbero</w:t>
      </w:r>
      <w:r w:rsidR="00FE6367">
        <w:rPr>
          <w:sz w:val="28"/>
          <w:szCs w:val="28"/>
        </w:rPr>
        <w:t xml:space="preserve"> essere esclusi da una successione ereditaria, ma così non è</w:t>
      </w:r>
      <w:r w:rsidR="00B001FE">
        <w:rPr>
          <w:rStyle w:val="Rimandonotaapidipagina"/>
          <w:sz w:val="28"/>
          <w:szCs w:val="28"/>
        </w:rPr>
        <w:footnoteReference w:id="147"/>
      </w:r>
      <w:r w:rsidR="00B001FE">
        <w:rPr>
          <w:sz w:val="28"/>
          <w:szCs w:val="28"/>
        </w:rPr>
        <w:t xml:space="preserve">. </w:t>
      </w:r>
    </w:p>
    <w:p w14:paraId="17991AAD" w14:textId="34D05385" w:rsidR="00920436" w:rsidRDefault="00FE6367" w:rsidP="008E2937">
      <w:pPr>
        <w:pStyle w:val="NormaleWeb"/>
        <w:spacing w:before="0" w:beforeAutospacing="0" w:after="0" w:afterAutospacing="0"/>
        <w:jc w:val="both"/>
        <w:rPr>
          <w:sz w:val="28"/>
          <w:szCs w:val="28"/>
        </w:rPr>
      </w:pPr>
      <w:r>
        <w:rPr>
          <w:sz w:val="28"/>
          <w:szCs w:val="28"/>
        </w:rPr>
        <w:t>Rientrano nella delazione ereditaria le opere creative dell’ingegno</w:t>
      </w:r>
      <w:r w:rsidR="00514307">
        <w:rPr>
          <w:sz w:val="28"/>
          <w:szCs w:val="28"/>
        </w:rPr>
        <w:t xml:space="preserve"> </w:t>
      </w:r>
      <w:r>
        <w:rPr>
          <w:sz w:val="28"/>
          <w:szCs w:val="28"/>
        </w:rPr>
        <w:t xml:space="preserve">nell’ambito del digitale come i </w:t>
      </w:r>
      <w:r w:rsidRPr="00CA1BFF">
        <w:rPr>
          <w:i/>
          <w:iCs/>
          <w:sz w:val="28"/>
          <w:szCs w:val="28"/>
        </w:rPr>
        <w:t>software</w:t>
      </w:r>
      <w:r>
        <w:rPr>
          <w:sz w:val="28"/>
          <w:szCs w:val="28"/>
        </w:rPr>
        <w:t xml:space="preserve">, ma </w:t>
      </w:r>
      <w:r w:rsidR="00CA1BFF">
        <w:rPr>
          <w:sz w:val="28"/>
          <w:szCs w:val="28"/>
        </w:rPr>
        <w:t xml:space="preserve">è </w:t>
      </w:r>
      <w:r>
        <w:rPr>
          <w:sz w:val="28"/>
          <w:szCs w:val="28"/>
        </w:rPr>
        <w:t xml:space="preserve">anche l’account che può avere un valore patrimoniale spesso rilevante. La patrimonialità dell’account può derivare dal contenuto, come nel </w:t>
      </w:r>
      <w:r>
        <w:rPr>
          <w:sz w:val="28"/>
          <w:szCs w:val="28"/>
        </w:rPr>
        <w:lastRenderedPageBreak/>
        <w:t xml:space="preserve">caso di account di pagamento automatizzato </w:t>
      </w:r>
      <w:r w:rsidRPr="00FE6367">
        <w:rPr>
          <w:i/>
          <w:iCs/>
          <w:sz w:val="28"/>
          <w:szCs w:val="28"/>
        </w:rPr>
        <w:t>(</w:t>
      </w:r>
      <w:proofErr w:type="spellStart"/>
      <w:r w:rsidRPr="00FE6367">
        <w:rPr>
          <w:i/>
          <w:iCs/>
          <w:sz w:val="28"/>
          <w:szCs w:val="28"/>
        </w:rPr>
        <w:t>Paypal</w:t>
      </w:r>
      <w:proofErr w:type="spellEnd"/>
      <w:r w:rsidRPr="00FE6367">
        <w:rPr>
          <w:i/>
          <w:iCs/>
          <w:sz w:val="28"/>
          <w:szCs w:val="28"/>
        </w:rPr>
        <w:t>, ecc.)</w:t>
      </w:r>
      <w:r>
        <w:rPr>
          <w:i/>
          <w:iCs/>
          <w:sz w:val="28"/>
          <w:szCs w:val="28"/>
        </w:rPr>
        <w:t xml:space="preserve"> </w:t>
      </w:r>
      <w:r w:rsidRPr="00FE6367">
        <w:rPr>
          <w:sz w:val="28"/>
          <w:szCs w:val="28"/>
        </w:rPr>
        <w:t>o per trading on line</w:t>
      </w:r>
      <w:r>
        <w:rPr>
          <w:sz w:val="28"/>
          <w:szCs w:val="28"/>
        </w:rPr>
        <w:t xml:space="preserve"> (</w:t>
      </w:r>
      <w:r w:rsidRPr="00FE6367">
        <w:rPr>
          <w:i/>
          <w:iCs/>
          <w:sz w:val="28"/>
          <w:szCs w:val="28"/>
        </w:rPr>
        <w:t xml:space="preserve">IQ Option, </w:t>
      </w:r>
      <w:proofErr w:type="spellStart"/>
      <w:r w:rsidRPr="00FE6367">
        <w:rPr>
          <w:i/>
          <w:iCs/>
          <w:sz w:val="28"/>
          <w:szCs w:val="28"/>
        </w:rPr>
        <w:t>markets</w:t>
      </w:r>
      <w:proofErr w:type="spellEnd"/>
      <w:r w:rsidRPr="00FE6367">
        <w:rPr>
          <w:i/>
          <w:iCs/>
          <w:sz w:val="28"/>
          <w:szCs w:val="28"/>
        </w:rPr>
        <w:t xml:space="preserve">, </w:t>
      </w:r>
      <w:proofErr w:type="spellStart"/>
      <w:r w:rsidRPr="00FE6367">
        <w:rPr>
          <w:i/>
          <w:iCs/>
          <w:sz w:val="28"/>
          <w:szCs w:val="28"/>
        </w:rPr>
        <w:t>Binance</w:t>
      </w:r>
      <w:proofErr w:type="spellEnd"/>
      <w:r w:rsidRPr="00FE6367">
        <w:rPr>
          <w:i/>
          <w:iCs/>
          <w:sz w:val="28"/>
          <w:szCs w:val="28"/>
        </w:rPr>
        <w:t xml:space="preserve">, </w:t>
      </w:r>
      <w:proofErr w:type="spellStart"/>
      <w:r w:rsidRPr="00FE6367">
        <w:rPr>
          <w:i/>
          <w:iCs/>
          <w:sz w:val="28"/>
          <w:szCs w:val="28"/>
        </w:rPr>
        <w:t>ecc</w:t>
      </w:r>
      <w:proofErr w:type="spellEnd"/>
      <w:r w:rsidRPr="00FE6367">
        <w:rPr>
          <w:i/>
          <w:iCs/>
          <w:sz w:val="28"/>
          <w:szCs w:val="28"/>
        </w:rPr>
        <w:t>)</w:t>
      </w:r>
      <w:r>
        <w:rPr>
          <w:i/>
          <w:iCs/>
          <w:sz w:val="28"/>
          <w:szCs w:val="28"/>
        </w:rPr>
        <w:t xml:space="preserve">, </w:t>
      </w:r>
      <w:r w:rsidRPr="00FE6367">
        <w:rPr>
          <w:sz w:val="28"/>
          <w:szCs w:val="28"/>
        </w:rPr>
        <w:t>dai contratti</w:t>
      </w:r>
      <w:r>
        <w:rPr>
          <w:sz w:val="28"/>
          <w:szCs w:val="28"/>
        </w:rPr>
        <w:t xml:space="preserve"> di sponsorizzazione, che lo corredano, dalle recensioni o valutazione degli utenti (</w:t>
      </w:r>
      <w:proofErr w:type="spellStart"/>
      <w:r w:rsidRPr="00FE6367">
        <w:rPr>
          <w:i/>
          <w:iCs/>
          <w:sz w:val="28"/>
          <w:szCs w:val="28"/>
        </w:rPr>
        <w:t>Youtube</w:t>
      </w:r>
      <w:proofErr w:type="spellEnd"/>
      <w:r w:rsidRPr="00FE6367">
        <w:rPr>
          <w:i/>
          <w:iCs/>
          <w:sz w:val="28"/>
          <w:szCs w:val="28"/>
        </w:rPr>
        <w:t>, E</w:t>
      </w:r>
      <w:r w:rsidR="009F6423">
        <w:rPr>
          <w:i/>
          <w:iCs/>
          <w:sz w:val="28"/>
          <w:szCs w:val="28"/>
        </w:rPr>
        <w:t>-</w:t>
      </w:r>
      <w:proofErr w:type="spellStart"/>
      <w:r w:rsidRPr="00FE6367">
        <w:rPr>
          <w:i/>
          <w:iCs/>
          <w:sz w:val="28"/>
          <w:szCs w:val="28"/>
        </w:rPr>
        <w:t>bay</w:t>
      </w:r>
      <w:proofErr w:type="spellEnd"/>
      <w:r>
        <w:rPr>
          <w:i/>
          <w:iCs/>
          <w:sz w:val="28"/>
          <w:szCs w:val="28"/>
        </w:rPr>
        <w:t xml:space="preserve">, </w:t>
      </w:r>
      <w:proofErr w:type="spellStart"/>
      <w:r>
        <w:rPr>
          <w:i/>
          <w:iCs/>
          <w:sz w:val="28"/>
          <w:szCs w:val="28"/>
        </w:rPr>
        <w:t>Tripadvisor</w:t>
      </w:r>
      <w:proofErr w:type="spellEnd"/>
      <w:r>
        <w:rPr>
          <w:i/>
          <w:iCs/>
          <w:sz w:val="28"/>
          <w:szCs w:val="28"/>
        </w:rPr>
        <w:t>,</w:t>
      </w:r>
      <w:r w:rsidR="00B001FE">
        <w:rPr>
          <w:i/>
          <w:iCs/>
          <w:sz w:val="28"/>
          <w:szCs w:val="28"/>
        </w:rPr>
        <w:t xml:space="preserve"> </w:t>
      </w:r>
      <w:r>
        <w:rPr>
          <w:i/>
          <w:iCs/>
          <w:sz w:val="28"/>
          <w:szCs w:val="28"/>
        </w:rPr>
        <w:t xml:space="preserve">ecc.) </w:t>
      </w:r>
      <w:r w:rsidRPr="00FE6367">
        <w:rPr>
          <w:sz w:val="28"/>
          <w:szCs w:val="28"/>
        </w:rPr>
        <w:t>o semplicemente</w:t>
      </w:r>
      <w:r>
        <w:rPr>
          <w:sz w:val="28"/>
          <w:szCs w:val="28"/>
        </w:rPr>
        <w:t xml:space="preserve"> dal valore acquisito per essere divenuto per gli utenti di una </w:t>
      </w:r>
      <w:r w:rsidRPr="00FE6367">
        <w:rPr>
          <w:i/>
          <w:iCs/>
          <w:sz w:val="28"/>
          <w:szCs w:val="28"/>
        </w:rPr>
        <w:t>community</w:t>
      </w:r>
      <w:r>
        <w:rPr>
          <w:i/>
          <w:iCs/>
          <w:sz w:val="28"/>
          <w:szCs w:val="28"/>
        </w:rPr>
        <w:t xml:space="preserve"> un punto di riferimento (</w:t>
      </w:r>
      <w:r w:rsidRPr="00FE6367">
        <w:rPr>
          <w:sz w:val="28"/>
          <w:szCs w:val="28"/>
        </w:rPr>
        <w:t xml:space="preserve">si prendano </w:t>
      </w:r>
      <w:r>
        <w:rPr>
          <w:sz w:val="28"/>
          <w:szCs w:val="28"/>
        </w:rPr>
        <w:t xml:space="preserve">ad esempio gli account social di personaggi famosi o </w:t>
      </w:r>
      <w:r w:rsidRPr="009F6423">
        <w:rPr>
          <w:sz w:val="28"/>
          <w:szCs w:val="28"/>
        </w:rPr>
        <w:t>c</w:t>
      </w:r>
      <w:r w:rsidR="009F6423" w:rsidRPr="009F6423">
        <w:rPr>
          <w:sz w:val="28"/>
          <w:szCs w:val="28"/>
        </w:rPr>
        <w:t>.</w:t>
      </w:r>
      <w:r w:rsidRPr="009F6423">
        <w:rPr>
          <w:sz w:val="28"/>
          <w:szCs w:val="28"/>
        </w:rPr>
        <w:t>d</w:t>
      </w:r>
      <w:r w:rsidR="009F6423" w:rsidRPr="009F6423">
        <w:rPr>
          <w:sz w:val="28"/>
          <w:szCs w:val="28"/>
        </w:rPr>
        <w:t>.</w:t>
      </w:r>
      <w:r w:rsidRPr="00FE6367">
        <w:rPr>
          <w:i/>
          <w:iCs/>
          <w:sz w:val="28"/>
          <w:szCs w:val="28"/>
        </w:rPr>
        <w:t xml:space="preserve"> </w:t>
      </w:r>
      <w:proofErr w:type="spellStart"/>
      <w:r w:rsidRPr="00FE6367">
        <w:rPr>
          <w:i/>
          <w:iCs/>
          <w:sz w:val="28"/>
          <w:szCs w:val="28"/>
        </w:rPr>
        <w:t>influencer</w:t>
      </w:r>
      <w:proofErr w:type="spellEnd"/>
      <w:r>
        <w:rPr>
          <w:sz w:val="28"/>
          <w:szCs w:val="28"/>
        </w:rPr>
        <w:t>).</w:t>
      </w:r>
    </w:p>
    <w:p w14:paraId="45FC7996" w14:textId="77777777" w:rsidR="00CA1BFF" w:rsidRDefault="00FE6367" w:rsidP="008E2937">
      <w:pPr>
        <w:pStyle w:val="NormaleWeb"/>
        <w:spacing w:before="0" w:beforeAutospacing="0" w:after="0" w:afterAutospacing="0"/>
        <w:jc w:val="both"/>
        <w:rPr>
          <w:i/>
          <w:iCs/>
          <w:sz w:val="28"/>
          <w:szCs w:val="28"/>
        </w:rPr>
      </w:pPr>
      <w:r>
        <w:rPr>
          <w:sz w:val="28"/>
          <w:szCs w:val="28"/>
        </w:rPr>
        <w:t>A tal proposito</w:t>
      </w:r>
      <w:r w:rsidR="00CA1BFF">
        <w:rPr>
          <w:sz w:val="28"/>
          <w:szCs w:val="28"/>
        </w:rPr>
        <w:t>,</w:t>
      </w:r>
      <w:r>
        <w:rPr>
          <w:sz w:val="28"/>
          <w:szCs w:val="28"/>
        </w:rPr>
        <w:t xml:space="preserve"> giova accennare alla nuova </w:t>
      </w:r>
      <w:proofErr w:type="spellStart"/>
      <w:r>
        <w:rPr>
          <w:sz w:val="28"/>
          <w:szCs w:val="28"/>
        </w:rPr>
        <w:t>criptovaluta</w:t>
      </w:r>
      <w:proofErr w:type="spellEnd"/>
      <w:r>
        <w:rPr>
          <w:sz w:val="28"/>
          <w:szCs w:val="28"/>
        </w:rPr>
        <w:t xml:space="preserve"> annunciata da </w:t>
      </w:r>
      <w:proofErr w:type="spellStart"/>
      <w:r w:rsidRPr="00FE6367">
        <w:rPr>
          <w:i/>
          <w:iCs/>
          <w:sz w:val="28"/>
          <w:szCs w:val="28"/>
        </w:rPr>
        <w:t>Facebook</w:t>
      </w:r>
      <w:proofErr w:type="spellEnd"/>
      <w:r>
        <w:rPr>
          <w:i/>
          <w:iCs/>
          <w:sz w:val="28"/>
          <w:szCs w:val="28"/>
        </w:rPr>
        <w:t xml:space="preserve"> </w:t>
      </w:r>
      <w:r w:rsidRPr="00BC6690">
        <w:rPr>
          <w:sz w:val="28"/>
          <w:szCs w:val="28"/>
        </w:rPr>
        <w:t>per erogare servizi finanziari</w:t>
      </w:r>
      <w:r w:rsidR="00BC6690">
        <w:rPr>
          <w:sz w:val="28"/>
          <w:szCs w:val="28"/>
        </w:rPr>
        <w:t xml:space="preserve"> tramite il proprio </w:t>
      </w:r>
      <w:r w:rsidR="00BC6690" w:rsidRPr="008244ED">
        <w:rPr>
          <w:i/>
          <w:iCs/>
          <w:sz w:val="28"/>
          <w:szCs w:val="28"/>
        </w:rPr>
        <w:t>social network</w:t>
      </w:r>
      <w:r w:rsidR="00BC6690">
        <w:rPr>
          <w:sz w:val="28"/>
          <w:szCs w:val="28"/>
        </w:rPr>
        <w:t xml:space="preserve">: </w:t>
      </w:r>
      <w:r w:rsidR="00BC6690" w:rsidRPr="00BC6690">
        <w:rPr>
          <w:i/>
          <w:iCs/>
          <w:sz w:val="28"/>
          <w:szCs w:val="28"/>
        </w:rPr>
        <w:t>Libra.</w:t>
      </w:r>
      <w:r w:rsidR="00BC6690">
        <w:rPr>
          <w:i/>
          <w:iCs/>
          <w:sz w:val="28"/>
          <w:szCs w:val="28"/>
        </w:rPr>
        <w:t xml:space="preserve"> </w:t>
      </w:r>
      <w:r w:rsidR="00BC6690" w:rsidRPr="00BC6690">
        <w:rPr>
          <w:sz w:val="28"/>
          <w:szCs w:val="28"/>
        </w:rPr>
        <w:t xml:space="preserve">Attraverso </w:t>
      </w:r>
      <w:r w:rsidR="00BC6690" w:rsidRPr="00BC6690">
        <w:rPr>
          <w:i/>
          <w:iCs/>
          <w:sz w:val="28"/>
          <w:szCs w:val="28"/>
        </w:rPr>
        <w:t>Libra</w:t>
      </w:r>
      <w:r w:rsidR="00BC6690">
        <w:rPr>
          <w:i/>
          <w:iCs/>
          <w:sz w:val="28"/>
          <w:szCs w:val="28"/>
        </w:rPr>
        <w:t xml:space="preserve"> </w:t>
      </w:r>
      <w:r w:rsidR="00BC6690" w:rsidRPr="00BC6690">
        <w:rPr>
          <w:sz w:val="28"/>
          <w:szCs w:val="28"/>
        </w:rPr>
        <w:t xml:space="preserve">i titolari </w:t>
      </w:r>
      <w:r w:rsidR="00BC6690">
        <w:rPr>
          <w:sz w:val="28"/>
          <w:szCs w:val="28"/>
        </w:rPr>
        <w:t xml:space="preserve">di un account </w:t>
      </w:r>
      <w:proofErr w:type="spellStart"/>
      <w:r w:rsidR="00BC6690" w:rsidRPr="00BC6690">
        <w:rPr>
          <w:i/>
          <w:iCs/>
          <w:sz w:val="28"/>
          <w:szCs w:val="28"/>
        </w:rPr>
        <w:t>Facebook</w:t>
      </w:r>
      <w:proofErr w:type="spellEnd"/>
      <w:r w:rsidR="00BC6690" w:rsidRPr="00BC6690">
        <w:rPr>
          <w:i/>
          <w:iCs/>
          <w:sz w:val="28"/>
          <w:szCs w:val="28"/>
        </w:rPr>
        <w:t xml:space="preserve">, </w:t>
      </w:r>
      <w:proofErr w:type="spellStart"/>
      <w:r w:rsidR="00BC6690" w:rsidRPr="00BC6690">
        <w:rPr>
          <w:i/>
          <w:iCs/>
          <w:sz w:val="28"/>
          <w:szCs w:val="28"/>
        </w:rPr>
        <w:t>What</w:t>
      </w:r>
      <w:r w:rsidR="009F6423">
        <w:rPr>
          <w:i/>
          <w:iCs/>
          <w:sz w:val="28"/>
          <w:szCs w:val="28"/>
        </w:rPr>
        <w:t>s</w:t>
      </w:r>
      <w:r w:rsidR="00BC6690" w:rsidRPr="00BC6690">
        <w:rPr>
          <w:i/>
          <w:iCs/>
          <w:sz w:val="28"/>
          <w:szCs w:val="28"/>
        </w:rPr>
        <w:t>app</w:t>
      </w:r>
      <w:proofErr w:type="spellEnd"/>
      <w:r w:rsidR="00BC6690" w:rsidRPr="00BC6690">
        <w:rPr>
          <w:i/>
          <w:iCs/>
          <w:sz w:val="28"/>
          <w:szCs w:val="28"/>
        </w:rPr>
        <w:t xml:space="preserve"> o Messenger</w:t>
      </w:r>
      <w:r w:rsidR="00BC6690">
        <w:rPr>
          <w:i/>
          <w:iCs/>
          <w:sz w:val="28"/>
          <w:szCs w:val="28"/>
        </w:rPr>
        <w:t xml:space="preserve"> </w:t>
      </w:r>
      <w:r w:rsidR="00BC6690" w:rsidRPr="00BC6690">
        <w:rPr>
          <w:sz w:val="28"/>
          <w:szCs w:val="28"/>
        </w:rPr>
        <w:t xml:space="preserve">potranno </w:t>
      </w:r>
      <w:r w:rsidR="00BC6690">
        <w:rPr>
          <w:sz w:val="28"/>
          <w:szCs w:val="28"/>
        </w:rPr>
        <w:t xml:space="preserve">inviare e ricevere pagamenti in </w:t>
      </w:r>
      <w:proofErr w:type="spellStart"/>
      <w:r w:rsidR="00BC6690">
        <w:rPr>
          <w:sz w:val="28"/>
          <w:szCs w:val="28"/>
        </w:rPr>
        <w:t>criptovaluta</w:t>
      </w:r>
      <w:proofErr w:type="spellEnd"/>
      <w:r w:rsidR="00BC6690">
        <w:rPr>
          <w:sz w:val="28"/>
          <w:szCs w:val="28"/>
        </w:rPr>
        <w:t xml:space="preserve">, sulla base di una </w:t>
      </w:r>
      <w:proofErr w:type="spellStart"/>
      <w:r w:rsidR="00BC6690" w:rsidRPr="00BC6690">
        <w:rPr>
          <w:i/>
          <w:iCs/>
          <w:sz w:val="28"/>
          <w:szCs w:val="28"/>
        </w:rPr>
        <w:t>blockchain</w:t>
      </w:r>
      <w:proofErr w:type="spellEnd"/>
      <w:r w:rsidR="00BC6690">
        <w:rPr>
          <w:i/>
          <w:iCs/>
          <w:sz w:val="28"/>
          <w:szCs w:val="28"/>
        </w:rPr>
        <w:t xml:space="preserve"> </w:t>
      </w:r>
      <w:r w:rsidR="00BC6690" w:rsidRPr="00BC6690">
        <w:rPr>
          <w:sz w:val="28"/>
          <w:szCs w:val="28"/>
        </w:rPr>
        <w:t>che</w:t>
      </w:r>
      <w:r w:rsidR="00BC6690">
        <w:rPr>
          <w:sz w:val="28"/>
          <w:szCs w:val="28"/>
        </w:rPr>
        <w:t xml:space="preserve">, a differenza del sistema </w:t>
      </w:r>
      <w:proofErr w:type="spellStart"/>
      <w:r w:rsidR="00BC6690" w:rsidRPr="00BC6690">
        <w:rPr>
          <w:i/>
          <w:iCs/>
          <w:sz w:val="28"/>
          <w:szCs w:val="28"/>
        </w:rPr>
        <w:t>Bitcoin</w:t>
      </w:r>
      <w:proofErr w:type="spellEnd"/>
      <w:r w:rsidR="00BC6690">
        <w:rPr>
          <w:i/>
          <w:iCs/>
          <w:sz w:val="28"/>
          <w:szCs w:val="28"/>
        </w:rPr>
        <w:t xml:space="preserve">, </w:t>
      </w:r>
      <w:r w:rsidR="00BC6690" w:rsidRPr="00BC6690">
        <w:rPr>
          <w:sz w:val="28"/>
          <w:szCs w:val="28"/>
        </w:rPr>
        <w:t>sarà</w:t>
      </w:r>
      <w:r w:rsidR="00BC6690">
        <w:rPr>
          <w:i/>
          <w:iCs/>
          <w:sz w:val="28"/>
          <w:szCs w:val="28"/>
        </w:rPr>
        <w:t xml:space="preserve"> “</w:t>
      </w:r>
      <w:proofErr w:type="spellStart"/>
      <w:r w:rsidR="00BC6690">
        <w:rPr>
          <w:i/>
          <w:iCs/>
          <w:sz w:val="28"/>
          <w:szCs w:val="28"/>
        </w:rPr>
        <w:t>permissioned</w:t>
      </w:r>
      <w:proofErr w:type="spellEnd"/>
      <w:r w:rsidR="00BC6690">
        <w:rPr>
          <w:i/>
          <w:iCs/>
          <w:sz w:val="28"/>
          <w:szCs w:val="28"/>
        </w:rPr>
        <w:t xml:space="preserve">”, </w:t>
      </w:r>
      <w:r w:rsidR="00BC6690" w:rsidRPr="009F3B87">
        <w:rPr>
          <w:sz w:val="28"/>
          <w:szCs w:val="28"/>
        </w:rPr>
        <w:t>dunque, solo</w:t>
      </w:r>
      <w:r w:rsidR="00BC6690">
        <w:rPr>
          <w:i/>
          <w:iCs/>
          <w:sz w:val="28"/>
          <w:szCs w:val="28"/>
        </w:rPr>
        <w:t xml:space="preserve"> </w:t>
      </w:r>
      <w:r w:rsidR="009F3B87" w:rsidRPr="009F3B87">
        <w:rPr>
          <w:sz w:val="28"/>
          <w:szCs w:val="28"/>
        </w:rPr>
        <w:t>un numero</w:t>
      </w:r>
      <w:r w:rsidR="009F3B87">
        <w:rPr>
          <w:sz w:val="28"/>
          <w:szCs w:val="28"/>
        </w:rPr>
        <w:t xml:space="preserve"> limitato di utenti sarà autorizzato a tener traccia del </w:t>
      </w:r>
      <w:proofErr w:type="spellStart"/>
      <w:r w:rsidR="009F3B87" w:rsidRPr="009F3B87">
        <w:rPr>
          <w:i/>
          <w:iCs/>
          <w:sz w:val="28"/>
          <w:szCs w:val="28"/>
        </w:rPr>
        <w:t>ledger</w:t>
      </w:r>
      <w:proofErr w:type="spellEnd"/>
      <w:r w:rsidR="009F3B87" w:rsidRPr="009F3B87">
        <w:rPr>
          <w:i/>
          <w:iCs/>
          <w:sz w:val="28"/>
          <w:szCs w:val="28"/>
        </w:rPr>
        <w:t>,</w:t>
      </w:r>
      <w:r w:rsidR="009F3B87">
        <w:rPr>
          <w:sz w:val="28"/>
          <w:szCs w:val="28"/>
        </w:rPr>
        <w:t xml:space="preserve"> “</w:t>
      </w:r>
      <w:r w:rsidR="009F3B87" w:rsidRPr="009F3B87">
        <w:rPr>
          <w:i/>
          <w:iCs/>
          <w:sz w:val="28"/>
          <w:szCs w:val="28"/>
        </w:rPr>
        <w:t>libro mastro</w:t>
      </w:r>
      <w:r w:rsidR="009F3B87">
        <w:rPr>
          <w:sz w:val="28"/>
          <w:szCs w:val="28"/>
        </w:rPr>
        <w:t xml:space="preserve">”, della rete </w:t>
      </w:r>
      <w:proofErr w:type="spellStart"/>
      <w:r w:rsidR="009F3B87" w:rsidRPr="009F3B87">
        <w:rPr>
          <w:i/>
          <w:iCs/>
          <w:sz w:val="28"/>
          <w:szCs w:val="28"/>
        </w:rPr>
        <w:t>blockchain</w:t>
      </w:r>
      <w:proofErr w:type="spellEnd"/>
      <w:r w:rsidR="009F3B87">
        <w:rPr>
          <w:i/>
          <w:iCs/>
          <w:sz w:val="28"/>
          <w:szCs w:val="28"/>
        </w:rPr>
        <w:t xml:space="preserve">. </w:t>
      </w:r>
    </w:p>
    <w:p w14:paraId="154C2FFA" w14:textId="03393D97" w:rsidR="00FE6367" w:rsidRDefault="009F3B87" w:rsidP="008E2937">
      <w:pPr>
        <w:pStyle w:val="NormaleWeb"/>
        <w:spacing w:before="0" w:beforeAutospacing="0" w:after="0" w:afterAutospacing="0"/>
        <w:jc w:val="both"/>
        <w:rPr>
          <w:sz w:val="28"/>
          <w:szCs w:val="28"/>
        </w:rPr>
      </w:pPr>
      <w:r>
        <w:rPr>
          <w:i/>
          <w:iCs/>
          <w:sz w:val="28"/>
          <w:szCs w:val="28"/>
        </w:rPr>
        <w:t xml:space="preserve">Libra </w:t>
      </w:r>
      <w:r>
        <w:rPr>
          <w:sz w:val="28"/>
          <w:szCs w:val="28"/>
        </w:rPr>
        <w:t xml:space="preserve">avrà un valore predeterminato che la legherà al valore della moneta, forzandone gli equilibri di cambio, </w:t>
      </w:r>
      <w:r w:rsidR="00B001FE">
        <w:rPr>
          <w:sz w:val="28"/>
          <w:szCs w:val="28"/>
        </w:rPr>
        <w:t>affinché</w:t>
      </w:r>
      <w:r>
        <w:rPr>
          <w:sz w:val="28"/>
          <w:szCs w:val="28"/>
        </w:rPr>
        <w:t xml:space="preserve"> in qualsiasi momento possano essere chiari i meccanismi ed il valore della somma inviata o ricevuta. Se il progetto </w:t>
      </w:r>
      <w:r w:rsidRPr="009F3B87">
        <w:rPr>
          <w:i/>
          <w:iCs/>
          <w:sz w:val="28"/>
          <w:szCs w:val="28"/>
        </w:rPr>
        <w:t xml:space="preserve">Libra </w:t>
      </w:r>
      <w:r w:rsidR="00E403F1" w:rsidRPr="00E403F1">
        <w:rPr>
          <w:sz w:val="28"/>
          <w:szCs w:val="28"/>
        </w:rPr>
        <w:t xml:space="preserve">dovesse </w:t>
      </w:r>
      <w:r w:rsidR="00E403F1">
        <w:rPr>
          <w:sz w:val="28"/>
          <w:szCs w:val="28"/>
        </w:rPr>
        <w:t xml:space="preserve">avere successo, l’account acquisterà anche un valore patrimoniale, essendo direttamente ad esso associato un patrimonio di </w:t>
      </w:r>
      <w:proofErr w:type="spellStart"/>
      <w:r w:rsidR="00E403F1">
        <w:rPr>
          <w:sz w:val="28"/>
          <w:szCs w:val="28"/>
        </w:rPr>
        <w:t>criptovalute</w:t>
      </w:r>
      <w:proofErr w:type="spellEnd"/>
      <w:r w:rsidR="00E403F1">
        <w:rPr>
          <w:sz w:val="28"/>
          <w:szCs w:val="28"/>
        </w:rPr>
        <w:t xml:space="preserve"> riconducibile al defunto e assumerà ancora più rilevanza in caso di morte dell’utente. </w:t>
      </w:r>
    </w:p>
    <w:p w14:paraId="27BF108A" w14:textId="77777777" w:rsidR="00CA1BFF" w:rsidRDefault="00E403F1" w:rsidP="008E2937">
      <w:pPr>
        <w:pStyle w:val="NormaleWeb"/>
        <w:spacing w:before="0" w:beforeAutospacing="0" w:after="0" w:afterAutospacing="0"/>
        <w:jc w:val="both"/>
        <w:rPr>
          <w:sz w:val="28"/>
          <w:szCs w:val="28"/>
        </w:rPr>
      </w:pPr>
      <w:r>
        <w:rPr>
          <w:sz w:val="28"/>
          <w:szCs w:val="28"/>
        </w:rPr>
        <w:t>Alcuni gestori di posta elettronica</w:t>
      </w:r>
      <w:r w:rsidR="00CA1BFF">
        <w:rPr>
          <w:sz w:val="28"/>
          <w:szCs w:val="28"/>
        </w:rPr>
        <w:t>,</w:t>
      </w:r>
      <w:r>
        <w:rPr>
          <w:sz w:val="28"/>
          <w:szCs w:val="28"/>
        </w:rPr>
        <w:t xml:space="preserve"> tra le condizioni generali di servizio (che spesso vengono frettolosamente accettate con un semplice click)</w:t>
      </w:r>
      <w:r w:rsidR="00CA1BFF">
        <w:rPr>
          <w:sz w:val="28"/>
          <w:szCs w:val="28"/>
        </w:rPr>
        <w:t>,</w:t>
      </w:r>
      <w:r>
        <w:rPr>
          <w:sz w:val="28"/>
          <w:szCs w:val="28"/>
        </w:rPr>
        <w:t xml:space="preserve"> prevedono la non trasferibilità dell’account. </w:t>
      </w:r>
      <w:r w:rsidRPr="00E403F1">
        <w:rPr>
          <w:i/>
          <w:iCs/>
          <w:sz w:val="28"/>
          <w:szCs w:val="28"/>
        </w:rPr>
        <w:t>L’account mail Yahoo</w:t>
      </w:r>
      <w:r>
        <w:rPr>
          <w:i/>
          <w:iCs/>
          <w:sz w:val="28"/>
          <w:szCs w:val="28"/>
        </w:rPr>
        <w:t xml:space="preserve">, </w:t>
      </w:r>
      <w:r w:rsidRPr="00E403F1">
        <w:rPr>
          <w:sz w:val="28"/>
          <w:szCs w:val="28"/>
        </w:rPr>
        <w:t xml:space="preserve">ad esempio, </w:t>
      </w:r>
      <w:r>
        <w:rPr>
          <w:sz w:val="28"/>
          <w:szCs w:val="28"/>
        </w:rPr>
        <w:t xml:space="preserve">non è trasferibile e qualsiasi diritto relativo all’ID o ai contenuti all’interno dell’account verrà meno in seguito al decesso del titolare dell’indirizzo di posta. Questo significa che il </w:t>
      </w:r>
      <w:r w:rsidRPr="00E403F1">
        <w:rPr>
          <w:i/>
          <w:iCs/>
          <w:sz w:val="28"/>
          <w:szCs w:val="28"/>
        </w:rPr>
        <w:t>provider</w:t>
      </w:r>
      <w:r>
        <w:rPr>
          <w:i/>
          <w:iCs/>
          <w:sz w:val="28"/>
          <w:szCs w:val="28"/>
        </w:rPr>
        <w:t xml:space="preserve"> </w:t>
      </w:r>
      <w:r w:rsidRPr="00E403F1">
        <w:rPr>
          <w:sz w:val="28"/>
          <w:szCs w:val="28"/>
        </w:rPr>
        <w:t>potrà essere contattato</w:t>
      </w:r>
      <w:r>
        <w:rPr>
          <w:sz w:val="28"/>
          <w:szCs w:val="28"/>
        </w:rPr>
        <w:t xml:space="preserve"> solo per richiedere, previa esibizione del certificato di morte, la cancellazione dell’account e tutto il suo contenuto. </w:t>
      </w:r>
    </w:p>
    <w:p w14:paraId="0BDCB3DD" w14:textId="2CE9FDEC" w:rsidR="00E403F1" w:rsidRDefault="00E403F1" w:rsidP="008E2937">
      <w:pPr>
        <w:pStyle w:val="NormaleWeb"/>
        <w:spacing w:before="0" w:beforeAutospacing="0" w:after="0" w:afterAutospacing="0"/>
        <w:jc w:val="both"/>
        <w:rPr>
          <w:sz w:val="28"/>
          <w:szCs w:val="28"/>
        </w:rPr>
      </w:pPr>
      <w:r>
        <w:rPr>
          <w:sz w:val="28"/>
          <w:szCs w:val="28"/>
        </w:rPr>
        <w:t xml:space="preserve">Così anche per Apple, </w:t>
      </w:r>
      <w:proofErr w:type="spellStart"/>
      <w:r>
        <w:rPr>
          <w:sz w:val="28"/>
          <w:szCs w:val="28"/>
        </w:rPr>
        <w:t>Linkedin</w:t>
      </w:r>
      <w:proofErr w:type="spellEnd"/>
      <w:r>
        <w:rPr>
          <w:sz w:val="28"/>
          <w:szCs w:val="28"/>
        </w:rPr>
        <w:t xml:space="preserve"> e </w:t>
      </w:r>
      <w:proofErr w:type="spellStart"/>
      <w:r>
        <w:rPr>
          <w:sz w:val="28"/>
          <w:szCs w:val="28"/>
        </w:rPr>
        <w:t>Twitter</w:t>
      </w:r>
      <w:proofErr w:type="spellEnd"/>
      <w:r>
        <w:rPr>
          <w:sz w:val="28"/>
          <w:szCs w:val="28"/>
        </w:rPr>
        <w:t xml:space="preserve">. Anche se si decidesse di andare per le vie legali, sarebbero, comunque, applicabili leggi e giurisdizioni straniere, così come accade nel caso di problematiche con alcuni </w:t>
      </w:r>
      <w:r w:rsidRPr="00E403F1">
        <w:rPr>
          <w:i/>
          <w:iCs/>
          <w:sz w:val="28"/>
          <w:szCs w:val="28"/>
        </w:rPr>
        <w:t xml:space="preserve">provider </w:t>
      </w:r>
      <w:r w:rsidRPr="00E403F1">
        <w:rPr>
          <w:sz w:val="28"/>
          <w:szCs w:val="28"/>
        </w:rPr>
        <w:t>statunitensi.</w:t>
      </w:r>
      <w:r>
        <w:rPr>
          <w:sz w:val="28"/>
          <w:szCs w:val="28"/>
        </w:rPr>
        <w:t xml:space="preserve"> </w:t>
      </w:r>
    </w:p>
    <w:p w14:paraId="00BD06CD" w14:textId="76A7231D" w:rsidR="00E403F1" w:rsidRDefault="00E403F1" w:rsidP="008E2937">
      <w:pPr>
        <w:pStyle w:val="NormaleWeb"/>
        <w:spacing w:before="0" w:beforeAutospacing="0" w:after="0" w:afterAutospacing="0"/>
        <w:jc w:val="both"/>
        <w:rPr>
          <w:sz w:val="28"/>
          <w:szCs w:val="28"/>
        </w:rPr>
      </w:pPr>
      <w:r>
        <w:rPr>
          <w:sz w:val="28"/>
          <w:szCs w:val="28"/>
        </w:rPr>
        <w:t>Vi è allora da chiedersi: oggi la nostra proprietà digitale</w:t>
      </w:r>
      <w:r w:rsidR="00CA1BFF">
        <w:rPr>
          <w:sz w:val="28"/>
          <w:szCs w:val="28"/>
        </w:rPr>
        <w:t xml:space="preserve">, </w:t>
      </w:r>
      <w:r>
        <w:rPr>
          <w:sz w:val="28"/>
          <w:szCs w:val="28"/>
        </w:rPr>
        <w:t>così come la nostra identità digitale legata ai dati (</w:t>
      </w:r>
      <w:r w:rsidRPr="00E403F1">
        <w:rPr>
          <w:i/>
          <w:iCs/>
          <w:sz w:val="28"/>
          <w:szCs w:val="28"/>
        </w:rPr>
        <w:t xml:space="preserve">data </w:t>
      </w:r>
      <w:proofErr w:type="spellStart"/>
      <w:r w:rsidRPr="00E403F1">
        <w:rPr>
          <w:i/>
          <w:iCs/>
          <w:sz w:val="28"/>
          <w:szCs w:val="28"/>
        </w:rPr>
        <w:t>mining</w:t>
      </w:r>
      <w:proofErr w:type="spellEnd"/>
      <w:r w:rsidRPr="00E403F1">
        <w:rPr>
          <w:i/>
          <w:iCs/>
          <w:sz w:val="28"/>
          <w:szCs w:val="28"/>
        </w:rPr>
        <w:t xml:space="preserve">, data </w:t>
      </w:r>
      <w:proofErr w:type="spellStart"/>
      <w:r w:rsidRPr="00E403F1">
        <w:rPr>
          <w:i/>
          <w:iCs/>
          <w:sz w:val="28"/>
          <w:szCs w:val="28"/>
        </w:rPr>
        <w:t>driven</w:t>
      </w:r>
      <w:proofErr w:type="spellEnd"/>
      <w:r w:rsidRPr="00E403F1">
        <w:rPr>
          <w:i/>
          <w:iCs/>
          <w:sz w:val="28"/>
          <w:szCs w:val="28"/>
        </w:rPr>
        <w:t xml:space="preserve"> economy</w:t>
      </w:r>
      <w:r>
        <w:rPr>
          <w:sz w:val="28"/>
          <w:szCs w:val="28"/>
        </w:rPr>
        <w:t>)</w:t>
      </w:r>
      <w:r w:rsidR="00CA1BFF">
        <w:rPr>
          <w:sz w:val="28"/>
          <w:szCs w:val="28"/>
        </w:rPr>
        <w:t>,</w:t>
      </w:r>
      <w:r w:rsidR="008E4746">
        <w:rPr>
          <w:sz w:val="28"/>
          <w:szCs w:val="28"/>
        </w:rPr>
        <w:t xml:space="preserve"> è nelle mani delle grandi piattaforme?</w:t>
      </w:r>
    </w:p>
    <w:p w14:paraId="04FB058D" w14:textId="77777777" w:rsidR="00CA1BFF" w:rsidRDefault="00CA1BFF" w:rsidP="008E2937">
      <w:pPr>
        <w:pStyle w:val="NormaleWeb"/>
        <w:spacing w:before="0" w:beforeAutospacing="0" w:after="0" w:afterAutospacing="0"/>
        <w:jc w:val="both"/>
        <w:rPr>
          <w:sz w:val="28"/>
          <w:szCs w:val="28"/>
        </w:rPr>
      </w:pPr>
    </w:p>
    <w:p w14:paraId="73301002" w14:textId="77777777" w:rsidR="00CA1BFF" w:rsidRDefault="008E4746" w:rsidP="008E2937">
      <w:pPr>
        <w:pStyle w:val="NormaleWeb"/>
        <w:spacing w:before="0" w:beforeAutospacing="0" w:after="0" w:afterAutospacing="0"/>
        <w:jc w:val="both"/>
        <w:rPr>
          <w:sz w:val="28"/>
          <w:szCs w:val="28"/>
        </w:rPr>
      </w:pPr>
      <w:r>
        <w:rPr>
          <w:sz w:val="28"/>
          <w:szCs w:val="28"/>
        </w:rPr>
        <w:t xml:space="preserve">L’avvento dell’era digitale non ha stravolto solamente il nostro modo di rapportarci con altre persone, ma ha dato vita ad un vero e proprio patrimonio digitale. Sebbene in molti casi il valore di quest’ultimo sia solamente personale-sentimentale (foto digitali, messaggi </w:t>
      </w:r>
      <w:proofErr w:type="spellStart"/>
      <w:r>
        <w:rPr>
          <w:sz w:val="28"/>
          <w:szCs w:val="28"/>
        </w:rPr>
        <w:t>What</w:t>
      </w:r>
      <w:r w:rsidR="009F6423">
        <w:rPr>
          <w:sz w:val="28"/>
          <w:szCs w:val="28"/>
        </w:rPr>
        <w:t>s</w:t>
      </w:r>
      <w:r>
        <w:rPr>
          <w:sz w:val="28"/>
          <w:szCs w:val="28"/>
        </w:rPr>
        <w:t>app</w:t>
      </w:r>
      <w:proofErr w:type="spellEnd"/>
      <w:r>
        <w:rPr>
          <w:sz w:val="28"/>
          <w:szCs w:val="28"/>
        </w:rPr>
        <w:t xml:space="preserve">, </w:t>
      </w:r>
      <w:proofErr w:type="spellStart"/>
      <w:r>
        <w:rPr>
          <w:sz w:val="28"/>
          <w:szCs w:val="28"/>
        </w:rPr>
        <w:t>files</w:t>
      </w:r>
      <w:proofErr w:type="spellEnd"/>
      <w:r>
        <w:rPr>
          <w:sz w:val="28"/>
          <w:szCs w:val="28"/>
        </w:rPr>
        <w:t xml:space="preserve">), spesso accade che si presenti tuttavia di rilevanza economica tutt’altro che trascurabile. </w:t>
      </w:r>
    </w:p>
    <w:p w14:paraId="409B1918" w14:textId="77777777" w:rsidR="00CA1BFF" w:rsidRDefault="00B001FE" w:rsidP="008E2937">
      <w:pPr>
        <w:pStyle w:val="NormaleWeb"/>
        <w:spacing w:before="0" w:beforeAutospacing="0" w:after="0" w:afterAutospacing="0"/>
        <w:jc w:val="both"/>
        <w:rPr>
          <w:sz w:val="28"/>
          <w:szCs w:val="28"/>
        </w:rPr>
      </w:pPr>
      <w:r>
        <w:rPr>
          <w:sz w:val="28"/>
          <w:szCs w:val="28"/>
        </w:rPr>
        <w:t>È</w:t>
      </w:r>
      <w:r w:rsidR="008E4746">
        <w:rPr>
          <w:sz w:val="28"/>
          <w:szCs w:val="28"/>
        </w:rPr>
        <w:t xml:space="preserve"> evidente,</w:t>
      </w:r>
      <w:r w:rsidR="00CC396D">
        <w:rPr>
          <w:sz w:val="28"/>
          <w:szCs w:val="28"/>
        </w:rPr>
        <w:t xml:space="preserve"> </w:t>
      </w:r>
      <w:r w:rsidR="008E4746">
        <w:rPr>
          <w:sz w:val="28"/>
          <w:szCs w:val="28"/>
        </w:rPr>
        <w:t xml:space="preserve">allora, che prevedere disposizioni precise sul destino del proprio patrimonio digitale rappresenta, più che un’opportunità, una vera e propria esigenza. </w:t>
      </w:r>
    </w:p>
    <w:p w14:paraId="41F8B97E" w14:textId="77777777" w:rsidR="00CA1BFF" w:rsidRDefault="008E4746" w:rsidP="008E2937">
      <w:pPr>
        <w:pStyle w:val="NormaleWeb"/>
        <w:spacing w:before="0" w:beforeAutospacing="0" w:after="0" w:afterAutospacing="0"/>
        <w:jc w:val="both"/>
        <w:rPr>
          <w:sz w:val="28"/>
          <w:szCs w:val="28"/>
        </w:rPr>
      </w:pPr>
      <w:r>
        <w:rPr>
          <w:sz w:val="28"/>
          <w:szCs w:val="28"/>
        </w:rPr>
        <w:t xml:space="preserve">I concetti di proprietà, possesso e dominio nell’era digitale che stiamo vivendo, richiedono la rimodulazione dei principi generali di autodeterminazione individuale e di responsabilizzazione delle piattaforme: principi che costituiscono regole </w:t>
      </w:r>
      <w:r>
        <w:rPr>
          <w:sz w:val="28"/>
          <w:szCs w:val="28"/>
        </w:rPr>
        <w:lastRenderedPageBreak/>
        <w:t xml:space="preserve">metagiuridiche con funzione </w:t>
      </w:r>
      <w:proofErr w:type="spellStart"/>
      <w:r>
        <w:rPr>
          <w:sz w:val="28"/>
          <w:szCs w:val="28"/>
        </w:rPr>
        <w:t>normogenetica</w:t>
      </w:r>
      <w:proofErr w:type="spellEnd"/>
      <w:r>
        <w:rPr>
          <w:sz w:val="28"/>
          <w:szCs w:val="28"/>
        </w:rPr>
        <w:t xml:space="preserve"> in grado di regolare la complessità del nostro tempo.</w:t>
      </w:r>
      <w:r w:rsidR="008E4C0C">
        <w:rPr>
          <w:sz w:val="28"/>
          <w:szCs w:val="28"/>
        </w:rPr>
        <w:t xml:space="preserve"> </w:t>
      </w:r>
    </w:p>
    <w:p w14:paraId="76714A05" w14:textId="77777777" w:rsidR="00CA1BFF" w:rsidRDefault="008E4C0C" w:rsidP="008E2937">
      <w:pPr>
        <w:pStyle w:val="NormaleWeb"/>
        <w:spacing w:before="0" w:beforeAutospacing="0" w:after="0" w:afterAutospacing="0"/>
        <w:jc w:val="both"/>
        <w:rPr>
          <w:sz w:val="28"/>
          <w:szCs w:val="28"/>
        </w:rPr>
      </w:pPr>
      <w:r>
        <w:rPr>
          <w:sz w:val="28"/>
          <w:szCs w:val="28"/>
        </w:rPr>
        <w:t xml:space="preserve">Il </w:t>
      </w:r>
      <w:proofErr w:type="spellStart"/>
      <w:r w:rsidRPr="008E4C0C">
        <w:rPr>
          <w:i/>
          <w:iCs/>
          <w:sz w:val="28"/>
          <w:szCs w:val="28"/>
        </w:rPr>
        <w:t>meum</w:t>
      </w:r>
      <w:proofErr w:type="spellEnd"/>
      <w:r w:rsidRPr="008E4C0C">
        <w:rPr>
          <w:i/>
          <w:iCs/>
          <w:sz w:val="28"/>
          <w:szCs w:val="28"/>
        </w:rPr>
        <w:t xml:space="preserve"> esse </w:t>
      </w:r>
      <w:r w:rsidRPr="008E4C0C">
        <w:rPr>
          <w:sz w:val="28"/>
          <w:szCs w:val="28"/>
        </w:rPr>
        <w:t xml:space="preserve">risulta modificato nella dimensione digitale: dal territorio si passa al </w:t>
      </w:r>
      <w:proofErr w:type="spellStart"/>
      <w:r w:rsidRPr="009F6423">
        <w:rPr>
          <w:i/>
          <w:iCs/>
          <w:sz w:val="28"/>
          <w:szCs w:val="28"/>
        </w:rPr>
        <w:t>cloud</w:t>
      </w:r>
      <w:proofErr w:type="spellEnd"/>
      <w:r>
        <w:rPr>
          <w:sz w:val="28"/>
          <w:szCs w:val="28"/>
        </w:rPr>
        <w:t xml:space="preserve"> ed anche la distinzione di </w:t>
      </w:r>
      <w:proofErr w:type="spellStart"/>
      <w:r>
        <w:rPr>
          <w:sz w:val="28"/>
          <w:szCs w:val="28"/>
        </w:rPr>
        <w:t>Pugliatti</w:t>
      </w:r>
      <w:proofErr w:type="spellEnd"/>
      <w:r w:rsidR="00B001FE">
        <w:rPr>
          <w:rStyle w:val="Rimandonotaapidipagina"/>
          <w:sz w:val="28"/>
          <w:szCs w:val="28"/>
        </w:rPr>
        <w:footnoteReference w:id="148"/>
      </w:r>
      <w:r>
        <w:rPr>
          <w:sz w:val="28"/>
          <w:szCs w:val="28"/>
        </w:rPr>
        <w:t xml:space="preserve"> che</w:t>
      </w:r>
      <w:r w:rsidR="00CA1BFF">
        <w:rPr>
          <w:sz w:val="28"/>
          <w:szCs w:val="28"/>
        </w:rPr>
        <w:t>,</w:t>
      </w:r>
      <w:r>
        <w:rPr>
          <w:sz w:val="28"/>
          <w:szCs w:val="28"/>
        </w:rPr>
        <w:t xml:space="preserve"> nello studio della proprietà invitata a spostare l’analisi dal concetto di “</w:t>
      </w:r>
      <w:r w:rsidRPr="004C3E3A">
        <w:rPr>
          <w:i/>
          <w:iCs/>
          <w:sz w:val="28"/>
          <w:szCs w:val="28"/>
        </w:rPr>
        <w:t>appartenenza</w:t>
      </w:r>
      <w:r>
        <w:rPr>
          <w:sz w:val="28"/>
          <w:szCs w:val="28"/>
        </w:rPr>
        <w:t>” a quello della “</w:t>
      </w:r>
      <w:r w:rsidRPr="004C3E3A">
        <w:rPr>
          <w:i/>
          <w:iCs/>
          <w:sz w:val="28"/>
          <w:szCs w:val="28"/>
        </w:rPr>
        <w:t>funzione</w:t>
      </w:r>
      <w:r>
        <w:rPr>
          <w:sz w:val="28"/>
          <w:szCs w:val="28"/>
        </w:rPr>
        <w:t>”</w:t>
      </w:r>
      <w:r w:rsidR="00CA1BFF">
        <w:rPr>
          <w:sz w:val="28"/>
          <w:szCs w:val="28"/>
        </w:rPr>
        <w:t>,</w:t>
      </w:r>
      <w:r>
        <w:rPr>
          <w:sz w:val="28"/>
          <w:szCs w:val="28"/>
        </w:rPr>
        <w:t xml:space="preserve"> non risulta più in linea con una realtà </w:t>
      </w:r>
      <w:proofErr w:type="spellStart"/>
      <w:r>
        <w:rPr>
          <w:sz w:val="28"/>
          <w:szCs w:val="28"/>
        </w:rPr>
        <w:t>multiversante</w:t>
      </w:r>
      <w:proofErr w:type="spellEnd"/>
      <w:r>
        <w:rPr>
          <w:sz w:val="28"/>
          <w:szCs w:val="28"/>
        </w:rPr>
        <w:t xml:space="preserve">, fluida e cangiante. </w:t>
      </w:r>
    </w:p>
    <w:p w14:paraId="4F080F42" w14:textId="77777777" w:rsidR="00CA1BFF" w:rsidRDefault="008E4C0C" w:rsidP="008E2937">
      <w:pPr>
        <w:pStyle w:val="NormaleWeb"/>
        <w:spacing w:before="0" w:beforeAutospacing="0" w:after="0" w:afterAutospacing="0"/>
        <w:jc w:val="both"/>
        <w:rPr>
          <w:sz w:val="28"/>
          <w:szCs w:val="28"/>
        </w:rPr>
      </w:pPr>
      <w:r>
        <w:rPr>
          <w:sz w:val="28"/>
          <w:szCs w:val="28"/>
        </w:rPr>
        <w:t>Schmitt</w:t>
      </w:r>
      <w:r w:rsidR="00B001FE">
        <w:rPr>
          <w:rStyle w:val="Rimandonotaapidipagina"/>
          <w:sz w:val="28"/>
          <w:szCs w:val="28"/>
        </w:rPr>
        <w:footnoteReference w:id="149"/>
      </w:r>
      <w:r w:rsidR="004C3E3A">
        <w:rPr>
          <w:sz w:val="28"/>
          <w:szCs w:val="28"/>
        </w:rPr>
        <w:t xml:space="preserve"> </w:t>
      </w:r>
      <w:r>
        <w:rPr>
          <w:sz w:val="28"/>
          <w:szCs w:val="28"/>
        </w:rPr>
        <w:t xml:space="preserve">parlava </w:t>
      </w:r>
      <w:r w:rsidR="00D41AF3">
        <w:rPr>
          <w:sz w:val="28"/>
          <w:szCs w:val="28"/>
        </w:rPr>
        <w:t>del “</w:t>
      </w:r>
      <w:proofErr w:type="spellStart"/>
      <w:r w:rsidR="00D41AF3" w:rsidRPr="00A606F1">
        <w:rPr>
          <w:i/>
          <w:iCs/>
          <w:sz w:val="28"/>
          <w:szCs w:val="28"/>
        </w:rPr>
        <w:t>nomos</w:t>
      </w:r>
      <w:proofErr w:type="spellEnd"/>
      <w:r w:rsidR="00D41AF3" w:rsidRPr="00A606F1">
        <w:rPr>
          <w:i/>
          <w:iCs/>
          <w:sz w:val="28"/>
          <w:szCs w:val="28"/>
        </w:rPr>
        <w:t xml:space="preserve"> della terra</w:t>
      </w:r>
      <w:r w:rsidR="00D41AF3">
        <w:rPr>
          <w:sz w:val="28"/>
          <w:szCs w:val="28"/>
        </w:rPr>
        <w:t>”, ma oggi nella dimensione digitale</w:t>
      </w:r>
      <w:r w:rsidR="00FB4BBC">
        <w:rPr>
          <w:sz w:val="28"/>
          <w:szCs w:val="28"/>
        </w:rPr>
        <w:t xml:space="preserve"> non è più dato distinguere il “</w:t>
      </w:r>
      <w:r w:rsidR="00FB4BBC" w:rsidRPr="004C3E3A">
        <w:rPr>
          <w:i/>
          <w:iCs/>
          <w:sz w:val="28"/>
          <w:szCs w:val="28"/>
        </w:rPr>
        <w:t>dove di posizione</w:t>
      </w:r>
      <w:r w:rsidR="00FB4BBC">
        <w:rPr>
          <w:sz w:val="28"/>
          <w:szCs w:val="28"/>
        </w:rPr>
        <w:t>” e il “</w:t>
      </w:r>
      <w:r w:rsidR="00FB4BBC" w:rsidRPr="004C3E3A">
        <w:rPr>
          <w:i/>
          <w:iCs/>
          <w:sz w:val="28"/>
          <w:szCs w:val="28"/>
        </w:rPr>
        <w:t>dove di applicazione”</w:t>
      </w:r>
      <w:r w:rsidR="004C3E3A" w:rsidRPr="004C3E3A">
        <w:rPr>
          <w:i/>
          <w:iCs/>
          <w:sz w:val="28"/>
          <w:szCs w:val="28"/>
        </w:rPr>
        <w:t>:</w:t>
      </w:r>
      <w:r w:rsidR="004C3E3A">
        <w:rPr>
          <w:sz w:val="28"/>
          <w:szCs w:val="28"/>
        </w:rPr>
        <w:t xml:space="preserve"> il diritto è scosso da due potenze atopiche che </w:t>
      </w:r>
      <w:r w:rsidR="004C3E3A" w:rsidRPr="00CE7580">
        <w:rPr>
          <w:sz w:val="28"/>
          <w:szCs w:val="28"/>
        </w:rPr>
        <w:t xml:space="preserve">sono la tecnica e l’economia. </w:t>
      </w:r>
    </w:p>
    <w:p w14:paraId="14032C0E" w14:textId="4F4F33FF" w:rsidR="00CA1BFF" w:rsidRDefault="004C3E3A" w:rsidP="008E2937">
      <w:pPr>
        <w:pStyle w:val="NormaleWeb"/>
        <w:spacing w:before="0" w:beforeAutospacing="0" w:after="0" w:afterAutospacing="0"/>
        <w:jc w:val="both"/>
        <w:rPr>
          <w:sz w:val="28"/>
          <w:szCs w:val="28"/>
        </w:rPr>
      </w:pPr>
      <w:r w:rsidRPr="00CE7580">
        <w:rPr>
          <w:sz w:val="28"/>
          <w:szCs w:val="28"/>
        </w:rPr>
        <w:t xml:space="preserve">Secondo il </w:t>
      </w:r>
      <w:r w:rsidR="00CA1BFF">
        <w:rPr>
          <w:sz w:val="28"/>
          <w:szCs w:val="28"/>
        </w:rPr>
        <w:t>P</w:t>
      </w:r>
      <w:r w:rsidRPr="00CE7580">
        <w:rPr>
          <w:sz w:val="28"/>
          <w:szCs w:val="28"/>
        </w:rPr>
        <w:t>rof</w:t>
      </w:r>
      <w:r w:rsidR="00CA1BFF">
        <w:rPr>
          <w:sz w:val="28"/>
          <w:szCs w:val="28"/>
        </w:rPr>
        <w:t>essore</w:t>
      </w:r>
      <w:r w:rsidR="00B001FE" w:rsidRPr="00CE7580">
        <w:rPr>
          <w:sz w:val="28"/>
          <w:szCs w:val="28"/>
        </w:rPr>
        <w:t xml:space="preserve"> </w:t>
      </w:r>
      <w:r w:rsidRPr="00CE7580">
        <w:rPr>
          <w:sz w:val="28"/>
          <w:szCs w:val="28"/>
        </w:rPr>
        <w:t>Natalino Irti</w:t>
      </w:r>
      <w:r w:rsidR="00E03AED">
        <w:rPr>
          <w:rStyle w:val="Rimandonotaapidipagina"/>
          <w:sz w:val="28"/>
          <w:szCs w:val="28"/>
        </w:rPr>
        <w:footnoteReference w:id="150"/>
      </w:r>
      <w:r w:rsidR="009F6423" w:rsidRPr="00CE7580">
        <w:rPr>
          <w:sz w:val="28"/>
          <w:szCs w:val="28"/>
        </w:rPr>
        <w:t>,</w:t>
      </w:r>
      <w:r w:rsidRPr="00CE7580">
        <w:rPr>
          <w:sz w:val="28"/>
          <w:szCs w:val="28"/>
        </w:rPr>
        <w:t xml:space="preserve"> tali potenze si sono alleate, divenendo potenze della sconfinatezza: non conoscono il dove, ma il “dovunque”. “</w:t>
      </w:r>
      <w:r w:rsidRPr="00CA1BFF">
        <w:rPr>
          <w:i/>
          <w:iCs/>
          <w:sz w:val="28"/>
          <w:szCs w:val="28"/>
        </w:rPr>
        <w:t>Come può il diritto regolamentare la sconfinatezza della “</w:t>
      </w:r>
      <w:proofErr w:type="spellStart"/>
      <w:r w:rsidRPr="00CA1BFF">
        <w:rPr>
          <w:i/>
          <w:iCs/>
          <w:sz w:val="28"/>
          <w:szCs w:val="28"/>
        </w:rPr>
        <w:t>tecnoeconomia</w:t>
      </w:r>
      <w:proofErr w:type="spellEnd"/>
      <w:r w:rsidRPr="00CA1BFF">
        <w:rPr>
          <w:i/>
          <w:iCs/>
          <w:sz w:val="28"/>
          <w:szCs w:val="28"/>
        </w:rPr>
        <w:t>”?</w:t>
      </w:r>
      <w:r w:rsidR="00B001FE" w:rsidRPr="00CA1BFF">
        <w:rPr>
          <w:i/>
          <w:iCs/>
          <w:sz w:val="28"/>
          <w:szCs w:val="28"/>
        </w:rPr>
        <w:t xml:space="preserve"> </w:t>
      </w:r>
      <w:r w:rsidRPr="00CA1BFF">
        <w:rPr>
          <w:i/>
          <w:iCs/>
          <w:sz w:val="28"/>
          <w:szCs w:val="28"/>
        </w:rPr>
        <w:t>Il diritto, se non lascia la genesi della terra, non può seguire tali potenze atopiche</w:t>
      </w:r>
      <w:r w:rsidRPr="00CE7580">
        <w:rPr>
          <w:sz w:val="28"/>
          <w:szCs w:val="28"/>
        </w:rPr>
        <w:t>”</w:t>
      </w:r>
      <w:r w:rsidR="009A2576" w:rsidRPr="00CE7580">
        <w:rPr>
          <w:sz w:val="28"/>
          <w:szCs w:val="28"/>
        </w:rPr>
        <w:t>.</w:t>
      </w:r>
      <w:r w:rsidR="00E4621C" w:rsidRPr="00CE7580">
        <w:rPr>
          <w:sz w:val="28"/>
          <w:szCs w:val="28"/>
        </w:rPr>
        <w:t xml:space="preserve"> </w:t>
      </w:r>
      <w:r w:rsidR="002D7286">
        <w:rPr>
          <w:sz w:val="28"/>
          <w:szCs w:val="28"/>
        </w:rPr>
        <w:t>“Anomia e atopia</w:t>
      </w:r>
      <w:r w:rsidR="00E03AED">
        <w:rPr>
          <w:sz w:val="28"/>
          <w:szCs w:val="28"/>
        </w:rPr>
        <w:t xml:space="preserve">”: </w:t>
      </w:r>
      <w:r w:rsidR="002D7286">
        <w:rPr>
          <w:sz w:val="28"/>
          <w:szCs w:val="28"/>
        </w:rPr>
        <w:t>sono questi i due termini che descrivono il mondo digitale.</w:t>
      </w:r>
    </w:p>
    <w:p w14:paraId="03093665" w14:textId="77777777" w:rsidR="00CA1BFF" w:rsidRDefault="00E4621C" w:rsidP="008E2937">
      <w:pPr>
        <w:pStyle w:val="NormaleWeb"/>
        <w:spacing w:before="0" w:beforeAutospacing="0" w:after="0" w:afterAutospacing="0"/>
        <w:jc w:val="both"/>
        <w:rPr>
          <w:sz w:val="28"/>
          <w:szCs w:val="28"/>
        </w:rPr>
      </w:pPr>
      <w:r w:rsidRPr="00CE7580">
        <w:rPr>
          <w:sz w:val="28"/>
          <w:szCs w:val="28"/>
        </w:rPr>
        <w:t>Non è un caso che i Trattati istitutivi dell’Unione Europea parlino non di territorio, ma di “spazio comune europeo”</w:t>
      </w:r>
      <w:r w:rsidR="00B001FE" w:rsidRPr="00CE7580">
        <w:rPr>
          <w:sz w:val="28"/>
          <w:szCs w:val="28"/>
        </w:rPr>
        <w:t>.</w:t>
      </w:r>
      <w:r w:rsidRPr="00CE7580">
        <w:rPr>
          <w:sz w:val="28"/>
          <w:szCs w:val="28"/>
        </w:rPr>
        <w:t xml:space="preserve"> </w:t>
      </w:r>
      <w:r w:rsidR="00FC2F66" w:rsidRPr="00CE7580">
        <w:rPr>
          <w:sz w:val="28"/>
          <w:szCs w:val="28"/>
        </w:rPr>
        <w:t>“</w:t>
      </w:r>
      <w:r w:rsidR="00FC2F66" w:rsidRPr="00CE7580">
        <w:rPr>
          <w:i/>
          <w:iCs/>
          <w:sz w:val="28"/>
          <w:szCs w:val="28"/>
        </w:rPr>
        <w:t xml:space="preserve">Il mio esterno” </w:t>
      </w:r>
      <w:r w:rsidR="00FC2F66" w:rsidRPr="00CE7580">
        <w:rPr>
          <w:sz w:val="28"/>
          <w:szCs w:val="28"/>
        </w:rPr>
        <w:t>diceva Kant</w:t>
      </w:r>
      <w:r w:rsidR="00B001FE" w:rsidRPr="00CE7580">
        <w:rPr>
          <w:rStyle w:val="Rimandonotaapidipagina"/>
          <w:sz w:val="28"/>
          <w:szCs w:val="28"/>
        </w:rPr>
        <w:footnoteReference w:id="151"/>
      </w:r>
      <w:r w:rsidR="00B001FE" w:rsidRPr="00CE7580">
        <w:rPr>
          <w:sz w:val="28"/>
          <w:szCs w:val="28"/>
        </w:rPr>
        <w:t xml:space="preserve">, </w:t>
      </w:r>
      <w:r w:rsidR="00FC2F66" w:rsidRPr="00CE7580">
        <w:rPr>
          <w:sz w:val="28"/>
          <w:szCs w:val="28"/>
        </w:rPr>
        <w:t xml:space="preserve">precisando che il fondamento del diritto di proprietà non è di ordine empirico o sensibile, ma intellegibile e razionale scaturendo dalla stessa ragion pratica. </w:t>
      </w:r>
    </w:p>
    <w:p w14:paraId="0EE2493D" w14:textId="77777777" w:rsidR="00CA1BFF" w:rsidRDefault="00FC2F66" w:rsidP="008E2937">
      <w:pPr>
        <w:pStyle w:val="NormaleWeb"/>
        <w:spacing w:before="0" w:beforeAutospacing="0" w:after="0" w:afterAutospacing="0"/>
        <w:jc w:val="both"/>
        <w:rPr>
          <w:sz w:val="28"/>
          <w:szCs w:val="28"/>
        </w:rPr>
      </w:pPr>
      <w:r w:rsidRPr="00CE7580">
        <w:rPr>
          <w:sz w:val="28"/>
          <w:szCs w:val="28"/>
        </w:rPr>
        <w:t>Il “</w:t>
      </w:r>
      <w:r w:rsidRPr="00CE7580">
        <w:rPr>
          <w:i/>
          <w:iCs/>
          <w:sz w:val="28"/>
          <w:szCs w:val="28"/>
        </w:rPr>
        <w:t>possesso intelligibile</w:t>
      </w:r>
      <w:r w:rsidRPr="00CE7580">
        <w:rPr>
          <w:sz w:val="28"/>
          <w:szCs w:val="28"/>
        </w:rPr>
        <w:t>” distinto dal “</w:t>
      </w:r>
      <w:r w:rsidRPr="00CE7580">
        <w:rPr>
          <w:i/>
          <w:iCs/>
          <w:sz w:val="28"/>
          <w:szCs w:val="28"/>
        </w:rPr>
        <w:t>possesso empirico</w:t>
      </w:r>
      <w:r w:rsidRPr="00CA1BFF">
        <w:rPr>
          <w:sz w:val="28"/>
          <w:szCs w:val="28"/>
        </w:rPr>
        <w:t xml:space="preserve">”, </w:t>
      </w:r>
      <w:r w:rsidRPr="00CE7580">
        <w:rPr>
          <w:i/>
          <w:iCs/>
          <w:sz w:val="28"/>
          <w:szCs w:val="28"/>
        </w:rPr>
        <w:t>“</w:t>
      </w:r>
      <w:proofErr w:type="spellStart"/>
      <w:r w:rsidRPr="00CE7580">
        <w:rPr>
          <w:i/>
          <w:iCs/>
          <w:sz w:val="28"/>
          <w:szCs w:val="28"/>
        </w:rPr>
        <w:t>possessio</w:t>
      </w:r>
      <w:proofErr w:type="spellEnd"/>
      <w:r w:rsidRPr="00CE7580">
        <w:rPr>
          <w:i/>
          <w:iCs/>
          <w:sz w:val="28"/>
          <w:szCs w:val="28"/>
        </w:rPr>
        <w:t xml:space="preserve"> </w:t>
      </w:r>
      <w:proofErr w:type="spellStart"/>
      <w:r w:rsidRPr="00CE7580">
        <w:rPr>
          <w:i/>
          <w:iCs/>
          <w:sz w:val="28"/>
          <w:szCs w:val="28"/>
        </w:rPr>
        <w:t>phoenomenon</w:t>
      </w:r>
      <w:proofErr w:type="spellEnd"/>
      <w:r w:rsidRPr="00CA1BFF">
        <w:rPr>
          <w:sz w:val="28"/>
          <w:szCs w:val="28"/>
        </w:rPr>
        <w:t xml:space="preserve">” </w:t>
      </w:r>
      <w:r w:rsidRPr="00CE7580">
        <w:rPr>
          <w:i/>
          <w:iCs/>
          <w:sz w:val="28"/>
          <w:szCs w:val="28"/>
        </w:rPr>
        <w:t>e “</w:t>
      </w:r>
      <w:proofErr w:type="spellStart"/>
      <w:r w:rsidRPr="00CE7580">
        <w:rPr>
          <w:i/>
          <w:iCs/>
          <w:sz w:val="28"/>
          <w:szCs w:val="28"/>
        </w:rPr>
        <w:t>possessio</w:t>
      </w:r>
      <w:proofErr w:type="spellEnd"/>
      <w:r w:rsidRPr="00CE7580">
        <w:rPr>
          <w:i/>
          <w:iCs/>
          <w:sz w:val="28"/>
          <w:szCs w:val="28"/>
        </w:rPr>
        <w:t xml:space="preserve"> </w:t>
      </w:r>
      <w:proofErr w:type="spellStart"/>
      <w:r w:rsidRPr="00CE7580">
        <w:rPr>
          <w:i/>
          <w:iCs/>
          <w:sz w:val="28"/>
          <w:szCs w:val="28"/>
        </w:rPr>
        <w:t>noumenon</w:t>
      </w:r>
      <w:proofErr w:type="spellEnd"/>
      <w:r w:rsidRPr="00CA1BFF">
        <w:rPr>
          <w:sz w:val="28"/>
          <w:szCs w:val="28"/>
        </w:rPr>
        <w:t>”:</w:t>
      </w:r>
      <w:r w:rsidRPr="00CE7580">
        <w:rPr>
          <w:i/>
          <w:iCs/>
          <w:sz w:val="28"/>
          <w:szCs w:val="28"/>
        </w:rPr>
        <w:t xml:space="preserve"> </w:t>
      </w:r>
      <w:r w:rsidRPr="00CE7580">
        <w:rPr>
          <w:sz w:val="28"/>
          <w:szCs w:val="28"/>
        </w:rPr>
        <w:t xml:space="preserve">la proprietà come esercizio spaziale, </w:t>
      </w:r>
      <w:r w:rsidRPr="00CE7580">
        <w:rPr>
          <w:i/>
          <w:iCs/>
          <w:sz w:val="28"/>
          <w:szCs w:val="28"/>
        </w:rPr>
        <w:t>la presa di terra fattuale “</w:t>
      </w:r>
      <w:proofErr w:type="spellStart"/>
      <w:r w:rsidRPr="00CE7580">
        <w:rPr>
          <w:i/>
          <w:iCs/>
          <w:sz w:val="28"/>
          <w:szCs w:val="28"/>
        </w:rPr>
        <w:t>landnahme</w:t>
      </w:r>
      <w:proofErr w:type="spellEnd"/>
      <w:r w:rsidRPr="00CE7580">
        <w:rPr>
          <w:i/>
          <w:iCs/>
          <w:sz w:val="28"/>
          <w:szCs w:val="28"/>
        </w:rPr>
        <w:t>”</w:t>
      </w:r>
      <w:r w:rsidR="00AD7476" w:rsidRPr="00CE7580">
        <w:rPr>
          <w:i/>
          <w:iCs/>
          <w:sz w:val="28"/>
          <w:szCs w:val="28"/>
        </w:rPr>
        <w:t xml:space="preserve"> </w:t>
      </w:r>
      <w:r w:rsidRPr="00CE7580">
        <w:rPr>
          <w:sz w:val="28"/>
          <w:szCs w:val="28"/>
        </w:rPr>
        <w:t>come base del</w:t>
      </w:r>
      <w:r w:rsidRPr="00FC2F66">
        <w:rPr>
          <w:sz w:val="28"/>
          <w:szCs w:val="28"/>
        </w:rPr>
        <w:t xml:space="preserve"> diritto di proprietà</w:t>
      </w:r>
      <w:r>
        <w:rPr>
          <w:sz w:val="28"/>
          <w:szCs w:val="28"/>
        </w:rPr>
        <w:t xml:space="preserve">. </w:t>
      </w:r>
    </w:p>
    <w:p w14:paraId="7A4CD0B3" w14:textId="77777777" w:rsidR="00CA1BFF" w:rsidRDefault="00FC2F66" w:rsidP="008E2937">
      <w:pPr>
        <w:pStyle w:val="NormaleWeb"/>
        <w:spacing w:before="0" w:beforeAutospacing="0" w:after="0" w:afterAutospacing="0"/>
        <w:jc w:val="both"/>
        <w:rPr>
          <w:sz w:val="28"/>
          <w:szCs w:val="28"/>
        </w:rPr>
      </w:pPr>
      <w:r>
        <w:rPr>
          <w:sz w:val="28"/>
          <w:szCs w:val="28"/>
        </w:rPr>
        <w:t>Il tema della proprietà privata era stato ampiamente dibattuto</w:t>
      </w:r>
      <w:r w:rsidR="00E4621C">
        <w:rPr>
          <w:sz w:val="28"/>
          <w:szCs w:val="28"/>
        </w:rPr>
        <w:t xml:space="preserve"> nella </w:t>
      </w:r>
      <w:r w:rsidR="00E4621C" w:rsidRPr="00E4621C">
        <w:rPr>
          <w:i/>
          <w:iCs/>
          <w:sz w:val="28"/>
          <w:szCs w:val="28"/>
        </w:rPr>
        <w:t>Repubblica</w:t>
      </w:r>
      <w:r w:rsidR="00E4621C">
        <w:rPr>
          <w:sz w:val="28"/>
          <w:szCs w:val="28"/>
        </w:rPr>
        <w:t xml:space="preserve"> di </w:t>
      </w:r>
      <w:r w:rsidR="00AD7476">
        <w:rPr>
          <w:sz w:val="28"/>
          <w:szCs w:val="28"/>
        </w:rPr>
        <w:t>Platone</w:t>
      </w:r>
      <w:r w:rsidR="00CA1BFF">
        <w:rPr>
          <w:sz w:val="28"/>
          <w:szCs w:val="28"/>
        </w:rPr>
        <w:t>,</w:t>
      </w:r>
      <w:r w:rsidR="00AD7476">
        <w:rPr>
          <w:sz w:val="28"/>
          <w:szCs w:val="28"/>
        </w:rPr>
        <w:t xml:space="preserve"> che</w:t>
      </w:r>
      <w:r w:rsidR="00E4621C">
        <w:rPr>
          <w:sz w:val="28"/>
          <w:szCs w:val="28"/>
        </w:rPr>
        <w:t xml:space="preserve"> lo ricollegava alle question</w:t>
      </w:r>
      <w:r w:rsidR="00AD7476">
        <w:rPr>
          <w:sz w:val="28"/>
          <w:szCs w:val="28"/>
        </w:rPr>
        <w:t>i</w:t>
      </w:r>
      <w:r w:rsidR="00E4621C">
        <w:rPr>
          <w:sz w:val="28"/>
          <w:szCs w:val="28"/>
        </w:rPr>
        <w:t xml:space="preserve"> di giustizia e di stabilità sociale (</w:t>
      </w:r>
      <w:r w:rsidR="00AD7476">
        <w:rPr>
          <w:sz w:val="28"/>
          <w:szCs w:val="28"/>
        </w:rPr>
        <w:t>f</w:t>
      </w:r>
      <w:r w:rsidR="00E4621C">
        <w:rPr>
          <w:sz w:val="28"/>
          <w:szCs w:val="28"/>
        </w:rPr>
        <w:t>unzione sociale della proprietà affermata anche nell’art.</w:t>
      </w:r>
      <w:r w:rsidR="00AD7476">
        <w:rPr>
          <w:sz w:val="28"/>
          <w:szCs w:val="28"/>
        </w:rPr>
        <w:t xml:space="preserve"> </w:t>
      </w:r>
      <w:r w:rsidR="00E4621C">
        <w:rPr>
          <w:sz w:val="28"/>
          <w:szCs w:val="28"/>
        </w:rPr>
        <w:t xml:space="preserve">42 della nostra Costituzione). </w:t>
      </w:r>
    </w:p>
    <w:p w14:paraId="6FC3C791" w14:textId="77777777" w:rsidR="00CA1BFF" w:rsidRDefault="00E4621C" w:rsidP="008E2937">
      <w:pPr>
        <w:pStyle w:val="NormaleWeb"/>
        <w:spacing w:before="0" w:beforeAutospacing="0" w:after="0" w:afterAutospacing="0"/>
        <w:jc w:val="both"/>
        <w:rPr>
          <w:sz w:val="28"/>
          <w:szCs w:val="28"/>
        </w:rPr>
      </w:pPr>
      <w:r>
        <w:rPr>
          <w:sz w:val="28"/>
          <w:szCs w:val="28"/>
        </w:rPr>
        <w:t>Altra concezione della proprietà era quella di Aristotele legata al concetto di progresso.</w:t>
      </w:r>
    </w:p>
    <w:p w14:paraId="61CB1D54" w14:textId="77777777" w:rsidR="00CA1BFF" w:rsidRDefault="00CA1BFF" w:rsidP="008E2937">
      <w:pPr>
        <w:pStyle w:val="NormaleWeb"/>
        <w:spacing w:before="0" w:beforeAutospacing="0" w:after="0" w:afterAutospacing="0"/>
        <w:jc w:val="both"/>
        <w:rPr>
          <w:sz w:val="28"/>
          <w:szCs w:val="28"/>
        </w:rPr>
      </w:pPr>
    </w:p>
    <w:p w14:paraId="549D3C4C" w14:textId="77777777" w:rsidR="00CA1BFF" w:rsidRDefault="00E4621C" w:rsidP="008E2937">
      <w:pPr>
        <w:pStyle w:val="NormaleWeb"/>
        <w:spacing w:before="0" w:beforeAutospacing="0" w:after="0" w:afterAutospacing="0"/>
        <w:jc w:val="both"/>
        <w:rPr>
          <w:i/>
          <w:iCs/>
          <w:sz w:val="28"/>
          <w:szCs w:val="28"/>
        </w:rPr>
      </w:pPr>
      <w:r>
        <w:rPr>
          <w:sz w:val="28"/>
          <w:szCs w:val="28"/>
        </w:rPr>
        <w:t>Ancora oggi</w:t>
      </w:r>
      <w:r w:rsidR="00CA1BFF">
        <w:rPr>
          <w:sz w:val="28"/>
          <w:szCs w:val="28"/>
        </w:rPr>
        <w:t>,</w:t>
      </w:r>
      <w:r>
        <w:rPr>
          <w:sz w:val="28"/>
          <w:szCs w:val="28"/>
        </w:rPr>
        <w:t xml:space="preserve"> l’indice di sviluppo umano </w:t>
      </w:r>
      <w:r w:rsidR="00CA1BFF">
        <w:rPr>
          <w:sz w:val="28"/>
          <w:szCs w:val="28"/>
        </w:rPr>
        <w:t>(</w:t>
      </w:r>
      <w:r w:rsidRPr="00E4621C">
        <w:rPr>
          <w:i/>
          <w:iCs/>
          <w:sz w:val="28"/>
          <w:szCs w:val="28"/>
        </w:rPr>
        <w:t>Human Development Index</w:t>
      </w:r>
      <w:r w:rsidR="00CA1BFF">
        <w:rPr>
          <w:i/>
          <w:iCs/>
          <w:sz w:val="28"/>
          <w:szCs w:val="28"/>
        </w:rPr>
        <w:t>)</w:t>
      </w:r>
      <w:r>
        <w:rPr>
          <w:sz w:val="28"/>
          <w:szCs w:val="28"/>
        </w:rPr>
        <w:t>, elaborato annualmente dalle Nazioni Unite</w:t>
      </w:r>
      <w:r w:rsidR="00CA1BFF">
        <w:rPr>
          <w:sz w:val="28"/>
          <w:szCs w:val="28"/>
        </w:rPr>
        <w:t>,</w:t>
      </w:r>
      <w:r>
        <w:rPr>
          <w:sz w:val="28"/>
          <w:szCs w:val="28"/>
        </w:rPr>
        <w:t xml:space="preserve"> è strettamente correlato all’indice di proprietà privata </w:t>
      </w:r>
      <w:r w:rsidR="00CA1BFF">
        <w:rPr>
          <w:sz w:val="28"/>
          <w:szCs w:val="28"/>
        </w:rPr>
        <w:t>(</w:t>
      </w:r>
      <w:r w:rsidRPr="00E4621C">
        <w:rPr>
          <w:i/>
          <w:iCs/>
          <w:sz w:val="28"/>
          <w:szCs w:val="28"/>
        </w:rPr>
        <w:t>Property Right Index</w:t>
      </w:r>
      <w:r w:rsidR="00CA1BFF">
        <w:rPr>
          <w:i/>
          <w:iCs/>
          <w:sz w:val="28"/>
          <w:szCs w:val="28"/>
        </w:rPr>
        <w:t>)</w:t>
      </w:r>
      <w:r>
        <w:rPr>
          <w:i/>
          <w:iCs/>
          <w:sz w:val="28"/>
          <w:szCs w:val="28"/>
        </w:rPr>
        <w:t xml:space="preserve">. </w:t>
      </w:r>
    </w:p>
    <w:p w14:paraId="4F3DA5BC" w14:textId="71624E9D" w:rsidR="008E4746" w:rsidRDefault="00E4621C" w:rsidP="008E2937">
      <w:pPr>
        <w:pStyle w:val="NormaleWeb"/>
        <w:spacing w:before="0" w:beforeAutospacing="0" w:after="0" w:afterAutospacing="0"/>
        <w:jc w:val="both"/>
        <w:rPr>
          <w:sz w:val="28"/>
          <w:szCs w:val="28"/>
        </w:rPr>
      </w:pPr>
      <w:r w:rsidRPr="00E4621C">
        <w:rPr>
          <w:sz w:val="28"/>
          <w:szCs w:val="28"/>
        </w:rPr>
        <w:t xml:space="preserve">In una visione Neokeynesiana, quale è quella che si sta affermando </w:t>
      </w:r>
      <w:r>
        <w:rPr>
          <w:sz w:val="28"/>
          <w:szCs w:val="28"/>
        </w:rPr>
        <w:t>nel periodo della pandemia in corso, il tema della proprietà</w:t>
      </w:r>
      <w:r w:rsidR="00050E59">
        <w:rPr>
          <w:sz w:val="28"/>
          <w:szCs w:val="28"/>
        </w:rPr>
        <w:t>,</w:t>
      </w:r>
      <w:r>
        <w:rPr>
          <w:sz w:val="28"/>
          <w:szCs w:val="28"/>
        </w:rPr>
        <w:t xml:space="preserve"> anche nella dimensione digitale</w:t>
      </w:r>
      <w:r w:rsidR="00050E59">
        <w:rPr>
          <w:sz w:val="28"/>
          <w:szCs w:val="28"/>
        </w:rPr>
        <w:t>,</w:t>
      </w:r>
      <w:r>
        <w:rPr>
          <w:sz w:val="28"/>
          <w:szCs w:val="28"/>
        </w:rPr>
        <w:t xml:space="preserve"> pone l’annosa questione dell’intervento pubblico nell’economia (si ricorderà la diversa concezione tra Weber e Schmitt) volto ad accompagnare gli </w:t>
      </w:r>
      <w:proofErr w:type="spellStart"/>
      <w:r w:rsidRPr="00E4621C">
        <w:rPr>
          <w:i/>
          <w:iCs/>
          <w:sz w:val="28"/>
          <w:szCs w:val="28"/>
        </w:rPr>
        <w:t>assets</w:t>
      </w:r>
      <w:proofErr w:type="spellEnd"/>
      <w:r w:rsidRPr="00E4621C">
        <w:rPr>
          <w:i/>
          <w:iCs/>
          <w:sz w:val="28"/>
          <w:szCs w:val="28"/>
        </w:rPr>
        <w:t xml:space="preserve"> </w:t>
      </w:r>
      <w:r w:rsidRPr="00E4621C">
        <w:rPr>
          <w:sz w:val="28"/>
          <w:szCs w:val="28"/>
        </w:rPr>
        <w:t xml:space="preserve">strategici del paese attraverso provvedimenti in </w:t>
      </w:r>
      <w:proofErr w:type="spellStart"/>
      <w:r w:rsidRPr="00E4621C">
        <w:rPr>
          <w:i/>
          <w:iCs/>
          <w:sz w:val="28"/>
          <w:szCs w:val="28"/>
        </w:rPr>
        <w:t>equity</w:t>
      </w:r>
      <w:proofErr w:type="spellEnd"/>
      <w:r>
        <w:rPr>
          <w:i/>
          <w:iCs/>
          <w:sz w:val="28"/>
          <w:szCs w:val="28"/>
        </w:rPr>
        <w:t xml:space="preserve"> </w:t>
      </w:r>
      <w:r w:rsidRPr="00E4621C">
        <w:rPr>
          <w:sz w:val="28"/>
          <w:szCs w:val="28"/>
        </w:rPr>
        <w:t xml:space="preserve">di uno Stato </w:t>
      </w:r>
      <w:r w:rsidRPr="00E4621C">
        <w:rPr>
          <w:i/>
          <w:iCs/>
          <w:sz w:val="28"/>
          <w:szCs w:val="28"/>
        </w:rPr>
        <w:t>player</w:t>
      </w:r>
      <w:r>
        <w:rPr>
          <w:i/>
          <w:iCs/>
          <w:sz w:val="28"/>
          <w:szCs w:val="28"/>
        </w:rPr>
        <w:t xml:space="preserve"> </w:t>
      </w:r>
      <w:r w:rsidRPr="00E4621C">
        <w:rPr>
          <w:sz w:val="28"/>
          <w:szCs w:val="28"/>
        </w:rPr>
        <w:t>che affianca ed aiuta la pr</w:t>
      </w:r>
      <w:r>
        <w:rPr>
          <w:sz w:val="28"/>
          <w:szCs w:val="28"/>
        </w:rPr>
        <w:t>oprietà privata di tipo produttivo ed imprenditoriale.</w:t>
      </w:r>
    </w:p>
    <w:p w14:paraId="2E302A16" w14:textId="77777777" w:rsidR="00050E59" w:rsidRDefault="00E4621C" w:rsidP="008E2937">
      <w:pPr>
        <w:pStyle w:val="NormaleWeb"/>
        <w:spacing w:before="0" w:beforeAutospacing="0" w:after="0" w:afterAutospacing="0"/>
        <w:jc w:val="both"/>
        <w:rPr>
          <w:i/>
          <w:iCs/>
          <w:sz w:val="28"/>
          <w:szCs w:val="28"/>
        </w:rPr>
      </w:pPr>
      <w:r>
        <w:rPr>
          <w:sz w:val="28"/>
          <w:szCs w:val="28"/>
        </w:rPr>
        <w:t xml:space="preserve">Se spostiamo tali considerazioni filosofiche sul piano dell’applicazione pratica del diritto, quale scienza storica e scienza applicata, ci rendiamo conto che la proprietà </w:t>
      </w:r>
      <w:r>
        <w:rPr>
          <w:sz w:val="28"/>
          <w:szCs w:val="28"/>
        </w:rPr>
        <w:lastRenderedPageBreak/>
        <w:t>oggi non è strettamente correlata alla materialità</w:t>
      </w:r>
      <w:r w:rsidR="005F6F79">
        <w:rPr>
          <w:sz w:val="28"/>
          <w:szCs w:val="28"/>
        </w:rPr>
        <w:t>, prevale la c</w:t>
      </w:r>
      <w:r w:rsidR="009F6423">
        <w:rPr>
          <w:sz w:val="28"/>
          <w:szCs w:val="28"/>
        </w:rPr>
        <w:t>.</w:t>
      </w:r>
      <w:r w:rsidR="005F6F79">
        <w:rPr>
          <w:sz w:val="28"/>
          <w:szCs w:val="28"/>
        </w:rPr>
        <w:t>d</w:t>
      </w:r>
      <w:r w:rsidR="009F6423">
        <w:rPr>
          <w:sz w:val="28"/>
          <w:szCs w:val="28"/>
        </w:rPr>
        <w:t>.</w:t>
      </w:r>
      <w:r w:rsidR="005F6F79">
        <w:rPr>
          <w:sz w:val="28"/>
          <w:szCs w:val="28"/>
        </w:rPr>
        <w:t xml:space="preserve"> “</w:t>
      </w:r>
      <w:r w:rsidR="005F6F79" w:rsidRPr="005F6F79">
        <w:rPr>
          <w:i/>
          <w:iCs/>
          <w:sz w:val="28"/>
          <w:szCs w:val="28"/>
        </w:rPr>
        <w:t>cultura dell’immateriale e dell’adiacente possibile”</w:t>
      </w:r>
      <w:r w:rsidR="005F6F79">
        <w:rPr>
          <w:i/>
          <w:iCs/>
          <w:sz w:val="28"/>
          <w:szCs w:val="28"/>
        </w:rPr>
        <w:t xml:space="preserve">. </w:t>
      </w:r>
    </w:p>
    <w:p w14:paraId="7A86F426" w14:textId="77777777" w:rsidR="00050E59" w:rsidRDefault="005F6F79" w:rsidP="008E2937">
      <w:pPr>
        <w:pStyle w:val="NormaleWeb"/>
        <w:spacing w:before="0" w:beforeAutospacing="0" w:after="0" w:afterAutospacing="0"/>
        <w:jc w:val="both"/>
        <w:rPr>
          <w:sz w:val="28"/>
          <w:szCs w:val="28"/>
        </w:rPr>
      </w:pPr>
      <w:r w:rsidRPr="005F6F79">
        <w:rPr>
          <w:sz w:val="28"/>
          <w:szCs w:val="28"/>
        </w:rPr>
        <w:t>Di recente</w:t>
      </w:r>
      <w:r w:rsidR="009F6423">
        <w:rPr>
          <w:sz w:val="28"/>
          <w:szCs w:val="28"/>
        </w:rPr>
        <w:t>,</w:t>
      </w:r>
      <w:r w:rsidRPr="005F6F79">
        <w:rPr>
          <w:sz w:val="28"/>
          <w:szCs w:val="28"/>
        </w:rPr>
        <w:t xml:space="preserve"> </w:t>
      </w:r>
      <w:r>
        <w:rPr>
          <w:sz w:val="28"/>
          <w:szCs w:val="28"/>
        </w:rPr>
        <w:t xml:space="preserve">il premio Nobel per la fisica Giorgio Parisi </w:t>
      </w:r>
      <w:r w:rsidRPr="00CE7580">
        <w:rPr>
          <w:sz w:val="28"/>
          <w:szCs w:val="28"/>
        </w:rPr>
        <w:t xml:space="preserve">chi ha ricordato che anche la </w:t>
      </w:r>
      <w:r w:rsidR="009F6423" w:rsidRPr="00CE7580">
        <w:rPr>
          <w:sz w:val="28"/>
          <w:szCs w:val="28"/>
        </w:rPr>
        <w:t>«</w:t>
      </w:r>
      <w:r w:rsidRPr="00CE7580">
        <w:rPr>
          <w:i/>
          <w:iCs/>
          <w:sz w:val="28"/>
          <w:szCs w:val="28"/>
        </w:rPr>
        <w:t>materia è un fenomeno dinamico</w:t>
      </w:r>
      <w:r w:rsidR="009F6423" w:rsidRPr="00CE7580">
        <w:rPr>
          <w:sz w:val="28"/>
          <w:szCs w:val="28"/>
        </w:rPr>
        <w:t>»</w:t>
      </w:r>
      <w:r w:rsidRPr="00CE7580">
        <w:rPr>
          <w:sz w:val="28"/>
          <w:szCs w:val="28"/>
        </w:rPr>
        <w:t>, definendo il concetto di caos e di “</w:t>
      </w:r>
      <w:r w:rsidRPr="00CE7580">
        <w:rPr>
          <w:i/>
          <w:iCs/>
          <w:sz w:val="28"/>
          <w:szCs w:val="28"/>
        </w:rPr>
        <w:t xml:space="preserve">sistemi complessi” </w:t>
      </w:r>
      <w:r w:rsidRPr="00CE7580">
        <w:rPr>
          <w:sz w:val="28"/>
          <w:szCs w:val="28"/>
        </w:rPr>
        <w:t>su scala atomica e planetaria.</w:t>
      </w:r>
      <w:r w:rsidR="00AD7476" w:rsidRPr="00CE7580">
        <w:rPr>
          <w:sz w:val="28"/>
          <w:szCs w:val="28"/>
        </w:rPr>
        <w:t xml:space="preserve"> </w:t>
      </w:r>
    </w:p>
    <w:p w14:paraId="07124761" w14:textId="77777777" w:rsidR="00050E59" w:rsidRDefault="005F6F79" w:rsidP="008E2937">
      <w:pPr>
        <w:pStyle w:val="NormaleWeb"/>
        <w:spacing w:before="0" w:beforeAutospacing="0" w:after="0" w:afterAutospacing="0"/>
        <w:jc w:val="both"/>
        <w:rPr>
          <w:sz w:val="28"/>
          <w:szCs w:val="28"/>
        </w:rPr>
      </w:pPr>
      <w:r w:rsidRPr="00CE7580">
        <w:rPr>
          <w:sz w:val="28"/>
          <w:szCs w:val="28"/>
        </w:rPr>
        <w:t>Oggi</w:t>
      </w:r>
      <w:r w:rsidR="00050E59">
        <w:rPr>
          <w:sz w:val="28"/>
          <w:szCs w:val="28"/>
        </w:rPr>
        <w:t>,</w:t>
      </w:r>
      <w:r w:rsidRPr="00CE7580">
        <w:rPr>
          <w:sz w:val="28"/>
          <w:szCs w:val="28"/>
        </w:rPr>
        <w:t xml:space="preserve"> il diritto deve confrontarsi con l’immateriale e regolarlo. </w:t>
      </w:r>
    </w:p>
    <w:p w14:paraId="172CD59F" w14:textId="197A621A" w:rsidR="00050E59" w:rsidRDefault="005F6F79" w:rsidP="008E2937">
      <w:pPr>
        <w:pStyle w:val="NormaleWeb"/>
        <w:spacing w:before="0" w:beforeAutospacing="0" w:after="0" w:afterAutospacing="0"/>
        <w:jc w:val="both"/>
        <w:rPr>
          <w:sz w:val="28"/>
          <w:szCs w:val="28"/>
        </w:rPr>
      </w:pPr>
      <w:r w:rsidRPr="00CE7580">
        <w:rPr>
          <w:sz w:val="28"/>
          <w:szCs w:val="28"/>
        </w:rPr>
        <w:t xml:space="preserve">Per poter regolare </w:t>
      </w:r>
      <w:r w:rsidR="00AD7476" w:rsidRPr="00CE7580">
        <w:rPr>
          <w:sz w:val="28"/>
          <w:szCs w:val="28"/>
        </w:rPr>
        <w:t>occorre,</w:t>
      </w:r>
      <w:r w:rsidRPr="00CE7580">
        <w:rPr>
          <w:sz w:val="28"/>
          <w:szCs w:val="28"/>
        </w:rPr>
        <w:t xml:space="preserve"> </w:t>
      </w:r>
      <w:r w:rsidR="00AD7476" w:rsidRPr="00CE7580">
        <w:rPr>
          <w:sz w:val="28"/>
          <w:szCs w:val="28"/>
        </w:rPr>
        <w:t>però, capire</w:t>
      </w:r>
      <w:r w:rsidRPr="00CE7580">
        <w:rPr>
          <w:sz w:val="28"/>
          <w:szCs w:val="28"/>
        </w:rPr>
        <w:t xml:space="preserve"> i fenomeni digitali: il giurista deve sviluppare oggi delle “competenze trasversali” che gli consentano di comprendere la complessità. </w:t>
      </w:r>
    </w:p>
    <w:p w14:paraId="4653FD13" w14:textId="3E362191" w:rsidR="001D131B" w:rsidRDefault="005F6F79" w:rsidP="00050E59">
      <w:pPr>
        <w:pStyle w:val="NormaleWeb"/>
        <w:spacing w:before="0" w:beforeAutospacing="0" w:after="0" w:afterAutospacing="0"/>
        <w:jc w:val="both"/>
        <w:rPr>
          <w:sz w:val="28"/>
          <w:szCs w:val="28"/>
        </w:rPr>
      </w:pPr>
      <w:r w:rsidRPr="00CE7580">
        <w:rPr>
          <w:sz w:val="28"/>
          <w:szCs w:val="28"/>
        </w:rPr>
        <w:t>Di seguito capiremo in che modo e in quali settori.</w:t>
      </w:r>
    </w:p>
    <w:p w14:paraId="42092DED" w14:textId="7533BF1A" w:rsidR="001D131B" w:rsidRDefault="001D131B" w:rsidP="00920436">
      <w:pPr>
        <w:pStyle w:val="NormaleWeb"/>
        <w:jc w:val="both"/>
        <w:rPr>
          <w:sz w:val="28"/>
          <w:szCs w:val="28"/>
        </w:rPr>
      </w:pPr>
    </w:p>
    <w:p w14:paraId="5D3738C3" w14:textId="2A897578" w:rsidR="001D131B" w:rsidRDefault="001D131B" w:rsidP="00920436">
      <w:pPr>
        <w:pStyle w:val="NormaleWeb"/>
        <w:jc w:val="both"/>
        <w:rPr>
          <w:sz w:val="28"/>
          <w:szCs w:val="28"/>
        </w:rPr>
      </w:pPr>
    </w:p>
    <w:p w14:paraId="3393BBFA" w14:textId="083D9D9D" w:rsidR="00AD7476" w:rsidRDefault="00AD7476">
      <w:pPr>
        <w:rPr>
          <w:rFonts w:ascii="Times New Roman" w:eastAsia="Times New Roman" w:hAnsi="Times New Roman" w:cs="Times New Roman"/>
          <w:sz w:val="28"/>
          <w:szCs w:val="28"/>
          <w:lang w:eastAsia="it-IT"/>
        </w:rPr>
      </w:pPr>
      <w:r>
        <w:rPr>
          <w:sz w:val="28"/>
          <w:szCs w:val="28"/>
        </w:rPr>
        <w:br w:type="page"/>
      </w:r>
    </w:p>
    <w:p w14:paraId="77E8615D" w14:textId="0BA0FD18" w:rsidR="00A75A26" w:rsidRPr="00C14844" w:rsidRDefault="00A75A26" w:rsidP="00920436">
      <w:pPr>
        <w:pStyle w:val="NormaleWeb"/>
        <w:jc w:val="both"/>
        <w:rPr>
          <w:b/>
          <w:bCs/>
          <w:sz w:val="32"/>
          <w:szCs w:val="32"/>
        </w:rPr>
      </w:pPr>
      <w:r w:rsidRPr="00C14844">
        <w:rPr>
          <w:b/>
          <w:bCs/>
          <w:sz w:val="32"/>
          <w:szCs w:val="32"/>
        </w:rPr>
        <w:lastRenderedPageBreak/>
        <w:t>Capitolo</w:t>
      </w:r>
      <w:r w:rsidR="008F4198" w:rsidRPr="008F4198">
        <w:rPr>
          <w:b/>
          <w:bCs/>
          <w:sz w:val="32"/>
          <w:szCs w:val="32"/>
        </w:rPr>
        <w:t xml:space="preserve"> </w:t>
      </w:r>
      <w:r w:rsidR="008F4198" w:rsidRPr="00C14844">
        <w:rPr>
          <w:b/>
          <w:bCs/>
          <w:sz w:val="32"/>
          <w:szCs w:val="32"/>
        </w:rPr>
        <w:t>X</w:t>
      </w:r>
    </w:p>
    <w:p w14:paraId="42CFCF4E" w14:textId="19449A83" w:rsidR="008E4746" w:rsidRPr="00C14844" w:rsidRDefault="00E64824" w:rsidP="00920436">
      <w:pPr>
        <w:pStyle w:val="NormaleWeb"/>
        <w:jc w:val="both"/>
        <w:rPr>
          <w:b/>
          <w:bCs/>
          <w:i/>
          <w:iCs/>
          <w:sz w:val="32"/>
          <w:szCs w:val="32"/>
        </w:rPr>
      </w:pPr>
      <w:proofErr w:type="spellStart"/>
      <w:r w:rsidRPr="00C14844">
        <w:rPr>
          <w:b/>
          <w:bCs/>
          <w:i/>
          <w:iCs/>
          <w:sz w:val="32"/>
          <w:szCs w:val="32"/>
        </w:rPr>
        <w:t>H</w:t>
      </w:r>
      <w:r w:rsidR="00920436" w:rsidRPr="00C14844">
        <w:rPr>
          <w:b/>
          <w:bCs/>
          <w:i/>
          <w:iCs/>
          <w:sz w:val="32"/>
          <w:szCs w:val="32"/>
        </w:rPr>
        <w:t>ate</w:t>
      </w:r>
      <w:proofErr w:type="spellEnd"/>
      <w:r w:rsidR="00920436" w:rsidRPr="00C14844">
        <w:rPr>
          <w:b/>
          <w:bCs/>
          <w:i/>
          <w:iCs/>
          <w:sz w:val="32"/>
          <w:szCs w:val="32"/>
        </w:rPr>
        <w:t xml:space="preserve"> </w:t>
      </w:r>
      <w:proofErr w:type="spellStart"/>
      <w:r w:rsidR="00920436" w:rsidRPr="00C14844">
        <w:rPr>
          <w:b/>
          <w:bCs/>
          <w:i/>
          <w:iCs/>
          <w:sz w:val="32"/>
          <w:szCs w:val="32"/>
        </w:rPr>
        <w:t>speech</w:t>
      </w:r>
      <w:proofErr w:type="spellEnd"/>
      <w:r w:rsidRPr="00C14844">
        <w:rPr>
          <w:b/>
          <w:bCs/>
          <w:i/>
          <w:iCs/>
          <w:sz w:val="32"/>
          <w:szCs w:val="32"/>
        </w:rPr>
        <w:t xml:space="preserve">: </w:t>
      </w:r>
      <w:r w:rsidRPr="00142345">
        <w:rPr>
          <w:b/>
          <w:bCs/>
          <w:sz w:val="32"/>
          <w:szCs w:val="32"/>
        </w:rPr>
        <w:t>un fenomeno incontrollabile?</w:t>
      </w:r>
    </w:p>
    <w:p w14:paraId="546FB91F" w14:textId="60D94160" w:rsidR="003D3B3B" w:rsidRDefault="000720C9" w:rsidP="003D3B3B">
      <w:pPr>
        <w:pStyle w:val="NormaleWeb"/>
        <w:spacing w:before="0" w:beforeAutospacing="0" w:after="0" w:afterAutospacing="0"/>
        <w:jc w:val="both"/>
        <w:rPr>
          <w:sz w:val="28"/>
          <w:szCs w:val="28"/>
        </w:rPr>
      </w:pPr>
      <w:r>
        <w:rPr>
          <w:sz w:val="28"/>
          <w:szCs w:val="28"/>
        </w:rPr>
        <w:t>La tecnologia e gli</w:t>
      </w:r>
      <w:r w:rsidR="005008A8">
        <w:rPr>
          <w:sz w:val="28"/>
          <w:szCs w:val="28"/>
        </w:rPr>
        <w:t xml:space="preserve"> strument</w:t>
      </w:r>
      <w:r>
        <w:rPr>
          <w:sz w:val="28"/>
          <w:szCs w:val="28"/>
        </w:rPr>
        <w:t>i</w:t>
      </w:r>
      <w:r w:rsidR="005008A8">
        <w:rPr>
          <w:sz w:val="28"/>
          <w:szCs w:val="28"/>
        </w:rPr>
        <w:t xml:space="preserve"> digital</w:t>
      </w:r>
      <w:r>
        <w:rPr>
          <w:sz w:val="28"/>
          <w:szCs w:val="28"/>
        </w:rPr>
        <w:t>i</w:t>
      </w:r>
      <w:r w:rsidR="005008A8">
        <w:rPr>
          <w:sz w:val="28"/>
          <w:szCs w:val="28"/>
        </w:rPr>
        <w:t xml:space="preserve"> </w:t>
      </w:r>
      <w:r>
        <w:rPr>
          <w:sz w:val="28"/>
          <w:szCs w:val="28"/>
        </w:rPr>
        <w:t>ci impongono ormai di riflettere su</w:t>
      </w:r>
      <w:r w:rsidR="005008A8">
        <w:rPr>
          <w:sz w:val="28"/>
          <w:szCs w:val="28"/>
        </w:rPr>
        <w:t xml:space="preserve"> un nuovo orizzonte di senso dell’uomo, </w:t>
      </w:r>
      <w:r>
        <w:rPr>
          <w:sz w:val="28"/>
          <w:szCs w:val="28"/>
        </w:rPr>
        <w:t>sullo stesso</w:t>
      </w:r>
      <w:r w:rsidR="005008A8">
        <w:rPr>
          <w:sz w:val="28"/>
          <w:szCs w:val="28"/>
        </w:rPr>
        <w:t xml:space="preserve"> concetto</w:t>
      </w:r>
      <w:r>
        <w:rPr>
          <w:sz w:val="28"/>
          <w:szCs w:val="28"/>
        </w:rPr>
        <w:t xml:space="preserve"> </w:t>
      </w:r>
      <w:r w:rsidR="005008A8">
        <w:rPr>
          <w:sz w:val="28"/>
          <w:szCs w:val="28"/>
        </w:rPr>
        <w:t xml:space="preserve">di valore </w:t>
      </w:r>
      <w:r>
        <w:rPr>
          <w:sz w:val="28"/>
          <w:szCs w:val="28"/>
        </w:rPr>
        <w:t>(</w:t>
      </w:r>
      <w:proofErr w:type="spellStart"/>
      <w:r w:rsidRPr="005008A8">
        <w:rPr>
          <w:i/>
          <w:iCs/>
          <w:sz w:val="28"/>
          <w:szCs w:val="28"/>
        </w:rPr>
        <w:t>Wertbegriff</w:t>
      </w:r>
      <w:proofErr w:type="spellEnd"/>
      <w:r>
        <w:rPr>
          <w:sz w:val="28"/>
          <w:szCs w:val="28"/>
        </w:rPr>
        <w:t xml:space="preserve">) </w:t>
      </w:r>
      <w:r w:rsidR="005008A8">
        <w:rPr>
          <w:sz w:val="28"/>
          <w:szCs w:val="28"/>
        </w:rPr>
        <w:t>della persona umana</w:t>
      </w:r>
      <w:r>
        <w:rPr>
          <w:sz w:val="28"/>
          <w:szCs w:val="28"/>
        </w:rPr>
        <w:t>, che purtroppo viene colpito profondamente quando, tramite lo strumento digitale, le persone</w:t>
      </w:r>
      <w:r w:rsidR="005008A8">
        <w:rPr>
          <w:sz w:val="28"/>
          <w:szCs w:val="28"/>
        </w:rPr>
        <w:t xml:space="preserve"> esprim</w:t>
      </w:r>
      <w:r>
        <w:rPr>
          <w:sz w:val="28"/>
          <w:szCs w:val="28"/>
        </w:rPr>
        <w:t>ono</w:t>
      </w:r>
      <w:r w:rsidR="005008A8">
        <w:rPr>
          <w:sz w:val="28"/>
          <w:szCs w:val="28"/>
        </w:rPr>
        <w:t xml:space="preserve"> la c</w:t>
      </w:r>
      <w:r w:rsidR="001A7CA4">
        <w:rPr>
          <w:sz w:val="28"/>
          <w:szCs w:val="28"/>
        </w:rPr>
        <w:t>.</w:t>
      </w:r>
      <w:r w:rsidR="005008A8">
        <w:rPr>
          <w:sz w:val="28"/>
          <w:szCs w:val="28"/>
        </w:rPr>
        <w:t>d</w:t>
      </w:r>
      <w:r w:rsidR="001A7CA4">
        <w:rPr>
          <w:sz w:val="28"/>
          <w:szCs w:val="28"/>
        </w:rPr>
        <w:t>.</w:t>
      </w:r>
      <w:r w:rsidR="005008A8">
        <w:rPr>
          <w:sz w:val="28"/>
          <w:szCs w:val="28"/>
        </w:rPr>
        <w:t xml:space="preserve"> </w:t>
      </w:r>
      <w:r w:rsidR="005008A8" w:rsidRPr="00D554FC">
        <w:rPr>
          <w:sz w:val="28"/>
          <w:szCs w:val="28"/>
        </w:rPr>
        <w:t>negatività del pensiero e della parola</w:t>
      </w:r>
      <w:r w:rsidR="005008A8">
        <w:rPr>
          <w:sz w:val="28"/>
          <w:szCs w:val="28"/>
        </w:rPr>
        <w:t>.</w:t>
      </w:r>
      <w:r w:rsidR="007D0045">
        <w:rPr>
          <w:sz w:val="28"/>
          <w:szCs w:val="28"/>
        </w:rPr>
        <w:t xml:space="preserve"> </w:t>
      </w:r>
      <w:r w:rsidR="00B006D7">
        <w:rPr>
          <w:sz w:val="28"/>
          <w:szCs w:val="28"/>
        </w:rPr>
        <w:t>Come è noto, uno degli aspetti negativi e più diffusi della</w:t>
      </w:r>
      <w:r w:rsidR="00920436" w:rsidRPr="00920436">
        <w:rPr>
          <w:sz w:val="28"/>
          <w:szCs w:val="28"/>
        </w:rPr>
        <w:t xml:space="preserve"> comunicazione digitale è </w:t>
      </w:r>
      <w:r w:rsidR="00B006D7">
        <w:rPr>
          <w:sz w:val="28"/>
          <w:szCs w:val="28"/>
        </w:rPr>
        <w:t>la reiterazione di</w:t>
      </w:r>
      <w:r w:rsidR="00920436" w:rsidRPr="00920436">
        <w:rPr>
          <w:sz w:val="28"/>
          <w:szCs w:val="28"/>
        </w:rPr>
        <w:t xml:space="preserve"> </w:t>
      </w:r>
      <w:r w:rsidR="002E1EA7" w:rsidRPr="00920436">
        <w:rPr>
          <w:sz w:val="28"/>
          <w:szCs w:val="28"/>
        </w:rPr>
        <w:t>attività</w:t>
      </w:r>
      <w:r w:rsidR="002E1EA7">
        <w:rPr>
          <w:sz w:val="28"/>
          <w:szCs w:val="28"/>
        </w:rPr>
        <w:t xml:space="preserve"> </w:t>
      </w:r>
      <w:r w:rsidR="00920436" w:rsidRPr="00920436">
        <w:rPr>
          <w:sz w:val="28"/>
          <w:szCs w:val="28"/>
        </w:rPr>
        <w:t>denigratorie</w:t>
      </w:r>
      <w:r w:rsidR="00B006D7">
        <w:rPr>
          <w:sz w:val="28"/>
          <w:szCs w:val="28"/>
        </w:rPr>
        <w:t xml:space="preserve"> o</w:t>
      </w:r>
      <w:r w:rsidR="00920436" w:rsidRPr="00920436">
        <w:rPr>
          <w:sz w:val="28"/>
          <w:szCs w:val="28"/>
        </w:rPr>
        <w:t xml:space="preserve"> lesive</w:t>
      </w:r>
      <w:r w:rsidR="00B006D7">
        <w:rPr>
          <w:sz w:val="28"/>
          <w:szCs w:val="28"/>
        </w:rPr>
        <w:t xml:space="preserve"> di vario tipo</w:t>
      </w:r>
      <w:r w:rsidR="00920436" w:rsidRPr="00920436">
        <w:rPr>
          <w:sz w:val="28"/>
          <w:szCs w:val="28"/>
        </w:rPr>
        <w:t xml:space="preserve">, che </w:t>
      </w:r>
      <w:r w:rsidR="00B006D7">
        <w:rPr>
          <w:sz w:val="28"/>
          <w:szCs w:val="28"/>
        </w:rPr>
        <w:t xml:space="preserve">se </w:t>
      </w:r>
      <w:r w:rsidR="00920436" w:rsidRPr="00920436">
        <w:rPr>
          <w:sz w:val="28"/>
          <w:szCs w:val="28"/>
        </w:rPr>
        <w:t>talvolta sono l’opera di un singolo soggetto, altre volte</w:t>
      </w:r>
      <w:r w:rsidR="00B006D7">
        <w:rPr>
          <w:sz w:val="28"/>
          <w:szCs w:val="28"/>
        </w:rPr>
        <w:t>, invece,</w:t>
      </w:r>
      <w:r w:rsidR="00920436" w:rsidRPr="00920436">
        <w:rPr>
          <w:sz w:val="28"/>
          <w:szCs w:val="28"/>
        </w:rPr>
        <w:t xml:space="preserve"> </w:t>
      </w:r>
      <w:r w:rsidR="00B006D7">
        <w:rPr>
          <w:sz w:val="28"/>
          <w:szCs w:val="28"/>
        </w:rPr>
        <w:t>convergono in</w:t>
      </w:r>
      <w:r w:rsidR="00920436" w:rsidRPr="00920436">
        <w:rPr>
          <w:sz w:val="28"/>
          <w:szCs w:val="28"/>
        </w:rPr>
        <w:t xml:space="preserve"> vere e proprie campagne di diffamazione digitale</w:t>
      </w:r>
      <w:r w:rsidR="007431EC">
        <w:rPr>
          <w:rStyle w:val="Rimandonotaapidipagina"/>
          <w:sz w:val="28"/>
          <w:szCs w:val="28"/>
        </w:rPr>
        <w:footnoteReference w:id="152"/>
      </w:r>
      <w:r w:rsidR="00920436" w:rsidRPr="00920436">
        <w:rPr>
          <w:sz w:val="28"/>
          <w:szCs w:val="28"/>
        </w:rPr>
        <w:t xml:space="preserve">. </w:t>
      </w:r>
    </w:p>
    <w:p w14:paraId="3C802692" w14:textId="678276EF" w:rsidR="00793A59" w:rsidRDefault="00B006D7" w:rsidP="00793A59">
      <w:pPr>
        <w:pStyle w:val="NormaleWeb"/>
        <w:spacing w:before="0" w:beforeAutospacing="0" w:after="0" w:afterAutospacing="0"/>
        <w:jc w:val="both"/>
        <w:rPr>
          <w:sz w:val="28"/>
          <w:szCs w:val="28"/>
        </w:rPr>
      </w:pPr>
      <w:r>
        <w:rPr>
          <w:sz w:val="28"/>
          <w:szCs w:val="28"/>
        </w:rPr>
        <w:t xml:space="preserve">Ne è un paradigma l’emergente fenomeno delle </w:t>
      </w:r>
      <w:r w:rsidRPr="00920436">
        <w:rPr>
          <w:sz w:val="28"/>
          <w:szCs w:val="28"/>
        </w:rPr>
        <w:t>campagne d</w:t>
      </w:r>
      <w:r w:rsidR="00793A59">
        <w:rPr>
          <w:sz w:val="28"/>
          <w:szCs w:val="28"/>
        </w:rPr>
        <w:t>’</w:t>
      </w:r>
      <w:r w:rsidRPr="00920436">
        <w:rPr>
          <w:sz w:val="28"/>
          <w:szCs w:val="28"/>
        </w:rPr>
        <w:t>odio (</w:t>
      </w:r>
      <w:r>
        <w:rPr>
          <w:sz w:val="28"/>
          <w:szCs w:val="28"/>
        </w:rPr>
        <w:t xml:space="preserve">il </w:t>
      </w:r>
      <w:r w:rsidRPr="00920436">
        <w:rPr>
          <w:sz w:val="28"/>
          <w:szCs w:val="28"/>
        </w:rPr>
        <w:t xml:space="preserve">c.d. </w:t>
      </w:r>
      <w:proofErr w:type="spellStart"/>
      <w:r w:rsidRPr="00920436">
        <w:rPr>
          <w:i/>
          <w:iCs/>
          <w:sz w:val="28"/>
          <w:szCs w:val="28"/>
        </w:rPr>
        <w:t>hate</w:t>
      </w:r>
      <w:proofErr w:type="spellEnd"/>
      <w:r w:rsidRPr="00920436">
        <w:rPr>
          <w:i/>
          <w:iCs/>
          <w:sz w:val="28"/>
          <w:szCs w:val="28"/>
        </w:rPr>
        <w:t xml:space="preserve"> </w:t>
      </w:r>
      <w:proofErr w:type="spellStart"/>
      <w:r w:rsidRPr="00920436">
        <w:rPr>
          <w:i/>
          <w:iCs/>
          <w:sz w:val="28"/>
          <w:szCs w:val="28"/>
        </w:rPr>
        <w:t>speech</w:t>
      </w:r>
      <w:proofErr w:type="spellEnd"/>
      <w:r w:rsidRPr="00920436">
        <w:rPr>
          <w:sz w:val="28"/>
          <w:szCs w:val="28"/>
        </w:rPr>
        <w:t>)</w:t>
      </w:r>
      <w:r>
        <w:rPr>
          <w:sz w:val="28"/>
          <w:szCs w:val="28"/>
        </w:rPr>
        <w:t>, strettamente c</w:t>
      </w:r>
      <w:r w:rsidR="00920436" w:rsidRPr="00920436">
        <w:rPr>
          <w:sz w:val="28"/>
          <w:szCs w:val="28"/>
        </w:rPr>
        <w:t>onnesso a</w:t>
      </w:r>
      <w:r w:rsidR="00793A59">
        <w:rPr>
          <w:sz w:val="28"/>
          <w:szCs w:val="28"/>
        </w:rPr>
        <w:t xml:space="preserve"> quello </w:t>
      </w:r>
      <w:r w:rsidR="00920436" w:rsidRPr="00920436">
        <w:rPr>
          <w:sz w:val="28"/>
          <w:szCs w:val="28"/>
        </w:rPr>
        <w:t xml:space="preserve">della diffamazione </w:t>
      </w:r>
      <w:r w:rsidR="00920436" w:rsidRPr="00B006D7">
        <w:rPr>
          <w:i/>
          <w:iCs/>
          <w:sz w:val="28"/>
          <w:szCs w:val="28"/>
        </w:rPr>
        <w:t>online</w:t>
      </w:r>
      <w:r w:rsidR="00A2749B">
        <w:rPr>
          <w:rStyle w:val="Rimandonotaapidipagina"/>
          <w:sz w:val="28"/>
          <w:szCs w:val="28"/>
        </w:rPr>
        <w:footnoteReference w:id="153"/>
      </w:r>
      <w:r>
        <w:rPr>
          <w:sz w:val="28"/>
          <w:szCs w:val="28"/>
        </w:rPr>
        <w:t xml:space="preserve">. </w:t>
      </w:r>
    </w:p>
    <w:p w14:paraId="2E2DA5E3" w14:textId="77777777" w:rsidR="00793A59" w:rsidRDefault="00502D2F" w:rsidP="00793A59">
      <w:pPr>
        <w:pStyle w:val="NormaleWeb"/>
        <w:spacing w:before="0" w:beforeAutospacing="0" w:after="0" w:afterAutospacing="0"/>
        <w:jc w:val="both"/>
        <w:rPr>
          <w:sz w:val="28"/>
          <w:szCs w:val="28"/>
        </w:rPr>
      </w:pPr>
      <w:r>
        <w:rPr>
          <w:sz w:val="28"/>
          <w:szCs w:val="28"/>
        </w:rPr>
        <w:t>A</w:t>
      </w:r>
      <w:r w:rsidR="00920436" w:rsidRPr="00920436">
        <w:rPr>
          <w:sz w:val="28"/>
          <w:szCs w:val="28"/>
        </w:rPr>
        <w:t xml:space="preserve"> questo riguardo, </w:t>
      </w:r>
      <w:r>
        <w:rPr>
          <w:sz w:val="28"/>
          <w:szCs w:val="28"/>
        </w:rPr>
        <w:t xml:space="preserve">è rilevante come </w:t>
      </w:r>
      <w:r w:rsidR="00920436" w:rsidRPr="00920436">
        <w:rPr>
          <w:sz w:val="28"/>
          <w:szCs w:val="28"/>
        </w:rPr>
        <w:t xml:space="preserve">la diffusione delle piattaforme digitali </w:t>
      </w:r>
      <w:r>
        <w:rPr>
          <w:sz w:val="28"/>
          <w:szCs w:val="28"/>
        </w:rPr>
        <w:t>stia determinando</w:t>
      </w:r>
      <w:r w:rsidR="00920436" w:rsidRPr="00920436">
        <w:rPr>
          <w:sz w:val="28"/>
          <w:szCs w:val="28"/>
        </w:rPr>
        <w:t xml:space="preserve"> la frequenza e la </w:t>
      </w:r>
      <w:r w:rsidRPr="00920436">
        <w:rPr>
          <w:sz w:val="28"/>
          <w:szCs w:val="28"/>
        </w:rPr>
        <w:t>pervasività</w:t>
      </w:r>
      <w:r>
        <w:rPr>
          <w:sz w:val="28"/>
          <w:szCs w:val="28"/>
        </w:rPr>
        <w:t xml:space="preserve"> di queste</w:t>
      </w:r>
      <w:r w:rsidR="00920436" w:rsidRPr="00920436">
        <w:rPr>
          <w:sz w:val="28"/>
          <w:szCs w:val="28"/>
        </w:rPr>
        <w:t xml:space="preserve"> condotte</w:t>
      </w:r>
      <w:r>
        <w:rPr>
          <w:sz w:val="28"/>
          <w:szCs w:val="28"/>
        </w:rPr>
        <w:t>.</w:t>
      </w:r>
    </w:p>
    <w:p w14:paraId="7D2A59A4" w14:textId="7BE3B6F1" w:rsidR="00793A59" w:rsidRDefault="00502D2F" w:rsidP="00793A59">
      <w:pPr>
        <w:pStyle w:val="NormaleWeb"/>
        <w:spacing w:before="0" w:beforeAutospacing="0" w:after="0" w:afterAutospacing="0"/>
        <w:jc w:val="both"/>
        <w:rPr>
          <w:sz w:val="28"/>
          <w:szCs w:val="28"/>
        </w:rPr>
      </w:pPr>
      <w:r>
        <w:rPr>
          <w:sz w:val="28"/>
          <w:szCs w:val="28"/>
        </w:rPr>
        <w:t>La necessità</w:t>
      </w:r>
      <w:r w:rsidR="00920436" w:rsidRPr="00920436">
        <w:rPr>
          <w:sz w:val="28"/>
          <w:szCs w:val="28"/>
        </w:rPr>
        <w:t xml:space="preserve"> di strumenti di azione </w:t>
      </w:r>
      <w:r w:rsidR="00D41CBB" w:rsidRPr="00920436">
        <w:rPr>
          <w:sz w:val="28"/>
          <w:szCs w:val="28"/>
        </w:rPr>
        <w:t>più</w:t>
      </w:r>
      <w:r w:rsidR="00920436" w:rsidRPr="00920436">
        <w:rPr>
          <w:sz w:val="28"/>
          <w:szCs w:val="28"/>
        </w:rPr>
        <w:t xml:space="preserve"> efficaci ha </w:t>
      </w:r>
      <w:r>
        <w:rPr>
          <w:sz w:val="28"/>
          <w:szCs w:val="28"/>
        </w:rPr>
        <w:t>determinato l’avvio</w:t>
      </w:r>
      <w:r w:rsidR="00920436" w:rsidRPr="00920436">
        <w:rPr>
          <w:sz w:val="28"/>
          <w:szCs w:val="28"/>
        </w:rPr>
        <w:t xml:space="preserve"> </w:t>
      </w:r>
      <w:r>
        <w:rPr>
          <w:sz w:val="28"/>
          <w:szCs w:val="28"/>
        </w:rPr>
        <w:t xml:space="preserve">di </w:t>
      </w:r>
      <w:r w:rsidR="00920436" w:rsidRPr="00920436">
        <w:rPr>
          <w:sz w:val="28"/>
          <w:szCs w:val="28"/>
        </w:rPr>
        <w:t xml:space="preserve">alcune iniziative </w:t>
      </w:r>
      <w:r>
        <w:rPr>
          <w:sz w:val="28"/>
          <w:szCs w:val="28"/>
        </w:rPr>
        <w:t>del Parlamento</w:t>
      </w:r>
      <w:r w:rsidR="00920436" w:rsidRPr="00920436">
        <w:rPr>
          <w:sz w:val="28"/>
          <w:szCs w:val="28"/>
        </w:rPr>
        <w:t xml:space="preserve">. </w:t>
      </w:r>
      <w:r>
        <w:rPr>
          <w:sz w:val="28"/>
          <w:szCs w:val="28"/>
        </w:rPr>
        <w:t>Eppure, gli unici risultati</w:t>
      </w:r>
      <w:r w:rsidR="00920436" w:rsidRPr="00920436">
        <w:rPr>
          <w:sz w:val="28"/>
          <w:szCs w:val="28"/>
        </w:rPr>
        <w:t xml:space="preserve"> </w:t>
      </w:r>
      <w:r>
        <w:rPr>
          <w:sz w:val="28"/>
          <w:szCs w:val="28"/>
        </w:rPr>
        <w:t xml:space="preserve">raggiunti </w:t>
      </w:r>
      <w:r w:rsidR="00920436" w:rsidRPr="00920436">
        <w:rPr>
          <w:sz w:val="28"/>
          <w:szCs w:val="28"/>
        </w:rPr>
        <w:t>sono stat</w:t>
      </w:r>
      <w:r>
        <w:rPr>
          <w:sz w:val="28"/>
          <w:szCs w:val="28"/>
        </w:rPr>
        <w:t>i</w:t>
      </w:r>
      <w:r w:rsidR="00920436" w:rsidRPr="00920436">
        <w:rPr>
          <w:sz w:val="28"/>
          <w:szCs w:val="28"/>
        </w:rPr>
        <w:t xml:space="preserve"> quell</w:t>
      </w:r>
      <w:r>
        <w:rPr>
          <w:sz w:val="28"/>
          <w:szCs w:val="28"/>
        </w:rPr>
        <w:t>i</w:t>
      </w:r>
      <w:r w:rsidR="00920436" w:rsidRPr="00920436">
        <w:rPr>
          <w:sz w:val="28"/>
          <w:szCs w:val="28"/>
        </w:rPr>
        <w:t xml:space="preserve"> in materia di diffusione di immagini a contenuto sessualmente esplicito, </w:t>
      </w:r>
      <w:r>
        <w:rPr>
          <w:sz w:val="28"/>
          <w:szCs w:val="28"/>
        </w:rPr>
        <w:t>inizialmente</w:t>
      </w:r>
      <w:r w:rsidR="00920436" w:rsidRPr="00920436">
        <w:rPr>
          <w:sz w:val="28"/>
          <w:szCs w:val="28"/>
        </w:rPr>
        <w:t xml:space="preserve"> con l’introduzione </w:t>
      </w:r>
      <w:r>
        <w:rPr>
          <w:sz w:val="28"/>
          <w:szCs w:val="28"/>
        </w:rPr>
        <w:t xml:space="preserve">nell’ordinamento </w:t>
      </w:r>
      <w:r w:rsidR="00920436" w:rsidRPr="00920436">
        <w:rPr>
          <w:sz w:val="28"/>
          <w:szCs w:val="28"/>
        </w:rPr>
        <w:t>dell’art. 612</w:t>
      </w:r>
      <w:r w:rsidR="00203DAE">
        <w:rPr>
          <w:sz w:val="28"/>
          <w:szCs w:val="28"/>
        </w:rPr>
        <w:t>-</w:t>
      </w:r>
      <w:r w:rsidR="00920436" w:rsidRPr="00920436">
        <w:rPr>
          <w:sz w:val="28"/>
          <w:szCs w:val="28"/>
        </w:rPr>
        <w:t>ter c.p</w:t>
      </w:r>
      <w:r w:rsidR="00203DAE">
        <w:rPr>
          <w:sz w:val="28"/>
          <w:szCs w:val="28"/>
        </w:rPr>
        <w:t>.</w:t>
      </w:r>
      <w:r>
        <w:rPr>
          <w:sz w:val="28"/>
          <w:szCs w:val="28"/>
        </w:rPr>
        <w:t xml:space="preserve">, e successivamente con la predisposizione del </w:t>
      </w:r>
      <w:r w:rsidR="00920436" w:rsidRPr="00920436">
        <w:rPr>
          <w:sz w:val="28"/>
          <w:szCs w:val="28"/>
        </w:rPr>
        <w:t>nuovo art. 144</w:t>
      </w:r>
      <w:r w:rsidR="00203DAE">
        <w:rPr>
          <w:sz w:val="28"/>
          <w:szCs w:val="28"/>
        </w:rPr>
        <w:t>-</w:t>
      </w:r>
      <w:r w:rsidR="00920436" w:rsidRPr="00920436">
        <w:rPr>
          <w:sz w:val="28"/>
          <w:szCs w:val="28"/>
        </w:rPr>
        <w:t xml:space="preserve">bis del </w:t>
      </w:r>
      <w:r>
        <w:rPr>
          <w:sz w:val="28"/>
          <w:szCs w:val="28"/>
        </w:rPr>
        <w:t>C</w:t>
      </w:r>
      <w:r w:rsidR="00920436" w:rsidRPr="00920436">
        <w:rPr>
          <w:sz w:val="28"/>
          <w:szCs w:val="28"/>
        </w:rPr>
        <w:t>odice</w:t>
      </w:r>
      <w:r w:rsidR="00793A59">
        <w:rPr>
          <w:sz w:val="28"/>
          <w:szCs w:val="28"/>
        </w:rPr>
        <w:t xml:space="preserve"> P</w:t>
      </w:r>
      <w:r w:rsidR="00920436" w:rsidRPr="00920436">
        <w:rPr>
          <w:sz w:val="28"/>
          <w:szCs w:val="28"/>
        </w:rPr>
        <w:t xml:space="preserve">rivacy. </w:t>
      </w:r>
    </w:p>
    <w:p w14:paraId="4D93AD8E" w14:textId="77777777" w:rsidR="00793A59" w:rsidRDefault="00502D2F" w:rsidP="00793A59">
      <w:pPr>
        <w:pStyle w:val="NormaleWeb"/>
        <w:spacing w:before="0" w:beforeAutospacing="0" w:after="0" w:afterAutospacing="0"/>
        <w:jc w:val="both"/>
        <w:rPr>
          <w:sz w:val="28"/>
          <w:szCs w:val="28"/>
        </w:rPr>
      </w:pPr>
      <w:r>
        <w:rPr>
          <w:sz w:val="28"/>
          <w:szCs w:val="28"/>
        </w:rPr>
        <w:t>Il</w:t>
      </w:r>
      <w:r w:rsidR="00920436" w:rsidRPr="00920436">
        <w:rPr>
          <w:sz w:val="28"/>
          <w:szCs w:val="28"/>
        </w:rPr>
        <w:t xml:space="preserve"> tema </w:t>
      </w:r>
      <w:r>
        <w:rPr>
          <w:sz w:val="28"/>
          <w:szCs w:val="28"/>
        </w:rPr>
        <w:t>ricorrente</w:t>
      </w:r>
      <w:r w:rsidR="00920436" w:rsidRPr="00920436">
        <w:rPr>
          <w:sz w:val="28"/>
          <w:szCs w:val="28"/>
        </w:rPr>
        <w:t xml:space="preserve"> nell</w:t>
      </w:r>
      <w:r>
        <w:rPr>
          <w:sz w:val="28"/>
          <w:szCs w:val="28"/>
        </w:rPr>
        <w:t>’ambito</w:t>
      </w:r>
      <w:r w:rsidR="00F73973">
        <w:rPr>
          <w:sz w:val="28"/>
          <w:szCs w:val="28"/>
        </w:rPr>
        <w:t xml:space="preserve"> della</w:t>
      </w:r>
      <w:r w:rsidR="00920436" w:rsidRPr="00920436">
        <w:rPr>
          <w:sz w:val="28"/>
          <w:szCs w:val="28"/>
        </w:rPr>
        <w:t xml:space="preserve"> diffamazione </w:t>
      </w:r>
      <w:r w:rsidR="009F7769" w:rsidRPr="009F7769">
        <w:rPr>
          <w:i/>
          <w:iCs/>
          <w:sz w:val="28"/>
          <w:szCs w:val="28"/>
        </w:rPr>
        <w:t>online</w:t>
      </w:r>
      <w:r w:rsidR="00920436" w:rsidRPr="00920436">
        <w:rPr>
          <w:sz w:val="28"/>
          <w:szCs w:val="28"/>
        </w:rPr>
        <w:t xml:space="preserve">, presente </w:t>
      </w:r>
      <w:r w:rsidR="009F7769">
        <w:rPr>
          <w:sz w:val="28"/>
          <w:szCs w:val="28"/>
        </w:rPr>
        <w:t>anche</w:t>
      </w:r>
      <w:r w:rsidR="00920436" w:rsidRPr="00920436">
        <w:rPr>
          <w:sz w:val="28"/>
          <w:szCs w:val="28"/>
        </w:rPr>
        <w:t xml:space="preserve"> nei casi di diffamazione</w:t>
      </w:r>
      <w:r w:rsidR="009F7769">
        <w:rPr>
          <w:sz w:val="28"/>
          <w:szCs w:val="28"/>
        </w:rPr>
        <w:t xml:space="preserve"> in generale</w:t>
      </w:r>
      <w:r w:rsidR="00920436" w:rsidRPr="00920436">
        <w:rPr>
          <w:sz w:val="28"/>
          <w:szCs w:val="28"/>
        </w:rPr>
        <w:t xml:space="preserve">, è che la persona offesa è </w:t>
      </w:r>
      <w:r w:rsidR="009F7769">
        <w:rPr>
          <w:sz w:val="28"/>
          <w:szCs w:val="28"/>
        </w:rPr>
        <w:t xml:space="preserve">molto </w:t>
      </w:r>
      <w:r w:rsidR="00920436" w:rsidRPr="00920436">
        <w:rPr>
          <w:sz w:val="28"/>
          <w:szCs w:val="28"/>
        </w:rPr>
        <w:t xml:space="preserve">spesso </w:t>
      </w:r>
      <w:r w:rsidR="009F7769">
        <w:rPr>
          <w:sz w:val="28"/>
          <w:szCs w:val="28"/>
        </w:rPr>
        <w:t xml:space="preserve">più interessata, inizialmente, </w:t>
      </w:r>
      <w:r w:rsidR="00920436" w:rsidRPr="00920436">
        <w:rPr>
          <w:sz w:val="28"/>
          <w:szCs w:val="28"/>
        </w:rPr>
        <w:t xml:space="preserve">a ristabilire </w:t>
      </w:r>
      <w:r w:rsidR="00920436" w:rsidRPr="009F7769">
        <w:rPr>
          <w:sz w:val="28"/>
          <w:szCs w:val="28"/>
        </w:rPr>
        <w:t>la</w:t>
      </w:r>
      <w:r w:rsidR="00920436" w:rsidRPr="00920436">
        <w:rPr>
          <w:b/>
          <w:bCs/>
          <w:sz w:val="28"/>
          <w:szCs w:val="28"/>
        </w:rPr>
        <w:t xml:space="preserve"> </w:t>
      </w:r>
      <w:r w:rsidR="009F7769" w:rsidRPr="00D554FC">
        <w:rPr>
          <w:sz w:val="28"/>
          <w:szCs w:val="28"/>
        </w:rPr>
        <w:t>verità</w:t>
      </w:r>
      <w:r w:rsidR="00920436" w:rsidRPr="00D554FC">
        <w:rPr>
          <w:sz w:val="28"/>
          <w:szCs w:val="28"/>
        </w:rPr>
        <w:t xml:space="preserve"> dei fatti,</w:t>
      </w:r>
      <w:r w:rsidR="00920436" w:rsidRPr="00920436">
        <w:rPr>
          <w:sz w:val="28"/>
          <w:szCs w:val="28"/>
        </w:rPr>
        <w:t xml:space="preserve"> </w:t>
      </w:r>
      <w:r w:rsidR="009F7769">
        <w:rPr>
          <w:sz w:val="28"/>
          <w:szCs w:val="28"/>
        </w:rPr>
        <w:t>piuttosto che</w:t>
      </w:r>
      <w:r w:rsidR="00920436" w:rsidRPr="00920436">
        <w:rPr>
          <w:sz w:val="28"/>
          <w:szCs w:val="28"/>
        </w:rPr>
        <w:t xml:space="preserve"> al risarcimento dei danni e alla cessazione della condotta lesiva. </w:t>
      </w:r>
      <w:r w:rsidR="009F7769" w:rsidRPr="00920436">
        <w:rPr>
          <w:sz w:val="28"/>
          <w:szCs w:val="28"/>
        </w:rPr>
        <w:t>Eppure,</w:t>
      </w:r>
      <w:r w:rsidR="00920436" w:rsidRPr="00920436">
        <w:rPr>
          <w:sz w:val="28"/>
          <w:szCs w:val="28"/>
        </w:rPr>
        <w:t xml:space="preserve"> la </w:t>
      </w:r>
      <w:r w:rsidR="009F7769" w:rsidRPr="00920436">
        <w:rPr>
          <w:sz w:val="28"/>
          <w:szCs w:val="28"/>
        </w:rPr>
        <w:t>verità</w:t>
      </w:r>
      <w:r w:rsidR="009F7769">
        <w:rPr>
          <w:sz w:val="28"/>
          <w:szCs w:val="28"/>
        </w:rPr>
        <w:t xml:space="preserve"> </w:t>
      </w:r>
      <w:r w:rsidR="00920436" w:rsidRPr="00920436">
        <w:rPr>
          <w:sz w:val="28"/>
          <w:szCs w:val="28"/>
        </w:rPr>
        <w:t>dei fatti rimane spesso sullo sfondo</w:t>
      </w:r>
      <w:r w:rsidR="009F7769">
        <w:rPr>
          <w:sz w:val="28"/>
          <w:szCs w:val="28"/>
        </w:rPr>
        <w:t xml:space="preserve">: </w:t>
      </w:r>
      <w:r w:rsidR="00920436" w:rsidRPr="00920436">
        <w:rPr>
          <w:sz w:val="28"/>
          <w:szCs w:val="28"/>
        </w:rPr>
        <w:t xml:space="preserve">generalmente </w:t>
      </w:r>
      <w:r w:rsidR="009F7769">
        <w:rPr>
          <w:sz w:val="28"/>
          <w:szCs w:val="28"/>
        </w:rPr>
        <w:t>gli elementi</w:t>
      </w:r>
      <w:r w:rsidR="00920436" w:rsidRPr="00920436">
        <w:rPr>
          <w:sz w:val="28"/>
          <w:szCs w:val="28"/>
        </w:rPr>
        <w:t xml:space="preserve"> di maggiore rilevanza </w:t>
      </w:r>
      <w:r w:rsidR="009F7769">
        <w:rPr>
          <w:sz w:val="28"/>
          <w:szCs w:val="28"/>
        </w:rPr>
        <w:t>e importanza</w:t>
      </w:r>
      <w:r w:rsidR="00793A59">
        <w:rPr>
          <w:sz w:val="28"/>
          <w:szCs w:val="28"/>
        </w:rPr>
        <w:t>,</w:t>
      </w:r>
      <w:r w:rsidR="009F7769">
        <w:rPr>
          <w:sz w:val="28"/>
          <w:szCs w:val="28"/>
        </w:rPr>
        <w:t xml:space="preserve"> </w:t>
      </w:r>
      <w:r w:rsidR="00920436" w:rsidRPr="00920436">
        <w:rPr>
          <w:sz w:val="28"/>
          <w:szCs w:val="28"/>
        </w:rPr>
        <w:t>ai fini della decisione, insieme a quello della eventuale rilevanza pubblica della notizia</w:t>
      </w:r>
      <w:r w:rsidR="009F7769">
        <w:rPr>
          <w:sz w:val="28"/>
          <w:szCs w:val="28"/>
        </w:rPr>
        <w:t xml:space="preserve"> diffusa</w:t>
      </w:r>
      <w:r w:rsidR="00920436" w:rsidRPr="00920436">
        <w:rPr>
          <w:sz w:val="28"/>
          <w:szCs w:val="28"/>
        </w:rPr>
        <w:t xml:space="preserve">, sono quello della continenza e quello della </w:t>
      </w:r>
      <w:r w:rsidR="009F7769" w:rsidRPr="00920436">
        <w:rPr>
          <w:sz w:val="28"/>
          <w:szCs w:val="28"/>
        </w:rPr>
        <w:t>verità</w:t>
      </w:r>
      <w:r w:rsidR="009F7769">
        <w:rPr>
          <w:sz w:val="28"/>
          <w:szCs w:val="28"/>
        </w:rPr>
        <w:t xml:space="preserve"> </w:t>
      </w:r>
      <w:r w:rsidR="00920436" w:rsidRPr="00920436">
        <w:rPr>
          <w:sz w:val="28"/>
          <w:szCs w:val="28"/>
        </w:rPr>
        <w:t xml:space="preserve">putativa. </w:t>
      </w:r>
    </w:p>
    <w:p w14:paraId="7539957F" w14:textId="5C61CF78" w:rsidR="00FC1818" w:rsidRDefault="009F7769" w:rsidP="00793A59">
      <w:pPr>
        <w:pStyle w:val="NormaleWeb"/>
        <w:spacing w:before="0" w:beforeAutospacing="0" w:after="0" w:afterAutospacing="0"/>
        <w:jc w:val="both"/>
        <w:rPr>
          <w:sz w:val="28"/>
          <w:szCs w:val="28"/>
        </w:rPr>
      </w:pPr>
      <w:r>
        <w:rPr>
          <w:sz w:val="28"/>
          <w:szCs w:val="28"/>
        </w:rPr>
        <w:t>Insomma, l</w:t>
      </w:r>
      <w:r w:rsidR="00920436" w:rsidRPr="00920436">
        <w:rPr>
          <w:sz w:val="28"/>
          <w:szCs w:val="28"/>
        </w:rPr>
        <w:t xml:space="preserve">a </w:t>
      </w:r>
      <w:r w:rsidR="00793A59">
        <w:rPr>
          <w:sz w:val="28"/>
          <w:szCs w:val="28"/>
        </w:rPr>
        <w:t>realtà</w:t>
      </w:r>
      <w:r>
        <w:rPr>
          <w:sz w:val="28"/>
          <w:szCs w:val="28"/>
        </w:rPr>
        <w:t xml:space="preserve"> </w:t>
      </w:r>
      <w:r w:rsidR="00920436" w:rsidRPr="00920436">
        <w:rPr>
          <w:sz w:val="28"/>
          <w:szCs w:val="28"/>
        </w:rPr>
        <w:t>dei fatti</w:t>
      </w:r>
      <w:r>
        <w:rPr>
          <w:sz w:val="28"/>
          <w:szCs w:val="28"/>
        </w:rPr>
        <w:t xml:space="preserve"> per come si sono realmente svolti</w:t>
      </w:r>
      <w:r w:rsidR="00793A59">
        <w:rPr>
          <w:sz w:val="28"/>
          <w:szCs w:val="28"/>
        </w:rPr>
        <w:t>,</w:t>
      </w:r>
      <w:r>
        <w:rPr>
          <w:sz w:val="28"/>
          <w:szCs w:val="28"/>
        </w:rPr>
        <w:t xml:space="preserve"> molto spesso</w:t>
      </w:r>
      <w:r w:rsidR="00793A59">
        <w:rPr>
          <w:sz w:val="28"/>
          <w:szCs w:val="28"/>
        </w:rPr>
        <w:t>,</w:t>
      </w:r>
      <w:r>
        <w:rPr>
          <w:sz w:val="28"/>
          <w:szCs w:val="28"/>
        </w:rPr>
        <w:t xml:space="preserve"> </w:t>
      </w:r>
      <w:r w:rsidR="00920436" w:rsidRPr="00920436">
        <w:rPr>
          <w:sz w:val="28"/>
          <w:szCs w:val="28"/>
        </w:rPr>
        <w:t>resta fuori dal processo e la relativa domanda di giustizia</w:t>
      </w:r>
      <w:r w:rsidR="0044072B">
        <w:rPr>
          <w:sz w:val="28"/>
          <w:szCs w:val="28"/>
        </w:rPr>
        <w:t xml:space="preserve"> </w:t>
      </w:r>
      <w:r w:rsidR="00EF0F56">
        <w:rPr>
          <w:sz w:val="28"/>
          <w:szCs w:val="28"/>
        </w:rPr>
        <w:t>è destinata a non essere</w:t>
      </w:r>
      <w:r w:rsidR="0044072B">
        <w:rPr>
          <w:sz w:val="28"/>
          <w:szCs w:val="28"/>
        </w:rPr>
        <w:t xml:space="preserve"> soddisfatta dal giudice</w:t>
      </w:r>
      <w:r w:rsidR="00920436" w:rsidRPr="00920436">
        <w:rPr>
          <w:sz w:val="28"/>
          <w:szCs w:val="28"/>
        </w:rPr>
        <w:t xml:space="preserve">. </w:t>
      </w:r>
      <w:r w:rsidR="0044072B">
        <w:rPr>
          <w:sz w:val="28"/>
          <w:szCs w:val="28"/>
        </w:rPr>
        <w:t>Si tratta di un</w:t>
      </w:r>
      <w:r w:rsidR="00920436" w:rsidRPr="00920436">
        <w:rPr>
          <w:sz w:val="28"/>
          <w:szCs w:val="28"/>
        </w:rPr>
        <w:t xml:space="preserve"> profilo di </w:t>
      </w:r>
      <w:r w:rsidR="0044072B">
        <w:rPr>
          <w:sz w:val="28"/>
          <w:szCs w:val="28"/>
        </w:rPr>
        <w:t>grande</w:t>
      </w:r>
      <w:r w:rsidR="00920436" w:rsidRPr="00920436">
        <w:rPr>
          <w:sz w:val="28"/>
          <w:szCs w:val="28"/>
        </w:rPr>
        <w:t xml:space="preserve"> interesse</w:t>
      </w:r>
      <w:r w:rsidR="0044072B">
        <w:rPr>
          <w:sz w:val="28"/>
          <w:szCs w:val="28"/>
        </w:rPr>
        <w:t xml:space="preserve">, che deve essere segnalato, da un lato, </w:t>
      </w:r>
      <w:r w:rsidR="00920436" w:rsidRPr="00920436">
        <w:rPr>
          <w:sz w:val="28"/>
          <w:szCs w:val="28"/>
        </w:rPr>
        <w:lastRenderedPageBreak/>
        <w:t xml:space="preserve">al fine di tenere sotto osservazione la casistica in materia, </w:t>
      </w:r>
      <w:r w:rsidR="0044072B">
        <w:rPr>
          <w:sz w:val="28"/>
          <w:szCs w:val="28"/>
        </w:rPr>
        <w:t>e dall’altro,</w:t>
      </w:r>
      <w:r w:rsidR="00920436" w:rsidRPr="00920436">
        <w:rPr>
          <w:sz w:val="28"/>
          <w:szCs w:val="28"/>
        </w:rPr>
        <w:t xml:space="preserve"> al</w:t>
      </w:r>
      <w:r w:rsidR="0044072B">
        <w:rPr>
          <w:sz w:val="28"/>
          <w:szCs w:val="28"/>
        </w:rPr>
        <w:t>lo</w:t>
      </w:r>
      <w:r w:rsidR="00920436" w:rsidRPr="00920436">
        <w:rPr>
          <w:sz w:val="28"/>
          <w:szCs w:val="28"/>
        </w:rPr>
        <w:t xml:space="preserve"> </w:t>
      </w:r>
      <w:r w:rsidR="0044072B">
        <w:rPr>
          <w:sz w:val="28"/>
          <w:szCs w:val="28"/>
        </w:rPr>
        <w:t>scopo</w:t>
      </w:r>
      <w:r w:rsidR="00920436" w:rsidRPr="00920436">
        <w:rPr>
          <w:sz w:val="28"/>
          <w:szCs w:val="28"/>
        </w:rPr>
        <w:t xml:space="preserve"> di favorire la ricerca di possibili soluzioni. </w:t>
      </w:r>
    </w:p>
    <w:p w14:paraId="2B9CFA60" w14:textId="3CAA0227" w:rsidR="0095713B" w:rsidRPr="00FC1818" w:rsidRDefault="00EF0F56" w:rsidP="0095713B">
      <w:pPr>
        <w:pStyle w:val="NormaleWeb"/>
        <w:jc w:val="both"/>
        <w:rPr>
          <w:sz w:val="28"/>
          <w:szCs w:val="28"/>
        </w:rPr>
      </w:pPr>
      <w:r>
        <w:rPr>
          <w:sz w:val="28"/>
          <w:szCs w:val="28"/>
        </w:rPr>
        <w:t>Partiamo dal presupposto che il</w:t>
      </w:r>
      <w:r w:rsidR="0095713B" w:rsidRPr="00FC1818">
        <w:rPr>
          <w:sz w:val="28"/>
          <w:szCs w:val="28"/>
        </w:rPr>
        <w:t xml:space="preserve"> fenomeno del </w:t>
      </w:r>
      <w:r>
        <w:rPr>
          <w:sz w:val="28"/>
          <w:szCs w:val="28"/>
        </w:rPr>
        <w:t>c.d.</w:t>
      </w:r>
      <w:r w:rsidR="0095713B" w:rsidRPr="00FC1818">
        <w:rPr>
          <w:sz w:val="28"/>
          <w:szCs w:val="28"/>
        </w:rPr>
        <w:t xml:space="preserve"> “</w:t>
      </w:r>
      <w:proofErr w:type="spellStart"/>
      <w:r w:rsidR="0095713B" w:rsidRPr="00203DAE">
        <w:rPr>
          <w:i/>
          <w:iCs/>
          <w:sz w:val="28"/>
          <w:szCs w:val="28"/>
        </w:rPr>
        <w:t>hate</w:t>
      </w:r>
      <w:proofErr w:type="spellEnd"/>
      <w:r w:rsidR="0095713B" w:rsidRPr="00203DAE">
        <w:rPr>
          <w:i/>
          <w:iCs/>
          <w:sz w:val="28"/>
          <w:szCs w:val="28"/>
        </w:rPr>
        <w:t xml:space="preserve"> </w:t>
      </w:r>
      <w:proofErr w:type="spellStart"/>
      <w:r w:rsidR="0095713B" w:rsidRPr="00203DAE">
        <w:rPr>
          <w:i/>
          <w:iCs/>
          <w:sz w:val="28"/>
          <w:szCs w:val="28"/>
        </w:rPr>
        <w:t>speech</w:t>
      </w:r>
      <w:proofErr w:type="spellEnd"/>
      <w:r w:rsidR="0095713B" w:rsidRPr="00FC1818">
        <w:rPr>
          <w:sz w:val="28"/>
          <w:szCs w:val="28"/>
        </w:rPr>
        <w:t xml:space="preserve">” non è una novità degli ultimi </w:t>
      </w:r>
      <w:r>
        <w:rPr>
          <w:sz w:val="28"/>
          <w:szCs w:val="28"/>
        </w:rPr>
        <w:t>tempi, anche se è inevitabilmente</w:t>
      </w:r>
      <w:r w:rsidR="0095713B" w:rsidRPr="00FC1818">
        <w:rPr>
          <w:sz w:val="28"/>
          <w:szCs w:val="28"/>
        </w:rPr>
        <w:t xml:space="preserve"> recente l’attenzione verso i</w:t>
      </w:r>
      <w:r>
        <w:rPr>
          <w:sz w:val="28"/>
          <w:szCs w:val="28"/>
        </w:rPr>
        <w:t xml:space="preserve"> c.d.</w:t>
      </w:r>
      <w:r w:rsidR="0095713B" w:rsidRPr="00FC1818">
        <w:rPr>
          <w:sz w:val="28"/>
          <w:szCs w:val="28"/>
        </w:rPr>
        <w:t xml:space="preserve"> “discorsi d’odio”</w:t>
      </w:r>
      <w:r>
        <w:rPr>
          <w:sz w:val="28"/>
          <w:szCs w:val="28"/>
        </w:rPr>
        <w:t>. Infatti,</w:t>
      </w:r>
      <w:r w:rsidR="0095713B" w:rsidRPr="00FC1818">
        <w:rPr>
          <w:sz w:val="28"/>
          <w:szCs w:val="28"/>
        </w:rPr>
        <w:t xml:space="preserve"> il loro impatto sugli individui e l’introduzione di </w:t>
      </w:r>
      <w:r>
        <w:rPr>
          <w:sz w:val="28"/>
          <w:szCs w:val="28"/>
        </w:rPr>
        <w:t>discipline</w:t>
      </w:r>
      <w:r w:rsidR="0095713B" w:rsidRPr="00FC1818">
        <w:rPr>
          <w:sz w:val="28"/>
          <w:szCs w:val="28"/>
        </w:rPr>
        <w:t xml:space="preserve"> e misure che consentano di arginare il fenomeno, </w:t>
      </w:r>
      <w:r w:rsidR="00B93369">
        <w:rPr>
          <w:sz w:val="28"/>
          <w:szCs w:val="28"/>
        </w:rPr>
        <w:t>sono</w:t>
      </w:r>
      <w:r w:rsidR="0095713B" w:rsidRPr="00FC1818">
        <w:rPr>
          <w:sz w:val="28"/>
          <w:szCs w:val="28"/>
        </w:rPr>
        <w:t xml:space="preserve"> cresciut</w:t>
      </w:r>
      <w:r w:rsidR="00B93369">
        <w:rPr>
          <w:sz w:val="28"/>
          <w:szCs w:val="28"/>
        </w:rPr>
        <w:t>i</w:t>
      </w:r>
      <w:r w:rsidR="0095713B" w:rsidRPr="00FC1818">
        <w:rPr>
          <w:sz w:val="28"/>
          <w:szCs w:val="28"/>
        </w:rPr>
        <w:t xml:space="preserve"> </w:t>
      </w:r>
      <w:r>
        <w:rPr>
          <w:sz w:val="28"/>
          <w:szCs w:val="28"/>
        </w:rPr>
        <w:t>di gran lunga negli ultimi anni</w:t>
      </w:r>
      <w:r w:rsidR="0095713B" w:rsidRPr="00FC1818">
        <w:rPr>
          <w:sz w:val="28"/>
          <w:szCs w:val="28"/>
        </w:rPr>
        <w:t xml:space="preserve">. </w:t>
      </w:r>
      <w:r>
        <w:rPr>
          <w:sz w:val="28"/>
          <w:szCs w:val="28"/>
        </w:rPr>
        <w:t xml:space="preserve">La causa di ciò è da rinvenirsi </w:t>
      </w:r>
      <w:r w:rsidR="00B93369">
        <w:rPr>
          <w:sz w:val="28"/>
          <w:szCs w:val="28"/>
        </w:rPr>
        <w:t xml:space="preserve">certamente </w:t>
      </w:r>
      <w:r>
        <w:rPr>
          <w:sz w:val="28"/>
          <w:szCs w:val="28"/>
        </w:rPr>
        <w:t>nell’avvento di Internet</w:t>
      </w:r>
      <w:r w:rsidR="00004B1F">
        <w:rPr>
          <w:sz w:val="28"/>
          <w:szCs w:val="28"/>
        </w:rPr>
        <w:t xml:space="preserve"> e dei </w:t>
      </w:r>
      <w:r w:rsidR="00004B1F" w:rsidRPr="00E30364">
        <w:rPr>
          <w:i/>
          <w:iCs/>
          <w:sz w:val="28"/>
          <w:szCs w:val="28"/>
        </w:rPr>
        <w:t>social network</w:t>
      </w:r>
      <w:r w:rsidR="00A2749B">
        <w:rPr>
          <w:rStyle w:val="Rimandonotaapidipagina"/>
          <w:sz w:val="28"/>
          <w:szCs w:val="28"/>
        </w:rPr>
        <w:footnoteReference w:id="154"/>
      </w:r>
      <w:r w:rsidR="00004B1F">
        <w:rPr>
          <w:sz w:val="28"/>
          <w:szCs w:val="28"/>
        </w:rPr>
        <w:t>, che hanno agito come amplificatori</w:t>
      </w:r>
      <w:r w:rsidR="00A2749B">
        <w:rPr>
          <w:sz w:val="28"/>
          <w:szCs w:val="28"/>
        </w:rPr>
        <w:t xml:space="preserve">. </w:t>
      </w:r>
      <w:r w:rsidR="0095713B" w:rsidRPr="00FC1818">
        <w:rPr>
          <w:sz w:val="28"/>
          <w:szCs w:val="28"/>
        </w:rPr>
        <w:t xml:space="preserve">Il tentativo di regolamentare </w:t>
      </w:r>
      <w:r w:rsidR="00B93369">
        <w:rPr>
          <w:sz w:val="28"/>
          <w:szCs w:val="28"/>
        </w:rPr>
        <w:t>questo</w:t>
      </w:r>
      <w:r w:rsidR="0095713B" w:rsidRPr="00FC1818">
        <w:rPr>
          <w:sz w:val="28"/>
          <w:szCs w:val="28"/>
        </w:rPr>
        <w:t xml:space="preserve"> fenomeno si scontra </w:t>
      </w:r>
      <w:r w:rsidR="00B93369">
        <w:rPr>
          <w:sz w:val="28"/>
          <w:szCs w:val="28"/>
        </w:rPr>
        <w:t xml:space="preserve">inevitabilmente </w:t>
      </w:r>
      <w:r w:rsidR="0095713B" w:rsidRPr="00FC1818">
        <w:rPr>
          <w:sz w:val="28"/>
          <w:szCs w:val="28"/>
        </w:rPr>
        <w:t xml:space="preserve">con la necessità di garantire un equo e corretto </w:t>
      </w:r>
      <w:proofErr w:type="spellStart"/>
      <w:r w:rsidR="00B93369" w:rsidRPr="00B93369">
        <w:rPr>
          <w:i/>
          <w:iCs/>
          <w:sz w:val="28"/>
          <w:szCs w:val="28"/>
        </w:rPr>
        <w:t>trade</w:t>
      </w:r>
      <w:proofErr w:type="spellEnd"/>
      <w:r w:rsidR="00B93369" w:rsidRPr="00B93369">
        <w:rPr>
          <w:i/>
          <w:iCs/>
          <w:sz w:val="28"/>
          <w:szCs w:val="28"/>
        </w:rPr>
        <w:t>-off</w:t>
      </w:r>
      <w:r w:rsidR="0095713B" w:rsidRPr="00FC1818">
        <w:rPr>
          <w:sz w:val="28"/>
          <w:szCs w:val="28"/>
        </w:rPr>
        <w:t xml:space="preserve"> </w:t>
      </w:r>
      <w:r w:rsidR="00951FB2">
        <w:rPr>
          <w:sz w:val="28"/>
          <w:szCs w:val="28"/>
        </w:rPr>
        <w:t>t</w:t>
      </w:r>
      <w:r w:rsidR="0095713B" w:rsidRPr="00FC1818">
        <w:rPr>
          <w:sz w:val="28"/>
          <w:szCs w:val="28"/>
        </w:rPr>
        <w:t>ra gli interessi in gioco, i diritti e le libertà</w:t>
      </w:r>
      <w:r w:rsidR="00B93369">
        <w:rPr>
          <w:sz w:val="28"/>
          <w:szCs w:val="28"/>
        </w:rPr>
        <w:t xml:space="preserve">; vengono in rilievo </w:t>
      </w:r>
      <w:r w:rsidR="0095713B" w:rsidRPr="00FC1818">
        <w:rPr>
          <w:sz w:val="28"/>
          <w:szCs w:val="28"/>
        </w:rPr>
        <w:t>l’onore, la reputazione</w:t>
      </w:r>
      <w:r w:rsidR="00B93369">
        <w:rPr>
          <w:sz w:val="28"/>
          <w:szCs w:val="28"/>
        </w:rPr>
        <w:t xml:space="preserve">, </w:t>
      </w:r>
      <w:r w:rsidR="0095713B" w:rsidRPr="00FC1818">
        <w:rPr>
          <w:sz w:val="28"/>
          <w:szCs w:val="28"/>
        </w:rPr>
        <w:t>la dignità della persona</w:t>
      </w:r>
      <w:r w:rsidR="00B93369">
        <w:rPr>
          <w:sz w:val="28"/>
          <w:szCs w:val="28"/>
        </w:rPr>
        <w:t>, ma anche</w:t>
      </w:r>
      <w:r w:rsidR="0095713B" w:rsidRPr="00FC1818">
        <w:rPr>
          <w:sz w:val="28"/>
          <w:szCs w:val="28"/>
        </w:rPr>
        <w:t xml:space="preserve"> la libertà di espressione, di critica e di cronaca, </w:t>
      </w:r>
      <w:r w:rsidR="00B93369">
        <w:rPr>
          <w:sz w:val="28"/>
          <w:szCs w:val="28"/>
        </w:rPr>
        <w:t>fino ad arrivare</w:t>
      </w:r>
      <w:r w:rsidR="0095713B" w:rsidRPr="00FC1818">
        <w:rPr>
          <w:sz w:val="28"/>
          <w:szCs w:val="28"/>
        </w:rPr>
        <w:t xml:space="preserve"> </w:t>
      </w:r>
      <w:r w:rsidR="00B93369">
        <w:rPr>
          <w:sz w:val="28"/>
          <w:szCs w:val="28"/>
        </w:rPr>
        <w:t>al</w:t>
      </w:r>
      <w:r w:rsidR="0095713B" w:rsidRPr="00FC1818">
        <w:rPr>
          <w:sz w:val="28"/>
          <w:szCs w:val="28"/>
        </w:rPr>
        <w:t>la libertà di iniziativa economica e di associazione.</w:t>
      </w:r>
    </w:p>
    <w:p w14:paraId="26C49FCB" w14:textId="7DA94485" w:rsidR="0095713B" w:rsidRPr="00FC1818" w:rsidRDefault="00951FB2" w:rsidP="0095713B">
      <w:pPr>
        <w:pStyle w:val="NormaleWeb"/>
        <w:jc w:val="both"/>
        <w:rPr>
          <w:sz w:val="28"/>
          <w:szCs w:val="28"/>
        </w:rPr>
      </w:pPr>
      <w:r>
        <w:rPr>
          <w:sz w:val="28"/>
          <w:szCs w:val="28"/>
        </w:rPr>
        <w:t>In ambito</w:t>
      </w:r>
      <w:r w:rsidR="0095713B" w:rsidRPr="00FC1818">
        <w:rPr>
          <w:sz w:val="28"/>
          <w:szCs w:val="28"/>
        </w:rPr>
        <w:t xml:space="preserve"> europeo</w:t>
      </w:r>
      <w:r>
        <w:rPr>
          <w:sz w:val="28"/>
          <w:szCs w:val="28"/>
        </w:rPr>
        <w:t xml:space="preserve">, è </w:t>
      </w:r>
      <w:r w:rsidR="0095713B" w:rsidRPr="00FC1818">
        <w:rPr>
          <w:sz w:val="28"/>
          <w:szCs w:val="28"/>
        </w:rPr>
        <w:t xml:space="preserve">già da qualche anno </w:t>
      </w:r>
      <w:r>
        <w:rPr>
          <w:sz w:val="28"/>
          <w:szCs w:val="28"/>
        </w:rPr>
        <w:t xml:space="preserve">che si sono prese delle misure per arginare comportamenti illegittimi: </w:t>
      </w:r>
      <w:r w:rsidR="0095713B" w:rsidRPr="00FC1818">
        <w:rPr>
          <w:sz w:val="28"/>
          <w:szCs w:val="28"/>
        </w:rPr>
        <w:t xml:space="preserve">l’intervento forse più rilevante </w:t>
      </w:r>
      <w:r>
        <w:rPr>
          <w:sz w:val="28"/>
          <w:szCs w:val="28"/>
        </w:rPr>
        <w:t>è stato l’</w:t>
      </w:r>
      <w:r w:rsidR="0095713B" w:rsidRPr="00FC1818">
        <w:rPr>
          <w:sz w:val="28"/>
          <w:szCs w:val="28"/>
        </w:rPr>
        <w:t>adozione</w:t>
      </w:r>
      <w:r w:rsidR="00F52F9F">
        <w:rPr>
          <w:sz w:val="28"/>
          <w:szCs w:val="28"/>
        </w:rPr>
        <w:t>,</w:t>
      </w:r>
      <w:r w:rsidR="0095713B" w:rsidRPr="00FC1818">
        <w:rPr>
          <w:sz w:val="28"/>
          <w:szCs w:val="28"/>
        </w:rPr>
        <w:t xml:space="preserve"> da parte della Commissione, </w:t>
      </w:r>
      <w:r>
        <w:rPr>
          <w:sz w:val="28"/>
          <w:szCs w:val="28"/>
        </w:rPr>
        <w:t>insieme</w:t>
      </w:r>
      <w:r w:rsidR="0095713B" w:rsidRPr="00FC1818">
        <w:rPr>
          <w:sz w:val="28"/>
          <w:szCs w:val="28"/>
        </w:rPr>
        <w:t xml:space="preserve"> a diversi </w:t>
      </w:r>
      <w:proofErr w:type="spellStart"/>
      <w:r w:rsidR="0095713B" w:rsidRPr="00951FB2">
        <w:rPr>
          <w:i/>
          <w:iCs/>
          <w:sz w:val="28"/>
          <w:szCs w:val="28"/>
        </w:rPr>
        <w:t>players</w:t>
      </w:r>
      <w:proofErr w:type="spellEnd"/>
      <w:r w:rsidR="0095713B" w:rsidRPr="00FC1818">
        <w:rPr>
          <w:sz w:val="28"/>
          <w:szCs w:val="28"/>
        </w:rPr>
        <w:t xml:space="preserve"> del settore (primi fra tutti, Google e </w:t>
      </w:r>
      <w:proofErr w:type="spellStart"/>
      <w:r w:rsidR="0095713B" w:rsidRPr="00FC1818">
        <w:rPr>
          <w:sz w:val="28"/>
          <w:szCs w:val="28"/>
        </w:rPr>
        <w:t>Facebook</w:t>
      </w:r>
      <w:proofErr w:type="spellEnd"/>
      <w:r w:rsidR="0095713B" w:rsidRPr="00FC1818">
        <w:rPr>
          <w:sz w:val="28"/>
          <w:szCs w:val="28"/>
        </w:rPr>
        <w:t xml:space="preserve">), di un </w:t>
      </w:r>
      <w:r w:rsidR="0095713B" w:rsidRPr="002A49BC">
        <w:rPr>
          <w:i/>
          <w:iCs/>
          <w:sz w:val="28"/>
          <w:szCs w:val="28"/>
        </w:rPr>
        <w:t>Codice di Condotta</w:t>
      </w:r>
      <w:r w:rsidR="00F52F9F">
        <w:rPr>
          <w:sz w:val="28"/>
          <w:szCs w:val="28"/>
        </w:rPr>
        <w:t xml:space="preserve">, </w:t>
      </w:r>
      <w:r w:rsidR="0095713B" w:rsidRPr="00FC1818">
        <w:rPr>
          <w:sz w:val="28"/>
          <w:szCs w:val="28"/>
        </w:rPr>
        <w:t xml:space="preserve">che </w:t>
      </w:r>
      <w:r w:rsidR="0032230A">
        <w:rPr>
          <w:sz w:val="28"/>
          <w:szCs w:val="28"/>
        </w:rPr>
        <w:t>impone</w:t>
      </w:r>
      <w:r w:rsidR="0095713B" w:rsidRPr="00FC1818">
        <w:rPr>
          <w:sz w:val="28"/>
          <w:szCs w:val="28"/>
        </w:rPr>
        <w:t xml:space="preserve"> </w:t>
      </w:r>
      <w:r w:rsidR="0032230A">
        <w:rPr>
          <w:sz w:val="28"/>
          <w:szCs w:val="28"/>
        </w:rPr>
        <w:t>a</w:t>
      </w:r>
      <w:r w:rsidR="0095713B" w:rsidRPr="00FC1818">
        <w:rPr>
          <w:sz w:val="28"/>
          <w:szCs w:val="28"/>
        </w:rPr>
        <w:t xml:space="preserve">i gestori dei siti e dei </w:t>
      </w:r>
      <w:r w:rsidR="0095713B" w:rsidRPr="00D554FC">
        <w:rPr>
          <w:i/>
          <w:iCs/>
          <w:sz w:val="28"/>
          <w:szCs w:val="28"/>
        </w:rPr>
        <w:t>social network</w:t>
      </w:r>
      <w:r w:rsidR="0095713B" w:rsidRPr="00FC1818">
        <w:rPr>
          <w:sz w:val="28"/>
          <w:szCs w:val="28"/>
        </w:rPr>
        <w:t xml:space="preserve"> </w:t>
      </w:r>
      <w:r w:rsidR="0032230A">
        <w:rPr>
          <w:sz w:val="28"/>
          <w:szCs w:val="28"/>
        </w:rPr>
        <w:t>di</w:t>
      </w:r>
      <w:r w:rsidR="0095713B" w:rsidRPr="00FC1818">
        <w:rPr>
          <w:sz w:val="28"/>
          <w:szCs w:val="28"/>
        </w:rPr>
        <w:t xml:space="preserve"> intervenire attraverso la rimozione d</w:t>
      </w:r>
      <w:r w:rsidR="0032230A">
        <w:rPr>
          <w:sz w:val="28"/>
          <w:szCs w:val="28"/>
        </w:rPr>
        <w:t>ei</w:t>
      </w:r>
      <w:r w:rsidR="0095713B" w:rsidRPr="00FC1818">
        <w:rPr>
          <w:sz w:val="28"/>
          <w:szCs w:val="28"/>
        </w:rPr>
        <w:t xml:space="preserve"> contenuti illeciti.</w:t>
      </w:r>
      <w:r w:rsidR="00E97126">
        <w:rPr>
          <w:sz w:val="28"/>
          <w:szCs w:val="28"/>
        </w:rPr>
        <w:t xml:space="preserve"> Per quanto riguarda l’ordinamento interno, invece, sono stati mossi soltanto i primi passi</w:t>
      </w:r>
      <w:r w:rsidR="0095713B" w:rsidRPr="00FC1818">
        <w:rPr>
          <w:sz w:val="28"/>
          <w:szCs w:val="28"/>
        </w:rPr>
        <w:t>, tanto sul piano giurisprudenziale, quanto su quello legislativo.</w:t>
      </w:r>
    </w:p>
    <w:p w14:paraId="4567927A" w14:textId="12B1A917" w:rsidR="00D554FC" w:rsidRDefault="00E97126" w:rsidP="00D554FC">
      <w:pPr>
        <w:pStyle w:val="NormaleWeb"/>
        <w:spacing w:before="0" w:beforeAutospacing="0" w:after="0" w:afterAutospacing="0"/>
        <w:jc w:val="both"/>
        <w:rPr>
          <w:sz w:val="28"/>
          <w:szCs w:val="28"/>
        </w:rPr>
      </w:pPr>
      <w:r>
        <w:rPr>
          <w:sz w:val="28"/>
          <w:szCs w:val="28"/>
        </w:rPr>
        <w:t>Per quanto riguarda il primo profilo, è fondamentale l’analisi delle</w:t>
      </w:r>
      <w:r w:rsidR="0095713B" w:rsidRPr="00FC1818">
        <w:rPr>
          <w:sz w:val="28"/>
          <w:szCs w:val="28"/>
        </w:rPr>
        <w:t xml:space="preserve"> due pronunce del Tribunale di Rom</w:t>
      </w:r>
      <w:r w:rsidR="00203DAE">
        <w:rPr>
          <w:sz w:val="28"/>
          <w:szCs w:val="28"/>
        </w:rPr>
        <w:t>a</w:t>
      </w:r>
      <w:r w:rsidR="00203DAE">
        <w:rPr>
          <w:rStyle w:val="Rimandonotaapidipagina"/>
          <w:sz w:val="28"/>
          <w:szCs w:val="28"/>
        </w:rPr>
        <w:footnoteReference w:id="155"/>
      </w:r>
      <w:r w:rsidR="00E01F2B">
        <w:rPr>
          <w:sz w:val="28"/>
          <w:szCs w:val="28"/>
        </w:rPr>
        <w:t xml:space="preserve"> – </w:t>
      </w:r>
      <w:r>
        <w:rPr>
          <w:sz w:val="28"/>
          <w:szCs w:val="28"/>
        </w:rPr>
        <w:t xml:space="preserve">relative </w:t>
      </w:r>
      <w:r w:rsidR="0095713B" w:rsidRPr="00FC1818">
        <w:rPr>
          <w:sz w:val="28"/>
          <w:szCs w:val="28"/>
        </w:rPr>
        <w:t>a</w:t>
      </w:r>
      <w:r>
        <w:rPr>
          <w:sz w:val="28"/>
          <w:szCs w:val="28"/>
        </w:rPr>
        <w:t>d alcune</w:t>
      </w:r>
      <w:r w:rsidR="0095713B" w:rsidRPr="00FC1818">
        <w:rPr>
          <w:sz w:val="28"/>
          <w:szCs w:val="28"/>
        </w:rPr>
        <w:t xml:space="preserve"> controversie che hanno visto rispettivamente </w:t>
      </w:r>
      <w:r>
        <w:rPr>
          <w:sz w:val="28"/>
          <w:szCs w:val="28"/>
        </w:rPr>
        <w:t>protagoniste</w:t>
      </w:r>
      <w:r w:rsidR="0095713B" w:rsidRPr="00FC1818">
        <w:rPr>
          <w:sz w:val="28"/>
          <w:szCs w:val="28"/>
        </w:rPr>
        <w:t xml:space="preserve"> le forz</w:t>
      </w:r>
      <w:r>
        <w:rPr>
          <w:sz w:val="28"/>
          <w:szCs w:val="28"/>
        </w:rPr>
        <w:t>e</w:t>
      </w:r>
      <w:r w:rsidR="0095713B" w:rsidRPr="00FC1818">
        <w:rPr>
          <w:sz w:val="28"/>
          <w:szCs w:val="28"/>
        </w:rPr>
        <w:t xml:space="preserve"> politiche </w:t>
      </w:r>
      <w:r w:rsidR="0095713B" w:rsidRPr="00E97126">
        <w:rPr>
          <w:i/>
          <w:iCs/>
          <w:sz w:val="28"/>
          <w:szCs w:val="28"/>
        </w:rPr>
        <w:t>Forza Nuova</w:t>
      </w:r>
      <w:r w:rsidR="0095713B" w:rsidRPr="00FC1818">
        <w:rPr>
          <w:sz w:val="28"/>
          <w:szCs w:val="28"/>
        </w:rPr>
        <w:t xml:space="preserve"> e </w:t>
      </w:r>
      <w:proofErr w:type="spellStart"/>
      <w:r w:rsidR="0095713B" w:rsidRPr="00E97126">
        <w:rPr>
          <w:i/>
          <w:iCs/>
          <w:sz w:val="28"/>
          <w:szCs w:val="28"/>
        </w:rPr>
        <w:t>Casapound</w:t>
      </w:r>
      <w:proofErr w:type="spellEnd"/>
      <w:r w:rsidR="0095713B" w:rsidRPr="00E97126">
        <w:rPr>
          <w:i/>
          <w:iCs/>
          <w:sz w:val="28"/>
          <w:szCs w:val="28"/>
        </w:rPr>
        <w:t xml:space="preserve"> Italia</w:t>
      </w:r>
      <w:r w:rsidR="0095713B" w:rsidRPr="00FC1818">
        <w:rPr>
          <w:sz w:val="28"/>
          <w:szCs w:val="28"/>
        </w:rPr>
        <w:t xml:space="preserve"> contro </w:t>
      </w:r>
      <w:proofErr w:type="spellStart"/>
      <w:r w:rsidR="0095713B" w:rsidRPr="00FC1818">
        <w:rPr>
          <w:sz w:val="28"/>
          <w:szCs w:val="28"/>
        </w:rPr>
        <w:t>Facebook</w:t>
      </w:r>
      <w:proofErr w:type="spellEnd"/>
      <w:r w:rsidR="00E01F2B">
        <w:rPr>
          <w:sz w:val="28"/>
          <w:szCs w:val="28"/>
        </w:rPr>
        <w:t xml:space="preserve"> – </w:t>
      </w:r>
      <w:r w:rsidR="00E01F2B">
        <w:rPr>
          <w:sz w:val="28"/>
          <w:szCs w:val="28"/>
        </w:rPr>
        <w:lastRenderedPageBreak/>
        <w:t>emesse successivamente alla</w:t>
      </w:r>
      <w:r w:rsidR="0095713B" w:rsidRPr="00FC1818">
        <w:rPr>
          <w:sz w:val="28"/>
          <w:szCs w:val="28"/>
        </w:rPr>
        <w:t xml:space="preserve"> decisione del </w:t>
      </w:r>
      <w:r w:rsidR="00E01F2B">
        <w:rPr>
          <w:sz w:val="28"/>
          <w:szCs w:val="28"/>
        </w:rPr>
        <w:t xml:space="preserve">famoso </w:t>
      </w:r>
      <w:r w:rsidR="0095713B" w:rsidRPr="00F52F9F">
        <w:rPr>
          <w:i/>
          <w:iCs/>
          <w:sz w:val="28"/>
          <w:szCs w:val="28"/>
        </w:rPr>
        <w:t>social network</w:t>
      </w:r>
      <w:r w:rsidR="0095713B" w:rsidRPr="00FC1818">
        <w:rPr>
          <w:sz w:val="28"/>
          <w:szCs w:val="28"/>
        </w:rPr>
        <w:t xml:space="preserve"> di chiudere alcune pagine ad esse collegate</w:t>
      </w:r>
      <w:r w:rsidR="00E01F2B">
        <w:rPr>
          <w:sz w:val="28"/>
          <w:szCs w:val="28"/>
        </w:rPr>
        <w:t>, nonché vari</w:t>
      </w:r>
      <w:r w:rsidR="0095713B" w:rsidRPr="00FC1818">
        <w:rPr>
          <w:sz w:val="28"/>
          <w:szCs w:val="28"/>
        </w:rPr>
        <w:t xml:space="preserve"> </w:t>
      </w:r>
      <w:r w:rsidR="0095713B" w:rsidRPr="00E01F2B">
        <w:rPr>
          <w:i/>
          <w:iCs/>
          <w:sz w:val="28"/>
          <w:szCs w:val="28"/>
        </w:rPr>
        <w:t>account</w:t>
      </w:r>
      <w:r w:rsidR="0095713B" w:rsidRPr="00FC1818">
        <w:rPr>
          <w:sz w:val="28"/>
          <w:szCs w:val="28"/>
        </w:rPr>
        <w:t xml:space="preserve"> personali riconducibili a loro militanti</w:t>
      </w:r>
      <w:r w:rsidR="00E01F2B">
        <w:rPr>
          <w:sz w:val="28"/>
          <w:szCs w:val="28"/>
        </w:rPr>
        <w:t xml:space="preserve"> e </w:t>
      </w:r>
      <w:r w:rsidR="0095713B" w:rsidRPr="00FC1818">
        <w:rPr>
          <w:sz w:val="28"/>
          <w:szCs w:val="28"/>
        </w:rPr>
        <w:t>gestori</w:t>
      </w:r>
      <w:r w:rsidR="00E01F2B">
        <w:rPr>
          <w:sz w:val="28"/>
          <w:szCs w:val="28"/>
        </w:rPr>
        <w:t xml:space="preserve">. Le due vicende hanno avuto </w:t>
      </w:r>
      <w:r w:rsidR="0095713B" w:rsidRPr="00FC1818">
        <w:rPr>
          <w:sz w:val="28"/>
          <w:szCs w:val="28"/>
        </w:rPr>
        <w:t>esito</w:t>
      </w:r>
      <w:r w:rsidR="00E01F2B" w:rsidRPr="00E01F2B">
        <w:rPr>
          <w:sz w:val="28"/>
          <w:szCs w:val="28"/>
        </w:rPr>
        <w:t xml:space="preserve"> </w:t>
      </w:r>
      <w:r w:rsidR="00E01F2B">
        <w:rPr>
          <w:sz w:val="28"/>
          <w:szCs w:val="28"/>
        </w:rPr>
        <w:t xml:space="preserve">diametralmente opposto: </w:t>
      </w:r>
      <w:r w:rsidR="0095713B" w:rsidRPr="00FC1818">
        <w:rPr>
          <w:sz w:val="28"/>
          <w:szCs w:val="28"/>
        </w:rPr>
        <w:t xml:space="preserve">la prima </w:t>
      </w:r>
      <w:r w:rsidR="00E01F2B">
        <w:rPr>
          <w:sz w:val="28"/>
          <w:szCs w:val="28"/>
        </w:rPr>
        <w:t xml:space="preserve">si è </w:t>
      </w:r>
      <w:r w:rsidR="0095713B" w:rsidRPr="00FC1818">
        <w:rPr>
          <w:sz w:val="28"/>
          <w:szCs w:val="28"/>
        </w:rPr>
        <w:t>conclus</w:t>
      </w:r>
      <w:r w:rsidR="00E01F2B">
        <w:rPr>
          <w:sz w:val="28"/>
          <w:szCs w:val="28"/>
        </w:rPr>
        <w:t>a</w:t>
      </w:r>
      <w:r w:rsidR="0095713B" w:rsidRPr="00FC1818">
        <w:rPr>
          <w:sz w:val="28"/>
          <w:szCs w:val="28"/>
        </w:rPr>
        <w:t xml:space="preserve"> con la conferma</w:t>
      </w:r>
      <w:r w:rsidR="00E01F2B">
        <w:rPr>
          <w:sz w:val="28"/>
          <w:szCs w:val="28"/>
        </w:rPr>
        <w:t>,</w:t>
      </w:r>
      <w:r w:rsidR="0095713B" w:rsidRPr="00FC1818">
        <w:rPr>
          <w:sz w:val="28"/>
          <w:szCs w:val="28"/>
        </w:rPr>
        <w:t xml:space="preserve"> da parte del Tribunale</w:t>
      </w:r>
      <w:r w:rsidR="00E01F2B">
        <w:rPr>
          <w:sz w:val="28"/>
          <w:szCs w:val="28"/>
        </w:rPr>
        <w:t xml:space="preserve">, </w:t>
      </w:r>
      <w:r w:rsidR="0095713B" w:rsidRPr="00FC1818">
        <w:rPr>
          <w:sz w:val="28"/>
          <w:szCs w:val="28"/>
        </w:rPr>
        <w:t xml:space="preserve">della legittimità della decisione di </w:t>
      </w:r>
      <w:proofErr w:type="spellStart"/>
      <w:r w:rsidR="0095713B" w:rsidRPr="00FC1818">
        <w:rPr>
          <w:sz w:val="28"/>
          <w:szCs w:val="28"/>
        </w:rPr>
        <w:t>Facebook</w:t>
      </w:r>
      <w:proofErr w:type="spellEnd"/>
      <w:r w:rsidR="00E01F2B">
        <w:rPr>
          <w:sz w:val="28"/>
          <w:szCs w:val="28"/>
        </w:rPr>
        <w:t xml:space="preserve">; </w:t>
      </w:r>
      <w:r w:rsidR="0095713B" w:rsidRPr="00FC1818">
        <w:rPr>
          <w:sz w:val="28"/>
          <w:szCs w:val="28"/>
        </w:rPr>
        <w:t>la seconda</w:t>
      </w:r>
      <w:r w:rsidR="00E01F2B">
        <w:rPr>
          <w:sz w:val="28"/>
          <w:szCs w:val="28"/>
        </w:rPr>
        <w:t>, invece,</w:t>
      </w:r>
      <w:r w:rsidR="0095713B" w:rsidRPr="00FC1818">
        <w:rPr>
          <w:sz w:val="28"/>
          <w:szCs w:val="28"/>
        </w:rPr>
        <w:t xml:space="preserve"> con l’accoglimento delle </w:t>
      </w:r>
      <w:r w:rsidR="00E01F2B">
        <w:rPr>
          <w:sz w:val="28"/>
          <w:szCs w:val="28"/>
        </w:rPr>
        <w:t>domande</w:t>
      </w:r>
      <w:r w:rsidR="0095713B" w:rsidRPr="00FC1818">
        <w:rPr>
          <w:sz w:val="28"/>
          <w:szCs w:val="28"/>
        </w:rPr>
        <w:t xml:space="preserve"> presentate d</w:t>
      </w:r>
      <w:r w:rsidR="00E01F2B">
        <w:rPr>
          <w:sz w:val="28"/>
          <w:szCs w:val="28"/>
        </w:rPr>
        <w:t>a</w:t>
      </w:r>
      <w:r w:rsidR="0095713B" w:rsidRPr="00FC1818">
        <w:rPr>
          <w:sz w:val="28"/>
          <w:szCs w:val="28"/>
        </w:rPr>
        <w:t>i ricorrenti</w:t>
      </w:r>
      <w:r w:rsidR="00E01F2B">
        <w:rPr>
          <w:sz w:val="28"/>
          <w:szCs w:val="28"/>
        </w:rPr>
        <w:t>.</w:t>
      </w:r>
      <w:r w:rsidR="0095713B" w:rsidRPr="00FC1818">
        <w:rPr>
          <w:sz w:val="28"/>
          <w:szCs w:val="28"/>
        </w:rPr>
        <w:t xml:space="preserve"> </w:t>
      </w:r>
      <w:r w:rsidR="00E01F2B">
        <w:rPr>
          <w:sz w:val="28"/>
          <w:szCs w:val="28"/>
        </w:rPr>
        <w:t>Questo duplice</w:t>
      </w:r>
      <w:r w:rsidR="00F52F9F">
        <w:rPr>
          <w:sz w:val="28"/>
          <w:szCs w:val="28"/>
        </w:rPr>
        <w:t xml:space="preserve"> e diverso</w:t>
      </w:r>
      <w:r w:rsidR="00E01F2B">
        <w:rPr>
          <w:sz w:val="28"/>
          <w:szCs w:val="28"/>
        </w:rPr>
        <w:t xml:space="preserve"> esito </w:t>
      </w:r>
      <w:r w:rsidR="00F52F9F">
        <w:rPr>
          <w:sz w:val="28"/>
          <w:szCs w:val="28"/>
        </w:rPr>
        <w:t>ci porta a fare alcune considerazioni.</w:t>
      </w:r>
    </w:p>
    <w:p w14:paraId="10BE3BE5" w14:textId="3918D4CE" w:rsidR="0095713B" w:rsidRDefault="0095713B" w:rsidP="00D554FC">
      <w:pPr>
        <w:pStyle w:val="NormaleWeb"/>
        <w:spacing w:before="0" w:beforeAutospacing="0" w:after="0" w:afterAutospacing="0"/>
        <w:jc w:val="both"/>
        <w:rPr>
          <w:sz w:val="28"/>
          <w:szCs w:val="28"/>
        </w:rPr>
      </w:pPr>
      <w:r w:rsidRPr="00FC1818">
        <w:rPr>
          <w:sz w:val="28"/>
          <w:szCs w:val="28"/>
        </w:rPr>
        <w:t>L</w:t>
      </w:r>
      <w:r w:rsidR="005F6629">
        <w:rPr>
          <w:sz w:val="28"/>
          <w:szCs w:val="28"/>
        </w:rPr>
        <w:t>’importanza e la</w:t>
      </w:r>
      <w:r w:rsidRPr="00FC1818">
        <w:rPr>
          <w:sz w:val="28"/>
          <w:szCs w:val="28"/>
        </w:rPr>
        <w:t xml:space="preserve"> delicatezza del tema </w:t>
      </w:r>
      <w:r w:rsidR="005F6629">
        <w:rPr>
          <w:sz w:val="28"/>
          <w:szCs w:val="28"/>
        </w:rPr>
        <w:t>emergono anche se si esamina l’</w:t>
      </w:r>
      <w:r w:rsidRPr="00FC1818">
        <w:rPr>
          <w:sz w:val="28"/>
          <w:szCs w:val="28"/>
        </w:rPr>
        <w:t xml:space="preserve">interesse </w:t>
      </w:r>
      <w:r w:rsidR="00F52F9F">
        <w:rPr>
          <w:sz w:val="28"/>
          <w:szCs w:val="28"/>
        </w:rPr>
        <w:t>politico</w:t>
      </w:r>
      <w:r w:rsidR="005F6629">
        <w:rPr>
          <w:sz w:val="28"/>
          <w:szCs w:val="28"/>
        </w:rPr>
        <w:t xml:space="preserve"> sull’argomento, interesse che ha portato alla </w:t>
      </w:r>
      <w:r w:rsidRPr="00FC1818">
        <w:rPr>
          <w:sz w:val="28"/>
          <w:szCs w:val="28"/>
        </w:rPr>
        <w:t xml:space="preserve">presentazione di diverse proposte di legge </w:t>
      </w:r>
      <w:r w:rsidR="005F6629">
        <w:rPr>
          <w:sz w:val="28"/>
          <w:szCs w:val="28"/>
        </w:rPr>
        <w:t xml:space="preserve">al riguardo. </w:t>
      </w:r>
      <w:r w:rsidRPr="00FC1818">
        <w:rPr>
          <w:sz w:val="28"/>
          <w:szCs w:val="28"/>
        </w:rPr>
        <w:t xml:space="preserve">Da ultimo, è stato presentato alla Camera il c.d. DDL Boldrini, ispirato anche dalla riforma tedesca, il cui aspetto più rilevante risiede nell’introduzione di diversi meccanismi volti </w:t>
      </w:r>
      <w:r w:rsidR="005F6629">
        <w:rPr>
          <w:sz w:val="28"/>
          <w:szCs w:val="28"/>
        </w:rPr>
        <w:t>sia</w:t>
      </w:r>
      <w:r w:rsidRPr="00FC1818">
        <w:rPr>
          <w:sz w:val="28"/>
          <w:szCs w:val="28"/>
        </w:rPr>
        <w:t xml:space="preserve"> a</w:t>
      </w:r>
      <w:r w:rsidR="005F6629">
        <w:rPr>
          <w:sz w:val="28"/>
          <w:szCs w:val="28"/>
        </w:rPr>
        <w:t>lla</w:t>
      </w:r>
      <w:r w:rsidRPr="00FC1818">
        <w:rPr>
          <w:sz w:val="28"/>
          <w:szCs w:val="28"/>
        </w:rPr>
        <w:t xml:space="preserve"> responsabilizz</w:t>
      </w:r>
      <w:r w:rsidR="005F6629">
        <w:rPr>
          <w:sz w:val="28"/>
          <w:szCs w:val="28"/>
        </w:rPr>
        <w:t>azione</w:t>
      </w:r>
      <w:r w:rsidRPr="00FC1818">
        <w:rPr>
          <w:sz w:val="28"/>
          <w:szCs w:val="28"/>
        </w:rPr>
        <w:t xml:space="preserve"> </w:t>
      </w:r>
      <w:r w:rsidR="005F6629">
        <w:rPr>
          <w:sz w:val="28"/>
          <w:szCs w:val="28"/>
        </w:rPr>
        <w:t>de</w:t>
      </w:r>
      <w:r w:rsidRPr="00FC1818">
        <w:rPr>
          <w:sz w:val="28"/>
          <w:szCs w:val="28"/>
        </w:rPr>
        <w:t>i gestori dei siti internet</w:t>
      </w:r>
      <w:r w:rsidR="005F6629">
        <w:rPr>
          <w:sz w:val="28"/>
          <w:szCs w:val="28"/>
        </w:rPr>
        <w:t xml:space="preserve">, sia a </w:t>
      </w:r>
      <w:r w:rsidRPr="00FC1818">
        <w:rPr>
          <w:sz w:val="28"/>
          <w:szCs w:val="28"/>
        </w:rPr>
        <w:t xml:space="preserve">fornire agli individui </w:t>
      </w:r>
      <w:r w:rsidR="005F6629">
        <w:rPr>
          <w:sz w:val="28"/>
          <w:szCs w:val="28"/>
        </w:rPr>
        <w:t xml:space="preserve">degli </w:t>
      </w:r>
      <w:r w:rsidRPr="00FC1818">
        <w:rPr>
          <w:sz w:val="28"/>
          <w:szCs w:val="28"/>
        </w:rPr>
        <w:t xml:space="preserve">strumenti concreti di difesa, soprattutto </w:t>
      </w:r>
      <w:r w:rsidR="005F6629">
        <w:rPr>
          <w:sz w:val="28"/>
          <w:szCs w:val="28"/>
        </w:rPr>
        <w:t xml:space="preserve">tramite </w:t>
      </w:r>
      <w:r w:rsidRPr="00FC1818">
        <w:rPr>
          <w:sz w:val="28"/>
          <w:szCs w:val="28"/>
        </w:rPr>
        <w:t>l’attribuzione di nuove prerogative</w:t>
      </w:r>
      <w:r w:rsidR="005F6629">
        <w:rPr>
          <w:sz w:val="28"/>
          <w:szCs w:val="28"/>
        </w:rPr>
        <w:t xml:space="preserve"> e poteri</w:t>
      </w:r>
      <w:r w:rsidRPr="00FC1818">
        <w:rPr>
          <w:sz w:val="28"/>
          <w:szCs w:val="28"/>
        </w:rPr>
        <w:t xml:space="preserve"> in capo al Garante per </w:t>
      </w:r>
      <w:r w:rsidR="005F6629">
        <w:rPr>
          <w:sz w:val="28"/>
          <w:szCs w:val="28"/>
        </w:rPr>
        <w:t>la privacy</w:t>
      </w:r>
      <w:r w:rsidR="00FD5D1D">
        <w:rPr>
          <w:sz w:val="28"/>
          <w:szCs w:val="28"/>
        </w:rPr>
        <w:t xml:space="preserve">. E proprio </w:t>
      </w:r>
      <w:r w:rsidRPr="00FC1818">
        <w:rPr>
          <w:sz w:val="28"/>
          <w:szCs w:val="28"/>
        </w:rPr>
        <w:t xml:space="preserve">quest’ultimo </w:t>
      </w:r>
      <w:r w:rsidR="00FD5D1D">
        <w:rPr>
          <w:sz w:val="28"/>
          <w:szCs w:val="28"/>
        </w:rPr>
        <w:t>ha dimostrato di</w:t>
      </w:r>
      <w:r w:rsidRPr="00FC1818">
        <w:rPr>
          <w:sz w:val="28"/>
          <w:szCs w:val="28"/>
        </w:rPr>
        <w:t xml:space="preserve"> </w:t>
      </w:r>
      <w:r w:rsidR="00FD5D1D">
        <w:rPr>
          <w:sz w:val="28"/>
          <w:szCs w:val="28"/>
        </w:rPr>
        <w:t>apprezzare la</w:t>
      </w:r>
      <w:r w:rsidRPr="00FC1818">
        <w:rPr>
          <w:sz w:val="28"/>
          <w:szCs w:val="28"/>
        </w:rPr>
        <w:t xml:space="preserve"> proposta</w:t>
      </w:r>
      <w:r w:rsidR="00FD5D1D">
        <w:rPr>
          <w:sz w:val="28"/>
          <w:szCs w:val="28"/>
        </w:rPr>
        <w:t>, e ciò</w:t>
      </w:r>
      <w:r w:rsidRPr="00FC1818">
        <w:rPr>
          <w:sz w:val="28"/>
          <w:szCs w:val="28"/>
        </w:rPr>
        <w:t xml:space="preserve">, </w:t>
      </w:r>
      <w:r w:rsidR="00FD5D1D">
        <w:rPr>
          <w:sz w:val="28"/>
          <w:szCs w:val="28"/>
        </w:rPr>
        <w:t>congiuntamente</w:t>
      </w:r>
      <w:r w:rsidRPr="00FC1818">
        <w:rPr>
          <w:sz w:val="28"/>
          <w:szCs w:val="28"/>
        </w:rPr>
        <w:t xml:space="preserve"> all’impegno e alle azioni intraprese dall’AGCOM sul tema, dimostr</w:t>
      </w:r>
      <w:r w:rsidR="00FD5D1D">
        <w:rPr>
          <w:sz w:val="28"/>
          <w:szCs w:val="28"/>
        </w:rPr>
        <w:t>a</w:t>
      </w:r>
      <w:r w:rsidRPr="00FC1818">
        <w:rPr>
          <w:sz w:val="28"/>
          <w:szCs w:val="28"/>
        </w:rPr>
        <w:t xml:space="preserve"> l’importanza del ruolo svolto dalle Autorità garanti.</w:t>
      </w:r>
    </w:p>
    <w:p w14:paraId="08A8B868" w14:textId="77777777" w:rsidR="00F52F9F" w:rsidRPr="00FC1818" w:rsidRDefault="00F52F9F" w:rsidP="00D554FC">
      <w:pPr>
        <w:pStyle w:val="NormaleWeb"/>
        <w:spacing w:before="0" w:beforeAutospacing="0" w:after="0" w:afterAutospacing="0"/>
        <w:jc w:val="both"/>
        <w:rPr>
          <w:sz w:val="28"/>
          <w:szCs w:val="28"/>
        </w:rPr>
      </w:pPr>
    </w:p>
    <w:p w14:paraId="4E01D5F0" w14:textId="77777777" w:rsidR="00F52F9F" w:rsidRDefault="00FD5D1D" w:rsidP="00852797">
      <w:pPr>
        <w:pStyle w:val="NormaleWeb"/>
        <w:spacing w:before="0" w:beforeAutospacing="0" w:after="0" w:afterAutospacing="0"/>
        <w:jc w:val="both"/>
        <w:rPr>
          <w:sz w:val="28"/>
          <w:szCs w:val="28"/>
        </w:rPr>
      </w:pPr>
      <w:r>
        <w:rPr>
          <w:sz w:val="28"/>
          <w:szCs w:val="28"/>
        </w:rPr>
        <w:t>I</w:t>
      </w:r>
      <w:r w:rsidR="0095713B" w:rsidRPr="0095713B">
        <w:rPr>
          <w:sz w:val="28"/>
          <w:szCs w:val="28"/>
        </w:rPr>
        <w:t>l nostro ordinamento</w:t>
      </w:r>
      <w:r>
        <w:rPr>
          <w:sz w:val="28"/>
          <w:szCs w:val="28"/>
        </w:rPr>
        <w:t>,</w:t>
      </w:r>
      <w:r w:rsidR="0095713B" w:rsidRPr="0095713B">
        <w:rPr>
          <w:sz w:val="28"/>
          <w:szCs w:val="28"/>
        </w:rPr>
        <w:t xml:space="preserve"> </w:t>
      </w:r>
      <w:r>
        <w:rPr>
          <w:sz w:val="28"/>
          <w:szCs w:val="28"/>
        </w:rPr>
        <w:t>a</w:t>
      </w:r>
      <w:r w:rsidRPr="0095713B">
        <w:rPr>
          <w:sz w:val="28"/>
          <w:szCs w:val="28"/>
        </w:rPr>
        <w:t xml:space="preserve"> differenza di altri</w:t>
      </w:r>
      <w:r>
        <w:rPr>
          <w:sz w:val="28"/>
          <w:szCs w:val="28"/>
        </w:rPr>
        <w:t>,</w:t>
      </w:r>
      <w:r w:rsidRPr="0095713B">
        <w:rPr>
          <w:sz w:val="28"/>
          <w:szCs w:val="28"/>
        </w:rPr>
        <w:t xml:space="preserve"> </w:t>
      </w:r>
      <w:r w:rsidR="0095713B" w:rsidRPr="0095713B">
        <w:rPr>
          <w:sz w:val="28"/>
          <w:szCs w:val="28"/>
        </w:rPr>
        <w:t xml:space="preserve">non ha una normativa </w:t>
      </w:r>
      <w:r>
        <w:rPr>
          <w:sz w:val="28"/>
          <w:szCs w:val="28"/>
        </w:rPr>
        <w:t>completa</w:t>
      </w:r>
      <w:r w:rsidR="0095713B" w:rsidRPr="0095713B">
        <w:rPr>
          <w:sz w:val="28"/>
          <w:szCs w:val="28"/>
        </w:rPr>
        <w:t xml:space="preserve"> e specifica</w:t>
      </w:r>
      <w:r>
        <w:rPr>
          <w:sz w:val="28"/>
          <w:szCs w:val="28"/>
        </w:rPr>
        <w:t xml:space="preserve"> finalizzata a</w:t>
      </w:r>
      <w:r w:rsidR="0095713B" w:rsidRPr="0095713B">
        <w:rPr>
          <w:sz w:val="28"/>
          <w:szCs w:val="28"/>
        </w:rPr>
        <w:t xml:space="preserve"> disciplinare il fenomeno </w:t>
      </w:r>
      <w:r w:rsidR="0095713B" w:rsidRPr="00F52F9F">
        <w:rPr>
          <w:sz w:val="28"/>
          <w:szCs w:val="28"/>
        </w:rPr>
        <w:t xml:space="preserve">del </w:t>
      </w:r>
      <w:r w:rsidRPr="00F52F9F">
        <w:rPr>
          <w:sz w:val="28"/>
          <w:szCs w:val="28"/>
        </w:rPr>
        <w:t>c.d.</w:t>
      </w:r>
      <w:r w:rsidR="0095713B" w:rsidRPr="00F52F9F">
        <w:rPr>
          <w:sz w:val="28"/>
          <w:szCs w:val="28"/>
        </w:rPr>
        <w:t xml:space="preserve"> “</w:t>
      </w:r>
      <w:proofErr w:type="spellStart"/>
      <w:r w:rsidR="0095713B" w:rsidRPr="00F52F9F">
        <w:rPr>
          <w:i/>
          <w:iCs/>
          <w:sz w:val="28"/>
          <w:szCs w:val="28"/>
        </w:rPr>
        <w:t>hate</w:t>
      </w:r>
      <w:proofErr w:type="spellEnd"/>
      <w:r w:rsidR="0095713B" w:rsidRPr="00F52F9F">
        <w:rPr>
          <w:i/>
          <w:iCs/>
          <w:sz w:val="28"/>
          <w:szCs w:val="28"/>
        </w:rPr>
        <w:t xml:space="preserve"> </w:t>
      </w:r>
      <w:proofErr w:type="spellStart"/>
      <w:r w:rsidR="0095713B" w:rsidRPr="00F52F9F">
        <w:rPr>
          <w:i/>
          <w:iCs/>
          <w:sz w:val="28"/>
          <w:szCs w:val="28"/>
        </w:rPr>
        <w:t>speech</w:t>
      </w:r>
      <w:proofErr w:type="spellEnd"/>
      <w:r w:rsidR="0095713B" w:rsidRPr="00F52F9F">
        <w:rPr>
          <w:sz w:val="28"/>
          <w:szCs w:val="28"/>
        </w:rPr>
        <w:t>”.</w:t>
      </w:r>
      <w:r w:rsidR="00D554FC" w:rsidRPr="00F52F9F">
        <w:rPr>
          <w:sz w:val="28"/>
          <w:szCs w:val="28"/>
        </w:rPr>
        <w:t xml:space="preserve"> </w:t>
      </w:r>
    </w:p>
    <w:p w14:paraId="0231885B" w14:textId="77777777" w:rsidR="00931F9E" w:rsidRDefault="0095713B" w:rsidP="00852797">
      <w:pPr>
        <w:pStyle w:val="NormaleWeb"/>
        <w:spacing w:before="0" w:beforeAutospacing="0" w:after="0" w:afterAutospacing="0"/>
        <w:jc w:val="both"/>
        <w:rPr>
          <w:sz w:val="28"/>
          <w:szCs w:val="28"/>
        </w:rPr>
      </w:pPr>
      <w:r w:rsidRPr="00F52F9F">
        <w:rPr>
          <w:sz w:val="28"/>
          <w:szCs w:val="28"/>
        </w:rPr>
        <w:t>Secondo</w:t>
      </w:r>
      <w:r w:rsidRPr="0095713B">
        <w:rPr>
          <w:sz w:val="28"/>
          <w:szCs w:val="28"/>
        </w:rPr>
        <w:t xml:space="preserve"> </w:t>
      </w:r>
      <w:r w:rsidR="00FD5D1D">
        <w:rPr>
          <w:sz w:val="28"/>
          <w:szCs w:val="28"/>
        </w:rPr>
        <w:t>la</w:t>
      </w:r>
      <w:r w:rsidRPr="0095713B">
        <w:rPr>
          <w:sz w:val="28"/>
          <w:szCs w:val="28"/>
        </w:rPr>
        <w:t xml:space="preserve"> definizione </w:t>
      </w:r>
      <w:r w:rsidR="00FD5D1D">
        <w:rPr>
          <w:sz w:val="28"/>
          <w:szCs w:val="28"/>
        </w:rPr>
        <w:t>proposta</w:t>
      </w:r>
      <w:r w:rsidRPr="0095713B">
        <w:rPr>
          <w:sz w:val="28"/>
          <w:szCs w:val="28"/>
        </w:rPr>
        <w:t xml:space="preserve"> dall’OCSE</w:t>
      </w:r>
      <w:r w:rsidR="00FD5D1D" w:rsidRPr="00FD5D1D">
        <w:rPr>
          <w:sz w:val="28"/>
          <w:szCs w:val="28"/>
        </w:rPr>
        <w:t xml:space="preserve"> </w:t>
      </w:r>
      <w:r w:rsidR="00FD5D1D" w:rsidRPr="0095713B">
        <w:rPr>
          <w:sz w:val="28"/>
          <w:szCs w:val="28"/>
        </w:rPr>
        <w:t>nel 2003</w:t>
      </w:r>
      <w:r w:rsidRPr="0095713B">
        <w:rPr>
          <w:sz w:val="28"/>
          <w:szCs w:val="28"/>
        </w:rPr>
        <w:t xml:space="preserve">, con questo termine </w:t>
      </w:r>
      <w:r w:rsidR="00FD5D1D">
        <w:rPr>
          <w:sz w:val="28"/>
          <w:szCs w:val="28"/>
        </w:rPr>
        <w:t xml:space="preserve">si vogliono intendere le </w:t>
      </w:r>
      <w:r w:rsidRPr="0095713B">
        <w:rPr>
          <w:sz w:val="28"/>
          <w:szCs w:val="28"/>
        </w:rPr>
        <w:t>“</w:t>
      </w:r>
      <w:r w:rsidRPr="00FD5D1D">
        <w:rPr>
          <w:i/>
          <w:iCs/>
          <w:sz w:val="28"/>
          <w:szCs w:val="28"/>
        </w:rPr>
        <w:t>manifestazioni di pensiero che esprimono disprezzo nei confronti di individui appartenenti a determinate categorie o nei confronti di determinate categorie di persone</w:t>
      </w:r>
      <w:r w:rsidRPr="0095713B">
        <w:rPr>
          <w:sz w:val="28"/>
          <w:szCs w:val="28"/>
        </w:rPr>
        <w:t>”</w:t>
      </w:r>
      <w:r w:rsidR="00FD5D1D">
        <w:rPr>
          <w:sz w:val="28"/>
          <w:szCs w:val="28"/>
        </w:rPr>
        <w:t>;</w:t>
      </w:r>
      <w:r w:rsidR="00E24249">
        <w:rPr>
          <w:sz w:val="28"/>
          <w:szCs w:val="28"/>
        </w:rPr>
        <w:t xml:space="preserve"> </w:t>
      </w:r>
      <w:r w:rsidR="00043B64">
        <w:rPr>
          <w:sz w:val="28"/>
          <w:szCs w:val="28"/>
        </w:rPr>
        <w:t xml:space="preserve">manifestazioni di pensiero </w:t>
      </w:r>
      <w:r w:rsidR="00E24249">
        <w:rPr>
          <w:sz w:val="28"/>
          <w:szCs w:val="28"/>
        </w:rPr>
        <w:t xml:space="preserve">da tenere </w:t>
      </w:r>
      <w:r w:rsidR="00043B64">
        <w:rPr>
          <w:sz w:val="28"/>
          <w:szCs w:val="28"/>
        </w:rPr>
        <w:t xml:space="preserve">comunque </w:t>
      </w:r>
      <w:r w:rsidR="00E24249">
        <w:rPr>
          <w:sz w:val="28"/>
          <w:szCs w:val="28"/>
        </w:rPr>
        <w:t>distinte dalla</w:t>
      </w:r>
      <w:r w:rsidRPr="0095713B">
        <w:rPr>
          <w:sz w:val="28"/>
          <w:szCs w:val="28"/>
        </w:rPr>
        <w:t xml:space="preserve"> più </w:t>
      </w:r>
      <w:r w:rsidR="00E24249">
        <w:rPr>
          <w:sz w:val="28"/>
          <w:szCs w:val="28"/>
        </w:rPr>
        <w:t xml:space="preserve">grande e </w:t>
      </w:r>
      <w:r w:rsidRPr="0095713B">
        <w:rPr>
          <w:sz w:val="28"/>
          <w:szCs w:val="28"/>
        </w:rPr>
        <w:t xml:space="preserve">generale categoria </w:t>
      </w:r>
      <w:r w:rsidRPr="00D554FC">
        <w:rPr>
          <w:sz w:val="28"/>
          <w:szCs w:val="28"/>
        </w:rPr>
        <w:t>degli “</w:t>
      </w:r>
      <w:proofErr w:type="spellStart"/>
      <w:r w:rsidRPr="00D554FC">
        <w:rPr>
          <w:i/>
          <w:iCs/>
          <w:sz w:val="28"/>
          <w:szCs w:val="28"/>
        </w:rPr>
        <w:t>hate</w:t>
      </w:r>
      <w:proofErr w:type="spellEnd"/>
      <w:r w:rsidRPr="00D554FC">
        <w:rPr>
          <w:i/>
          <w:iCs/>
          <w:sz w:val="28"/>
          <w:szCs w:val="28"/>
        </w:rPr>
        <w:t xml:space="preserve"> </w:t>
      </w:r>
      <w:proofErr w:type="spellStart"/>
      <w:r w:rsidRPr="00D554FC">
        <w:rPr>
          <w:i/>
          <w:iCs/>
          <w:sz w:val="28"/>
          <w:szCs w:val="28"/>
        </w:rPr>
        <w:t>crimes</w:t>
      </w:r>
      <w:proofErr w:type="spellEnd"/>
      <w:r w:rsidRPr="0095713B">
        <w:rPr>
          <w:sz w:val="28"/>
          <w:szCs w:val="28"/>
        </w:rPr>
        <w:t xml:space="preserve">” </w:t>
      </w:r>
      <w:r w:rsidR="00E24249">
        <w:rPr>
          <w:sz w:val="28"/>
          <w:szCs w:val="28"/>
        </w:rPr>
        <w:t xml:space="preserve">(i </w:t>
      </w:r>
      <w:r w:rsidRPr="0095713B">
        <w:rPr>
          <w:sz w:val="28"/>
          <w:szCs w:val="28"/>
        </w:rPr>
        <w:t>“</w:t>
      </w:r>
      <w:r w:rsidRPr="00E24249">
        <w:rPr>
          <w:i/>
          <w:iCs/>
          <w:sz w:val="28"/>
          <w:szCs w:val="28"/>
        </w:rPr>
        <w:t>crimini d’odio</w:t>
      </w:r>
      <w:r w:rsidRPr="0095713B">
        <w:rPr>
          <w:sz w:val="28"/>
          <w:szCs w:val="28"/>
        </w:rPr>
        <w:t xml:space="preserve">”), </w:t>
      </w:r>
      <w:r w:rsidR="00E24249">
        <w:rPr>
          <w:sz w:val="28"/>
          <w:szCs w:val="28"/>
        </w:rPr>
        <w:t>i quali</w:t>
      </w:r>
      <w:r w:rsidRPr="0095713B">
        <w:rPr>
          <w:sz w:val="28"/>
          <w:szCs w:val="28"/>
        </w:rPr>
        <w:t xml:space="preserve"> </w:t>
      </w:r>
      <w:r w:rsidR="00E24249">
        <w:rPr>
          <w:sz w:val="28"/>
          <w:szCs w:val="28"/>
        </w:rPr>
        <w:t>ricomprendono</w:t>
      </w:r>
      <w:r w:rsidRPr="0095713B">
        <w:rPr>
          <w:sz w:val="28"/>
          <w:szCs w:val="28"/>
        </w:rPr>
        <w:t xml:space="preserve"> tutti i reati </w:t>
      </w:r>
      <w:r w:rsidR="00E24249">
        <w:rPr>
          <w:sz w:val="28"/>
          <w:szCs w:val="28"/>
        </w:rPr>
        <w:t>che condividono la</w:t>
      </w:r>
      <w:r w:rsidRPr="0095713B">
        <w:rPr>
          <w:sz w:val="28"/>
          <w:szCs w:val="28"/>
        </w:rPr>
        <w:t xml:space="preserve"> matrice del pregiudizio</w:t>
      </w:r>
      <w:r w:rsidR="00931F9E">
        <w:rPr>
          <w:rStyle w:val="Rimandonotaapidipagina"/>
          <w:sz w:val="28"/>
          <w:szCs w:val="28"/>
        </w:rPr>
        <w:footnoteReference w:id="156"/>
      </w:r>
      <w:r w:rsidRPr="0095713B">
        <w:rPr>
          <w:sz w:val="28"/>
          <w:szCs w:val="28"/>
        </w:rPr>
        <w:t xml:space="preserve">. </w:t>
      </w:r>
    </w:p>
    <w:p w14:paraId="5DD13ABF" w14:textId="5CB40BB2" w:rsidR="00F52F9F" w:rsidRPr="0095713B" w:rsidRDefault="00E24249" w:rsidP="00852797">
      <w:pPr>
        <w:pStyle w:val="NormaleWeb"/>
        <w:spacing w:before="0" w:beforeAutospacing="0" w:after="0" w:afterAutospacing="0"/>
        <w:jc w:val="both"/>
        <w:rPr>
          <w:sz w:val="28"/>
          <w:szCs w:val="28"/>
        </w:rPr>
      </w:pPr>
      <w:r>
        <w:rPr>
          <w:sz w:val="28"/>
          <w:szCs w:val="28"/>
        </w:rPr>
        <w:t>Comunque, bisogna tenere a mente che</w:t>
      </w:r>
      <w:r w:rsidR="00370FF4">
        <w:rPr>
          <w:sz w:val="28"/>
          <w:szCs w:val="28"/>
        </w:rPr>
        <w:t>,</w:t>
      </w:r>
      <w:r>
        <w:rPr>
          <w:sz w:val="28"/>
          <w:szCs w:val="28"/>
        </w:rPr>
        <w:t xml:space="preserve"> tuttora</w:t>
      </w:r>
      <w:r w:rsidR="00370FF4">
        <w:rPr>
          <w:sz w:val="28"/>
          <w:szCs w:val="28"/>
        </w:rPr>
        <w:t>,</w:t>
      </w:r>
      <w:r>
        <w:rPr>
          <w:sz w:val="28"/>
          <w:szCs w:val="28"/>
        </w:rPr>
        <w:t xml:space="preserve"> </w:t>
      </w:r>
      <w:r w:rsidR="0095713B" w:rsidRPr="0095713B">
        <w:rPr>
          <w:sz w:val="28"/>
          <w:szCs w:val="28"/>
        </w:rPr>
        <w:t>manca un</w:t>
      </w:r>
      <w:r w:rsidR="00F52F9F">
        <w:rPr>
          <w:sz w:val="28"/>
          <w:szCs w:val="28"/>
        </w:rPr>
        <w:t xml:space="preserve">’unica </w:t>
      </w:r>
      <w:r w:rsidR="0095713B" w:rsidRPr="0095713B">
        <w:rPr>
          <w:sz w:val="28"/>
          <w:szCs w:val="28"/>
        </w:rPr>
        <w:t>definizione.</w:t>
      </w:r>
    </w:p>
    <w:p w14:paraId="1BD4748D" w14:textId="77777777" w:rsidR="00F52F9F" w:rsidRDefault="00125826" w:rsidP="00852797">
      <w:pPr>
        <w:pStyle w:val="NormaleWeb"/>
        <w:spacing w:before="0" w:beforeAutospacing="0" w:after="0" w:afterAutospacing="0"/>
        <w:jc w:val="both"/>
        <w:rPr>
          <w:sz w:val="28"/>
          <w:szCs w:val="28"/>
        </w:rPr>
      </w:pPr>
      <w:r>
        <w:rPr>
          <w:sz w:val="28"/>
          <w:szCs w:val="28"/>
        </w:rPr>
        <w:t>Il tema è diventato centrale</w:t>
      </w:r>
      <w:r w:rsidR="0095713B" w:rsidRPr="0095713B">
        <w:rPr>
          <w:sz w:val="28"/>
          <w:szCs w:val="28"/>
        </w:rPr>
        <w:t xml:space="preserve"> </w:t>
      </w:r>
      <w:r w:rsidR="00043B64">
        <w:rPr>
          <w:sz w:val="28"/>
          <w:szCs w:val="28"/>
        </w:rPr>
        <w:t>a causa</w:t>
      </w:r>
      <w:r w:rsidR="0095713B" w:rsidRPr="0095713B">
        <w:rPr>
          <w:sz w:val="28"/>
          <w:szCs w:val="28"/>
        </w:rPr>
        <w:t xml:space="preserve"> all’avvento della rete e delle comunicazioni </w:t>
      </w:r>
      <w:r w:rsidR="00043B64">
        <w:rPr>
          <w:sz w:val="28"/>
          <w:szCs w:val="28"/>
        </w:rPr>
        <w:t>tecnologiche</w:t>
      </w:r>
      <w:r w:rsidR="0095713B" w:rsidRPr="0095713B">
        <w:rPr>
          <w:sz w:val="28"/>
          <w:szCs w:val="28"/>
        </w:rPr>
        <w:t>, ed in particolare a seguito della diffusione de</w:t>
      </w:r>
      <w:r w:rsidR="00043B64">
        <w:rPr>
          <w:sz w:val="28"/>
          <w:szCs w:val="28"/>
        </w:rPr>
        <w:t>ll’utilizzo</w:t>
      </w:r>
      <w:r w:rsidR="0095713B" w:rsidRPr="0095713B">
        <w:rPr>
          <w:sz w:val="28"/>
          <w:szCs w:val="28"/>
        </w:rPr>
        <w:t xml:space="preserve"> </w:t>
      </w:r>
      <w:r w:rsidR="00043B64">
        <w:rPr>
          <w:sz w:val="28"/>
          <w:szCs w:val="28"/>
        </w:rPr>
        <w:t xml:space="preserve">dei vari </w:t>
      </w:r>
      <w:r w:rsidR="0095713B" w:rsidRPr="00043B64">
        <w:rPr>
          <w:i/>
          <w:iCs/>
          <w:sz w:val="28"/>
          <w:szCs w:val="28"/>
        </w:rPr>
        <w:t>social network</w:t>
      </w:r>
      <w:r w:rsidR="0095713B" w:rsidRPr="0095713B">
        <w:rPr>
          <w:sz w:val="28"/>
          <w:szCs w:val="28"/>
        </w:rPr>
        <w:t xml:space="preserve">, </w:t>
      </w:r>
      <w:r w:rsidR="00043B64">
        <w:rPr>
          <w:sz w:val="28"/>
          <w:szCs w:val="28"/>
        </w:rPr>
        <w:t xml:space="preserve">i quali ormai veicolano ininterrottamente </w:t>
      </w:r>
      <w:r w:rsidR="0095713B" w:rsidRPr="0095713B">
        <w:rPr>
          <w:sz w:val="28"/>
          <w:szCs w:val="28"/>
        </w:rPr>
        <w:t>messaggi, video</w:t>
      </w:r>
      <w:r w:rsidR="00043B64">
        <w:rPr>
          <w:sz w:val="28"/>
          <w:szCs w:val="28"/>
        </w:rPr>
        <w:t>, audio</w:t>
      </w:r>
      <w:r w:rsidR="0095713B" w:rsidRPr="0095713B">
        <w:rPr>
          <w:sz w:val="28"/>
          <w:szCs w:val="28"/>
        </w:rPr>
        <w:t xml:space="preserve"> e immagini fra una moltitudine di persone, con tempi brevissimi e senza confini geografici</w:t>
      </w:r>
      <w:r w:rsidR="00043B64">
        <w:rPr>
          <w:sz w:val="28"/>
          <w:szCs w:val="28"/>
        </w:rPr>
        <w:t>.</w:t>
      </w:r>
      <w:r w:rsidR="00F86AD2">
        <w:rPr>
          <w:sz w:val="28"/>
          <w:szCs w:val="28"/>
        </w:rPr>
        <w:t xml:space="preserve"> </w:t>
      </w:r>
    </w:p>
    <w:p w14:paraId="141A3022" w14:textId="77777777" w:rsidR="00EB75E5" w:rsidRDefault="00043B64" w:rsidP="00852797">
      <w:pPr>
        <w:pStyle w:val="NormaleWeb"/>
        <w:spacing w:before="0" w:beforeAutospacing="0" w:after="0" w:afterAutospacing="0"/>
        <w:jc w:val="both"/>
        <w:rPr>
          <w:sz w:val="28"/>
          <w:szCs w:val="28"/>
        </w:rPr>
      </w:pPr>
      <w:r>
        <w:rPr>
          <w:sz w:val="28"/>
          <w:szCs w:val="28"/>
        </w:rPr>
        <w:lastRenderedPageBreak/>
        <w:t>Si è fatta strada</w:t>
      </w:r>
      <w:r w:rsidR="00F86AD2">
        <w:rPr>
          <w:sz w:val="28"/>
          <w:szCs w:val="28"/>
        </w:rPr>
        <w:t>,</w:t>
      </w:r>
      <w:r w:rsidR="0095713B" w:rsidRPr="0095713B">
        <w:rPr>
          <w:sz w:val="28"/>
          <w:szCs w:val="28"/>
        </w:rPr>
        <w:t xml:space="preserve"> così</w:t>
      </w:r>
      <w:r w:rsidR="00F86AD2">
        <w:rPr>
          <w:sz w:val="28"/>
          <w:szCs w:val="28"/>
        </w:rPr>
        <w:t>,</w:t>
      </w:r>
      <w:r w:rsidR="0095713B" w:rsidRPr="0095713B">
        <w:rPr>
          <w:sz w:val="28"/>
          <w:szCs w:val="28"/>
        </w:rPr>
        <w:t xml:space="preserve"> la necessità di garantire maggiori tutele a favore degli utenti</w:t>
      </w:r>
      <w:r>
        <w:rPr>
          <w:sz w:val="28"/>
          <w:szCs w:val="28"/>
        </w:rPr>
        <w:t xml:space="preserve"> di internet</w:t>
      </w:r>
      <w:r w:rsidR="0095713B" w:rsidRPr="0095713B">
        <w:rPr>
          <w:sz w:val="28"/>
          <w:szCs w:val="28"/>
        </w:rPr>
        <w:t>, l</w:t>
      </w:r>
      <w:r>
        <w:rPr>
          <w:sz w:val="28"/>
          <w:szCs w:val="28"/>
        </w:rPr>
        <w:t>a</w:t>
      </w:r>
      <w:r w:rsidR="0095713B" w:rsidRPr="0095713B">
        <w:rPr>
          <w:sz w:val="28"/>
          <w:szCs w:val="28"/>
        </w:rPr>
        <w:t xml:space="preserve"> cui dignità</w:t>
      </w:r>
      <w:r>
        <w:rPr>
          <w:sz w:val="28"/>
          <w:szCs w:val="28"/>
        </w:rPr>
        <w:t xml:space="preserve">, nonché </w:t>
      </w:r>
      <w:r w:rsidR="0095713B" w:rsidRPr="0095713B">
        <w:rPr>
          <w:sz w:val="28"/>
          <w:szCs w:val="28"/>
        </w:rPr>
        <w:t>libertà personal</w:t>
      </w:r>
      <w:r>
        <w:rPr>
          <w:sz w:val="28"/>
          <w:szCs w:val="28"/>
        </w:rPr>
        <w:t>e,</w:t>
      </w:r>
      <w:r w:rsidR="0095713B" w:rsidRPr="0095713B">
        <w:rPr>
          <w:sz w:val="28"/>
          <w:szCs w:val="28"/>
        </w:rPr>
        <w:t xml:space="preserve"> sono messe in </w:t>
      </w:r>
      <w:r w:rsidR="00125826">
        <w:rPr>
          <w:sz w:val="28"/>
          <w:szCs w:val="28"/>
        </w:rPr>
        <w:t xml:space="preserve">serio </w:t>
      </w:r>
      <w:r w:rsidR="0095713B" w:rsidRPr="0095713B">
        <w:rPr>
          <w:sz w:val="28"/>
          <w:szCs w:val="28"/>
        </w:rPr>
        <w:t xml:space="preserve">pericolo dal </w:t>
      </w:r>
      <w:r w:rsidR="00125826">
        <w:rPr>
          <w:sz w:val="28"/>
          <w:szCs w:val="28"/>
        </w:rPr>
        <w:t xml:space="preserve">continuo </w:t>
      </w:r>
      <w:r>
        <w:rPr>
          <w:sz w:val="28"/>
          <w:szCs w:val="28"/>
        </w:rPr>
        <w:t>verificarsi</w:t>
      </w:r>
      <w:r w:rsidR="0095713B" w:rsidRPr="0095713B">
        <w:rPr>
          <w:sz w:val="28"/>
          <w:szCs w:val="28"/>
        </w:rPr>
        <w:t xml:space="preserve"> di condotte illecite</w:t>
      </w:r>
      <w:r w:rsidR="00F86AD2">
        <w:rPr>
          <w:sz w:val="28"/>
          <w:szCs w:val="28"/>
        </w:rPr>
        <w:t xml:space="preserve"> </w:t>
      </w:r>
      <w:r w:rsidR="00F86AD2" w:rsidRPr="00F86AD2">
        <w:rPr>
          <w:i/>
          <w:iCs/>
          <w:sz w:val="28"/>
          <w:szCs w:val="28"/>
        </w:rPr>
        <w:t>online</w:t>
      </w:r>
      <w:r w:rsidR="00F86AD2">
        <w:rPr>
          <w:sz w:val="28"/>
          <w:szCs w:val="28"/>
        </w:rPr>
        <w:t>.</w:t>
      </w:r>
    </w:p>
    <w:p w14:paraId="0898D99E" w14:textId="5E76E99D" w:rsidR="0095713B" w:rsidRPr="0095713B" w:rsidRDefault="00F86AD2" w:rsidP="00852797">
      <w:pPr>
        <w:pStyle w:val="NormaleWeb"/>
        <w:spacing w:before="0" w:beforeAutospacing="0" w:after="0" w:afterAutospacing="0"/>
        <w:jc w:val="both"/>
        <w:rPr>
          <w:sz w:val="28"/>
          <w:szCs w:val="28"/>
        </w:rPr>
      </w:pPr>
      <w:r>
        <w:rPr>
          <w:sz w:val="28"/>
          <w:szCs w:val="28"/>
        </w:rPr>
        <w:t>Il tema è, inevitabilmente, molto complesso</w:t>
      </w:r>
      <w:r w:rsidR="00447388">
        <w:rPr>
          <w:sz w:val="28"/>
          <w:szCs w:val="28"/>
        </w:rPr>
        <w:t>.</w:t>
      </w:r>
      <w:r w:rsidR="00EB75E5">
        <w:rPr>
          <w:sz w:val="28"/>
          <w:szCs w:val="28"/>
        </w:rPr>
        <w:t xml:space="preserve"> </w:t>
      </w:r>
      <w:r w:rsidR="00447388">
        <w:rPr>
          <w:sz w:val="28"/>
          <w:szCs w:val="28"/>
        </w:rPr>
        <w:t>A</w:t>
      </w:r>
      <w:r>
        <w:rPr>
          <w:sz w:val="28"/>
          <w:szCs w:val="28"/>
        </w:rPr>
        <w:t>nzitutto</w:t>
      </w:r>
      <w:r w:rsidR="00062D0E">
        <w:rPr>
          <w:sz w:val="28"/>
          <w:szCs w:val="28"/>
        </w:rPr>
        <w:t>,</w:t>
      </w:r>
      <w:r>
        <w:rPr>
          <w:sz w:val="28"/>
          <w:szCs w:val="28"/>
        </w:rPr>
        <w:t xml:space="preserve"> per la</w:t>
      </w:r>
      <w:r w:rsidR="0095713B" w:rsidRPr="0095713B">
        <w:rPr>
          <w:sz w:val="28"/>
          <w:szCs w:val="28"/>
        </w:rPr>
        <w:t xml:space="preserve"> necessità di contemperare </w:t>
      </w:r>
      <w:r>
        <w:rPr>
          <w:sz w:val="28"/>
          <w:szCs w:val="28"/>
        </w:rPr>
        <w:t>ogni</w:t>
      </w:r>
      <w:r w:rsidR="0095713B" w:rsidRPr="0095713B">
        <w:rPr>
          <w:sz w:val="28"/>
          <w:szCs w:val="28"/>
        </w:rPr>
        <w:t xml:space="preserve"> esigenza di tutela </w:t>
      </w:r>
      <w:r>
        <w:rPr>
          <w:sz w:val="28"/>
          <w:szCs w:val="28"/>
        </w:rPr>
        <w:t xml:space="preserve">degli utenti </w:t>
      </w:r>
      <w:r w:rsidRPr="00F86AD2">
        <w:rPr>
          <w:i/>
          <w:iCs/>
          <w:sz w:val="28"/>
          <w:szCs w:val="28"/>
        </w:rPr>
        <w:t>online</w:t>
      </w:r>
      <w:r>
        <w:rPr>
          <w:sz w:val="28"/>
          <w:szCs w:val="28"/>
        </w:rPr>
        <w:t xml:space="preserve"> </w:t>
      </w:r>
      <w:r w:rsidR="0095713B" w:rsidRPr="0095713B">
        <w:rPr>
          <w:sz w:val="28"/>
          <w:szCs w:val="28"/>
        </w:rPr>
        <w:t>con il rispetto di altri diritti fondamentali</w:t>
      </w:r>
      <w:r>
        <w:rPr>
          <w:sz w:val="28"/>
          <w:szCs w:val="28"/>
        </w:rPr>
        <w:t xml:space="preserve"> che vengono ugualmente in rilievo, come, ad esempio, </w:t>
      </w:r>
      <w:r w:rsidR="0095713B" w:rsidRPr="0095713B">
        <w:rPr>
          <w:sz w:val="28"/>
          <w:szCs w:val="28"/>
        </w:rPr>
        <w:t xml:space="preserve">il diritto alla libertà di espressione, di cronaca e critica. </w:t>
      </w:r>
      <w:r w:rsidR="00224A81">
        <w:rPr>
          <w:sz w:val="28"/>
          <w:szCs w:val="28"/>
        </w:rPr>
        <w:t>E poi</w:t>
      </w:r>
      <w:r w:rsidR="00062D0E">
        <w:rPr>
          <w:sz w:val="28"/>
          <w:szCs w:val="28"/>
        </w:rPr>
        <w:t>,</w:t>
      </w:r>
      <w:r w:rsidR="00224A81">
        <w:rPr>
          <w:sz w:val="28"/>
          <w:szCs w:val="28"/>
        </w:rPr>
        <w:t xml:space="preserve"> per la</w:t>
      </w:r>
      <w:r w:rsidR="0095713B" w:rsidRPr="0095713B">
        <w:rPr>
          <w:sz w:val="28"/>
          <w:szCs w:val="28"/>
        </w:rPr>
        <w:t xml:space="preserve"> mancanza di una vera e propria regolamentazione dell</w:t>
      </w:r>
      <w:r w:rsidR="00062D0E">
        <w:rPr>
          <w:sz w:val="28"/>
          <w:szCs w:val="28"/>
        </w:rPr>
        <w:t>a</w:t>
      </w:r>
      <w:r w:rsidR="0095713B" w:rsidRPr="0095713B">
        <w:rPr>
          <w:sz w:val="28"/>
          <w:szCs w:val="28"/>
        </w:rPr>
        <w:t xml:space="preserve"> rete</w:t>
      </w:r>
      <w:r w:rsidR="00224A81">
        <w:rPr>
          <w:sz w:val="28"/>
          <w:szCs w:val="28"/>
        </w:rPr>
        <w:t>: infatti, s</w:t>
      </w:r>
      <w:r w:rsidR="0095713B" w:rsidRPr="0095713B">
        <w:rPr>
          <w:sz w:val="28"/>
          <w:szCs w:val="28"/>
        </w:rPr>
        <w:t xml:space="preserve">ia a livello </w:t>
      </w:r>
      <w:r w:rsidR="00062D0E">
        <w:rPr>
          <w:sz w:val="28"/>
          <w:szCs w:val="28"/>
        </w:rPr>
        <w:t>interno</w:t>
      </w:r>
      <w:r w:rsidR="00062D0E" w:rsidRPr="0095713B">
        <w:rPr>
          <w:sz w:val="28"/>
          <w:szCs w:val="28"/>
        </w:rPr>
        <w:t xml:space="preserve"> </w:t>
      </w:r>
      <w:r w:rsidR="0095713B" w:rsidRPr="0095713B">
        <w:rPr>
          <w:sz w:val="28"/>
          <w:szCs w:val="28"/>
        </w:rPr>
        <w:t>che</w:t>
      </w:r>
      <w:r w:rsidR="00062D0E">
        <w:rPr>
          <w:sz w:val="28"/>
          <w:szCs w:val="28"/>
        </w:rPr>
        <w:t xml:space="preserve"> sovranazionale,</w:t>
      </w:r>
      <w:r w:rsidR="0095713B" w:rsidRPr="0095713B">
        <w:rPr>
          <w:sz w:val="28"/>
          <w:szCs w:val="28"/>
        </w:rPr>
        <w:t xml:space="preserve"> </w:t>
      </w:r>
      <w:r w:rsidR="00062D0E">
        <w:rPr>
          <w:sz w:val="28"/>
          <w:szCs w:val="28"/>
        </w:rPr>
        <w:t>si è posto il problema relativo al</w:t>
      </w:r>
      <w:r w:rsidR="0095713B" w:rsidRPr="0095713B">
        <w:rPr>
          <w:sz w:val="28"/>
          <w:szCs w:val="28"/>
        </w:rPr>
        <w:t xml:space="preserve"> se e in che misura sia necessario introdurre nuove regole</w:t>
      </w:r>
      <w:r w:rsidR="00062D0E">
        <w:rPr>
          <w:sz w:val="28"/>
          <w:szCs w:val="28"/>
        </w:rPr>
        <w:t xml:space="preserve"> e norme valide per l’Internet</w:t>
      </w:r>
      <w:r w:rsidR="0095713B" w:rsidRPr="0095713B">
        <w:rPr>
          <w:sz w:val="28"/>
          <w:szCs w:val="28"/>
        </w:rPr>
        <w:t xml:space="preserve">, </w:t>
      </w:r>
      <w:r w:rsidR="00062D0E">
        <w:rPr>
          <w:sz w:val="28"/>
          <w:szCs w:val="28"/>
        </w:rPr>
        <w:t xml:space="preserve">e </w:t>
      </w:r>
      <w:r w:rsidR="0095713B" w:rsidRPr="0095713B">
        <w:rPr>
          <w:sz w:val="28"/>
          <w:szCs w:val="28"/>
        </w:rPr>
        <w:t xml:space="preserve">quali obblighi debbano essere </w:t>
      </w:r>
      <w:r w:rsidR="00062D0E">
        <w:rPr>
          <w:sz w:val="28"/>
          <w:szCs w:val="28"/>
        </w:rPr>
        <w:t>imposti</w:t>
      </w:r>
      <w:r w:rsidR="0095713B" w:rsidRPr="0095713B">
        <w:rPr>
          <w:sz w:val="28"/>
          <w:szCs w:val="28"/>
        </w:rPr>
        <w:t xml:space="preserve"> </w:t>
      </w:r>
      <w:r w:rsidR="00062D0E">
        <w:rPr>
          <w:sz w:val="28"/>
          <w:szCs w:val="28"/>
        </w:rPr>
        <w:t>a</w:t>
      </w:r>
      <w:r w:rsidR="0095713B" w:rsidRPr="0095713B">
        <w:rPr>
          <w:sz w:val="28"/>
          <w:szCs w:val="28"/>
        </w:rPr>
        <w:t xml:space="preserve">i principali attori del mondo digitale, ossia </w:t>
      </w:r>
      <w:r w:rsidR="00062D0E">
        <w:rPr>
          <w:sz w:val="28"/>
          <w:szCs w:val="28"/>
        </w:rPr>
        <w:t>a</w:t>
      </w:r>
      <w:r w:rsidR="0095713B" w:rsidRPr="0095713B">
        <w:rPr>
          <w:sz w:val="28"/>
          <w:szCs w:val="28"/>
        </w:rPr>
        <w:t>i gestori delle grandi piattaforme.</w:t>
      </w:r>
    </w:p>
    <w:p w14:paraId="1F44A1CD" w14:textId="77777777" w:rsidR="0047458E" w:rsidRDefault="00062D0E" w:rsidP="00852797">
      <w:pPr>
        <w:pStyle w:val="NormaleWeb"/>
        <w:spacing w:before="0" w:beforeAutospacing="0" w:after="0" w:afterAutospacing="0"/>
        <w:jc w:val="both"/>
        <w:rPr>
          <w:sz w:val="28"/>
          <w:szCs w:val="28"/>
        </w:rPr>
      </w:pPr>
      <w:r>
        <w:rPr>
          <w:sz w:val="28"/>
          <w:szCs w:val="28"/>
        </w:rPr>
        <w:t>In risposta a tali quesiti</w:t>
      </w:r>
      <w:r w:rsidR="00D0329C">
        <w:rPr>
          <w:sz w:val="28"/>
          <w:szCs w:val="28"/>
        </w:rPr>
        <w:t>,</w:t>
      </w:r>
      <w:r>
        <w:rPr>
          <w:sz w:val="28"/>
          <w:szCs w:val="28"/>
        </w:rPr>
        <w:t xml:space="preserve"> </w:t>
      </w:r>
      <w:r w:rsidR="0095713B" w:rsidRPr="0095713B">
        <w:rPr>
          <w:sz w:val="28"/>
          <w:szCs w:val="28"/>
        </w:rPr>
        <w:t xml:space="preserve">alcune delle maggiori piattaforme </w:t>
      </w:r>
      <w:r w:rsidR="00D0329C">
        <w:rPr>
          <w:sz w:val="28"/>
          <w:szCs w:val="28"/>
        </w:rPr>
        <w:t xml:space="preserve">recentemente hanno sia introdotto </w:t>
      </w:r>
      <w:r w:rsidR="0095713B" w:rsidRPr="0095713B">
        <w:rPr>
          <w:sz w:val="28"/>
          <w:szCs w:val="28"/>
        </w:rPr>
        <w:t>strumenti di autoregolamentazione</w:t>
      </w:r>
      <w:r w:rsidR="00D0329C">
        <w:rPr>
          <w:sz w:val="28"/>
          <w:szCs w:val="28"/>
        </w:rPr>
        <w:t>, che</w:t>
      </w:r>
      <w:r w:rsidR="0095713B" w:rsidRPr="0095713B">
        <w:rPr>
          <w:sz w:val="28"/>
          <w:szCs w:val="28"/>
        </w:rPr>
        <w:t xml:space="preserve"> </w:t>
      </w:r>
      <w:r w:rsidR="00D0329C">
        <w:rPr>
          <w:sz w:val="28"/>
          <w:szCs w:val="28"/>
        </w:rPr>
        <w:t xml:space="preserve">proposto alcune </w:t>
      </w:r>
      <w:r w:rsidR="0095713B" w:rsidRPr="0095713B">
        <w:rPr>
          <w:sz w:val="28"/>
          <w:szCs w:val="28"/>
        </w:rPr>
        <w:t>novità anche sul piano legislativo, sotto l’influenza dell’Unione Europea e di altri Paesi (</w:t>
      </w:r>
      <w:r w:rsidR="00D0329C">
        <w:rPr>
          <w:sz w:val="28"/>
          <w:szCs w:val="28"/>
        </w:rPr>
        <w:t xml:space="preserve">come, ad </w:t>
      </w:r>
      <w:r w:rsidR="0095713B" w:rsidRPr="0095713B">
        <w:rPr>
          <w:sz w:val="28"/>
          <w:szCs w:val="28"/>
        </w:rPr>
        <w:t>e</w:t>
      </w:r>
      <w:r w:rsidR="00D0329C">
        <w:rPr>
          <w:sz w:val="28"/>
          <w:szCs w:val="28"/>
        </w:rPr>
        <w:t>sempio,</w:t>
      </w:r>
      <w:r w:rsidR="0095713B" w:rsidRPr="0095713B">
        <w:rPr>
          <w:sz w:val="28"/>
          <w:szCs w:val="28"/>
        </w:rPr>
        <w:t xml:space="preserve"> la Germania) che si sono già mossi </w:t>
      </w:r>
      <w:r w:rsidR="00D0329C">
        <w:rPr>
          <w:sz w:val="28"/>
          <w:szCs w:val="28"/>
        </w:rPr>
        <w:t>verso</w:t>
      </w:r>
      <w:r w:rsidR="0095713B" w:rsidRPr="0095713B">
        <w:rPr>
          <w:sz w:val="28"/>
          <w:szCs w:val="28"/>
        </w:rPr>
        <w:t xml:space="preserve"> questa direzione. Inoltre, nel maggio del 2016, è stato adottato un Codice di Condotta </w:t>
      </w:r>
      <w:r w:rsidR="00D0329C">
        <w:rPr>
          <w:sz w:val="28"/>
          <w:szCs w:val="28"/>
        </w:rPr>
        <w:t>dell’Unione Europea</w:t>
      </w:r>
      <w:r w:rsidR="00B330F0">
        <w:rPr>
          <w:rStyle w:val="Rimandonotaapidipagina"/>
          <w:sz w:val="28"/>
          <w:szCs w:val="28"/>
        </w:rPr>
        <w:footnoteReference w:id="157"/>
      </w:r>
      <w:r w:rsidR="0095713B" w:rsidRPr="0095713B">
        <w:rPr>
          <w:sz w:val="28"/>
          <w:szCs w:val="28"/>
        </w:rPr>
        <w:t>,</w:t>
      </w:r>
      <w:r w:rsidR="00D0329C">
        <w:rPr>
          <w:sz w:val="28"/>
          <w:szCs w:val="28"/>
        </w:rPr>
        <w:t xml:space="preserve"> tramite</w:t>
      </w:r>
      <w:r w:rsidR="0095713B" w:rsidRPr="0095713B">
        <w:rPr>
          <w:sz w:val="28"/>
          <w:szCs w:val="28"/>
        </w:rPr>
        <w:t xml:space="preserve"> il quale non solo l’Unione e gli Stati Membri, ma anche i </w:t>
      </w:r>
      <w:r w:rsidR="0095713B" w:rsidRPr="00D0329C">
        <w:rPr>
          <w:i/>
          <w:iCs/>
          <w:sz w:val="28"/>
          <w:szCs w:val="28"/>
        </w:rPr>
        <w:t>social media</w:t>
      </w:r>
      <w:r w:rsidR="0095713B" w:rsidRPr="0095713B">
        <w:rPr>
          <w:sz w:val="28"/>
          <w:szCs w:val="28"/>
        </w:rPr>
        <w:t xml:space="preserve"> e le altre piattaforme </w:t>
      </w:r>
      <w:r w:rsidR="00D0329C">
        <w:rPr>
          <w:sz w:val="28"/>
          <w:szCs w:val="28"/>
        </w:rPr>
        <w:t xml:space="preserve">digitali </w:t>
      </w:r>
      <w:r w:rsidR="0095713B" w:rsidRPr="0095713B">
        <w:rPr>
          <w:sz w:val="28"/>
          <w:szCs w:val="28"/>
        </w:rPr>
        <w:t>si impegnano a condividere “</w:t>
      </w:r>
      <w:r w:rsidR="0095713B" w:rsidRPr="00D0329C">
        <w:rPr>
          <w:i/>
          <w:iCs/>
          <w:sz w:val="28"/>
          <w:szCs w:val="28"/>
        </w:rPr>
        <w:t>la responsabilità di promuovere e favorire la libertà di espressione nel mondo online</w:t>
      </w:r>
      <w:r w:rsidR="0095713B" w:rsidRPr="0095713B">
        <w:rPr>
          <w:sz w:val="28"/>
          <w:szCs w:val="28"/>
        </w:rPr>
        <w:t>” e di “</w:t>
      </w:r>
      <w:r w:rsidR="0095713B" w:rsidRPr="00D0329C">
        <w:rPr>
          <w:i/>
          <w:iCs/>
          <w:sz w:val="28"/>
          <w:szCs w:val="28"/>
        </w:rPr>
        <w:t>vigilare affinché Internet non diventi un ricettacolo di violenza e odio liberamente accessibile</w:t>
      </w:r>
      <w:r w:rsidR="0095713B" w:rsidRPr="0095713B">
        <w:rPr>
          <w:sz w:val="28"/>
          <w:szCs w:val="28"/>
        </w:rPr>
        <w:t xml:space="preserve">”. </w:t>
      </w:r>
    </w:p>
    <w:p w14:paraId="462D7AB2" w14:textId="77777777" w:rsidR="0047458E" w:rsidRDefault="0095713B" w:rsidP="00852797">
      <w:pPr>
        <w:pStyle w:val="NormaleWeb"/>
        <w:spacing w:before="0" w:beforeAutospacing="0" w:after="0" w:afterAutospacing="0"/>
        <w:jc w:val="both"/>
        <w:rPr>
          <w:sz w:val="28"/>
          <w:szCs w:val="28"/>
        </w:rPr>
      </w:pPr>
      <w:r w:rsidRPr="0095713B">
        <w:rPr>
          <w:sz w:val="28"/>
          <w:szCs w:val="28"/>
        </w:rPr>
        <w:t xml:space="preserve">Il Codice è stato presentato </w:t>
      </w:r>
      <w:r w:rsidR="00913F5A">
        <w:rPr>
          <w:sz w:val="28"/>
          <w:szCs w:val="28"/>
        </w:rPr>
        <w:t xml:space="preserve">congiuntamente </w:t>
      </w:r>
      <w:r w:rsidRPr="0095713B">
        <w:rPr>
          <w:sz w:val="28"/>
          <w:szCs w:val="28"/>
        </w:rPr>
        <w:t>dalla Commissione</w:t>
      </w:r>
      <w:r w:rsidR="00913F5A">
        <w:rPr>
          <w:sz w:val="28"/>
          <w:szCs w:val="28"/>
        </w:rPr>
        <w:t xml:space="preserve"> europea e da </w:t>
      </w:r>
      <w:r w:rsidRPr="0095713B">
        <w:rPr>
          <w:sz w:val="28"/>
          <w:szCs w:val="28"/>
        </w:rPr>
        <w:t>quattro grandi piattaforme</w:t>
      </w:r>
      <w:r w:rsidR="00913F5A">
        <w:rPr>
          <w:sz w:val="28"/>
          <w:szCs w:val="28"/>
        </w:rPr>
        <w:t xml:space="preserve"> digitali</w:t>
      </w:r>
      <w:r w:rsidRPr="0095713B">
        <w:rPr>
          <w:sz w:val="28"/>
          <w:szCs w:val="28"/>
        </w:rPr>
        <w:t xml:space="preserve"> (</w:t>
      </w:r>
      <w:proofErr w:type="spellStart"/>
      <w:r w:rsidRPr="00913F5A">
        <w:rPr>
          <w:i/>
          <w:iCs/>
          <w:sz w:val="28"/>
          <w:szCs w:val="28"/>
        </w:rPr>
        <w:t>Facebook</w:t>
      </w:r>
      <w:proofErr w:type="spellEnd"/>
      <w:r w:rsidRPr="0095713B">
        <w:rPr>
          <w:sz w:val="28"/>
          <w:szCs w:val="28"/>
        </w:rPr>
        <w:t xml:space="preserve">, </w:t>
      </w:r>
      <w:r w:rsidRPr="00913F5A">
        <w:rPr>
          <w:i/>
          <w:iCs/>
          <w:sz w:val="28"/>
          <w:szCs w:val="28"/>
        </w:rPr>
        <w:t>Microsoft</w:t>
      </w:r>
      <w:r w:rsidRPr="0095713B">
        <w:rPr>
          <w:sz w:val="28"/>
          <w:szCs w:val="28"/>
        </w:rPr>
        <w:t xml:space="preserve">, </w:t>
      </w:r>
      <w:proofErr w:type="spellStart"/>
      <w:r w:rsidRPr="00913F5A">
        <w:rPr>
          <w:i/>
          <w:iCs/>
          <w:sz w:val="28"/>
          <w:szCs w:val="28"/>
        </w:rPr>
        <w:t>Twitter</w:t>
      </w:r>
      <w:proofErr w:type="spellEnd"/>
      <w:r w:rsidRPr="0095713B">
        <w:rPr>
          <w:sz w:val="28"/>
          <w:szCs w:val="28"/>
        </w:rPr>
        <w:t xml:space="preserve"> e </w:t>
      </w:r>
      <w:proofErr w:type="spellStart"/>
      <w:r w:rsidRPr="00913F5A">
        <w:rPr>
          <w:i/>
          <w:iCs/>
          <w:sz w:val="28"/>
          <w:szCs w:val="28"/>
        </w:rPr>
        <w:t>YouTube</w:t>
      </w:r>
      <w:proofErr w:type="spellEnd"/>
      <w:r w:rsidRPr="0095713B">
        <w:rPr>
          <w:sz w:val="28"/>
          <w:szCs w:val="28"/>
        </w:rPr>
        <w:t xml:space="preserve">), </w:t>
      </w:r>
      <w:r w:rsidR="00913F5A">
        <w:rPr>
          <w:sz w:val="28"/>
          <w:szCs w:val="28"/>
        </w:rPr>
        <w:t xml:space="preserve">cui si </w:t>
      </w:r>
      <w:r w:rsidR="00913F5A" w:rsidRPr="0095713B">
        <w:rPr>
          <w:sz w:val="28"/>
          <w:szCs w:val="28"/>
        </w:rPr>
        <w:t>sono</w:t>
      </w:r>
      <w:r w:rsidRPr="0095713B">
        <w:rPr>
          <w:sz w:val="28"/>
          <w:szCs w:val="28"/>
        </w:rPr>
        <w:t xml:space="preserve"> successivamente aggiunte</w:t>
      </w:r>
      <w:r w:rsidR="00913F5A">
        <w:rPr>
          <w:sz w:val="28"/>
          <w:szCs w:val="28"/>
        </w:rPr>
        <w:t xml:space="preserve"> </w:t>
      </w:r>
      <w:r w:rsidRPr="00913F5A">
        <w:rPr>
          <w:i/>
          <w:iCs/>
          <w:sz w:val="28"/>
          <w:szCs w:val="28"/>
        </w:rPr>
        <w:t>Google</w:t>
      </w:r>
      <w:r w:rsidRPr="0095713B">
        <w:rPr>
          <w:sz w:val="28"/>
          <w:szCs w:val="28"/>
        </w:rPr>
        <w:t xml:space="preserve">+, </w:t>
      </w:r>
      <w:r w:rsidRPr="00913F5A">
        <w:rPr>
          <w:i/>
          <w:iCs/>
          <w:sz w:val="28"/>
          <w:szCs w:val="28"/>
        </w:rPr>
        <w:t>Instagram</w:t>
      </w:r>
      <w:r w:rsidRPr="0095713B">
        <w:rPr>
          <w:sz w:val="28"/>
          <w:szCs w:val="28"/>
        </w:rPr>
        <w:t xml:space="preserve">, </w:t>
      </w:r>
      <w:proofErr w:type="spellStart"/>
      <w:r w:rsidRPr="00913F5A">
        <w:rPr>
          <w:i/>
          <w:iCs/>
          <w:sz w:val="28"/>
          <w:szCs w:val="28"/>
        </w:rPr>
        <w:t>Snapchat</w:t>
      </w:r>
      <w:proofErr w:type="spellEnd"/>
      <w:r w:rsidRPr="0095713B">
        <w:rPr>
          <w:sz w:val="28"/>
          <w:szCs w:val="28"/>
        </w:rPr>
        <w:t xml:space="preserve">, </w:t>
      </w:r>
      <w:proofErr w:type="spellStart"/>
      <w:r w:rsidRPr="00913F5A">
        <w:rPr>
          <w:i/>
          <w:iCs/>
          <w:sz w:val="28"/>
          <w:szCs w:val="28"/>
        </w:rPr>
        <w:t>Dailymotion</w:t>
      </w:r>
      <w:proofErr w:type="spellEnd"/>
      <w:r w:rsidRPr="0095713B">
        <w:rPr>
          <w:sz w:val="28"/>
          <w:szCs w:val="28"/>
        </w:rPr>
        <w:t xml:space="preserve"> e </w:t>
      </w:r>
      <w:proofErr w:type="spellStart"/>
      <w:r w:rsidRPr="00913F5A">
        <w:rPr>
          <w:i/>
          <w:iCs/>
          <w:sz w:val="28"/>
          <w:szCs w:val="28"/>
        </w:rPr>
        <w:t>Webedia</w:t>
      </w:r>
      <w:proofErr w:type="spellEnd"/>
      <w:r w:rsidRPr="0095713B">
        <w:rPr>
          <w:sz w:val="28"/>
          <w:szCs w:val="28"/>
        </w:rPr>
        <w:t xml:space="preserve">. </w:t>
      </w:r>
    </w:p>
    <w:p w14:paraId="6AE1442F" w14:textId="26C6A6D5" w:rsidR="0095713B" w:rsidRPr="0095713B" w:rsidRDefault="0095713B" w:rsidP="00852797">
      <w:pPr>
        <w:pStyle w:val="NormaleWeb"/>
        <w:spacing w:before="0" w:beforeAutospacing="0" w:after="0" w:afterAutospacing="0"/>
        <w:jc w:val="both"/>
        <w:rPr>
          <w:sz w:val="28"/>
          <w:szCs w:val="28"/>
        </w:rPr>
      </w:pPr>
      <w:r w:rsidRPr="0095713B">
        <w:rPr>
          <w:sz w:val="28"/>
          <w:szCs w:val="28"/>
        </w:rPr>
        <w:t xml:space="preserve">Il Codice </w:t>
      </w:r>
      <w:r w:rsidR="00913F5A">
        <w:rPr>
          <w:sz w:val="28"/>
          <w:szCs w:val="28"/>
        </w:rPr>
        <w:t>impone</w:t>
      </w:r>
      <w:r w:rsidRPr="0095713B">
        <w:rPr>
          <w:sz w:val="28"/>
          <w:szCs w:val="28"/>
        </w:rPr>
        <w:t xml:space="preserve"> </w:t>
      </w:r>
      <w:r w:rsidR="00913F5A">
        <w:rPr>
          <w:sz w:val="28"/>
          <w:szCs w:val="28"/>
        </w:rPr>
        <w:t>a</w:t>
      </w:r>
      <w:r w:rsidRPr="0095713B">
        <w:rPr>
          <w:sz w:val="28"/>
          <w:szCs w:val="28"/>
        </w:rPr>
        <w:t xml:space="preserve">i gestori delle piattaforme </w:t>
      </w:r>
      <w:r w:rsidR="00913F5A">
        <w:rPr>
          <w:sz w:val="28"/>
          <w:szCs w:val="28"/>
        </w:rPr>
        <w:t>di</w:t>
      </w:r>
      <w:r w:rsidRPr="0095713B">
        <w:rPr>
          <w:sz w:val="28"/>
          <w:szCs w:val="28"/>
        </w:rPr>
        <w:t xml:space="preserve"> effettuare</w:t>
      </w:r>
      <w:r w:rsidR="0047458E">
        <w:rPr>
          <w:sz w:val="28"/>
          <w:szCs w:val="28"/>
        </w:rPr>
        <w:t>,</w:t>
      </w:r>
      <w:r w:rsidRPr="0095713B">
        <w:rPr>
          <w:sz w:val="28"/>
          <w:szCs w:val="28"/>
        </w:rPr>
        <w:t xml:space="preserve"> entro 24</w:t>
      </w:r>
      <w:r w:rsidR="0047458E">
        <w:rPr>
          <w:sz w:val="28"/>
          <w:szCs w:val="28"/>
        </w:rPr>
        <w:t xml:space="preserve"> ore</w:t>
      </w:r>
      <w:r w:rsidRPr="0095713B">
        <w:rPr>
          <w:sz w:val="28"/>
          <w:szCs w:val="28"/>
        </w:rPr>
        <w:t xml:space="preserve"> dalla segnalazione</w:t>
      </w:r>
      <w:r w:rsidR="0047458E">
        <w:rPr>
          <w:sz w:val="28"/>
          <w:szCs w:val="28"/>
        </w:rPr>
        <w:t>,</w:t>
      </w:r>
      <w:r w:rsidRPr="0095713B">
        <w:rPr>
          <w:sz w:val="28"/>
          <w:szCs w:val="28"/>
        </w:rPr>
        <w:t xml:space="preserve"> una valutazione dei contenuti e </w:t>
      </w:r>
      <w:r w:rsidR="00913F5A">
        <w:rPr>
          <w:sz w:val="28"/>
          <w:szCs w:val="28"/>
        </w:rPr>
        <w:t>di</w:t>
      </w:r>
      <w:r w:rsidRPr="0095713B">
        <w:rPr>
          <w:sz w:val="28"/>
          <w:szCs w:val="28"/>
        </w:rPr>
        <w:t xml:space="preserve"> eseguire la rimozione di </w:t>
      </w:r>
      <w:r w:rsidRPr="0047458E">
        <w:rPr>
          <w:i/>
          <w:iCs/>
          <w:sz w:val="28"/>
          <w:szCs w:val="28"/>
        </w:rPr>
        <w:t>post</w:t>
      </w:r>
      <w:r w:rsidRPr="0095713B">
        <w:rPr>
          <w:sz w:val="28"/>
          <w:szCs w:val="28"/>
        </w:rPr>
        <w:t xml:space="preserve"> o commenti discriminatori </w:t>
      </w:r>
      <w:r w:rsidR="00913F5A">
        <w:rPr>
          <w:sz w:val="28"/>
          <w:szCs w:val="28"/>
        </w:rPr>
        <w:t>costituenti</w:t>
      </w:r>
      <w:r w:rsidRPr="0095713B">
        <w:rPr>
          <w:sz w:val="28"/>
          <w:szCs w:val="28"/>
        </w:rPr>
        <w:t xml:space="preserve"> </w:t>
      </w:r>
      <w:proofErr w:type="spellStart"/>
      <w:r w:rsidRPr="002C69B6">
        <w:rPr>
          <w:i/>
          <w:iCs/>
          <w:sz w:val="28"/>
          <w:szCs w:val="28"/>
        </w:rPr>
        <w:t>hate</w:t>
      </w:r>
      <w:proofErr w:type="spellEnd"/>
      <w:r w:rsidRPr="002C69B6">
        <w:rPr>
          <w:i/>
          <w:iCs/>
          <w:sz w:val="28"/>
          <w:szCs w:val="28"/>
        </w:rPr>
        <w:t xml:space="preserve"> </w:t>
      </w:r>
      <w:proofErr w:type="spellStart"/>
      <w:r w:rsidRPr="002C69B6">
        <w:rPr>
          <w:i/>
          <w:iCs/>
          <w:sz w:val="28"/>
          <w:szCs w:val="28"/>
        </w:rPr>
        <w:t>speech</w:t>
      </w:r>
      <w:proofErr w:type="spellEnd"/>
      <w:r w:rsidRPr="0095713B">
        <w:rPr>
          <w:sz w:val="28"/>
          <w:szCs w:val="28"/>
        </w:rPr>
        <w:t>.</w:t>
      </w:r>
    </w:p>
    <w:p w14:paraId="201A79E2" w14:textId="77777777" w:rsidR="0047458E" w:rsidRDefault="00913F5A" w:rsidP="0047458E">
      <w:pPr>
        <w:pStyle w:val="NormaleWeb"/>
        <w:spacing w:before="0" w:beforeAutospacing="0" w:after="0" w:afterAutospacing="0"/>
        <w:jc w:val="both"/>
        <w:rPr>
          <w:sz w:val="28"/>
          <w:szCs w:val="28"/>
        </w:rPr>
      </w:pPr>
      <w:r>
        <w:rPr>
          <w:sz w:val="28"/>
          <w:szCs w:val="28"/>
        </w:rPr>
        <w:t>In</w:t>
      </w:r>
      <w:r w:rsidR="0095713B" w:rsidRPr="0095713B">
        <w:rPr>
          <w:sz w:val="28"/>
          <w:szCs w:val="28"/>
        </w:rPr>
        <w:t xml:space="preserve"> base </w:t>
      </w:r>
      <w:r>
        <w:rPr>
          <w:sz w:val="28"/>
          <w:szCs w:val="28"/>
        </w:rPr>
        <w:t>alla</w:t>
      </w:r>
      <w:r w:rsidR="0095713B" w:rsidRPr="0095713B">
        <w:rPr>
          <w:sz w:val="28"/>
          <w:szCs w:val="28"/>
        </w:rPr>
        <w:t xml:space="preserve"> Direttiva 2000/31/CE</w:t>
      </w:r>
      <w:r w:rsidR="0047458E">
        <w:rPr>
          <w:sz w:val="28"/>
          <w:szCs w:val="28"/>
        </w:rPr>
        <w:t>,</w:t>
      </w:r>
      <w:r w:rsidR="0095713B" w:rsidRPr="0095713B">
        <w:rPr>
          <w:sz w:val="28"/>
          <w:szCs w:val="28"/>
        </w:rPr>
        <w:t xml:space="preserve"> </w:t>
      </w:r>
      <w:r>
        <w:rPr>
          <w:sz w:val="28"/>
          <w:szCs w:val="28"/>
        </w:rPr>
        <w:t>relativa agli</w:t>
      </w:r>
      <w:r w:rsidR="0095713B" w:rsidRPr="0095713B">
        <w:rPr>
          <w:sz w:val="28"/>
          <w:szCs w:val="28"/>
        </w:rPr>
        <w:t xml:space="preserve"> aspetti giuridici dei servizi della società dell’informazione</w:t>
      </w:r>
      <w:r w:rsidR="00B330F0">
        <w:rPr>
          <w:rStyle w:val="Rimandonotaapidipagina"/>
          <w:sz w:val="28"/>
          <w:szCs w:val="28"/>
        </w:rPr>
        <w:footnoteReference w:id="158"/>
      </w:r>
      <w:r w:rsidR="0095713B" w:rsidRPr="0095713B">
        <w:rPr>
          <w:sz w:val="28"/>
          <w:szCs w:val="28"/>
        </w:rPr>
        <w:t xml:space="preserve">, tuttavia, la </w:t>
      </w:r>
      <w:r>
        <w:rPr>
          <w:sz w:val="28"/>
          <w:szCs w:val="28"/>
        </w:rPr>
        <w:t>Corte di Giustizia</w:t>
      </w:r>
      <w:r w:rsidR="0095713B" w:rsidRPr="0095713B">
        <w:rPr>
          <w:sz w:val="28"/>
          <w:szCs w:val="28"/>
        </w:rPr>
        <w:t xml:space="preserve"> ha affermato che i prestatori di servizi di </w:t>
      </w:r>
      <w:r w:rsidR="0095713B" w:rsidRPr="00913F5A">
        <w:rPr>
          <w:i/>
          <w:iCs/>
          <w:sz w:val="28"/>
          <w:szCs w:val="28"/>
        </w:rPr>
        <w:t>hosting</w:t>
      </w:r>
      <w:r w:rsidR="0095713B" w:rsidRPr="0095713B">
        <w:rPr>
          <w:sz w:val="28"/>
          <w:szCs w:val="28"/>
        </w:rPr>
        <w:t xml:space="preserve"> non sono soggetti ad un obbligo </w:t>
      </w:r>
      <w:r w:rsidR="0095713B" w:rsidRPr="00913F5A">
        <w:rPr>
          <w:i/>
          <w:iCs/>
          <w:sz w:val="28"/>
          <w:szCs w:val="28"/>
        </w:rPr>
        <w:t>generale</w:t>
      </w:r>
      <w:r w:rsidR="0095713B" w:rsidRPr="0095713B">
        <w:rPr>
          <w:sz w:val="28"/>
          <w:szCs w:val="28"/>
        </w:rPr>
        <w:t xml:space="preserve"> di sorveglianza sulle informazioni trasmesse o memorizzate, né ad un obbligo di ricerca attiva di contenuti illeciti, </w:t>
      </w:r>
      <w:r w:rsidR="007E3A08">
        <w:rPr>
          <w:sz w:val="28"/>
          <w:szCs w:val="28"/>
        </w:rPr>
        <w:t>tranne</w:t>
      </w:r>
      <w:r w:rsidR="0095713B" w:rsidRPr="0095713B">
        <w:rPr>
          <w:sz w:val="28"/>
          <w:szCs w:val="28"/>
        </w:rPr>
        <w:t xml:space="preserve"> in alcuni casi </w:t>
      </w:r>
      <w:r w:rsidR="0047458E">
        <w:rPr>
          <w:sz w:val="28"/>
          <w:szCs w:val="28"/>
        </w:rPr>
        <w:t xml:space="preserve">specifici </w:t>
      </w:r>
      <w:r w:rsidR="0095713B" w:rsidRPr="0095713B">
        <w:rPr>
          <w:sz w:val="28"/>
          <w:szCs w:val="28"/>
        </w:rPr>
        <w:t xml:space="preserve">in cui </w:t>
      </w:r>
      <w:proofErr w:type="spellStart"/>
      <w:r w:rsidR="0095713B" w:rsidRPr="0095713B">
        <w:rPr>
          <w:sz w:val="28"/>
          <w:szCs w:val="28"/>
        </w:rPr>
        <w:t>l’</w:t>
      </w:r>
      <w:r w:rsidR="0095713B" w:rsidRPr="007E3A08">
        <w:rPr>
          <w:i/>
          <w:iCs/>
          <w:sz w:val="28"/>
          <w:szCs w:val="28"/>
        </w:rPr>
        <w:t>host</w:t>
      </w:r>
      <w:proofErr w:type="spellEnd"/>
      <w:r w:rsidR="0095713B" w:rsidRPr="007E3A08">
        <w:rPr>
          <w:i/>
          <w:iCs/>
          <w:sz w:val="28"/>
          <w:szCs w:val="28"/>
        </w:rPr>
        <w:t xml:space="preserve"> provider </w:t>
      </w:r>
      <w:r w:rsidR="0095713B" w:rsidRPr="0095713B">
        <w:rPr>
          <w:sz w:val="28"/>
          <w:szCs w:val="28"/>
        </w:rPr>
        <w:t xml:space="preserve">è </w:t>
      </w:r>
      <w:r w:rsidR="007E3A08">
        <w:rPr>
          <w:sz w:val="28"/>
          <w:szCs w:val="28"/>
        </w:rPr>
        <w:t>obbligato</w:t>
      </w:r>
      <w:r w:rsidR="0095713B" w:rsidRPr="0095713B">
        <w:rPr>
          <w:sz w:val="28"/>
          <w:szCs w:val="28"/>
        </w:rPr>
        <w:t xml:space="preserve"> a prevenire una violazione ed evitarne di nuove.</w:t>
      </w:r>
    </w:p>
    <w:p w14:paraId="6EB9CA84" w14:textId="783E7EF6" w:rsidR="0047458E" w:rsidRDefault="007E3A08" w:rsidP="0047458E">
      <w:pPr>
        <w:pStyle w:val="NormaleWeb"/>
        <w:spacing w:before="0" w:beforeAutospacing="0" w:after="0" w:afterAutospacing="0"/>
        <w:jc w:val="both"/>
        <w:rPr>
          <w:sz w:val="28"/>
          <w:szCs w:val="28"/>
        </w:rPr>
      </w:pPr>
      <w:r>
        <w:rPr>
          <w:sz w:val="28"/>
          <w:szCs w:val="28"/>
        </w:rPr>
        <w:t>Per quanto concerne il</w:t>
      </w:r>
      <w:r w:rsidR="0095713B" w:rsidRPr="0095713B">
        <w:rPr>
          <w:sz w:val="28"/>
          <w:szCs w:val="28"/>
        </w:rPr>
        <w:t xml:space="preserve"> livello </w:t>
      </w:r>
      <w:r>
        <w:rPr>
          <w:sz w:val="28"/>
          <w:szCs w:val="28"/>
        </w:rPr>
        <w:t>nazionale</w:t>
      </w:r>
      <w:r w:rsidR="0095713B" w:rsidRPr="0095713B">
        <w:rPr>
          <w:sz w:val="28"/>
          <w:szCs w:val="28"/>
        </w:rPr>
        <w:t xml:space="preserve">, la giurisprudenza si è tradizionalmente orientata nel senso di ritenere che </w:t>
      </w:r>
      <w:r>
        <w:rPr>
          <w:sz w:val="28"/>
          <w:szCs w:val="28"/>
        </w:rPr>
        <w:t>l’</w:t>
      </w:r>
      <w:proofErr w:type="spellStart"/>
      <w:r w:rsidRPr="00B213A8">
        <w:rPr>
          <w:i/>
          <w:iCs/>
          <w:sz w:val="28"/>
          <w:szCs w:val="28"/>
        </w:rPr>
        <w:t>hate</w:t>
      </w:r>
      <w:proofErr w:type="spellEnd"/>
      <w:r w:rsidRPr="00B213A8">
        <w:rPr>
          <w:i/>
          <w:iCs/>
          <w:sz w:val="28"/>
          <w:szCs w:val="28"/>
        </w:rPr>
        <w:t xml:space="preserve"> </w:t>
      </w:r>
      <w:proofErr w:type="spellStart"/>
      <w:r w:rsidRPr="00B213A8">
        <w:rPr>
          <w:i/>
          <w:iCs/>
          <w:sz w:val="28"/>
          <w:szCs w:val="28"/>
        </w:rPr>
        <w:t>speech</w:t>
      </w:r>
      <w:proofErr w:type="spellEnd"/>
      <w:r w:rsidR="0095713B" w:rsidRPr="00B213A8">
        <w:rPr>
          <w:i/>
          <w:iCs/>
          <w:sz w:val="28"/>
          <w:szCs w:val="28"/>
        </w:rPr>
        <w:t xml:space="preserve"> </w:t>
      </w:r>
      <w:r w:rsidR="00B213A8" w:rsidRPr="00B213A8">
        <w:rPr>
          <w:sz w:val="28"/>
          <w:szCs w:val="28"/>
        </w:rPr>
        <w:t xml:space="preserve">non </w:t>
      </w:r>
      <w:r w:rsidR="00B213A8">
        <w:rPr>
          <w:sz w:val="28"/>
          <w:szCs w:val="28"/>
        </w:rPr>
        <w:t>possa rientrare</w:t>
      </w:r>
      <w:r w:rsidR="00B213A8">
        <w:rPr>
          <w:i/>
          <w:iCs/>
          <w:sz w:val="28"/>
          <w:szCs w:val="28"/>
        </w:rPr>
        <w:t xml:space="preserve"> </w:t>
      </w:r>
      <w:r w:rsidR="0095713B" w:rsidRPr="0095713B">
        <w:rPr>
          <w:sz w:val="28"/>
          <w:szCs w:val="28"/>
        </w:rPr>
        <w:t>nell’ambito di tutela della liber</w:t>
      </w:r>
      <w:r w:rsidR="00B213A8">
        <w:rPr>
          <w:sz w:val="28"/>
          <w:szCs w:val="28"/>
        </w:rPr>
        <w:t>tà di</w:t>
      </w:r>
      <w:r w:rsidR="0095713B" w:rsidRPr="0095713B">
        <w:rPr>
          <w:sz w:val="28"/>
          <w:szCs w:val="28"/>
        </w:rPr>
        <w:t xml:space="preserve"> manifestazione del pensiero, </w:t>
      </w:r>
      <w:r w:rsidR="00B213A8">
        <w:rPr>
          <w:sz w:val="28"/>
          <w:szCs w:val="28"/>
        </w:rPr>
        <w:t>dato</w:t>
      </w:r>
      <w:r w:rsidR="0095713B" w:rsidRPr="0095713B">
        <w:rPr>
          <w:sz w:val="28"/>
          <w:szCs w:val="28"/>
        </w:rPr>
        <w:t xml:space="preserve"> che questa </w:t>
      </w:r>
      <w:r w:rsidR="00B213A8">
        <w:rPr>
          <w:sz w:val="28"/>
          <w:szCs w:val="28"/>
        </w:rPr>
        <w:t xml:space="preserve">libertà </w:t>
      </w:r>
      <w:r w:rsidR="0095713B" w:rsidRPr="0095713B">
        <w:rPr>
          <w:sz w:val="28"/>
          <w:szCs w:val="28"/>
        </w:rPr>
        <w:t xml:space="preserve">non può estendersi </w:t>
      </w:r>
      <w:r w:rsidR="00B213A8">
        <w:rPr>
          <w:sz w:val="28"/>
          <w:szCs w:val="28"/>
        </w:rPr>
        <w:t>andando a</w:t>
      </w:r>
      <w:r w:rsidR="0095713B" w:rsidRPr="0095713B">
        <w:rPr>
          <w:sz w:val="28"/>
          <w:szCs w:val="28"/>
        </w:rPr>
        <w:t xml:space="preserve"> negare i principi fondamentali ed inviolabili dell’ordinamento</w:t>
      </w:r>
      <w:r w:rsidR="00EB75E5">
        <w:rPr>
          <w:rStyle w:val="Rimandonotaapidipagina"/>
          <w:sz w:val="28"/>
          <w:szCs w:val="28"/>
        </w:rPr>
        <w:footnoteReference w:id="159"/>
      </w:r>
      <w:r w:rsidR="0095713B" w:rsidRPr="0095713B">
        <w:rPr>
          <w:sz w:val="28"/>
          <w:szCs w:val="28"/>
        </w:rPr>
        <w:t xml:space="preserve">, </w:t>
      </w:r>
      <w:r w:rsidR="00B213A8">
        <w:rPr>
          <w:sz w:val="28"/>
          <w:szCs w:val="28"/>
        </w:rPr>
        <w:t xml:space="preserve">come </w:t>
      </w:r>
      <w:r w:rsidR="00B213A8">
        <w:rPr>
          <w:sz w:val="28"/>
          <w:szCs w:val="28"/>
        </w:rPr>
        <w:lastRenderedPageBreak/>
        <w:t>appunto</w:t>
      </w:r>
      <w:r w:rsidR="0095713B" w:rsidRPr="0095713B">
        <w:rPr>
          <w:sz w:val="28"/>
          <w:szCs w:val="28"/>
        </w:rPr>
        <w:t xml:space="preserve"> il rispetto della dignità umana e il divieto di ogni </w:t>
      </w:r>
      <w:r w:rsidR="00B213A8">
        <w:rPr>
          <w:sz w:val="28"/>
          <w:szCs w:val="28"/>
        </w:rPr>
        <w:t xml:space="preserve">tipo di odio e </w:t>
      </w:r>
      <w:r w:rsidR="0095713B" w:rsidRPr="0095713B">
        <w:rPr>
          <w:sz w:val="28"/>
          <w:szCs w:val="28"/>
        </w:rPr>
        <w:t>discriminazione.</w:t>
      </w:r>
    </w:p>
    <w:p w14:paraId="19B71ED6" w14:textId="77777777" w:rsidR="00EB75E5" w:rsidRPr="0095713B" w:rsidRDefault="00EB75E5" w:rsidP="0047458E">
      <w:pPr>
        <w:pStyle w:val="NormaleWeb"/>
        <w:spacing w:before="0" w:beforeAutospacing="0" w:after="0" w:afterAutospacing="0"/>
        <w:jc w:val="both"/>
        <w:rPr>
          <w:sz w:val="28"/>
          <w:szCs w:val="28"/>
        </w:rPr>
      </w:pPr>
    </w:p>
    <w:p w14:paraId="0F970A60" w14:textId="77777777" w:rsidR="00AD41A0" w:rsidRDefault="00B213A8" w:rsidP="00852797">
      <w:pPr>
        <w:pStyle w:val="NormaleWeb"/>
        <w:spacing w:before="0" w:beforeAutospacing="0" w:after="0" w:afterAutospacing="0"/>
        <w:jc w:val="both"/>
        <w:rPr>
          <w:sz w:val="28"/>
          <w:szCs w:val="28"/>
        </w:rPr>
      </w:pPr>
      <w:r>
        <w:rPr>
          <w:sz w:val="28"/>
          <w:szCs w:val="28"/>
        </w:rPr>
        <w:t>A</w:t>
      </w:r>
      <w:r w:rsidR="0095713B" w:rsidRPr="0095713B">
        <w:rPr>
          <w:sz w:val="28"/>
          <w:szCs w:val="28"/>
        </w:rPr>
        <w:t xml:space="preserve"> livello europeo</w:t>
      </w:r>
      <w:r w:rsidR="0047458E">
        <w:rPr>
          <w:sz w:val="28"/>
          <w:szCs w:val="28"/>
        </w:rPr>
        <w:t>,</w:t>
      </w:r>
      <w:r>
        <w:rPr>
          <w:sz w:val="28"/>
          <w:szCs w:val="28"/>
        </w:rPr>
        <w:t xml:space="preserve"> è maturata una certa</w:t>
      </w:r>
      <w:r w:rsidR="0095713B" w:rsidRPr="0095713B">
        <w:rPr>
          <w:sz w:val="28"/>
          <w:szCs w:val="28"/>
        </w:rPr>
        <w:t xml:space="preserve"> </w:t>
      </w:r>
      <w:r w:rsidRPr="0095713B">
        <w:rPr>
          <w:sz w:val="28"/>
          <w:szCs w:val="28"/>
        </w:rPr>
        <w:t xml:space="preserve">consapevolezza </w:t>
      </w:r>
      <w:r w:rsidR="0095713B" w:rsidRPr="0095713B">
        <w:rPr>
          <w:sz w:val="28"/>
          <w:szCs w:val="28"/>
        </w:rPr>
        <w:t xml:space="preserve">sulla necessità di contrastare efficacemente </w:t>
      </w:r>
      <w:r>
        <w:rPr>
          <w:sz w:val="28"/>
          <w:szCs w:val="28"/>
        </w:rPr>
        <w:t>il fenomeno de</w:t>
      </w:r>
      <w:r w:rsidR="0047458E">
        <w:rPr>
          <w:sz w:val="28"/>
          <w:szCs w:val="28"/>
        </w:rPr>
        <w:t xml:space="preserve">ll’incitamento all’odio </w:t>
      </w:r>
      <w:r w:rsidR="0095713B" w:rsidRPr="0095713B">
        <w:rPr>
          <w:sz w:val="28"/>
          <w:szCs w:val="28"/>
        </w:rPr>
        <w:t xml:space="preserve">e sulla stretta correlazione esistente </w:t>
      </w:r>
      <w:r>
        <w:rPr>
          <w:sz w:val="28"/>
          <w:szCs w:val="28"/>
        </w:rPr>
        <w:t>t</w:t>
      </w:r>
      <w:r w:rsidR="0095713B" w:rsidRPr="0095713B">
        <w:rPr>
          <w:sz w:val="28"/>
          <w:szCs w:val="28"/>
        </w:rPr>
        <w:t>ra la sua diffusione e il ruolo</w:t>
      </w:r>
      <w:r w:rsidR="00B330F0">
        <w:rPr>
          <w:sz w:val="28"/>
          <w:szCs w:val="28"/>
        </w:rPr>
        <w:t xml:space="preserve"> </w:t>
      </w:r>
      <w:r w:rsidR="0095713B" w:rsidRPr="0095713B">
        <w:rPr>
          <w:sz w:val="28"/>
          <w:szCs w:val="28"/>
        </w:rPr>
        <w:t xml:space="preserve">preminente </w:t>
      </w:r>
      <w:r>
        <w:rPr>
          <w:sz w:val="28"/>
          <w:szCs w:val="28"/>
        </w:rPr>
        <w:t xml:space="preserve">che viene oggi </w:t>
      </w:r>
      <w:r w:rsidR="0095713B" w:rsidRPr="0095713B">
        <w:rPr>
          <w:sz w:val="28"/>
          <w:szCs w:val="28"/>
        </w:rPr>
        <w:t>assunto dalle piattaforme</w:t>
      </w:r>
      <w:r>
        <w:rPr>
          <w:sz w:val="28"/>
          <w:szCs w:val="28"/>
        </w:rPr>
        <w:t xml:space="preserve"> digitali</w:t>
      </w:r>
      <w:r w:rsidR="0095713B" w:rsidRPr="0095713B">
        <w:rPr>
          <w:sz w:val="28"/>
          <w:szCs w:val="28"/>
        </w:rPr>
        <w:t xml:space="preserve">, </w:t>
      </w:r>
      <w:r w:rsidR="0083586E">
        <w:rPr>
          <w:sz w:val="28"/>
          <w:szCs w:val="28"/>
        </w:rPr>
        <w:t xml:space="preserve">consapevolezza che evidentemente </w:t>
      </w:r>
      <w:r w:rsidR="0095713B" w:rsidRPr="0095713B">
        <w:rPr>
          <w:sz w:val="28"/>
          <w:szCs w:val="28"/>
        </w:rPr>
        <w:t xml:space="preserve">si manifesta </w:t>
      </w:r>
      <w:r w:rsidR="0083586E">
        <w:rPr>
          <w:sz w:val="28"/>
          <w:szCs w:val="28"/>
        </w:rPr>
        <w:t xml:space="preserve">sia </w:t>
      </w:r>
      <w:r w:rsidR="0095713B" w:rsidRPr="0095713B">
        <w:rPr>
          <w:sz w:val="28"/>
          <w:szCs w:val="28"/>
        </w:rPr>
        <w:t xml:space="preserve">nelle </w:t>
      </w:r>
      <w:r w:rsidR="0083586E">
        <w:rPr>
          <w:sz w:val="28"/>
          <w:szCs w:val="28"/>
        </w:rPr>
        <w:t>norme</w:t>
      </w:r>
      <w:r w:rsidR="0095713B" w:rsidRPr="0095713B">
        <w:rPr>
          <w:sz w:val="28"/>
          <w:szCs w:val="28"/>
        </w:rPr>
        <w:t xml:space="preserve"> contenute all’interno delle nuove proposte di regolamentazione dei mercati digitali presentate </w:t>
      </w:r>
      <w:r w:rsidR="0083586E">
        <w:rPr>
          <w:sz w:val="28"/>
          <w:szCs w:val="28"/>
        </w:rPr>
        <w:t>a</w:t>
      </w:r>
      <w:r w:rsidR="0095713B" w:rsidRPr="0095713B">
        <w:rPr>
          <w:sz w:val="28"/>
          <w:szCs w:val="28"/>
        </w:rPr>
        <w:t xml:space="preserve"> dicembre </w:t>
      </w:r>
      <w:r w:rsidR="0083586E">
        <w:rPr>
          <w:sz w:val="28"/>
          <w:szCs w:val="28"/>
        </w:rPr>
        <w:t xml:space="preserve">2020 </w:t>
      </w:r>
      <w:r w:rsidR="0095713B" w:rsidRPr="0095713B">
        <w:rPr>
          <w:sz w:val="28"/>
          <w:szCs w:val="28"/>
        </w:rPr>
        <w:t xml:space="preserve">dalla Commissione, </w:t>
      </w:r>
      <w:r w:rsidR="0083586E">
        <w:rPr>
          <w:sz w:val="28"/>
          <w:szCs w:val="28"/>
        </w:rPr>
        <w:t>che</w:t>
      </w:r>
      <w:r w:rsidR="0095713B" w:rsidRPr="0095713B">
        <w:rPr>
          <w:sz w:val="28"/>
          <w:szCs w:val="28"/>
        </w:rPr>
        <w:t xml:space="preserve"> nel testo del </w:t>
      </w:r>
      <w:r w:rsidR="0095713B" w:rsidRPr="0083586E">
        <w:rPr>
          <w:i/>
          <w:iCs/>
          <w:sz w:val="28"/>
          <w:szCs w:val="28"/>
        </w:rPr>
        <w:t xml:space="preserve">Digital Services </w:t>
      </w:r>
      <w:proofErr w:type="spellStart"/>
      <w:r w:rsidR="0095713B" w:rsidRPr="0083586E">
        <w:rPr>
          <w:i/>
          <w:iCs/>
          <w:sz w:val="28"/>
          <w:szCs w:val="28"/>
        </w:rPr>
        <w:t>Act</w:t>
      </w:r>
      <w:proofErr w:type="spellEnd"/>
      <w:r w:rsidR="0095713B" w:rsidRPr="0095713B">
        <w:rPr>
          <w:sz w:val="28"/>
          <w:szCs w:val="28"/>
        </w:rPr>
        <w:t xml:space="preserve">, </w:t>
      </w:r>
      <w:r w:rsidR="0083586E">
        <w:rPr>
          <w:sz w:val="28"/>
          <w:szCs w:val="28"/>
        </w:rPr>
        <w:t xml:space="preserve">ossia </w:t>
      </w:r>
      <w:r w:rsidR="0095713B" w:rsidRPr="0095713B">
        <w:rPr>
          <w:sz w:val="28"/>
          <w:szCs w:val="28"/>
        </w:rPr>
        <w:t xml:space="preserve">il Regolamento che </w:t>
      </w:r>
      <w:r w:rsidR="0083586E">
        <w:rPr>
          <w:sz w:val="28"/>
          <w:szCs w:val="28"/>
        </w:rPr>
        <w:t>ha come scopo quello di andare</w:t>
      </w:r>
      <w:r w:rsidR="0095713B" w:rsidRPr="0095713B">
        <w:rPr>
          <w:sz w:val="28"/>
          <w:szCs w:val="28"/>
        </w:rPr>
        <w:t xml:space="preserve"> a modificare alcuni aspetti dell’attuale Direttiva </w:t>
      </w:r>
      <w:r w:rsidR="0095713B" w:rsidRPr="0083586E">
        <w:rPr>
          <w:i/>
          <w:iCs/>
          <w:sz w:val="28"/>
          <w:szCs w:val="28"/>
        </w:rPr>
        <w:t>e-Commerce</w:t>
      </w:r>
      <w:r w:rsidR="0095713B" w:rsidRPr="0095713B">
        <w:rPr>
          <w:sz w:val="28"/>
          <w:szCs w:val="28"/>
        </w:rPr>
        <w:t>.</w:t>
      </w:r>
      <w:r w:rsidR="00D554FC">
        <w:rPr>
          <w:sz w:val="28"/>
          <w:szCs w:val="28"/>
        </w:rPr>
        <w:t xml:space="preserve"> </w:t>
      </w:r>
    </w:p>
    <w:p w14:paraId="7C975ED9" w14:textId="77777777" w:rsidR="00AD41A0" w:rsidRDefault="0095713B" w:rsidP="00852797">
      <w:pPr>
        <w:pStyle w:val="NormaleWeb"/>
        <w:spacing w:before="0" w:beforeAutospacing="0" w:after="0" w:afterAutospacing="0"/>
        <w:jc w:val="both"/>
        <w:rPr>
          <w:sz w:val="28"/>
          <w:szCs w:val="28"/>
        </w:rPr>
      </w:pPr>
      <w:r w:rsidRPr="0095713B">
        <w:rPr>
          <w:sz w:val="28"/>
          <w:szCs w:val="28"/>
        </w:rPr>
        <w:t xml:space="preserve">In particolare, il </w:t>
      </w:r>
      <w:r w:rsidR="00AD41A0">
        <w:rPr>
          <w:sz w:val="28"/>
          <w:szCs w:val="28"/>
        </w:rPr>
        <w:t>C</w:t>
      </w:r>
      <w:r w:rsidRPr="0095713B">
        <w:rPr>
          <w:sz w:val="28"/>
          <w:szCs w:val="28"/>
        </w:rPr>
        <w:t xml:space="preserve">onsiderando 12 del Regolamento chiarisce </w:t>
      </w:r>
      <w:r w:rsidR="00110350">
        <w:rPr>
          <w:sz w:val="28"/>
          <w:szCs w:val="28"/>
        </w:rPr>
        <w:t xml:space="preserve">un elemento fondamentale, ossia che </w:t>
      </w:r>
      <w:r w:rsidRPr="0095713B">
        <w:rPr>
          <w:sz w:val="28"/>
          <w:szCs w:val="28"/>
        </w:rPr>
        <w:t>cosa debba intendersi per “</w:t>
      </w:r>
      <w:r w:rsidRPr="00110350">
        <w:rPr>
          <w:i/>
          <w:iCs/>
          <w:sz w:val="28"/>
          <w:szCs w:val="28"/>
        </w:rPr>
        <w:t>contenuti illegali</w:t>
      </w:r>
      <w:r w:rsidRPr="0095713B">
        <w:rPr>
          <w:sz w:val="28"/>
          <w:szCs w:val="28"/>
        </w:rPr>
        <w:t>”</w:t>
      </w:r>
      <w:r w:rsidR="00C33E44">
        <w:rPr>
          <w:sz w:val="28"/>
          <w:szCs w:val="28"/>
        </w:rPr>
        <w:t>,</w:t>
      </w:r>
      <w:r w:rsidRPr="0095713B">
        <w:rPr>
          <w:sz w:val="28"/>
          <w:szCs w:val="28"/>
        </w:rPr>
        <w:t xml:space="preserve"> </w:t>
      </w:r>
      <w:r w:rsidR="00110350">
        <w:rPr>
          <w:sz w:val="28"/>
          <w:szCs w:val="28"/>
        </w:rPr>
        <w:t>da</w:t>
      </w:r>
      <w:r w:rsidR="00C33E44">
        <w:rPr>
          <w:sz w:val="28"/>
          <w:szCs w:val="28"/>
        </w:rPr>
        <w:t xml:space="preserve">to che, se è vero che le piattaforme digitali non hanno un obbligo generale </w:t>
      </w:r>
      <w:r w:rsidRPr="0095713B">
        <w:rPr>
          <w:sz w:val="28"/>
          <w:szCs w:val="28"/>
        </w:rPr>
        <w:t>di sorveglianza</w:t>
      </w:r>
      <w:r w:rsidR="00C33E44">
        <w:rPr>
          <w:sz w:val="28"/>
          <w:szCs w:val="28"/>
        </w:rPr>
        <w:t xml:space="preserve">, esse </w:t>
      </w:r>
      <w:r w:rsidRPr="0095713B">
        <w:rPr>
          <w:sz w:val="28"/>
          <w:szCs w:val="28"/>
        </w:rPr>
        <w:t xml:space="preserve">sono </w:t>
      </w:r>
      <w:r w:rsidR="00C33E44">
        <w:rPr>
          <w:sz w:val="28"/>
          <w:szCs w:val="28"/>
        </w:rPr>
        <w:t xml:space="preserve">comunque </w:t>
      </w:r>
      <w:r w:rsidRPr="0095713B">
        <w:rPr>
          <w:sz w:val="28"/>
          <w:szCs w:val="28"/>
        </w:rPr>
        <w:t>tenute a provvedere alla rimozione di tali contenuti qualora vengano loro segnalati o comunque ne abbiano conoscenza</w:t>
      </w:r>
      <w:r w:rsidR="00C33E44">
        <w:rPr>
          <w:sz w:val="28"/>
          <w:szCs w:val="28"/>
        </w:rPr>
        <w:t xml:space="preserve">. </w:t>
      </w:r>
    </w:p>
    <w:p w14:paraId="2C5E0F6D" w14:textId="77777777" w:rsidR="00AD41A0" w:rsidRDefault="00C33E44" w:rsidP="00852797">
      <w:pPr>
        <w:pStyle w:val="NormaleWeb"/>
        <w:spacing w:before="0" w:beforeAutospacing="0" w:after="0" w:afterAutospacing="0"/>
        <w:jc w:val="both"/>
        <w:rPr>
          <w:sz w:val="28"/>
          <w:szCs w:val="28"/>
        </w:rPr>
      </w:pPr>
      <w:r>
        <w:rPr>
          <w:sz w:val="28"/>
          <w:szCs w:val="28"/>
        </w:rPr>
        <w:t>Ebbene, il Regolamento</w:t>
      </w:r>
      <w:r w:rsidR="0095713B" w:rsidRPr="0095713B">
        <w:rPr>
          <w:sz w:val="28"/>
          <w:szCs w:val="28"/>
        </w:rPr>
        <w:t xml:space="preserve"> </w:t>
      </w:r>
      <w:r w:rsidRPr="0095713B">
        <w:rPr>
          <w:sz w:val="28"/>
          <w:szCs w:val="28"/>
        </w:rPr>
        <w:t xml:space="preserve">espressamente </w:t>
      </w:r>
      <w:r w:rsidR="0095713B" w:rsidRPr="0095713B">
        <w:rPr>
          <w:sz w:val="28"/>
          <w:szCs w:val="28"/>
        </w:rPr>
        <w:t>include</w:t>
      </w:r>
      <w:r w:rsidR="00AD41A0">
        <w:rPr>
          <w:sz w:val="28"/>
          <w:szCs w:val="28"/>
        </w:rPr>
        <w:t>,</w:t>
      </w:r>
      <w:r w:rsidR="0095713B" w:rsidRPr="0095713B">
        <w:rPr>
          <w:sz w:val="28"/>
          <w:szCs w:val="28"/>
        </w:rPr>
        <w:t xml:space="preserve"> </w:t>
      </w:r>
      <w:r>
        <w:rPr>
          <w:sz w:val="28"/>
          <w:szCs w:val="28"/>
        </w:rPr>
        <w:t>tra i contenuti illegali</w:t>
      </w:r>
      <w:r w:rsidR="00AD41A0">
        <w:rPr>
          <w:sz w:val="28"/>
          <w:szCs w:val="28"/>
        </w:rPr>
        <w:t>,</w:t>
      </w:r>
      <w:r>
        <w:rPr>
          <w:sz w:val="28"/>
          <w:szCs w:val="28"/>
        </w:rPr>
        <w:t xml:space="preserve"> </w:t>
      </w:r>
      <w:r w:rsidR="0095713B" w:rsidRPr="0095713B">
        <w:rPr>
          <w:sz w:val="28"/>
          <w:szCs w:val="28"/>
        </w:rPr>
        <w:t>quelli qualificabili come “</w:t>
      </w:r>
      <w:proofErr w:type="spellStart"/>
      <w:r w:rsidR="0095713B" w:rsidRPr="002C69B6">
        <w:rPr>
          <w:i/>
          <w:iCs/>
          <w:sz w:val="28"/>
          <w:szCs w:val="28"/>
        </w:rPr>
        <w:t>hate</w:t>
      </w:r>
      <w:proofErr w:type="spellEnd"/>
      <w:r w:rsidR="0095713B" w:rsidRPr="002C69B6">
        <w:rPr>
          <w:i/>
          <w:iCs/>
          <w:sz w:val="28"/>
          <w:szCs w:val="28"/>
        </w:rPr>
        <w:t xml:space="preserve"> </w:t>
      </w:r>
      <w:proofErr w:type="spellStart"/>
      <w:r w:rsidR="0095713B" w:rsidRPr="002C69B6">
        <w:rPr>
          <w:i/>
          <w:iCs/>
          <w:sz w:val="28"/>
          <w:szCs w:val="28"/>
        </w:rPr>
        <w:t>speech</w:t>
      </w:r>
      <w:proofErr w:type="spellEnd"/>
      <w:r w:rsidR="0095713B" w:rsidRPr="0095713B">
        <w:rPr>
          <w:sz w:val="28"/>
          <w:szCs w:val="28"/>
        </w:rPr>
        <w:t>”.</w:t>
      </w:r>
      <w:r>
        <w:rPr>
          <w:sz w:val="28"/>
          <w:szCs w:val="28"/>
        </w:rPr>
        <w:t xml:space="preserve"> </w:t>
      </w:r>
    </w:p>
    <w:p w14:paraId="20408903" w14:textId="77777777" w:rsidR="0051336C" w:rsidRDefault="00AD41A0" w:rsidP="00852797">
      <w:pPr>
        <w:pStyle w:val="NormaleWeb"/>
        <w:spacing w:before="0" w:beforeAutospacing="0" w:after="0" w:afterAutospacing="0"/>
        <w:jc w:val="both"/>
        <w:rPr>
          <w:sz w:val="28"/>
          <w:szCs w:val="28"/>
        </w:rPr>
      </w:pPr>
      <w:r>
        <w:rPr>
          <w:sz w:val="28"/>
          <w:szCs w:val="28"/>
        </w:rPr>
        <w:t>Il Comitato europeo per la protezione dei dati</w:t>
      </w:r>
      <w:r w:rsidR="00C33E44">
        <w:rPr>
          <w:sz w:val="28"/>
          <w:szCs w:val="28"/>
        </w:rPr>
        <w:t xml:space="preserve"> ha formulato un parere</w:t>
      </w:r>
      <w:r w:rsidR="0095713B" w:rsidRPr="0095713B">
        <w:rPr>
          <w:sz w:val="28"/>
          <w:szCs w:val="28"/>
        </w:rPr>
        <w:t xml:space="preserve"> </w:t>
      </w:r>
      <w:r w:rsidR="00C33E44">
        <w:rPr>
          <w:sz w:val="28"/>
          <w:szCs w:val="28"/>
        </w:rPr>
        <w:t xml:space="preserve">su questo profilo, in particolare </w:t>
      </w:r>
      <w:r w:rsidR="0095713B" w:rsidRPr="0095713B">
        <w:rPr>
          <w:sz w:val="28"/>
          <w:szCs w:val="28"/>
        </w:rPr>
        <w:t>in merito ai meccanismi di moderazione dei contenuti utilizzati dalle piattaforme.</w:t>
      </w:r>
      <w:r w:rsidR="007E7C61">
        <w:rPr>
          <w:sz w:val="28"/>
          <w:szCs w:val="28"/>
        </w:rPr>
        <w:t xml:space="preserve"> </w:t>
      </w:r>
    </w:p>
    <w:p w14:paraId="18A2BB55" w14:textId="6371CFDF" w:rsidR="00AD41A0" w:rsidRDefault="007E7C61" w:rsidP="00852797">
      <w:pPr>
        <w:pStyle w:val="NormaleWeb"/>
        <w:spacing w:before="0" w:beforeAutospacing="0" w:after="0" w:afterAutospacing="0"/>
        <w:jc w:val="both"/>
        <w:rPr>
          <w:sz w:val="28"/>
          <w:szCs w:val="28"/>
        </w:rPr>
      </w:pPr>
      <w:r>
        <w:rPr>
          <w:sz w:val="28"/>
          <w:szCs w:val="28"/>
        </w:rPr>
        <w:t>All’interno dell</w:t>
      </w:r>
      <w:r w:rsidR="0095713B" w:rsidRPr="0095713B">
        <w:rPr>
          <w:sz w:val="28"/>
          <w:szCs w:val="28"/>
        </w:rPr>
        <w:t>’Opinione 1/2021</w:t>
      </w:r>
      <w:r w:rsidR="00B330F0">
        <w:rPr>
          <w:rStyle w:val="Rimandonotaapidipagina"/>
          <w:sz w:val="28"/>
          <w:szCs w:val="28"/>
        </w:rPr>
        <w:footnoteReference w:id="160"/>
      </w:r>
      <w:r w:rsidR="0095713B" w:rsidRPr="0095713B">
        <w:rPr>
          <w:sz w:val="28"/>
          <w:szCs w:val="28"/>
        </w:rPr>
        <w:t xml:space="preserve"> è</w:t>
      </w:r>
      <w:r>
        <w:rPr>
          <w:sz w:val="28"/>
          <w:szCs w:val="28"/>
        </w:rPr>
        <w:t>,</w:t>
      </w:r>
      <w:r w:rsidR="0095713B" w:rsidRPr="0095713B">
        <w:rPr>
          <w:sz w:val="28"/>
          <w:szCs w:val="28"/>
        </w:rPr>
        <w:t xml:space="preserve"> infatti</w:t>
      </w:r>
      <w:r>
        <w:rPr>
          <w:sz w:val="28"/>
          <w:szCs w:val="28"/>
        </w:rPr>
        <w:t>,</w:t>
      </w:r>
      <w:r w:rsidR="0095713B" w:rsidRPr="0095713B">
        <w:rPr>
          <w:sz w:val="28"/>
          <w:szCs w:val="28"/>
        </w:rPr>
        <w:t xml:space="preserve"> </w:t>
      </w:r>
      <w:r>
        <w:rPr>
          <w:sz w:val="28"/>
          <w:szCs w:val="28"/>
        </w:rPr>
        <w:t>specificato</w:t>
      </w:r>
      <w:r w:rsidR="0095713B" w:rsidRPr="0095713B">
        <w:rPr>
          <w:sz w:val="28"/>
          <w:szCs w:val="28"/>
        </w:rPr>
        <w:t xml:space="preserve"> che non tutti i meccanismi in questione presuppongono il trattamento di dati personali e che, </w:t>
      </w:r>
      <w:r>
        <w:rPr>
          <w:sz w:val="28"/>
          <w:szCs w:val="28"/>
        </w:rPr>
        <w:t>per rispettare il</w:t>
      </w:r>
      <w:r w:rsidR="0095713B" w:rsidRPr="0095713B">
        <w:rPr>
          <w:sz w:val="28"/>
          <w:szCs w:val="28"/>
        </w:rPr>
        <w:t xml:space="preserve"> principio di </w:t>
      </w:r>
      <w:r w:rsidR="0037358D" w:rsidRPr="0037358D">
        <w:rPr>
          <w:i/>
          <w:iCs/>
          <w:sz w:val="28"/>
          <w:szCs w:val="28"/>
        </w:rPr>
        <w:t xml:space="preserve">data </w:t>
      </w:r>
      <w:proofErr w:type="spellStart"/>
      <w:r w:rsidR="0037358D" w:rsidRPr="0037358D">
        <w:rPr>
          <w:i/>
          <w:iCs/>
          <w:sz w:val="28"/>
          <w:szCs w:val="28"/>
        </w:rPr>
        <w:t>minimisation</w:t>
      </w:r>
      <w:proofErr w:type="spellEnd"/>
      <w:r w:rsidR="0095713B" w:rsidRPr="0095713B">
        <w:rPr>
          <w:sz w:val="28"/>
          <w:szCs w:val="28"/>
        </w:rPr>
        <w:t xml:space="preserve">, il Regolamento dovrebbe </w:t>
      </w:r>
      <w:r w:rsidR="0037358D">
        <w:rPr>
          <w:sz w:val="28"/>
          <w:szCs w:val="28"/>
        </w:rPr>
        <w:t>evidenziare</w:t>
      </w:r>
      <w:r w:rsidR="0095713B" w:rsidRPr="0095713B">
        <w:rPr>
          <w:sz w:val="28"/>
          <w:szCs w:val="28"/>
        </w:rPr>
        <w:t xml:space="preserve"> in maniera più </w:t>
      </w:r>
      <w:r w:rsidR="0037358D">
        <w:rPr>
          <w:sz w:val="28"/>
          <w:szCs w:val="28"/>
        </w:rPr>
        <w:t xml:space="preserve">precisa e </w:t>
      </w:r>
      <w:r w:rsidR="0095713B" w:rsidRPr="0095713B">
        <w:rPr>
          <w:sz w:val="28"/>
          <w:szCs w:val="28"/>
        </w:rPr>
        <w:t xml:space="preserve">dettagliata le condizioni specifiche in presenza delle quali il trattamento dei dati personali nella moderazione dei contenuti </w:t>
      </w:r>
      <w:r w:rsidR="0037358D">
        <w:rPr>
          <w:sz w:val="28"/>
          <w:szCs w:val="28"/>
        </w:rPr>
        <w:t>risulta</w:t>
      </w:r>
      <w:r w:rsidR="0095713B" w:rsidRPr="0095713B">
        <w:rPr>
          <w:sz w:val="28"/>
          <w:szCs w:val="28"/>
        </w:rPr>
        <w:t xml:space="preserve"> ammesso. </w:t>
      </w:r>
    </w:p>
    <w:p w14:paraId="3ABFDEC7" w14:textId="7102EF49" w:rsidR="0095713B" w:rsidRPr="0095713B" w:rsidRDefault="0037358D" w:rsidP="00852797">
      <w:pPr>
        <w:pStyle w:val="NormaleWeb"/>
        <w:spacing w:before="0" w:beforeAutospacing="0" w:after="0" w:afterAutospacing="0"/>
        <w:jc w:val="both"/>
        <w:rPr>
          <w:sz w:val="28"/>
          <w:szCs w:val="28"/>
        </w:rPr>
      </w:pPr>
      <w:r>
        <w:rPr>
          <w:sz w:val="28"/>
          <w:szCs w:val="28"/>
        </w:rPr>
        <w:t>Ad ogni modo, l</w:t>
      </w:r>
      <w:r w:rsidR="0095713B" w:rsidRPr="0095713B">
        <w:rPr>
          <w:sz w:val="28"/>
          <w:szCs w:val="28"/>
        </w:rPr>
        <w:t xml:space="preserve">a piattaforma dovrà dimostrare la necessità e la proporzionalità delle misure adottate. </w:t>
      </w:r>
      <w:r>
        <w:rPr>
          <w:sz w:val="28"/>
          <w:szCs w:val="28"/>
        </w:rPr>
        <w:t>È importante evidenziare</w:t>
      </w:r>
      <w:r w:rsidR="0095713B" w:rsidRPr="0095713B">
        <w:rPr>
          <w:sz w:val="28"/>
          <w:szCs w:val="28"/>
        </w:rPr>
        <w:t xml:space="preserve"> che, </w:t>
      </w:r>
      <w:r>
        <w:rPr>
          <w:sz w:val="28"/>
          <w:szCs w:val="28"/>
        </w:rPr>
        <w:t xml:space="preserve">comunque, </w:t>
      </w:r>
      <w:r w:rsidR="0095713B" w:rsidRPr="0095713B">
        <w:rPr>
          <w:sz w:val="28"/>
          <w:szCs w:val="28"/>
        </w:rPr>
        <w:t xml:space="preserve">oltre </w:t>
      </w:r>
      <w:r>
        <w:rPr>
          <w:sz w:val="28"/>
          <w:szCs w:val="28"/>
        </w:rPr>
        <w:t xml:space="preserve">che </w:t>
      </w:r>
      <w:r w:rsidR="0095713B" w:rsidRPr="0095713B">
        <w:rPr>
          <w:sz w:val="28"/>
          <w:szCs w:val="28"/>
        </w:rPr>
        <w:t>per la tutela dei dati personali, l’implementazione di tali meccanismi rappresenta un rischio anche per la libertà di espressione.</w:t>
      </w:r>
    </w:p>
    <w:p w14:paraId="1E2415CE" w14:textId="78997D02" w:rsidR="00B330F0" w:rsidRDefault="00367B9F" w:rsidP="00852797">
      <w:pPr>
        <w:pStyle w:val="NormaleWeb"/>
        <w:spacing w:before="0" w:beforeAutospacing="0" w:after="0" w:afterAutospacing="0"/>
        <w:jc w:val="both"/>
        <w:rPr>
          <w:sz w:val="28"/>
          <w:szCs w:val="28"/>
        </w:rPr>
      </w:pPr>
      <w:r>
        <w:rPr>
          <w:sz w:val="28"/>
          <w:szCs w:val="28"/>
        </w:rPr>
        <w:t>In quest’</w:t>
      </w:r>
      <w:r w:rsidR="0095713B" w:rsidRPr="0095713B">
        <w:rPr>
          <w:sz w:val="28"/>
          <w:szCs w:val="28"/>
        </w:rPr>
        <w:t xml:space="preserve">ottica, </w:t>
      </w:r>
      <w:r>
        <w:rPr>
          <w:sz w:val="28"/>
          <w:szCs w:val="28"/>
        </w:rPr>
        <w:t>nel</w:t>
      </w:r>
      <w:r w:rsidR="0095713B" w:rsidRPr="0095713B">
        <w:rPr>
          <w:sz w:val="28"/>
          <w:szCs w:val="28"/>
        </w:rPr>
        <w:t xml:space="preserve">la proposta di DSA </w:t>
      </w:r>
      <w:r>
        <w:rPr>
          <w:sz w:val="28"/>
          <w:szCs w:val="28"/>
        </w:rPr>
        <w:t>è previsto</w:t>
      </w:r>
      <w:r w:rsidR="0095713B" w:rsidRPr="0095713B">
        <w:rPr>
          <w:sz w:val="28"/>
          <w:szCs w:val="28"/>
        </w:rPr>
        <w:t xml:space="preserve"> che la Commissione </w:t>
      </w:r>
      <w:r>
        <w:rPr>
          <w:sz w:val="28"/>
          <w:szCs w:val="28"/>
        </w:rPr>
        <w:t xml:space="preserve">europea </w:t>
      </w:r>
      <w:r w:rsidR="0095713B" w:rsidRPr="0095713B">
        <w:rPr>
          <w:sz w:val="28"/>
          <w:szCs w:val="28"/>
        </w:rPr>
        <w:t xml:space="preserve">incoraggi </w:t>
      </w:r>
      <w:r>
        <w:rPr>
          <w:sz w:val="28"/>
          <w:szCs w:val="28"/>
        </w:rPr>
        <w:t xml:space="preserve">e favorisca </w:t>
      </w:r>
      <w:r w:rsidR="0095713B" w:rsidRPr="0095713B">
        <w:rPr>
          <w:sz w:val="28"/>
          <w:szCs w:val="28"/>
        </w:rPr>
        <w:t>l’adozione</w:t>
      </w:r>
      <w:r>
        <w:rPr>
          <w:sz w:val="28"/>
          <w:szCs w:val="28"/>
        </w:rPr>
        <w:t>,</w:t>
      </w:r>
      <w:r w:rsidR="0095713B" w:rsidRPr="0095713B">
        <w:rPr>
          <w:sz w:val="28"/>
          <w:szCs w:val="28"/>
        </w:rPr>
        <w:t xml:space="preserve"> a livello </w:t>
      </w:r>
      <w:r w:rsidRPr="0095713B">
        <w:rPr>
          <w:sz w:val="28"/>
          <w:szCs w:val="28"/>
        </w:rPr>
        <w:t>europeo</w:t>
      </w:r>
      <w:r>
        <w:rPr>
          <w:sz w:val="28"/>
          <w:szCs w:val="28"/>
        </w:rPr>
        <w:t>,</w:t>
      </w:r>
      <w:r w:rsidR="0095713B" w:rsidRPr="0095713B">
        <w:rPr>
          <w:sz w:val="28"/>
          <w:szCs w:val="28"/>
        </w:rPr>
        <w:t xml:space="preserve"> di codici di condotta che </w:t>
      </w:r>
      <w:r w:rsidR="0086725B">
        <w:rPr>
          <w:sz w:val="28"/>
          <w:szCs w:val="28"/>
        </w:rPr>
        <w:t>aiutino</w:t>
      </w:r>
      <w:r w:rsidR="0095713B" w:rsidRPr="0095713B">
        <w:rPr>
          <w:sz w:val="28"/>
          <w:szCs w:val="28"/>
        </w:rPr>
        <w:t xml:space="preserve"> a garantire una migliore applicazione del </w:t>
      </w:r>
      <w:r>
        <w:rPr>
          <w:sz w:val="28"/>
          <w:szCs w:val="28"/>
        </w:rPr>
        <w:t>R</w:t>
      </w:r>
      <w:r w:rsidR="0095713B" w:rsidRPr="0095713B">
        <w:rPr>
          <w:sz w:val="28"/>
          <w:szCs w:val="28"/>
        </w:rPr>
        <w:t>egolamento</w:t>
      </w:r>
      <w:r w:rsidR="0086725B">
        <w:rPr>
          <w:sz w:val="28"/>
          <w:szCs w:val="28"/>
        </w:rPr>
        <w:t xml:space="preserve"> </w:t>
      </w:r>
      <w:r w:rsidR="00245DEE">
        <w:rPr>
          <w:sz w:val="28"/>
          <w:szCs w:val="28"/>
        </w:rPr>
        <w:t xml:space="preserve">e </w:t>
      </w:r>
      <w:r w:rsidR="0095713B" w:rsidRPr="0095713B">
        <w:rPr>
          <w:sz w:val="28"/>
          <w:szCs w:val="28"/>
        </w:rPr>
        <w:t xml:space="preserve">a gestire i rischi derivanti dalla diffusione di contenuti </w:t>
      </w:r>
      <w:r w:rsidR="0086725B">
        <w:rPr>
          <w:sz w:val="28"/>
          <w:szCs w:val="28"/>
        </w:rPr>
        <w:t>illeciti</w:t>
      </w:r>
      <w:r w:rsidR="0095713B" w:rsidRPr="0095713B">
        <w:rPr>
          <w:sz w:val="28"/>
          <w:szCs w:val="28"/>
        </w:rPr>
        <w:t xml:space="preserve">, </w:t>
      </w:r>
      <w:r w:rsidR="0086725B">
        <w:rPr>
          <w:sz w:val="28"/>
          <w:szCs w:val="28"/>
        </w:rPr>
        <w:t>tenuto conto</w:t>
      </w:r>
      <w:r w:rsidR="0095713B" w:rsidRPr="0095713B">
        <w:rPr>
          <w:sz w:val="28"/>
          <w:szCs w:val="28"/>
        </w:rPr>
        <w:t xml:space="preserve"> soprattutto dei profili </w:t>
      </w:r>
      <w:r w:rsidR="0086725B">
        <w:rPr>
          <w:sz w:val="28"/>
          <w:szCs w:val="28"/>
        </w:rPr>
        <w:t>che riguardano</w:t>
      </w:r>
      <w:r w:rsidR="0095713B" w:rsidRPr="0095713B">
        <w:rPr>
          <w:sz w:val="28"/>
          <w:szCs w:val="28"/>
        </w:rPr>
        <w:t xml:space="preserve"> la concorrenza e la protezione dei dati personali.</w:t>
      </w:r>
    </w:p>
    <w:p w14:paraId="04D1AF05" w14:textId="77777777" w:rsidR="00852797" w:rsidRPr="0095713B" w:rsidRDefault="00852797" w:rsidP="00852797">
      <w:pPr>
        <w:pStyle w:val="NormaleWeb"/>
        <w:spacing w:before="0" w:beforeAutospacing="0" w:after="0" w:afterAutospacing="0"/>
        <w:jc w:val="both"/>
        <w:rPr>
          <w:sz w:val="28"/>
          <w:szCs w:val="28"/>
        </w:rPr>
      </w:pPr>
    </w:p>
    <w:p w14:paraId="2EBCEA54" w14:textId="77777777" w:rsidR="00245DEE" w:rsidRDefault="00E771FC" w:rsidP="00067752">
      <w:pPr>
        <w:pStyle w:val="NormaleWeb"/>
        <w:spacing w:before="0" w:beforeAutospacing="0" w:after="0" w:afterAutospacing="0"/>
        <w:jc w:val="both"/>
        <w:rPr>
          <w:sz w:val="28"/>
          <w:szCs w:val="28"/>
        </w:rPr>
      </w:pPr>
      <w:r>
        <w:rPr>
          <w:sz w:val="28"/>
          <w:szCs w:val="28"/>
        </w:rPr>
        <w:t>I</w:t>
      </w:r>
      <w:r w:rsidRPr="0095713B">
        <w:rPr>
          <w:sz w:val="28"/>
          <w:szCs w:val="28"/>
        </w:rPr>
        <w:t xml:space="preserve">l nuovo </w:t>
      </w:r>
      <w:r>
        <w:rPr>
          <w:sz w:val="28"/>
          <w:szCs w:val="28"/>
        </w:rPr>
        <w:t>orientamento</w:t>
      </w:r>
      <w:r w:rsidRPr="0095713B">
        <w:rPr>
          <w:sz w:val="28"/>
          <w:szCs w:val="28"/>
        </w:rPr>
        <w:t xml:space="preserve"> giurisprudenziale italiano</w:t>
      </w:r>
      <w:r w:rsidR="00DE1DC5">
        <w:rPr>
          <w:sz w:val="28"/>
          <w:szCs w:val="28"/>
        </w:rPr>
        <w:t>,</w:t>
      </w:r>
      <w:r>
        <w:rPr>
          <w:sz w:val="28"/>
          <w:szCs w:val="28"/>
        </w:rPr>
        <w:t xml:space="preserve"> </w:t>
      </w:r>
      <w:r w:rsidRPr="0095713B">
        <w:rPr>
          <w:sz w:val="28"/>
          <w:szCs w:val="28"/>
        </w:rPr>
        <w:t xml:space="preserve">legato ad alcuni casi di rimozione di contenuti </w:t>
      </w:r>
      <w:r w:rsidRPr="00FC2677">
        <w:rPr>
          <w:i/>
          <w:iCs/>
          <w:sz w:val="28"/>
          <w:szCs w:val="28"/>
        </w:rPr>
        <w:t>online</w:t>
      </w:r>
      <w:r w:rsidRPr="0095713B">
        <w:rPr>
          <w:sz w:val="28"/>
          <w:szCs w:val="28"/>
        </w:rPr>
        <w:t xml:space="preserve"> da parte di </w:t>
      </w:r>
      <w:proofErr w:type="spellStart"/>
      <w:r w:rsidRPr="0095713B">
        <w:rPr>
          <w:sz w:val="28"/>
          <w:szCs w:val="28"/>
        </w:rPr>
        <w:t>Facebook</w:t>
      </w:r>
      <w:proofErr w:type="spellEnd"/>
      <w:r w:rsidR="00DE1DC5">
        <w:rPr>
          <w:sz w:val="28"/>
          <w:szCs w:val="28"/>
        </w:rPr>
        <w:t>,</w:t>
      </w:r>
      <w:r w:rsidRPr="0095713B">
        <w:rPr>
          <w:sz w:val="28"/>
          <w:szCs w:val="28"/>
        </w:rPr>
        <w:t xml:space="preserve"> e ispirato </w:t>
      </w:r>
      <w:r>
        <w:rPr>
          <w:sz w:val="28"/>
          <w:szCs w:val="28"/>
        </w:rPr>
        <w:t>anche</w:t>
      </w:r>
      <w:r w:rsidRPr="0095713B">
        <w:rPr>
          <w:sz w:val="28"/>
          <w:szCs w:val="28"/>
        </w:rPr>
        <w:t xml:space="preserve"> </w:t>
      </w:r>
      <w:r w:rsidR="00DE1DC5">
        <w:rPr>
          <w:sz w:val="28"/>
          <w:szCs w:val="28"/>
        </w:rPr>
        <w:t>ai dettami della</w:t>
      </w:r>
      <w:r w:rsidRPr="0095713B">
        <w:rPr>
          <w:sz w:val="28"/>
          <w:szCs w:val="28"/>
        </w:rPr>
        <w:t xml:space="preserve"> Corte </w:t>
      </w:r>
      <w:proofErr w:type="spellStart"/>
      <w:r w:rsidRPr="0095713B">
        <w:rPr>
          <w:sz w:val="28"/>
          <w:szCs w:val="28"/>
        </w:rPr>
        <w:t>Edu</w:t>
      </w:r>
      <w:proofErr w:type="spellEnd"/>
      <w:r>
        <w:rPr>
          <w:rStyle w:val="Rimandonotaapidipagina"/>
          <w:sz w:val="28"/>
          <w:szCs w:val="28"/>
        </w:rPr>
        <w:footnoteReference w:id="161"/>
      </w:r>
      <w:r>
        <w:rPr>
          <w:sz w:val="28"/>
          <w:szCs w:val="28"/>
        </w:rPr>
        <w:t xml:space="preserve">, si </w:t>
      </w:r>
      <w:r>
        <w:rPr>
          <w:sz w:val="28"/>
          <w:szCs w:val="28"/>
        </w:rPr>
        <w:lastRenderedPageBreak/>
        <w:t>va ad inserire a</w:t>
      </w:r>
      <w:r w:rsidR="0095713B" w:rsidRPr="0095713B">
        <w:rPr>
          <w:sz w:val="28"/>
          <w:szCs w:val="28"/>
        </w:rPr>
        <w:t>ll’interno di questo quadro normativo</w:t>
      </w:r>
      <w:r>
        <w:rPr>
          <w:sz w:val="28"/>
          <w:szCs w:val="28"/>
        </w:rPr>
        <w:t>, relativo</w:t>
      </w:r>
      <w:r w:rsidR="0095713B" w:rsidRPr="0095713B">
        <w:rPr>
          <w:sz w:val="28"/>
          <w:szCs w:val="28"/>
        </w:rPr>
        <w:t xml:space="preserve"> ai limiti che possono</w:t>
      </w:r>
      <w:r w:rsidR="004C0C56">
        <w:rPr>
          <w:sz w:val="28"/>
          <w:szCs w:val="28"/>
        </w:rPr>
        <w:t xml:space="preserve">, in maniera legittima, </w:t>
      </w:r>
      <w:r w:rsidR="0095713B" w:rsidRPr="0095713B">
        <w:rPr>
          <w:sz w:val="28"/>
          <w:szCs w:val="28"/>
        </w:rPr>
        <w:t xml:space="preserve">essere imposti alla libertà di espressione in relazione a messaggi d’odio o discriminatori. </w:t>
      </w:r>
    </w:p>
    <w:p w14:paraId="7819E0BD" w14:textId="77777777" w:rsidR="00245DEE" w:rsidRDefault="00DE1DC5" w:rsidP="00067752">
      <w:pPr>
        <w:pStyle w:val="NormaleWeb"/>
        <w:spacing w:before="0" w:beforeAutospacing="0" w:after="0" w:afterAutospacing="0"/>
        <w:jc w:val="both"/>
        <w:rPr>
          <w:sz w:val="28"/>
          <w:szCs w:val="28"/>
        </w:rPr>
      </w:pPr>
      <w:r>
        <w:rPr>
          <w:sz w:val="28"/>
          <w:szCs w:val="28"/>
        </w:rPr>
        <w:t>Per cominciare</w:t>
      </w:r>
      <w:r w:rsidR="0095713B" w:rsidRPr="0095713B">
        <w:rPr>
          <w:sz w:val="28"/>
          <w:szCs w:val="28"/>
        </w:rPr>
        <w:t xml:space="preserve">, la giurisprudenza della Corte è conforme nel ritenere che </w:t>
      </w:r>
      <w:r>
        <w:rPr>
          <w:sz w:val="28"/>
          <w:szCs w:val="28"/>
        </w:rPr>
        <w:t xml:space="preserve">gli atti di </w:t>
      </w:r>
      <w:r w:rsidR="0095713B" w:rsidRPr="0095713B">
        <w:rPr>
          <w:sz w:val="28"/>
          <w:szCs w:val="28"/>
        </w:rPr>
        <w:t xml:space="preserve">istigazione all’odio non </w:t>
      </w:r>
      <w:r>
        <w:rPr>
          <w:sz w:val="28"/>
          <w:szCs w:val="28"/>
        </w:rPr>
        <w:t xml:space="preserve">necessitino della </w:t>
      </w:r>
      <w:r w:rsidR="0095713B" w:rsidRPr="0095713B">
        <w:rPr>
          <w:sz w:val="28"/>
          <w:szCs w:val="28"/>
        </w:rPr>
        <w:t xml:space="preserve">presenza </w:t>
      </w:r>
      <w:r>
        <w:rPr>
          <w:sz w:val="28"/>
          <w:szCs w:val="28"/>
        </w:rPr>
        <w:t>di</w:t>
      </w:r>
      <w:r w:rsidR="0095713B" w:rsidRPr="0095713B">
        <w:rPr>
          <w:sz w:val="28"/>
          <w:szCs w:val="28"/>
        </w:rPr>
        <w:t xml:space="preserve"> violenza o delitti consumati. </w:t>
      </w:r>
      <w:r>
        <w:rPr>
          <w:sz w:val="28"/>
          <w:szCs w:val="28"/>
        </w:rPr>
        <w:t>Bisogna soffermarsi anche</w:t>
      </w:r>
      <w:r w:rsidR="0095713B" w:rsidRPr="0095713B">
        <w:rPr>
          <w:sz w:val="28"/>
          <w:szCs w:val="28"/>
        </w:rPr>
        <w:t xml:space="preserve"> </w:t>
      </w:r>
      <w:r>
        <w:rPr>
          <w:sz w:val="28"/>
          <w:szCs w:val="28"/>
        </w:rPr>
        <w:t>su</w:t>
      </w:r>
      <w:r w:rsidR="0095713B" w:rsidRPr="0095713B">
        <w:rPr>
          <w:sz w:val="28"/>
          <w:szCs w:val="28"/>
        </w:rPr>
        <w:t>ll’identificazione</w:t>
      </w:r>
      <w:r w:rsidR="004C0C56">
        <w:rPr>
          <w:sz w:val="28"/>
          <w:szCs w:val="28"/>
        </w:rPr>
        <w:t>,</w:t>
      </w:r>
      <w:r w:rsidR="0095713B" w:rsidRPr="0095713B">
        <w:rPr>
          <w:sz w:val="28"/>
          <w:szCs w:val="28"/>
        </w:rPr>
        <w:t xml:space="preserve"> in concreto</w:t>
      </w:r>
      <w:r w:rsidR="004C0C56">
        <w:rPr>
          <w:sz w:val="28"/>
          <w:szCs w:val="28"/>
        </w:rPr>
        <w:t>,</w:t>
      </w:r>
      <w:r w:rsidR="0095713B" w:rsidRPr="0095713B">
        <w:rPr>
          <w:sz w:val="28"/>
          <w:szCs w:val="28"/>
        </w:rPr>
        <w:t xml:space="preserve"> dell’incitamento alla violenza, </w:t>
      </w:r>
      <w:r w:rsidR="004C0C56">
        <w:rPr>
          <w:sz w:val="28"/>
          <w:szCs w:val="28"/>
        </w:rPr>
        <w:t>che deve essere valutato basandosi</w:t>
      </w:r>
      <w:r w:rsidR="0095713B" w:rsidRPr="0095713B">
        <w:rPr>
          <w:sz w:val="28"/>
          <w:szCs w:val="28"/>
        </w:rPr>
        <w:t xml:space="preserve"> </w:t>
      </w:r>
      <w:r w:rsidR="004C0C56">
        <w:rPr>
          <w:sz w:val="28"/>
          <w:szCs w:val="28"/>
        </w:rPr>
        <w:t>su</w:t>
      </w:r>
      <w:r w:rsidR="0095713B" w:rsidRPr="0095713B">
        <w:rPr>
          <w:sz w:val="28"/>
          <w:szCs w:val="28"/>
        </w:rPr>
        <w:t xml:space="preserve"> diversi elementi, </w:t>
      </w:r>
      <w:r w:rsidR="004C0C56">
        <w:rPr>
          <w:sz w:val="28"/>
          <w:szCs w:val="28"/>
        </w:rPr>
        <w:t>tra i quali rientra</w:t>
      </w:r>
      <w:r w:rsidR="0095713B" w:rsidRPr="0095713B">
        <w:rPr>
          <w:sz w:val="28"/>
          <w:szCs w:val="28"/>
        </w:rPr>
        <w:t xml:space="preserve"> il modo in cui </w:t>
      </w:r>
      <w:r w:rsidR="004C0C56">
        <w:rPr>
          <w:sz w:val="28"/>
          <w:szCs w:val="28"/>
        </w:rPr>
        <w:t>viene</w:t>
      </w:r>
      <w:r w:rsidR="0095713B" w:rsidRPr="0095713B">
        <w:rPr>
          <w:sz w:val="28"/>
          <w:szCs w:val="28"/>
        </w:rPr>
        <w:t xml:space="preserve"> effettuata </w:t>
      </w:r>
      <w:r w:rsidR="004C0C56">
        <w:rPr>
          <w:sz w:val="28"/>
          <w:szCs w:val="28"/>
        </w:rPr>
        <w:t xml:space="preserve">una data </w:t>
      </w:r>
      <w:r w:rsidR="0095713B" w:rsidRPr="0095713B">
        <w:rPr>
          <w:sz w:val="28"/>
          <w:szCs w:val="28"/>
        </w:rPr>
        <w:t xml:space="preserve">comunicazione, il linguaggio </w:t>
      </w:r>
      <w:r w:rsidR="004C0C56">
        <w:rPr>
          <w:sz w:val="28"/>
          <w:szCs w:val="28"/>
        </w:rPr>
        <w:t xml:space="preserve">in concreto </w:t>
      </w:r>
      <w:r w:rsidR="0095713B" w:rsidRPr="0095713B">
        <w:rPr>
          <w:sz w:val="28"/>
          <w:szCs w:val="28"/>
        </w:rPr>
        <w:t>utilizzato, il contesto</w:t>
      </w:r>
      <w:r w:rsidR="004C0C56">
        <w:rPr>
          <w:sz w:val="28"/>
          <w:szCs w:val="28"/>
        </w:rPr>
        <w:t xml:space="preserve"> specifico</w:t>
      </w:r>
      <w:r w:rsidR="0095713B" w:rsidRPr="0095713B">
        <w:rPr>
          <w:sz w:val="28"/>
          <w:szCs w:val="28"/>
        </w:rPr>
        <w:t xml:space="preserve">, il numero di persone a cui l’informazione è rivolta, la posizione e la qualità ricoperte dall’autore, nonché la posizione di debolezza o meno del destinatario della dichiarazione. </w:t>
      </w:r>
    </w:p>
    <w:p w14:paraId="44B117DA" w14:textId="3E69DFDA" w:rsidR="008E6858" w:rsidRDefault="0095713B" w:rsidP="00067752">
      <w:pPr>
        <w:pStyle w:val="NormaleWeb"/>
        <w:spacing w:before="0" w:beforeAutospacing="0" w:after="0" w:afterAutospacing="0"/>
        <w:jc w:val="both"/>
        <w:rPr>
          <w:sz w:val="28"/>
          <w:szCs w:val="28"/>
        </w:rPr>
      </w:pPr>
      <w:r w:rsidRPr="0095713B">
        <w:rPr>
          <w:sz w:val="28"/>
          <w:szCs w:val="28"/>
        </w:rPr>
        <w:t xml:space="preserve">In </w:t>
      </w:r>
      <w:r w:rsidR="004C0C56">
        <w:rPr>
          <w:sz w:val="28"/>
          <w:szCs w:val="28"/>
        </w:rPr>
        <w:t>altri</w:t>
      </w:r>
      <w:r w:rsidRPr="0095713B">
        <w:rPr>
          <w:sz w:val="28"/>
          <w:szCs w:val="28"/>
        </w:rPr>
        <w:t xml:space="preserve"> </w:t>
      </w:r>
      <w:r w:rsidR="004C0C56">
        <w:rPr>
          <w:sz w:val="28"/>
          <w:szCs w:val="28"/>
        </w:rPr>
        <w:t>termini</w:t>
      </w:r>
      <w:r w:rsidRPr="0095713B">
        <w:rPr>
          <w:sz w:val="28"/>
          <w:szCs w:val="28"/>
        </w:rPr>
        <w:t xml:space="preserve">, </w:t>
      </w:r>
      <w:r w:rsidR="004C0C56">
        <w:rPr>
          <w:sz w:val="28"/>
          <w:szCs w:val="28"/>
        </w:rPr>
        <w:t xml:space="preserve">si può ammettere una </w:t>
      </w:r>
      <w:r w:rsidRPr="0095713B">
        <w:rPr>
          <w:sz w:val="28"/>
          <w:szCs w:val="28"/>
        </w:rPr>
        <w:t>compressione della libertà di manifest</w:t>
      </w:r>
      <w:r w:rsidR="00067752">
        <w:rPr>
          <w:sz w:val="28"/>
          <w:szCs w:val="28"/>
        </w:rPr>
        <w:t>are</w:t>
      </w:r>
      <w:r w:rsidRPr="0095713B">
        <w:rPr>
          <w:sz w:val="28"/>
          <w:szCs w:val="28"/>
        </w:rPr>
        <w:t xml:space="preserve"> </w:t>
      </w:r>
      <w:r w:rsidR="00067752">
        <w:rPr>
          <w:sz w:val="28"/>
          <w:szCs w:val="28"/>
        </w:rPr>
        <w:t>il</w:t>
      </w:r>
      <w:r w:rsidRPr="0095713B">
        <w:rPr>
          <w:sz w:val="28"/>
          <w:szCs w:val="28"/>
        </w:rPr>
        <w:t xml:space="preserve"> </w:t>
      </w:r>
      <w:r w:rsidR="00067752">
        <w:rPr>
          <w:sz w:val="28"/>
          <w:szCs w:val="28"/>
        </w:rPr>
        <w:t xml:space="preserve">proprio </w:t>
      </w:r>
      <w:r w:rsidRPr="0095713B">
        <w:rPr>
          <w:sz w:val="28"/>
          <w:szCs w:val="28"/>
        </w:rPr>
        <w:t xml:space="preserve">pensiero </w:t>
      </w:r>
      <w:r w:rsidR="00067752">
        <w:rPr>
          <w:sz w:val="28"/>
          <w:szCs w:val="28"/>
        </w:rPr>
        <w:t xml:space="preserve">in rete </w:t>
      </w:r>
      <w:r w:rsidR="004C0C56">
        <w:rPr>
          <w:sz w:val="28"/>
          <w:szCs w:val="28"/>
        </w:rPr>
        <w:t>solamente se</w:t>
      </w:r>
      <w:r w:rsidRPr="0095713B">
        <w:rPr>
          <w:sz w:val="28"/>
          <w:szCs w:val="28"/>
        </w:rPr>
        <w:t xml:space="preserve"> le manifestazioni d’odio </w:t>
      </w:r>
      <w:r w:rsidR="004C0C56">
        <w:rPr>
          <w:sz w:val="28"/>
          <w:szCs w:val="28"/>
        </w:rPr>
        <w:t xml:space="preserve">raggiungono un livello </w:t>
      </w:r>
      <w:r w:rsidR="00067752">
        <w:rPr>
          <w:sz w:val="28"/>
          <w:szCs w:val="28"/>
        </w:rPr>
        <w:t>tale da</w:t>
      </w:r>
      <w:r w:rsidRPr="0095713B">
        <w:rPr>
          <w:sz w:val="28"/>
          <w:szCs w:val="28"/>
        </w:rPr>
        <w:t xml:space="preserve"> dirsi funzionali alla compressione dei principi di uguaglianza e libertà</w:t>
      </w:r>
      <w:r w:rsidR="004B7469">
        <w:rPr>
          <w:rStyle w:val="Rimandonotaapidipagina"/>
          <w:sz w:val="28"/>
          <w:szCs w:val="28"/>
        </w:rPr>
        <w:footnoteReference w:id="162"/>
      </w:r>
      <w:r w:rsidR="0051336C">
        <w:rPr>
          <w:sz w:val="28"/>
          <w:szCs w:val="28"/>
        </w:rPr>
        <w:t>.</w:t>
      </w:r>
    </w:p>
    <w:p w14:paraId="458FFE3E" w14:textId="588539A2" w:rsidR="0095713B" w:rsidRPr="0095713B" w:rsidRDefault="00067752" w:rsidP="00067752">
      <w:pPr>
        <w:pStyle w:val="NormaleWeb"/>
        <w:spacing w:before="0" w:beforeAutospacing="0" w:after="0" w:afterAutospacing="0"/>
        <w:jc w:val="both"/>
        <w:rPr>
          <w:sz w:val="28"/>
          <w:szCs w:val="28"/>
        </w:rPr>
      </w:pPr>
      <w:r>
        <w:rPr>
          <w:sz w:val="28"/>
          <w:szCs w:val="28"/>
        </w:rPr>
        <w:t>L</w:t>
      </w:r>
      <w:r w:rsidR="0095713B" w:rsidRPr="0095713B">
        <w:rPr>
          <w:sz w:val="28"/>
          <w:szCs w:val="28"/>
        </w:rPr>
        <w:t>’Unione Europea</w:t>
      </w:r>
      <w:r>
        <w:rPr>
          <w:sz w:val="28"/>
          <w:szCs w:val="28"/>
        </w:rPr>
        <w:t>, d’altronde,</w:t>
      </w:r>
      <w:r w:rsidR="0095713B" w:rsidRPr="0095713B">
        <w:rPr>
          <w:sz w:val="28"/>
          <w:szCs w:val="28"/>
        </w:rPr>
        <w:t xml:space="preserve"> </w:t>
      </w:r>
      <w:r>
        <w:rPr>
          <w:sz w:val="28"/>
          <w:szCs w:val="28"/>
        </w:rPr>
        <w:t xml:space="preserve">già nel 2008 </w:t>
      </w:r>
      <w:r w:rsidR="0095713B" w:rsidRPr="0095713B">
        <w:rPr>
          <w:sz w:val="28"/>
          <w:szCs w:val="28"/>
        </w:rPr>
        <w:t>aveva adottato la decisione-quadro 2008/913/GAI</w:t>
      </w:r>
      <w:r w:rsidR="00B330F0">
        <w:rPr>
          <w:rStyle w:val="Rimandonotaapidipagina"/>
          <w:sz w:val="28"/>
          <w:szCs w:val="28"/>
        </w:rPr>
        <w:footnoteReference w:id="163"/>
      </w:r>
      <w:r w:rsidR="0095713B" w:rsidRPr="0095713B">
        <w:rPr>
          <w:sz w:val="28"/>
          <w:szCs w:val="28"/>
        </w:rPr>
        <w:t xml:space="preserve"> sulla lotta contro alcune forme ed espressioni di razzismo e xenofobia mediante il diritto penale, </w:t>
      </w:r>
      <w:r>
        <w:rPr>
          <w:sz w:val="28"/>
          <w:szCs w:val="28"/>
        </w:rPr>
        <w:t>tramite l’inserimento, tra i</w:t>
      </w:r>
      <w:r w:rsidR="0095713B" w:rsidRPr="0095713B">
        <w:rPr>
          <w:sz w:val="28"/>
          <w:szCs w:val="28"/>
        </w:rPr>
        <w:t xml:space="preserve"> reati di stampo razzista o xenofobo</w:t>
      </w:r>
      <w:r>
        <w:rPr>
          <w:sz w:val="28"/>
          <w:szCs w:val="28"/>
        </w:rPr>
        <w:t>, dell’“</w:t>
      </w:r>
      <w:r w:rsidR="0095713B" w:rsidRPr="00067752">
        <w:rPr>
          <w:i/>
          <w:iCs/>
          <w:sz w:val="28"/>
          <w:szCs w:val="28"/>
        </w:rPr>
        <w:t>istigazione pubblica alla violenza o all’odio nei confronti di un gruppo di persone, o di un suo membro, definito in riferimento alla razza, al colore, alla religione, all’ascendenza o all’origine nazionale o etnica</w:t>
      </w:r>
      <w:r w:rsidR="0095713B" w:rsidRPr="0095713B">
        <w:rPr>
          <w:sz w:val="28"/>
          <w:szCs w:val="28"/>
        </w:rPr>
        <w:t>” e</w:t>
      </w:r>
      <w:r>
        <w:rPr>
          <w:sz w:val="28"/>
          <w:szCs w:val="28"/>
        </w:rPr>
        <w:t xml:space="preserve"> dell’</w:t>
      </w:r>
      <w:r w:rsidR="0095713B" w:rsidRPr="0095713B">
        <w:rPr>
          <w:sz w:val="28"/>
          <w:szCs w:val="28"/>
        </w:rPr>
        <w:t>“</w:t>
      </w:r>
      <w:r w:rsidR="0095713B" w:rsidRPr="00067752">
        <w:rPr>
          <w:i/>
          <w:iCs/>
          <w:sz w:val="28"/>
          <w:szCs w:val="28"/>
        </w:rPr>
        <w:t>apologia, la negazione o la minimizzazione grossolana dei crimini di genocidio, dei crimini contro l’umanità e dei crimini di guerra</w:t>
      </w:r>
      <w:r w:rsidR="0095713B" w:rsidRPr="0095713B">
        <w:rPr>
          <w:sz w:val="28"/>
          <w:szCs w:val="28"/>
        </w:rPr>
        <w:t xml:space="preserve">”, </w:t>
      </w:r>
      <w:r>
        <w:rPr>
          <w:sz w:val="28"/>
          <w:szCs w:val="28"/>
        </w:rPr>
        <w:t>come sono</w:t>
      </w:r>
      <w:r w:rsidR="0095713B" w:rsidRPr="0095713B">
        <w:rPr>
          <w:sz w:val="28"/>
          <w:szCs w:val="28"/>
        </w:rPr>
        <w:t xml:space="preserve"> definiti agli articoli 6, 7 e 8 dello </w:t>
      </w:r>
      <w:r>
        <w:rPr>
          <w:sz w:val="28"/>
          <w:szCs w:val="28"/>
        </w:rPr>
        <w:t>S</w:t>
      </w:r>
      <w:r w:rsidR="0095713B" w:rsidRPr="0095713B">
        <w:rPr>
          <w:sz w:val="28"/>
          <w:szCs w:val="28"/>
        </w:rPr>
        <w:t>tatuto della Corte penale internazionale.</w:t>
      </w:r>
    </w:p>
    <w:p w14:paraId="236F2A34" w14:textId="77777777" w:rsidR="00245DEE" w:rsidRDefault="00067752" w:rsidP="00A754F6">
      <w:pPr>
        <w:pStyle w:val="NormaleWeb"/>
        <w:spacing w:before="0" w:beforeAutospacing="0" w:after="0" w:afterAutospacing="0"/>
        <w:jc w:val="both"/>
        <w:rPr>
          <w:sz w:val="28"/>
          <w:szCs w:val="28"/>
        </w:rPr>
      </w:pPr>
      <w:r>
        <w:rPr>
          <w:sz w:val="28"/>
          <w:szCs w:val="28"/>
        </w:rPr>
        <w:t>S</w:t>
      </w:r>
      <w:r w:rsidRPr="0095713B">
        <w:rPr>
          <w:sz w:val="28"/>
          <w:szCs w:val="28"/>
        </w:rPr>
        <w:t xml:space="preserve">otto questo </w:t>
      </w:r>
      <w:r>
        <w:rPr>
          <w:sz w:val="28"/>
          <w:szCs w:val="28"/>
        </w:rPr>
        <w:t>aspetto,</w:t>
      </w:r>
      <w:r w:rsidRPr="0095713B">
        <w:rPr>
          <w:sz w:val="28"/>
          <w:szCs w:val="28"/>
        </w:rPr>
        <w:t xml:space="preserve"> </w:t>
      </w:r>
      <w:r>
        <w:rPr>
          <w:sz w:val="28"/>
          <w:szCs w:val="28"/>
        </w:rPr>
        <w:t>i</w:t>
      </w:r>
      <w:r w:rsidR="0095713B" w:rsidRPr="0095713B">
        <w:rPr>
          <w:sz w:val="28"/>
          <w:szCs w:val="28"/>
        </w:rPr>
        <w:t xml:space="preserve">l primo caso rilevante </w:t>
      </w:r>
      <w:r>
        <w:rPr>
          <w:sz w:val="28"/>
          <w:szCs w:val="28"/>
        </w:rPr>
        <w:t>riguarda</w:t>
      </w:r>
      <w:r w:rsidR="0095713B" w:rsidRPr="0095713B">
        <w:rPr>
          <w:sz w:val="28"/>
          <w:szCs w:val="28"/>
        </w:rPr>
        <w:t xml:space="preserve"> </w:t>
      </w:r>
      <w:r>
        <w:rPr>
          <w:sz w:val="28"/>
          <w:szCs w:val="28"/>
        </w:rPr>
        <w:t>la</w:t>
      </w:r>
      <w:r w:rsidR="0095713B" w:rsidRPr="0095713B">
        <w:rPr>
          <w:sz w:val="28"/>
          <w:szCs w:val="28"/>
        </w:rPr>
        <w:t xml:space="preserve"> chiusura di diverse </w:t>
      </w:r>
      <w:r>
        <w:rPr>
          <w:sz w:val="28"/>
          <w:szCs w:val="28"/>
        </w:rPr>
        <w:t>p</w:t>
      </w:r>
      <w:r w:rsidR="0095713B" w:rsidRPr="0095713B">
        <w:rPr>
          <w:sz w:val="28"/>
          <w:szCs w:val="28"/>
        </w:rPr>
        <w:t xml:space="preserve">agine </w:t>
      </w:r>
      <w:proofErr w:type="spellStart"/>
      <w:r w:rsidR="0095713B" w:rsidRPr="0095713B">
        <w:rPr>
          <w:sz w:val="28"/>
          <w:szCs w:val="28"/>
        </w:rPr>
        <w:t>Facebook</w:t>
      </w:r>
      <w:proofErr w:type="spellEnd"/>
      <w:r w:rsidR="0095713B" w:rsidRPr="0095713B">
        <w:rPr>
          <w:sz w:val="28"/>
          <w:szCs w:val="28"/>
        </w:rPr>
        <w:t xml:space="preserve"> riconducibili ad alcune articolazioni territoriali del </w:t>
      </w:r>
      <w:r>
        <w:rPr>
          <w:sz w:val="28"/>
          <w:szCs w:val="28"/>
        </w:rPr>
        <w:t xml:space="preserve">noto </w:t>
      </w:r>
      <w:r w:rsidR="0095713B" w:rsidRPr="0095713B">
        <w:rPr>
          <w:sz w:val="28"/>
          <w:szCs w:val="28"/>
        </w:rPr>
        <w:t xml:space="preserve">partito politico </w:t>
      </w:r>
      <w:r w:rsidR="0095713B" w:rsidRPr="00067752">
        <w:rPr>
          <w:i/>
          <w:iCs/>
          <w:sz w:val="28"/>
          <w:szCs w:val="28"/>
        </w:rPr>
        <w:t>Forza Nuova</w:t>
      </w:r>
      <w:r>
        <w:rPr>
          <w:i/>
          <w:iCs/>
          <w:sz w:val="28"/>
          <w:szCs w:val="28"/>
        </w:rPr>
        <w:t>,</w:t>
      </w:r>
      <w:r w:rsidR="0095713B" w:rsidRPr="0095713B">
        <w:rPr>
          <w:sz w:val="28"/>
          <w:szCs w:val="28"/>
        </w:rPr>
        <w:t xml:space="preserve"> ed alla </w:t>
      </w:r>
      <w:r>
        <w:rPr>
          <w:sz w:val="28"/>
          <w:szCs w:val="28"/>
        </w:rPr>
        <w:t xml:space="preserve">diretta </w:t>
      </w:r>
      <w:r w:rsidR="0095713B" w:rsidRPr="0095713B">
        <w:rPr>
          <w:sz w:val="28"/>
          <w:szCs w:val="28"/>
        </w:rPr>
        <w:t xml:space="preserve">sospensione degli </w:t>
      </w:r>
      <w:r w:rsidR="0095713B" w:rsidRPr="00067752">
        <w:rPr>
          <w:i/>
          <w:iCs/>
          <w:sz w:val="28"/>
          <w:szCs w:val="28"/>
        </w:rPr>
        <w:t>account</w:t>
      </w:r>
      <w:r w:rsidR="0095713B" w:rsidRPr="0095713B">
        <w:rPr>
          <w:sz w:val="28"/>
          <w:szCs w:val="28"/>
        </w:rPr>
        <w:t xml:space="preserve"> personali di alcuni suoi esponenti, amministratori delle </w:t>
      </w:r>
      <w:r>
        <w:rPr>
          <w:sz w:val="28"/>
          <w:szCs w:val="28"/>
        </w:rPr>
        <w:t>p</w:t>
      </w:r>
      <w:r w:rsidR="0095713B" w:rsidRPr="0095713B">
        <w:rPr>
          <w:sz w:val="28"/>
          <w:szCs w:val="28"/>
        </w:rPr>
        <w:t>agine</w:t>
      </w:r>
      <w:r>
        <w:rPr>
          <w:sz w:val="28"/>
          <w:szCs w:val="28"/>
        </w:rPr>
        <w:t xml:space="preserve"> richiamate</w:t>
      </w:r>
      <w:r w:rsidR="0095713B" w:rsidRPr="0095713B">
        <w:rPr>
          <w:sz w:val="28"/>
          <w:szCs w:val="28"/>
        </w:rPr>
        <w:t xml:space="preserve">. </w:t>
      </w:r>
    </w:p>
    <w:p w14:paraId="15C74305" w14:textId="77777777" w:rsidR="00245DEE" w:rsidRDefault="00550880" w:rsidP="00A754F6">
      <w:pPr>
        <w:pStyle w:val="NormaleWeb"/>
        <w:spacing w:before="0" w:beforeAutospacing="0" w:after="0" w:afterAutospacing="0"/>
        <w:jc w:val="both"/>
        <w:rPr>
          <w:sz w:val="28"/>
          <w:szCs w:val="28"/>
        </w:rPr>
      </w:pPr>
      <w:r>
        <w:rPr>
          <w:sz w:val="28"/>
          <w:szCs w:val="28"/>
        </w:rPr>
        <w:t xml:space="preserve">In particolare, </w:t>
      </w:r>
      <w:r w:rsidR="00245DEE">
        <w:rPr>
          <w:sz w:val="28"/>
          <w:szCs w:val="28"/>
        </w:rPr>
        <w:t>con l’o</w:t>
      </w:r>
      <w:r w:rsidR="0095713B" w:rsidRPr="0095713B">
        <w:rPr>
          <w:sz w:val="28"/>
          <w:szCs w:val="28"/>
        </w:rPr>
        <w:t>rdinanza resa nell’ambito del</w:t>
      </w:r>
      <w:r w:rsidR="00B330F0">
        <w:rPr>
          <w:sz w:val="28"/>
          <w:szCs w:val="28"/>
        </w:rPr>
        <w:t xml:space="preserve"> </w:t>
      </w:r>
      <w:r w:rsidR="0095713B" w:rsidRPr="0095713B">
        <w:rPr>
          <w:sz w:val="28"/>
          <w:szCs w:val="28"/>
        </w:rPr>
        <w:t xml:space="preserve">procedimento cautelare ex art. 700 c.p.c. </w:t>
      </w:r>
      <w:r>
        <w:rPr>
          <w:sz w:val="28"/>
          <w:szCs w:val="28"/>
        </w:rPr>
        <w:t>(</w:t>
      </w:r>
      <w:r w:rsidR="0095713B" w:rsidRPr="0095713B">
        <w:rPr>
          <w:sz w:val="28"/>
          <w:szCs w:val="28"/>
        </w:rPr>
        <w:t>R.G. 64894/2019</w:t>
      </w:r>
      <w:r>
        <w:rPr>
          <w:sz w:val="28"/>
          <w:szCs w:val="28"/>
        </w:rPr>
        <w:t>)</w:t>
      </w:r>
      <w:r w:rsidR="0095713B" w:rsidRPr="0095713B">
        <w:rPr>
          <w:sz w:val="28"/>
          <w:szCs w:val="28"/>
        </w:rPr>
        <w:t xml:space="preserve"> in data 23/02/2020</w:t>
      </w:r>
      <w:r w:rsidR="006D4F00">
        <w:rPr>
          <w:rStyle w:val="Rimandonotaapidipagina"/>
          <w:sz w:val="28"/>
          <w:szCs w:val="28"/>
        </w:rPr>
        <w:footnoteReference w:id="164"/>
      </w:r>
      <w:r w:rsidR="0095713B" w:rsidRPr="0095713B">
        <w:rPr>
          <w:sz w:val="28"/>
          <w:szCs w:val="28"/>
        </w:rPr>
        <w:t xml:space="preserve">, il Tribunale ha </w:t>
      </w:r>
      <w:r w:rsidR="00624B8E">
        <w:rPr>
          <w:sz w:val="28"/>
          <w:szCs w:val="28"/>
        </w:rPr>
        <w:t>rigettato</w:t>
      </w:r>
      <w:r w:rsidR="0095713B" w:rsidRPr="0095713B">
        <w:rPr>
          <w:sz w:val="28"/>
          <w:szCs w:val="28"/>
        </w:rPr>
        <w:t xml:space="preserve"> il ricorso </w:t>
      </w:r>
      <w:r w:rsidR="0095713B" w:rsidRPr="0095713B">
        <w:rPr>
          <w:sz w:val="28"/>
          <w:szCs w:val="28"/>
        </w:rPr>
        <w:lastRenderedPageBreak/>
        <w:t xml:space="preserve">presentato </w:t>
      </w:r>
      <w:r w:rsidR="00624B8E">
        <w:rPr>
          <w:sz w:val="28"/>
          <w:szCs w:val="28"/>
        </w:rPr>
        <w:t xml:space="preserve">contro il </w:t>
      </w:r>
      <w:r w:rsidR="00624B8E" w:rsidRPr="00245DEE">
        <w:rPr>
          <w:i/>
          <w:iCs/>
          <w:sz w:val="28"/>
          <w:szCs w:val="28"/>
        </w:rPr>
        <w:t>social network</w:t>
      </w:r>
      <w:r w:rsidR="0095713B" w:rsidRPr="0095713B">
        <w:rPr>
          <w:sz w:val="28"/>
          <w:szCs w:val="28"/>
        </w:rPr>
        <w:t xml:space="preserve"> </w:t>
      </w:r>
      <w:proofErr w:type="spellStart"/>
      <w:r w:rsidR="0095713B" w:rsidRPr="0095713B">
        <w:rPr>
          <w:sz w:val="28"/>
          <w:szCs w:val="28"/>
        </w:rPr>
        <w:t>Facebook</w:t>
      </w:r>
      <w:proofErr w:type="spellEnd"/>
      <w:r w:rsidR="00624B8E">
        <w:rPr>
          <w:sz w:val="28"/>
          <w:szCs w:val="28"/>
        </w:rPr>
        <w:t xml:space="preserve">, volto a </w:t>
      </w:r>
      <w:r w:rsidR="0095713B" w:rsidRPr="0095713B">
        <w:rPr>
          <w:sz w:val="28"/>
          <w:szCs w:val="28"/>
        </w:rPr>
        <w:t xml:space="preserve">contestare il </w:t>
      </w:r>
      <w:r w:rsidR="00624B8E">
        <w:rPr>
          <w:sz w:val="28"/>
          <w:szCs w:val="28"/>
        </w:rPr>
        <w:t xml:space="preserve">su citato </w:t>
      </w:r>
      <w:r w:rsidR="0095713B" w:rsidRPr="0095713B">
        <w:rPr>
          <w:sz w:val="28"/>
          <w:szCs w:val="28"/>
        </w:rPr>
        <w:t>provvedimento di sospensione e chiusura dell</w:t>
      </w:r>
      <w:r w:rsidR="00624B8E">
        <w:rPr>
          <w:sz w:val="28"/>
          <w:szCs w:val="28"/>
        </w:rPr>
        <w:t>e</w:t>
      </w:r>
      <w:r w:rsidR="0095713B" w:rsidRPr="0095713B">
        <w:rPr>
          <w:sz w:val="28"/>
          <w:szCs w:val="28"/>
        </w:rPr>
        <w:t xml:space="preserve"> pagin</w:t>
      </w:r>
      <w:r w:rsidR="00624B8E">
        <w:rPr>
          <w:sz w:val="28"/>
          <w:szCs w:val="28"/>
        </w:rPr>
        <w:t>e</w:t>
      </w:r>
      <w:r w:rsidR="0095713B" w:rsidRPr="0095713B">
        <w:rPr>
          <w:sz w:val="28"/>
          <w:szCs w:val="28"/>
        </w:rPr>
        <w:t xml:space="preserve">, </w:t>
      </w:r>
      <w:r w:rsidR="00624B8E">
        <w:rPr>
          <w:sz w:val="28"/>
          <w:szCs w:val="28"/>
        </w:rPr>
        <w:t>aderendo</w:t>
      </w:r>
      <w:r w:rsidR="0095713B" w:rsidRPr="0095713B">
        <w:rPr>
          <w:sz w:val="28"/>
          <w:szCs w:val="28"/>
        </w:rPr>
        <w:t xml:space="preserve"> </w:t>
      </w:r>
      <w:r w:rsidR="00624B8E">
        <w:rPr>
          <w:sz w:val="28"/>
          <w:szCs w:val="28"/>
        </w:rPr>
        <w:t>quindi</w:t>
      </w:r>
      <w:r w:rsidR="0095713B" w:rsidRPr="0095713B">
        <w:rPr>
          <w:sz w:val="28"/>
          <w:szCs w:val="28"/>
        </w:rPr>
        <w:t xml:space="preserve"> </w:t>
      </w:r>
      <w:r w:rsidR="00624B8E">
        <w:rPr>
          <w:sz w:val="28"/>
          <w:szCs w:val="28"/>
        </w:rPr>
        <w:t>alla</w:t>
      </w:r>
      <w:r w:rsidR="0095713B" w:rsidRPr="0095713B">
        <w:rPr>
          <w:sz w:val="28"/>
          <w:szCs w:val="28"/>
        </w:rPr>
        <w:t xml:space="preserve"> </w:t>
      </w:r>
      <w:r w:rsidR="00624B8E">
        <w:rPr>
          <w:sz w:val="28"/>
          <w:szCs w:val="28"/>
        </w:rPr>
        <w:t>tesi</w:t>
      </w:r>
      <w:r w:rsidR="0095713B" w:rsidRPr="0095713B">
        <w:rPr>
          <w:sz w:val="28"/>
          <w:szCs w:val="28"/>
        </w:rPr>
        <w:t xml:space="preserve"> </w:t>
      </w:r>
      <w:r w:rsidR="00624B8E">
        <w:rPr>
          <w:sz w:val="28"/>
          <w:szCs w:val="28"/>
        </w:rPr>
        <w:t xml:space="preserve">della piattaforma </w:t>
      </w:r>
      <w:r w:rsidR="00624B8E" w:rsidRPr="00245DEE">
        <w:rPr>
          <w:i/>
          <w:iCs/>
          <w:sz w:val="28"/>
          <w:szCs w:val="28"/>
        </w:rPr>
        <w:t>social</w:t>
      </w:r>
      <w:r w:rsidR="0095713B" w:rsidRPr="0095713B">
        <w:rPr>
          <w:sz w:val="28"/>
          <w:szCs w:val="28"/>
        </w:rPr>
        <w:t xml:space="preserve">. </w:t>
      </w:r>
    </w:p>
    <w:p w14:paraId="2C6F4034" w14:textId="102AD575" w:rsidR="00245DEE" w:rsidRDefault="0095713B" w:rsidP="00A754F6">
      <w:pPr>
        <w:pStyle w:val="NormaleWeb"/>
        <w:spacing w:before="0" w:beforeAutospacing="0" w:after="0" w:afterAutospacing="0"/>
        <w:jc w:val="both"/>
        <w:rPr>
          <w:sz w:val="28"/>
          <w:szCs w:val="28"/>
        </w:rPr>
      </w:pPr>
      <w:r w:rsidRPr="0095713B">
        <w:rPr>
          <w:sz w:val="28"/>
          <w:szCs w:val="28"/>
        </w:rPr>
        <w:t>Nella pronuncia</w:t>
      </w:r>
      <w:r w:rsidR="00624B8E">
        <w:rPr>
          <w:sz w:val="28"/>
          <w:szCs w:val="28"/>
        </w:rPr>
        <w:t xml:space="preserve"> romana</w:t>
      </w:r>
      <w:r w:rsidRPr="0095713B">
        <w:rPr>
          <w:sz w:val="28"/>
          <w:szCs w:val="28"/>
        </w:rPr>
        <w:t xml:space="preserve">, che </w:t>
      </w:r>
      <w:r w:rsidR="00624B8E">
        <w:rPr>
          <w:sz w:val="28"/>
          <w:szCs w:val="28"/>
        </w:rPr>
        <w:t>si rifà</w:t>
      </w:r>
      <w:r w:rsidRPr="0095713B">
        <w:rPr>
          <w:sz w:val="28"/>
          <w:szCs w:val="28"/>
        </w:rPr>
        <w:t xml:space="preserve"> </w:t>
      </w:r>
      <w:r w:rsidR="00624B8E">
        <w:rPr>
          <w:sz w:val="28"/>
          <w:szCs w:val="28"/>
        </w:rPr>
        <w:t>al</w:t>
      </w:r>
      <w:r w:rsidRPr="0095713B">
        <w:rPr>
          <w:sz w:val="28"/>
          <w:szCs w:val="28"/>
        </w:rPr>
        <w:t>la definizione di “</w:t>
      </w:r>
      <w:proofErr w:type="spellStart"/>
      <w:r w:rsidRPr="00624B8E">
        <w:rPr>
          <w:i/>
          <w:iCs/>
          <w:sz w:val="28"/>
          <w:szCs w:val="28"/>
        </w:rPr>
        <w:t>hate</w:t>
      </w:r>
      <w:proofErr w:type="spellEnd"/>
      <w:r w:rsidRPr="00624B8E">
        <w:rPr>
          <w:i/>
          <w:iCs/>
          <w:sz w:val="28"/>
          <w:szCs w:val="28"/>
        </w:rPr>
        <w:t xml:space="preserve"> </w:t>
      </w:r>
      <w:proofErr w:type="spellStart"/>
      <w:r w:rsidRPr="00624B8E">
        <w:rPr>
          <w:i/>
          <w:iCs/>
          <w:sz w:val="28"/>
          <w:szCs w:val="28"/>
        </w:rPr>
        <w:t>speech</w:t>
      </w:r>
      <w:proofErr w:type="spellEnd"/>
      <w:r w:rsidRPr="0095713B">
        <w:rPr>
          <w:sz w:val="28"/>
          <w:szCs w:val="28"/>
        </w:rPr>
        <w:t xml:space="preserve">” </w:t>
      </w:r>
      <w:r w:rsidR="00624B8E">
        <w:rPr>
          <w:sz w:val="28"/>
          <w:szCs w:val="28"/>
        </w:rPr>
        <w:t>predisposta</w:t>
      </w:r>
      <w:r w:rsidRPr="0095713B">
        <w:rPr>
          <w:sz w:val="28"/>
          <w:szCs w:val="28"/>
        </w:rPr>
        <w:t xml:space="preserve"> dall’OSCE, i</w:t>
      </w:r>
      <w:r w:rsidR="00624B8E">
        <w:rPr>
          <w:sz w:val="28"/>
          <w:szCs w:val="28"/>
        </w:rPr>
        <w:t xml:space="preserve"> Giudici </w:t>
      </w:r>
      <w:r w:rsidRPr="0095713B">
        <w:rPr>
          <w:sz w:val="28"/>
          <w:szCs w:val="28"/>
        </w:rPr>
        <w:t>sottolinea</w:t>
      </w:r>
      <w:r w:rsidR="00624B8E">
        <w:rPr>
          <w:sz w:val="28"/>
          <w:szCs w:val="28"/>
        </w:rPr>
        <w:t>no</w:t>
      </w:r>
      <w:r w:rsidRPr="0095713B">
        <w:rPr>
          <w:sz w:val="28"/>
          <w:szCs w:val="28"/>
        </w:rPr>
        <w:t xml:space="preserve"> la natura di </w:t>
      </w:r>
      <w:proofErr w:type="spellStart"/>
      <w:r w:rsidR="00624B8E" w:rsidRPr="0095713B">
        <w:rPr>
          <w:sz w:val="28"/>
          <w:szCs w:val="28"/>
        </w:rPr>
        <w:t>Facebook</w:t>
      </w:r>
      <w:proofErr w:type="spellEnd"/>
      <w:r w:rsidR="00624B8E">
        <w:rPr>
          <w:sz w:val="28"/>
          <w:szCs w:val="28"/>
        </w:rPr>
        <w:t xml:space="preserve"> quale </w:t>
      </w:r>
      <w:r w:rsidRPr="00624B8E">
        <w:rPr>
          <w:i/>
          <w:iCs/>
          <w:sz w:val="28"/>
          <w:szCs w:val="28"/>
        </w:rPr>
        <w:t>soggetto privato</w:t>
      </w:r>
      <w:r w:rsidRPr="0095713B">
        <w:rPr>
          <w:sz w:val="28"/>
          <w:szCs w:val="28"/>
        </w:rPr>
        <w:t xml:space="preserve">, evidenziando che, nonostante la rilevanza sociale dell’attività svolta da quest’ultimo, il rapporto </w:t>
      </w:r>
      <w:r w:rsidR="00624B8E">
        <w:rPr>
          <w:sz w:val="28"/>
          <w:szCs w:val="28"/>
        </w:rPr>
        <w:t>tra</w:t>
      </w:r>
      <w:r w:rsidRPr="0095713B">
        <w:rPr>
          <w:sz w:val="28"/>
          <w:szCs w:val="28"/>
        </w:rPr>
        <w:t xml:space="preserve"> le </w:t>
      </w:r>
      <w:r w:rsidR="00624B8E">
        <w:rPr>
          <w:sz w:val="28"/>
          <w:szCs w:val="28"/>
        </w:rPr>
        <w:t xml:space="preserve">due </w:t>
      </w:r>
      <w:r w:rsidRPr="0095713B">
        <w:rPr>
          <w:sz w:val="28"/>
          <w:szCs w:val="28"/>
        </w:rPr>
        <w:t xml:space="preserve">parti è </w:t>
      </w:r>
      <w:r w:rsidR="00624B8E">
        <w:rPr>
          <w:sz w:val="28"/>
          <w:szCs w:val="28"/>
        </w:rPr>
        <w:t xml:space="preserve">comunque </w:t>
      </w:r>
      <w:r w:rsidRPr="0095713B">
        <w:rPr>
          <w:sz w:val="28"/>
          <w:szCs w:val="28"/>
        </w:rPr>
        <w:t xml:space="preserve">regolato dalle condizioni contrattuali a cui queste aderiscono al momento dell’iscrizione al </w:t>
      </w:r>
      <w:r w:rsidRPr="00245DEE">
        <w:rPr>
          <w:i/>
          <w:iCs/>
          <w:sz w:val="28"/>
          <w:szCs w:val="28"/>
        </w:rPr>
        <w:t>social network</w:t>
      </w:r>
      <w:r w:rsidRPr="0095713B">
        <w:rPr>
          <w:sz w:val="28"/>
          <w:szCs w:val="28"/>
        </w:rPr>
        <w:t xml:space="preserve">. </w:t>
      </w:r>
    </w:p>
    <w:p w14:paraId="564B92F0" w14:textId="77777777" w:rsidR="00412561" w:rsidRDefault="00412561" w:rsidP="00A754F6">
      <w:pPr>
        <w:pStyle w:val="NormaleWeb"/>
        <w:spacing w:before="0" w:beforeAutospacing="0" w:after="0" w:afterAutospacing="0"/>
        <w:jc w:val="both"/>
        <w:rPr>
          <w:sz w:val="28"/>
          <w:szCs w:val="28"/>
        </w:rPr>
      </w:pPr>
    </w:p>
    <w:p w14:paraId="2FA063CD" w14:textId="77777777" w:rsidR="00245DEE" w:rsidRDefault="00624B8E" w:rsidP="00A754F6">
      <w:pPr>
        <w:pStyle w:val="NormaleWeb"/>
        <w:spacing w:before="0" w:beforeAutospacing="0" w:after="0" w:afterAutospacing="0"/>
        <w:jc w:val="both"/>
        <w:rPr>
          <w:sz w:val="28"/>
          <w:szCs w:val="28"/>
        </w:rPr>
      </w:pPr>
      <w:r>
        <w:rPr>
          <w:sz w:val="28"/>
          <w:szCs w:val="28"/>
        </w:rPr>
        <w:t>Tramite</w:t>
      </w:r>
      <w:r w:rsidR="0095713B" w:rsidRPr="0095713B">
        <w:rPr>
          <w:sz w:val="28"/>
          <w:szCs w:val="28"/>
        </w:rPr>
        <w:t xml:space="preserve"> la sottoscrizione di tali </w:t>
      </w:r>
      <w:r w:rsidR="00245DEE">
        <w:rPr>
          <w:sz w:val="28"/>
          <w:szCs w:val="28"/>
        </w:rPr>
        <w:t>c</w:t>
      </w:r>
      <w:r w:rsidR="0095713B" w:rsidRPr="0095713B">
        <w:rPr>
          <w:sz w:val="28"/>
          <w:szCs w:val="28"/>
        </w:rPr>
        <w:t xml:space="preserve">ondizioni, </w:t>
      </w:r>
      <w:r>
        <w:rPr>
          <w:sz w:val="28"/>
          <w:szCs w:val="28"/>
        </w:rPr>
        <w:t xml:space="preserve">in effetti, </w:t>
      </w:r>
      <w:r w:rsidR="0095713B" w:rsidRPr="0095713B">
        <w:rPr>
          <w:sz w:val="28"/>
          <w:szCs w:val="28"/>
        </w:rPr>
        <w:t xml:space="preserve">l’utente </w:t>
      </w:r>
      <w:r w:rsidR="007C16AB">
        <w:rPr>
          <w:sz w:val="28"/>
          <w:szCs w:val="28"/>
        </w:rPr>
        <w:t>assume il precipuo impegno di</w:t>
      </w:r>
      <w:r w:rsidR="0095713B" w:rsidRPr="0095713B">
        <w:rPr>
          <w:sz w:val="28"/>
          <w:szCs w:val="28"/>
        </w:rPr>
        <w:t xml:space="preserve"> “</w:t>
      </w:r>
      <w:r w:rsidR="0095713B" w:rsidRPr="00624B8E">
        <w:rPr>
          <w:i/>
          <w:iCs/>
          <w:sz w:val="28"/>
          <w:szCs w:val="28"/>
        </w:rPr>
        <w:t xml:space="preserve">non usare </w:t>
      </w:r>
      <w:proofErr w:type="spellStart"/>
      <w:r w:rsidR="0095713B" w:rsidRPr="00624B8E">
        <w:rPr>
          <w:i/>
          <w:iCs/>
          <w:sz w:val="28"/>
          <w:szCs w:val="28"/>
        </w:rPr>
        <w:t>Facebook</w:t>
      </w:r>
      <w:proofErr w:type="spellEnd"/>
      <w:r w:rsidR="0095713B" w:rsidRPr="00624B8E">
        <w:rPr>
          <w:i/>
          <w:iCs/>
          <w:sz w:val="28"/>
          <w:szCs w:val="28"/>
        </w:rPr>
        <w:t xml:space="preserve"> per scopi illegali, ingannevoli, malevoli o discriminatori</w:t>
      </w:r>
      <w:r w:rsidR="0095713B" w:rsidRPr="0095713B">
        <w:rPr>
          <w:sz w:val="28"/>
          <w:szCs w:val="28"/>
        </w:rPr>
        <w:t xml:space="preserve">” e </w:t>
      </w:r>
      <w:r w:rsidR="007C16AB">
        <w:rPr>
          <w:sz w:val="28"/>
          <w:szCs w:val="28"/>
        </w:rPr>
        <w:t xml:space="preserve">di </w:t>
      </w:r>
      <w:r w:rsidR="0095713B" w:rsidRPr="0095713B">
        <w:rPr>
          <w:sz w:val="28"/>
          <w:szCs w:val="28"/>
        </w:rPr>
        <w:t>non “</w:t>
      </w:r>
      <w:r w:rsidR="0095713B" w:rsidRPr="00624B8E">
        <w:rPr>
          <w:i/>
          <w:iCs/>
          <w:sz w:val="28"/>
          <w:szCs w:val="28"/>
        </w:rPr>
        <w:t>pubblicare ed eseguire azioni che non rispettino i diritti di terzi o le leggi vigenti</w:t>
      </w:r>
      <w:r w:rsidR="0095713B" w:rsidRPr="0095713B">
        <w:rPr>
          <w:sz w:val="28"/>
          <w:szCs w:val="28"/>
        </w:rPr>
        <w:t xml:space="preserve">”. </w:t>
      </w:r>
    </w:p>
    <w:p w14:paraId="65FEA62B" w14:textId="77777777" w:rsidR="00412561" w:rsidRDefault="007C16AB" w:rsidP="00A754F6">
      <w:pPr>
        <w:pStyle w:val="NormaleWeb"/>
        <w:spacing w:before="0" w:beforeAutospacing="0" w:after="0" w:afterAutospacing="0"/>
        <w:jc w:val="both"/>
        <w:rPr>
          <w:sz w:val="28"/>
          <w:szCs w:val="28"/>
        </w:rPr>
      </w:pPr>
      <w:r>
        <w:rPr>
          <w:sz w:val="28"/>
          <w:szCs w:val="28"/>
        </w:rPr>
        <w:t xml:space="preserve">Tra l’altro, nell’ipotesi </w:t>
      </w:r>
      <w:r w:rsidR="0095713B" w:rsidRPr="0095713B">
        <w:rPr>
          <w:sz w:val="28"/>
          <w:szCs w:val="28"/>
        </w:rPr>
        <w:t xml:space="preserve">di violazione delle suddette </w:t>
      </w:r>
      <w:r w:rsidR="00245DEE">
        <w:rPr>
          <w:sz w:val="28"/>
          <w:szCs w:val="28"/>
        </w:rPr>
        <w:t>c</w:t>
      </w:r>
      <w:r w:rsidR="0095713B" w:rsidRPr="0095713B">
        <w:rPr>
          <w:sz w:val="28"/>
          <w:szCs w:val="28"/>
        </w:rPr>
        <w:t xml:space="preserve">ondizioni, </w:t>
      </w:r>
      <w:proofErr w:type="spellStart"/>
      <w:r w:rsidR="0095713B" w:rsidRPr="0095713B">
        <w:rPr>
          <w:sz w:val="28"/>
          <w:szCs w:val="28"/>
        </w:rPr>
        <w:t>Facebook</w:t>
      </w:r>
      <w:proofErr w:type="spellEnd"/>
      <w:r w:rsidR="0095713B" w:rsidRPr="0095713B">
        <w:rPr>
          <w:sz w:val="28"/>
          <w:szCs w:val="28"/>
        </w:rPr>
        <w:t xml:space="preserve"> si riserva</w:t>
      </w:r>
      <w:r w:rsidR="00412561">
        <w:rPr>
          <w:sz w:val="28"/>
          <w:szCs w:val="28"/>
        </w:rPr>
        <w:t>,</w:t>
      </w:r>
      <w:r w:rsidR="0095713B" w:rsidRPr="0095713B">
        <w:rPr>
          <w:sz w:val="28"/>
          <w:szCs w:val="28"/>
        </w:rPr>
        <w:t xml:space="preserve"> inoltre</w:t>
      </w:r>
      <w:r w:rsidR="00412561">
        <w:rPr>
          <w:sz w:val="28"/>
          <w:szCs w:val="28"/>
        </w:rPr>
        <w:t>,</w:t>
      </w:r>
      <w:r w:rsidR="0095713B" w:rsidRPr="0095713B">
        <w:rPr>
          <w:sz w:val="28"/>
          <w:szCs w:val="28"/>
        </w:rPr>
        <w:t xml:space="preserve"> il diritto di rimuovere tali contenuti</w:t>
      </w:r>
      <w:r>
        <w:rPr>
          <w:sz w:val="28"/>
          <w:szCs w:val="28"/>
        </w:rPr>
        <w:t xml:space="preserve"> e di</w:t>
      </w:r>
      <w:r w:rsidR="0095713B" w:rsidRPr="0095713B">
        <w:rPr>
          <w:sz w:val="28"/>
          <w:szCs w:val="28"/>
        </w:rPr>
        <w:t xml:space="preserve"> interrompere la fornitura del </w:t>
      </w:r>
      <w:r>
        <w:rPr>
          <w:sz w:val="28"/>
          <w:szCs w:val="28"/>
        </w:rPr>
        <w:t xml:space="preserve">suo </w:t>
      </w:r>
      <w:r w:rsidR="0095713B" w:rsidRPr="0095713B">
        <w:rPr>
          <w:sz w:val="28"/>
          <w:szCs w:val="28"/>
        </w:rPr>
        <w:t xml:space="preserve">servizio. </w:t>
      </w:r>
    </w:p>
    <w:p w14:paraId="420E63BD" w14:textId="37473CCB" w:rsidR="00A754F6" w:rsidRDefault="00A754F6" w:rsidP="00A754F6">
      <w:pPr>
        <w:pStyle w:val="NormaleWeb"/>
        <w:spacing w:before="0" w:beforeAutospacing="0" w:after="0" w:afterAutospacing="0"/>
        <w:jc w:val="both"/>
        <w:rPr>
          <w:sz w:val="28"/>
          <w:szCs w:val="28"/>
        </w:rPr>
      </w:pPr>
      <w:r>
        <w:rPr>
          <w:sz w:val="28"/>
          <w:szCs w:val="28"/>
        </w:rPr>
        <w:t>Viene</w:t>
      </w:r>
      <w:r w:rsidR="0095713B" w:rsidRPr="0095713B">
        <w:rPr>
          <w:sz w:val="28"/>
          <w:szCs w:val="28"/>
        </w:rPr>
        <w:t xml:space="preserve"> poi previsto che</w:t>
      </w:r>
      <w:r>
        <w:rPr>
          <w:sz w:val="28"/>
          <w:szCs w:val="28"/>
        </w:rPr>
        <w:t>,</w:t>
      </w:r>
      <w:r w:rsidR="0095713B" w:rsidRPr="0095713B">
        <w:rPr>
          <w:sz w:val="28"/>
          <w:szCs w:val="28"/>
        </w:rPr>
        <w:t xml:space="preserve"> nel caso in cui </w:t>
      </w:r>
      <w:r>
        <w:rPr>
          <w:sz w:val="28"/>
          <w:szCs w:val="28"/>
        </w:rPr>
        <w:t>il fruitore del servizio digitale</w:t>
      </w:r>
      <w:r w:rsidR="0095713B" w:rsidRPr="0095713B">
        <w:rPr>
          <w:sz w:val="28"/>
          <w:szCs w:val="28"/>
        </w:rPr>
        <w:t xml:space="preserve"> violi </w:t>
      </w:r>
      <w:r w:rsidR="0095713B" w:rsidRPr="00A754F6">
        <w:rPr>
          <w:i/>
          <w:iCs/>
          <w:sz w:val="28"/>
          <w:szCs w:val="28"/>
        </w:rPr>
        <w:t>chiaramente</w:t>
      </w:r>
      <w:r w:rsidR="0095713B" w:rsidRPr="0095713B">
        <w:rPr>
          <w:sz w:val="28"/>
          <w:szCs w:val="28"/>
        </w:rPr>
        <w:t xml:space="preserve">, </w:t>
      </w:r>
      <w:r w:rsidR="0095713B" w:rsidRPr="00A754F6">
        <w:rPr>
          <w:i/>
          <w:iCs/>
          <w:sz w:val="28"/>
          <w:szCs w:val="28"/>
        </w:rPr>
        <w:t>seriamente</w:t>
      </w:r>
      <w:r w:rsidR="0095713B" w:rsidRPr="0095713B">
        <w:rPr>
          <w:sz w:val="28"/>
          <w:szCs w:val="28"/>
        </w:rPr>
        <w:t xml:space="preserve"> o </w:t>
      </w:r>
      <w:r w:rsidR="0095713B" w:rsidRPr="00A754F6">
        <w:rPr>
          <w:i/>
          <w:iCs/>
          <w:sz w:val="28"/>
          <w:szCs w:val="28"/>
        </w:rPr>
        <w:t>reiteratamente</w:t>
      </w:r>
      <w:r w:rsidR="0095713B" w:rsidRPr="0095713B">
        <w:rPr>
          <w:sz w:val="28"/>
          <w:szCs w:val="28"/>
        </w:rPr>
        <w:t xml:space="preserve"> le condizioni</w:t>
      </w:r>
      <w:r>
        <w:rPr>
          <w:sz w:val="28"/>
          <w:szCs w:val="28"/>
        </w:rPr>
        <w:t xml:space="preserve"> o</w:t>
      </w:r>
      <w:r w:rsidR="0095713B" w:rsidRPr="0095713B">
        <w:rPr>
          <w:sz w:val="28"/>
          <w:szCs w:val="28"/>
        </w:rPr>
        <w:t xml:space="preserve"> normative – ed in particolare gli </w:t>
      </w:r>
      <w:r w:rsidR="0095713B" w:rsidRPr="00412561">
        <w:rPr>
          <w:i/>
          <w:iCs/>
          <w:sz w:val="28"/>
          <w:szCs w:val="28"/>
        </w:rPr>
        <w:t>Standard</w:t>
      </w:r>
      <w:r w:rsidR="0095713B" w:rsidRPr="0095713B">
        <w:rPr>
          <w:sz w:val="28"/>
          <w:szCs w:val="28"/>
        </w:rPr>
        <w:t xml:space="preserve"> della </w:t>
      </w:r>
      <w:r w:rsidR="00412561" w:rsidRPr="00412561">
        <w:rPr>
          <w:i/>
          <w:iCs/>
          <w:sz w:val="28"/>
          <w:szCs w:val="28"/>
        </w:rPr>
        <w:t>C</w:t>
      </w:r>
      <w:r w:rsidR="0095713B" w:rsidRPr="00412561">
        <w:rPr>
          <w:i/>
          <w:iCs/>
          <w:sz w:val="28"/>
          <w:szCs w:val="28"/>
        </w:rPr>
        <w:t>ommunity</w:t>
      </w:r>
      <w:r w:rsidR="0095713B" w:rsidRPr="0095713B">
        <w:rPr>
          <w:sz w:val="28"/>
          <w:szCs w:val="28"/>
        </w:rPr>
        <w:t xml:space="preserve"> – </w:t>
      </w:r>
      <w:proofErr w:type="spellStart"/>
      <w:r w:rsidR="0095713B" w:rsidRPr="0095713B">
        <w:rPr>
          <w:sz w:val="28"/>
          <w:szCs w:val="28"/>
        </w:rPr>
        <w:t>Facebook</w:t>
      </w:r>
      <w:proofErr w:type="spellEnd"/>
      <w:r w:rsidR="0095713B" w:rsidRPr="0095713B">
        <w:rPr>
          <w:sz w:val="28"/>
          <w:szCs w:val="28"/>
        </w:rPr>
        <w:t xml:space="preserve"> potrebbe </w:t>
      </w:r>
      <w:r>
        <w:rPr>
          <w:sz w:val="28"/>
          <w:szCs w:val="28"/>
        </w:rPr>
        <w:t xml:space="preserve">arrivare a </w:t>
      </w:r>
      <w:r w:rsidR="0095713B" w:rsidRPr="0095713B">
        <w:rPr>
          <w:sz w:val="28"/>
          <w:szCs w:val="28"/>
        </w:rPr>
        <w:t xml:space="preserve">sospendere o disabilitare in modo </w:t>
      </w:r>
      <w:r w:rsidR="0095713B" w:rsidRPr="00A754F6">
        <w:rPr>
          <w:i/>
          <w:iCs/>
          <w:sz w:val="28"/>
          <w:szCs w:val="28"/>
        </w:rPr>
        <w:t>permanente</w:t>
      </w:r>
      <w:r w:rsidR="0095713B" w:rsidRPr="0095713B">
        <w:rPr>
          <w:sz w:val="28"/>
          <w:szCs w:val="28"/>
        </w:rPr>
        <w:t xml:space="preserve"> l’accesso d</w:t>
      </w:r>
      <w:r>
        <w:rPr>
          <w:sz w:val="28"/>
          <w:szCs w:val="28"/>
        </w:rPr>
        <w:t xml:space="preserve">ell’utente </w:t>
      </w:r>
      <w:r w:rsidR="0095713B" w:rsidRPr="0095713B">
        <w:rPr>
          <w:sz w:val="28"/>
          <w:szCs w:val="28"/>
        </w:rPr>
        <w:t xml:space="preserve">al proprio </w:t>
      </w:r>
      <w:r w:rsidR="0095713B" w:rsidRPr="00A754F6">
        <w:rPr>
          <w:i/>
          <w:iCs/>
          <w:sz w:val="28"/>
          <w:szCs w:val="28"/>
        </w:rPr>
        <w:t>account</w:t>
      </w:r>
      <w:r w:rsidR="0095713B" w:rsidRPr="0095713B">
        <w:rPr>
          <w:sz w:val="28"/>
          <w:szCs w:val="28"/>
        </w:rPr>
        <w:t>, fermo restando che le misure in concreto adottate dipendono</w:t>
      </w:r>
      <w:r w:rsidR="00412561">
        <w:rPr>
          <w:sz w:val="28"/>
          <w:szCs w:val="28"/>
        </w:rPr>
        <w:t>,</w:t>
      </w:r>
      <w:r w:rsidR="0095713B" w:rsidRPr="0095713B">
        <w:rPr>
          <w:sz w:val="28"/>
          <w:szCs w:val="28"/>
        </w:rPr>
        <w:t xml:space="preserve"> in ogni caso</w:t>
      </w:r>
      <w:r w:rsidR="00412561">
        <w:rPr>
          <w:sz w:val="28"/>
          <w:szCs w:val="28"/>
        </w:rPr>
        <w:t>,</w:t>
      </w:r>
      <w:r w:rsidR="0095713B" w:rsidRPr="0095713B">
        <w:rPr>
          <w:sz w:val="28"/>
          <w:szCs w:val="28"/>
        </w:rPr>
        <w:t xml:space="preserve"> dalla gravità della violazione e dalle precedenti condotte dell’utente</w:t>
      </w:r>
      <w:r>
        <w:rPr>
          <w:sz w:val="28"/>
          <w:szCs w:val="28"/>
        </w:rPr>
        <w:t>-fruitore</w:t>
      </w:r>
      <w:r w:rsidR="0095713B" w:rsidRPr="0095713B">
        <w:rPr>
          <w:sz w:val="28"/>
          <w:szCs w:val="28"/>
        </w:rPr>
        <w:t xml:space="preserve">. </w:t>
      </w:r>
      <w:r>
        <w:rPr>
          <w:sz w:val="28"/>
          <w:szCs w:val="28"/>
        </w:rPr>
        <w:t>Queste stesse</w:t>
      </w:r>
      <w:r w:rsidR="0095713B" w:rsidRPr="0095713B">
        <w:rPr>
          <w:sz w:val="28"/>
          <w:szCs w:val="28"/>
        </w:rPr>
        <w:t xml:space="preserve"> regole si applicano</w:t>
      </w:r>
      <w:r>
        <w:rPr>
          <w:sz w:val="28"/>
          <w:szCs w:val="28"/>
        </w:rPr>
        <w:t xml:space="preserve"> anche</w:t>
      </w:r>
      <w:r w:rsidR="0095713B" w:rsidRPr="0095713B">
        <w:rPr>
          <w:sz w:val="28"/>
          <w:szCs w:val="28"/>
        </w:rPr>
        <w:t xml:space="preserve"> alle </w:t>
      </w:r>
      <w:r>
        <w:rPr>
          <w:sz w:val="28"/>
          <w:szCs w:val="28"/>
        </w:rPr>
        <w:t>“p</w:t>
      </w:r>
      <w:r w:rsidR="0095713B" w:rsidRPr="0095713B">
        <w:rPr>
          <w:sz w:val="28"/>
          <w:szCs w:val="28"/>
        </w:rPr>
        <w:t>agine</w:t>
      </w:r>
      <w:r>
        <w:rPr>
          <w:sz w:val="28"/>
          <w:szCs w:val="28"/>
        </w:rPr>
        <w:t xml:space="preserve"> </w:t>
      </w:r>
      <w:r w:rsidRPr="00412561">
        <w:rPr>
          <w:i/>
          <w:iCs/>
          <w:sz w:val="28"/>
          <w:szCs w:val="28"/>
        </w:rPr>
        <w:t>social</w:t>
      </w:r>
      <w:r>
        <w:rPr>
          <w:sz w:val="28"/>
          <w:szCs w:val="28"/>
        </w:rPr>
        <w:t>”</w:t>
      </w:r>
      <w:r w:rsidR="0095713B" w:rsidRPr="0095713B">
        <w:rPr>
          <w:sz w:val="28"/>
          <w:szCs w:val="28"/>
        </w:rPr>
        <w:t xml:space="preserve">, e l’utente è </w:t>
      </w:r>
      <w:r>
        <w:rPr>
          <w:sz w:val="28"/>
          <w:szCs w:val="28"/>
        </w:rPr>
        <w:t xml:space="preserve">in tal senso </w:t>
      </w:r>
      <w:r w:rsidR="0095713B" w:rsidRPr="0095713B">
        <w:rPr>
          <w:sz w:val="28"/>
          <w:szCs w:val="28"/>
        </w:rPr>
        <w:t xml:space="preserve">tenuto a garantirne la conformità non solo rispetto agli </w:t>
      </w:r>
      <w:r w:rsidR="0095713B" w:rsidRPr="00412561">
        <w:rPr>
          <w:i/>
          <w:iCs/>
          <w:sz w:val="28"/>
          <w:szCs w:val="28"/>
        </w:rPr>
        <w:t>Standard</w:t>
      </w:r>
      <w:r w:rsidR="0095713B" w:rsidRPr="0095713B">
        <w:rPr>
          <w:sz w:val="28"/>
          <w:szCs w:val="28"/>
        </w:rPr>
        <w:t xml:space="preserve"> della </w:t>
      </w:r>
      <w:r w:rsidR="0095713B" w:rsidRPr="00412561">
        <w:rPr>
          <w:i/>
          <w:iCs/>
          <w:sz w:val="28"/>
          <w:szCs w:val="28"/>
        </w:rPr>
        <w:t>Community</w:t>
      </w:r>
      <w:r w:rsidR="0095713B" w:rsidRPr="0095713B">
        <w:rPr>
          <w:sz w:val="28"/>
          <w:szCs w:val="28"/>
        </w:rPr>
        <w:t>, ma anche a leggi, regolamenti e altre normative vigenti.</w:t>
      </w:r>
      <w:r>
        <w:rPr>
          <w:sz w:val="28"/>
          <w:szCs w:val="28"/>
        </w:rPr>
        <w:t xml:space="preserve"> </w:t>
      </w:r>
    </w:p>
    <w:p w14:paraId="16F6106A" w14:textId="333A0452" w:rsidR="00412561" w:rsidRDefault="0095713B" w:rsidP="00A754F6">
      <w:pPr>
        <w:pStyle w:val="NormaleWeb"/>
        <w:spacing w:before="0" w:beforeAutospacing="0" w:after="0" w:afterAutospacing="0"/>
        <w:jc w:val="both"/>
        <w:rPr>
          <w:sz w:val="28"/>
          <w:szCs w:val="28"/>
        </w:rPr>
      </w:pPr>
      <w:r w:rsidRPr="0095713B">
        <w:rPr>
          <w:sz w:val="28"/>
          <w:szCs w:val="28"/>
        </w:rPr>
        <w:t xml:space="preserve">Gli </w:t>
      </w:r>
      <w:r w:rsidRPr="00412561">
        <w:rPr>
          <w:i/>
          <w:iCs/>
          <w:sz w:val="28"/>
          <w:szCs w:val="28"/>
        </w:rPr>
        <w:t>Standard</w:t>
      </w:r>
      <w:r w:rsidR="00A754F6">
        <w:rPr>
          <w:sz w:val="28"/>
          <w:szCs w:val="28"/>
        </w:rPr>
        <w:t xml:space="preserve"> </w:t>
      </w:r>
      <w:r w:rsidR="00412561" w:rsidRPr="0095713B">
        <w:rPr>
          <w:sz w:val="28"/>
          <w:szCs w:val="28"/>
        </w:rPr>
        <w:t xml:space="preserve">cui </w:t>
      </w:r>
      <w:r w:rsidR="00412561">
        <w:rPr>
          <w:sz w:val="28"/>
          <w:szCs w:val="28"/>
        </w:rPr>
        <w:t>ci si riferisce</w:t>
      </w:r>
      <w:r w:rsidRPr="0095713B">
        <w:rPr>
          <w:sz w:val="28"/>
          <w:szCs w:val="28"/>
        </w:rPr>
        <w:t xml:space="preserve"> riguardano in particolare i contenuti e le attività dell’utente su </w:t>
      </w:r>
      <w:proofErr w:type="spellStart"/>
      <w:r w:rsidRPr="0095713B">
        <w:rPr>
          <w:sz w:val="28"/>
          <w:szCs w:val="28"/>
        </w:rPr>
        <w:t>Facebook</w:t>
      </w:r>
      <w:proofErr w:type="spellEnd"/>
      <w:r w:rsidRPr="0095713B">
        <w:rPr>
          <w:sz w:val="28"/>
          <w:szCs w:val="28"/>
        </w:rPr>
        <w:t xml:space="preserve"> e prevedono specificatamente il divieto di divulgare contenuti che possano essere interpretati come discorsi di incitazione all’odio e che in alcuni casi possono addirittura </w:t>
      </w:r>
      <w:r w:rsidR="001474BC">
        <w:rPr>
          <w:sz w:val="28"/>
          <w:szCs w:val="28"/>
        </w:rPr>
        <w:t>portare ad incoraggiare</w:t>
      </w:r>
      <w:r w:rsidRPr="0095713B">
        <w:rPr>
          <w:sz w:val="28"/>
          <w:szCs w:val="28"/>
        </w:rPr>
        <w:t xml:space="preserve"> episodi di violenza reale. </w:t>
      </w:r>
    </w:p>
    <w:p w14:paraId="34DF773D" w14:textId="77777777" w:rsidR="00412561" w:rsidRDefault="0095713B" w:rsidP="00A754F6">
      <w:pPr>
        <w:pStyle w:val="NormaleWeb"/>
        <w:spacing w:before="0" w:beforeAutospacing="0" w:after="0" w:afterAutospacing="0"/>
        <w:jc w:val="both"/>
        <w:rPr>
          <w:sz w:val="28"/>
          <w:szCs w:val="28"/>
        </w:rPr>
      </w:pPr>
      <w:proofErr w:type="spellStart"/>
      <w:r w:rsidRPr="0095713B">
        <w:rPr>
          <w:sz w:val="28"/>
          <w:szCs w:val="28"/>
        </w:rPr>
        <w:t>Facebook</w:t>
      </w:r>
      <w:proofErr w:type="spellEnd"/>
      <w:r w:rsidRPr="0095713B">
        <w:rPr>
          <w:sz w:val="28"/>
          <w:szCs w:val="28"/>
        </w:rPr>
        <w:t xml:space="preserve"> definisce i discorsi d’odio</w:t>
      </w:r>
      <w:r w:rsidR="001474BC">
        <w:rPr>
          <w:sz w:val="28"/>
          <w:szCs w:val="28"/>
        </w:rPr>
        <w:t xml:space="preserve"> come </w:t>
      </w:r>
      <w:r w:rsidRPr="0095713B">
        <w:rPr>
          <w:sz w:val="28"/>
          <w:szCs w:val="28"/>
        </w:rPr>
        <w:t>“</w:t>
      </w:r>
      <w:r w:rsidRPr="001474BC">
        <w:rPr>
          <w:i/>
          <w:iCs/>
          <w:sz w:val="28"/>
          <w:szCs w:val="28"/>
        </w:rPr>
        <w:t>un attacco diretto alle persone sulla base di aspetti tutelati a norma di legge, quali razza, etnia, nazionalità di origine, religione, orientamento sessuale, casta, sesso, genere o identità di genere e disabilità o malattie gravi</w:t>
      </w:r>
      <w:r w:rsidRPr="0095713B">
        <w:rPr>
          <w:sz w:val="28"/>
          <w:szCs w:val="28"/>
        </w:rPr>
        <w:t>” e aggiunge</w:t>
      </w:r>
      <w:r w:rsidR="001474BC">
        <w:rPr>
          <w:sz w:val="28"/>
          <w:szCs w:val="28"/>
        </w:rPr>
        <w:t xml:space="preserve"> che</w:t>
      </w:r>
      <w:r w:rsidRPr="0095713B">
        <w:rPr>
          <w:sz w:val="28"/>
          <w:szCs w:val="28"/>
        </w:rPr>
        <w:t xml:space="preserve"> </w:t>
      </w:r>
      <w:r w:rsidR="00412561">
        <w:rPr>
          <w:sz w:val="28"/>
          <w:szCs w:val="28"/>
        </w:rPr>
        <w:t>“</w:t>
      </w:r>
      <w:r w:rsidR="00412561">
        <w:rPr>
          <w:i/>
          <w:iCs/>
          <w:sz w:val="28"/>
          <w:szCs w:val="28"/>
        </w:rPr>
        <w:t>fo</w:t>
      </w:r>
      <w:r w:rsidRPr="001474BC">
        <w:rPr>
          <w:i/>
          <w:iCs/>
          <w:sz w:val="28"/>
          <w:szCs w:val="28"/>
        </w:rPr>
        <w:t>rniamo anche misure di protezione per lo status di immigrato. Definiamo l’attacco come un discorso violento o disumanizzante, dichiarazioni di inferiorità o incitazioni all’esclusione o alla segregazione</w:t>
      </w:r>
      <w:r w:rsidRPr="0095713B">
        <w:rPr>
          <w:sz w:val="28"/>
          <w:szCs w:val="28"/>
        </w:rPr>
        <w:t xml:space="preserve">”. </w:t>
      </w:r>
    </w:p>
    <w:p w14:paraId="17D8673D" w14:textId="08E358A8" w:rsidR="0095713B" w:rsidRDefault="001474BC" w:rsidP="00A754F6">
      <w:pPr>
        <w:pStyle w:val="NormaleWeb"/>
        <w:spacing w:before="0" w:beforeAutospacing="0" w:after="0" w:afterAutospacing="0"/>
        <w:jc w:val="both"/>
        <w:rPr>
          <w:sz w:val="28"/>
          <w:szCs w:val="28"/>
        </w:rPr>
      </w:pPr>
      <w:r>
        <w:rPr>
          <w:sz w:val="28"/>
          <w:szCs w:val="28"/>
        </w:rPr>
        <w:t>A</w:t>
      </w:r>
      <w:r w:rsidRPr="0095713B">
        <w:rPr>
          <w:sz w:val="28"/>
          <w:szCs w:val="28"/>
        </w:rPr>
        <w:t xml:space="preserve">l </w:t>
      </w:r>
      <w:r>
        <w:rPr>
          <w:sz w:val="28"/>
          <w:szCs w:val="28"/>
        </w:rPr>
        <w:t>tempo stesso, viene</w:t>
      </w:r>
      <w:r w:rsidR="0095713B" w:rsidRPr="0095713B">
        <w:rPr>
          <w:sz w:val="28"/>
          <w:szCs w:val="28"/>
        </w:rPr>
        <w:t xml:space="preserve"> vietata la divulgazione di contenuti che </w:t>
      </w:r>
      <w:r>
        <w:rPr>
          <w:sz w:val="28"/>
          <w:szCs w:val="28"/>
        </w:rPr>
        <w:t>possano esprimere</w:t>
      </w:r>
      <w:r w:rsidR="0095713B" w:rsidRPr="0095713B">
        <w:rPr>
          <w:sz w:val="28"/>
          <w:szCs w:val="28"/>
        </w:rPr>
        <w:t xml:space="preserve"> supporto o elogio ai gruppi o leader coinvolti nell’odio organizzato. Viene</w:t>
      </w:r>
      <w:r w:rsidR="00412561">
        <w:rPr>
          <w:sz w:val="28"/>
          <w:szCs w:val="28"/>
        </w:rPr>
        <w:t>,</w:t>
      </w:r>
      <w:r w:rsidR="0095713B" w:rsidRPr="0095713B">
        <w:rPr>
          <w:sz w:val="28"/>
          <w:szCs w:val="28"/>
        </w:rPr>
        <w:t xml:space="preserve"> inoltre</w:t>
      </w:r>
      <w:r w:rsidR="00412561">
        <w:rPr>
          <w:sz w:val="28"/>
          <w:szCs w:val="28"/>
        </w:rPr>
        <w:t>,</w:t>
      </w:r>
      <w:r w:rsidR="0095713B" w:rsidRPr="0095713B">
        <w:rPr>
          <w:sz w:val="28"/>
          <w:szCs w:val="28"/>
        </w:rPr>
        <w:t xml:space="preserve"> definita come organizzazione che incita all’odio “</w:t>
      </w:r>
      <w:r w:rsidR="00412561">
        <w:rPr>
          <w:i/>
          <w:iCs/>
          <w:sz w:val="28"/>
          <w:szCs w:val="28"/>
        </w:rPr>
        <w:t>q</w:t>
      </w:r>
      <w:r w:rsidR="0095713B" w:rsidRPr="001474BC">
        <w:rPr>
          <w:i/>
          <w:iCs/>
          <w:sz w:val="28"/>
          <w:szCs w:val="28"/>
        </w:rPr>
        <w:t xml:space="preserve">ualsiasi associazione di almeno tre persone organizzata con un nome, un segno o simbolo e che porta avanti un’ideologia, dichiarazioni o azioni fisiche contro individui in base a caratteristiche come razza, </w:t>
      </w:r>
      <w:r w:rsidR="0095713B" w:rsidRPr="001474BC">
        <w:rPr>
          <w:i/>
          <w:iCs/>
          <w:sz w:val="28"/>
          <w:szCs w:val="28"/>
        </w:rPr>
        <w:lastRenderedPageBreak/>
        <w:t>credo religioso, nazionalità, etnia, genere, sesso, orientamento sessuale, malattie gravi o disabilità</w:t>
      </w:r>
      <w:r w:rsidR="0095713B" w:rsidRPr="0095713B">
        <w:rPr>
          <w:sz w:val="28"/>
          <w:szCs w:val="28"/>
        </w:rPr>
        <w:t xml:space="preserve">”, specificando </w:t>
      </w:r>
      <w:r w:rsidR="00412561">
        <w:rPr>
          <w:sz w:val="28"/>
          <w:szCs w:val="28"/>
        </w:rPr>
        <w:t>di non consentire</w:t>
      </w:r>
      <w:r w:rsidR="0095713B" w:rsidRPr="001474BC">
        <w:rPr>
          <w:i/>
          <w:iCs/>
          <w:sz w:val="28"/>
          <w:szCs w:val="28"/>
        </w:rPr>
        <w:t xml:space="preserve"> </w:t>
      </w:r>
      <w:r w:rsidR="00412561">
        <w:rPr>
          <w:i/>
          <w:iCs/>
          <w:sz w:val="28"/>
          <w:szCs w:val="28"/>
        </w:rPr>
        <w:t>“</w:t>
      </w:r>
      <w:r w:rsidR="0095713B" w:rsidRPr="001474BC">
        <w:rPr>
          <w:i/>
          <w:iCs/>
          <w:sz w:val="28"/>
          <w:szCs w:val="28"/>
        </w:rPr>
        <w:t>la condivisione sulla nostra piattaforma di simboli che rappresentano una delle organizzazioni o degli individui di cui sopra se non ai fini di condanna o discussione. Non consentiamo contenuti che elogiano le organizzazioni e gli individui di cui sopra o atti da loro commessi. Non consentiamo il coordinamento del supporto a qualsiasi organizzazione o individuo di cui sopra o agli atti da loro commessi</w:t>
      </w:r>
      <w:r w:rsidR="0095713B" w:rsidRPr="0095713B">
        <w:rPr>
          <w:sz w:val="28"/>
          <w:szCs w:val="28"/>
        </w:rPr>
        <w:t>”.</w:t>
      </w:r>
    </w:p>
    <w:p w14:paraId="14CCCEEB" w14:textId="77777777" w:rsidR="00412561" w:rsidRDefault="00412561" w:rsidP="00A754F6">
      <w:pPr>
        <w:pStyle w:val="NormaleWeb"/>
        <w:spacing w:before="0" w:beforeAutospacing="0" w:after="0" w:afterAutospacing="0"/>
        <w:jc w:val="both"/>
        <w:rPr>
          <w:sz w:val="28"/>
          <w:szCs w:val="28"/>
        </w:rPr>
      </w:pPr>
    </w:p>
    <w:p w14:paraId="3781AF9A" w14:textId="77777777" w:rsidR="00412561" w:rsidRDefault="001474BC" w:rsidP="00C7656B">
      <w:pPr>
        <w:pStyle w:val="NormaleWeb"/>
        <w:spacing w:before="0" w:beforeAutospacing="0" w:after="0" w:afterAutospacing="0"/>
        <w:jc w:val="both"/>
        <w:rPr>
          <w:sz w:val="28"/>
          <w:szCs w:val="28"/>
        </w:rPr>
      </w:pPr>
      <w:r>
        <w:rPr>
          <w:sz w:val="28"/>
          <w:szCs w:val="28"/>
        </w:rPr>
        <w:t xml:space="preserve">Tornando al caso di specie, </w:t>
      </w:r>
      <w:proofErr w:type="spellStart"/>
      <w:r w:rsidR="0095713B" w:rsidRPr="0095713B">
        <w:rPr>
          <w:sz w:val="28"/>
          <w:szCs w:val="28"/>
        </w:rPr>
        <w:t>Facebook</w:t>
      </w:r>
      <w:proofErr w:type="spellEnd"/>
      <w:r w:rsidR="0095713B" w:rsidRPr="0095713B">
        <w:rPr>
          <w:sz w:val="28"/>
          <w:szCs w:val="28"/>
        </w:rPr>
        <w:t xml:space="preserve"> ha</w:t>
      </w:r>
      <w:r>
        <w:rPr>
          <w:sz w:val="28"/>
          <w:szCs w:val="28"/>
        </w:rPr>
        <w:t xml:space="preserve"> provveduto a</w:t>
      </w:r>
      <w:r w:rsidR="0095713B" w:rsidRPr="0095713B">
        <w:rPr>
          <w:sz w:val="28"/>
          <w:szCs w:val="28"/>
        </w:rPr>
        <w:t xml:space="preserve"> risol</w:t>
      </w:r>
      <w:r>
        <w:rPr>
          <w:sz w:val="28"/>
          <w:szCs w:val="28"/>
        </w:rPr>
        <w:t>vere</w:t>
      </w:r>
      <w:r w:rsidR="0095713B" w:rsidRPr="0095713B">
        <w:rPr>
          <w:sz w:val="28"/>
          <w:szCs w:val="28"/>
        </w:rPr>
        <w:t xml:space="preserve"> il contratto</w:t>
      </w:r>
      <w:r>
        <w:rPr>
          <w:sz w:val="28"/>
          <w:szCs w:val="28"/>
        </w:rPr>
        <w:t xml:space="preserve">, chiudendo poi </w:t>
      </w:r>
      <w:r w:rsidR="0095713B" w:rsidRPr="0095713B">
        <w:rPr>
          <w:sz w:val="28"/>
          <w:szCs w:val="28"/>
        </w:rPr>
        <w:t>le pagine riconducibili a Forza Nuova, qualificando la stessa come “</w:t>
      </w:r>
      <w:r w:rsidR="0095713B" w:rsidRPr="001474BC">
        <w:rPr>
          <w:i/>
          <w:iCs/>
          <w:sz w:val="28"/>
          <w:szCs w:val="28"/>
        </w:rPr>
        <w:t>organizzazione che incita all’odio</w:t>
      </w:r>
      <w:r w:rsidR="0095713B" w:rsidRPr="0095713B">
        <w:rPr>
          <w:sz w:val="28"/>
          <w:szCs w:val="28"/>
        </w:rPr>
        <w:t xml:space="preserve">” alla luce della definizione sopra riportata. L’organizzazione, infatti, svolge </w:t>
      </w:r>
      <w:r>
        <w:rPr>
          <w:sz w:val="28"/>
          <w:szCs w:val="28"/>
        </w:rPr>
        <w:t xml:space="preserve">una serie di </w:t>
      </w:r>
      <w:r w:rsidR="0095713B" w:rsidRPr="0095713B">
        <w:rPr>
          <w:sz w:val="28"/>
          <w:szCs w:val="28"/>
        </w:rPr>
        <w:t xml:space="preserve">attività di propaganda razzista, xenofoba e antisemita, </w:t>
      </w:r>
      <w:r w:rsidR="00C7656B">
        <w:rPr>
          <w:sz w:val="28"/>
          <w:szCs w:val="28"/>
        </w:rPr>
        <w:t>ostentando il fatto di essere</w:t>
      </w:r>
      <w:r w:rsidR="0095713B" w:rsidRPr="0095713B">
        <w:rPr>
          <w:sz w:val="28"/>
          <w:szCs w:val="28"/>
        </w:rPr>
        <w:t xml:space="preserve"> </w:t>
      </w:r>
      <w:r w:rsidR="00C7656B">
        <w:rPr>
          <w:sz w:val="28"/>
          <w:szCs w:val="28"/>
        </w:rPr>
        <w:t>un</w:t>
      </w:r>
      <w:r w:rsidR="0095713B" w:rsidRPr="0095713B">
        <w:rPr>
          <w:sz w:val="28"/>
          <w:szCs w:val="28"/>
        </w:rPr>
        <w:t xml:space="preserve"> movimento neofascista e utilizzando simboli del fascismo nel corso delle proprie manifestazioni. </w:t>
      </w:r>
    </w:p>
    <w:p w14:paraId="7EB1E84E" w14:textId="2E4BB810" w:rsidR="00C7656B" w:rsidRDefault="0095713B" w:rsidP="00C7656B">
      <w:pPr>
        <w:pStyle w:val="NormaleWeb"/>
        <w:spacing w:before="0" w:beforeAutospacing="0" w:after="0" w:afterAutospacing="0"/>
        <w:jc w:val="both"/>
        <w:rPr>
          <w:sz w:val="28"/>
          <w:szCs w:val="28"/>
        </w:rPr>
      </w:pPr>
      <w:r w:rsidRPr="0095713B">
        <w:rPr>
          <w:sz w:val="28"/>
          <w:szCs w:val="28"/>
        </w:rPr>
        <w:t xml:space="preserve">Le pagine oggetto della decisione di </w:t>
      </w:r>
      <w:proofErr w:type="spellStart"/>
      <w:r w:rsidRPr="0095713B">
        <w:rPr>
          <w:sz w:val="28"/>
          <w:szCs w:val="28"/>
        </w:rPr>
        <w:t>Facebook</w:t>
      </w:r>
      <w:proofErr w:type="spellEnd"/>
      <w:r w:rsidRPr="0095713B">
        <w:rPr>
          <w:sz w:val="28"/>
          <w:szCs w:val="28"/>
        </w:rPr>
        <w:t xml:space="preserve"> – insieme ai profili privati dei loro amministratori – </w:t>
      </w:r>
      <w:r w:rsidR="00C7656B">
        <w:rPr>
          <w:sz w:val="28"/>
          <w:szCs w:val="28"/>
        </w:rPr>
        <w:t>erano</w:t>
      </w:r>
      <w:r w:rsidRPr="0095713B">
        <w:rPr>
          <w:sz w:val="28"/>
          <w:szCs w:val="28"/>
        </w:rPr>
        <w:t xml:space="preserve"> utilizzate per la divulgazione di contenuti di propaganda in favore dell’organizzazione, facendo uso di simboli fascisti e razzisti che, a parere di </w:t>
      </w:r>
      <w:proofErr w:type="spellStart"/>
      <w:r w:rsidRPr="0095713B">
        <w:rPr>
          <w:sz w:val="28"/>
          <w:szCs w:val="28"/>
        </w:rPr>
        <w:t>Facebook</w:t>
      </w:r>
      <w:proofErr w:type="spellEnd"/>
      <w:r w:rsidRPr="0095713B">
        <w:rPr>
          <w:sz w:val="28"/>
          <w:szCs w:val="28"/>
        </w:rPr>
        <w:t>, incitavano all’odio e alla discriminazione</w:t>
      </w:r>
      <w:r w:rsidR="00412561">
        <w:rPr>
          <w:sz w:val="28"/>
          <w:szCs w:val="28"/>
        </w:rPr>
        <w:t>.</w:t>
      </w:r>
    </w:p>
    <w:p w14:paraId="37AEFD5F" w14:textId="77777777" w:rsidR="00412561" w:rsidRDefault="00C7656B" w:rsidP="00C7656B">
      <w:pPr>
        <w:pStyle w:val="NormaleWeb"/>
        <w:spacing w:before="0" w:beforeAutospacing="0" w:after="0" w:afterAutospacing="0"/>
        <w:jc w:val="both"/>
        <w:rPr>
          <w:sz w:val="28"/>
          <w:szCs w:val="28"/>
        </w:rPr>
      </w:pPr>
      <w:r>
        <w:rPr>
          <w:sz w:val="28"/>
          <w:szCs w:val="28"/>
        </w:rPr>
        <w:t>Nella parte motiva del provvedimento di rigetto</w:t>
      </w:r>
      <w:r w:rsidR="0095713B" w:rsidRPr="0095713B">
        <w:rPr>
          <w:sz w:val="28"/>
          <w:szCs w:val="28"/>
        </w:rPr>
        <w:t xml:space="preserve"> del ricorso presentato </w:t>
      </w:r>
      <w:r>
        <w:rPr>
          <w:sz w:val="28"/>
          <w:szCs w:val="28"/>
        </w:rPr>
        <w:t xml:space="preserve">da Forza Nuova </w:t>
      </w:r>
      <w:r w:rsidR="0095713B" w:rsidRPr="0095713B">
        <w:rPr>
          <w:sz w:val="28"/>
          <w:szCs w:val="28"/>
        </w:rPr>
        <w:t xml:space="preserve">nei confronti di </w:t>
      </w:r>
      <w:proofErr w:type="spellStart"/>
      <w:r w:rsidR="0095713B" w:rsidRPr="0095713B">
        <w:rPr>
          <w:sz w:val="28"/>
          <w:szCs w:val="28"/>
        </w:rPr>
        <w:t>Facebook</w:t>
      </w:r>
      <w:proofErr w:type="spellEnd"/>
      <w:r w:rsidR="0095713B" w:rsidRPr="0095713B">
        <w:rPr>
          <w:sz w:val="28"/>
          <w:szCs w:val="28"/>
        </w:rPr>
        <w:t xml:space="preserve">, il Tribunale </w:t>
      </w:r>
      <w:r>
        <w:rPr>
          <w:sz w:val="28"/>
          <w:szCs w:val="28"/>
        </w:rPr>
        <w:t>romano</w:t>
      </w:r>
      <w:r w:rsidR="0095713B" w:rsidRPr="0095713B">
        <w:rPr>
          <w:sz w:val="28"/>
          <w:szCs w:val="28"/>
        </w:rPr>
        <w:t xml:space="preserve"> ha</w:t>
      </w:r>
      <w:r>
        <w:rPr>
          <w:sz w:val="28"/>
          <w:szCs w:val="28"/>
        </w:rPr>
        <w:t>,</w:t>
      </w:r>
      <w:r w:rsidR="0095713B" w:rsidRPr="0095713B">
        <w:rPr>
          <w:sz w:val="28"/>
          <w:szCs w:val="28"/>
        </w:rPr>
        <w:t xml:space="preserve"> </w:t>
      </w:r>
      <w:r>
        <w:rPr>
          <w:sz w:val="28"/>
          <w:szCs w:val="28"/>
        </w:rPr>
        <w:t>per prima cosa,</w:t>
      </w:r>
      <w:r w:rsidR="0095713B" w:rsidRPr="0095713B">
        <w:rPr>
          <w:sz w:val="28"/>
          <w:szCs w:val="28"/>
        </w:rPr>
        <w:t xml:space="preserve"> richiamato il programma politico d</w:t>
      </w:r>
      <w:r>
        <w:rPr>
          <w:sz w:val="28"/>
          <w:szCs w:val="28"/>
        </w:rPr>
        <w:t>ell’organizzazione</w:t>
      </w:r>
      <w:r w:rsidR="0095713B" w:rsidRPr="0095713B">
        <w:rPr>
          <w:sz w:val="28"/>
          <w:szCs w:val="28"/>
        </w:rPr>
        <w:t xml:space="preserve">, </w:t>
      </w:r>
      <w:r>
        <w:rPr>
          <w:sz w:val="28"/>
          <w:szCs w:val="28"/>
        </w:rPr>
        <w:t xml:space="preserve">che risulta agli occhi di tutti </w:t>
      </w:r>
      <w:r w:rsidR="0095713B" w:rsidRPr="0095713B">
        <w:rPr>
          <w:sz w:val="28"/>
          <w:szCs w:val="28"/>
        </w:rPr>
        <w:t>in contrasto con alcuni principi del nostro ordinamento, primo fra tutti il divieto</w:t>
      </w:r>
      <w:r>
        <w:rPr>
          <w:sz w:val="28"/>
          <w:szCs w:val="28"/>
        </w:rPr>
        <w:t>, valido</w:t>
      </w:r>
      <w:r w:rsidR="0095713B" w:rsidRPr="0095713B">
        <w:rPr>
          <w:sz w:val="28"/>
          <w:szCs w:val="28"/>
        </w:rPr>
        <w:t xml:space="preserve"> per tutte le forze politiche</w:t>
      </w:r>
      <w:r>
        <w:rPr>
          <w:sz w:val="28"/>
          <w:szCs w:val="28"/>
        </w:rPr>
        <w:t>,</w:t>
      </w:r>
      <w:r w:rsidR="0095713B" w:rsidRPr="0095713B">
        <w:rPr>
          <w:sz w:val="28"/>
          <w:szCs w:val="28"/>
        </w:rPr>
        <w:t xml:space="preserve"> di rifarsi esplicitamente all’ideologia fascista o nazista, al razzismo, alla xenofobia e di proclamare idee discriminatorie (ad esempio, Forza Nuova </w:t>
      </w:r>
      <w:r>
        <w:rPr>
          <w:sz w:val="28"/>
          <w:szCs w:val="28"/>
        </w:rPr>
        <w:t>vorrebbe</w:t>
      </w:r>
      <w:r w:rsidR="0095713B" w:rsidRPr="0095713B">
        <w:rPr>
          <w:sz w:val="28"/>
          <w:szCs w:val="28"/>
        </w:rPr>
        <w:t xml:space="preserve"> espressamente l’abrogazione delle leggi </w:t>
      </w:r>
      <w:proofErr w:type="spellStart"/>
      <w:r w:rsidR="0095713B" w:rsidRPr="0095713B">
        <w:rPr>
          <w:sz w:val="28"/>
          <w:szCs w:val="28"/>
        </w:rPr>
        <w:t>Scelba</w:t>
      </w:r>
      <w:proofErr w:type="spellEnd"/>
      <w:r w:rsidR="0095713B" w:rsidRPr="0095713B">
        <w:rPr>
          <w:sz w:val="28"/>
          <w:szCs w:val="28"/>
        </w:rPr>
        <w:t xml:space="preserve"> e Mancino, definendo le stesse come leggi liberticide). </w:t>
      </w:r>
    </w:p>
    <w:p w14:paraId="1DB77070" w14:textId="77777777" w:rsidR="00763FBA" w:rsidRDefault="00C7656B" w:rsidP="00C7656B">
      <w:pPr>
        <w:pStyle w:val="NormaleWeb"/>
        <w:spacing w:before="0" w:beforeAutospacing="0" w:after="0" w:afterAutospacing="0"/>
        <w:jc w:val="both"/>
        <w:rPr>
          <w:sz w:val="28"/>
          <w:szCs w:val="28"/>
        </w:rPr>
      </w:pPr>
      <w:r>
        <w:rPr>
          <w:sz w:val="28"/>
          <w:szCs w:val="28"/>
        </w:rPr>
        <w:t>Secondo il</w:t>
      </w:r>
      <w:r w:rsidR="0095713B" w:rsidRPr="0095713B">
        <w:rPr>
          <w:sz w:val="28"/>
          <w:szCs w:val="28"/>
        </w:rPr>
        <w:t xml:space="preserve"> parere d</w:t>
      </w:r>
      <w:r>
        <w:rPr>
          <w:sz w:val="28"/>
          <w:szCs w:val="28"/>
        </w:rPr>
        <w:t>ell’organo giudicante</w:t>
      </w:r>
      <w:r w:rsidR="0095713B" w:rsidRPr="0095713B">
        <w:rPr>
          <w:sz w:val="28"/>
          <w:szCs w:val="28"/>
        </w:rPr>
        <w:t xml:space="preserve">, </w:t>
      </w:r>
      <w:r>
        <w:rPr>
          <w:sz w:val="28"/>
          <w:szCs w:val="28"/>
        </w:rPr>
        <w:t>tenuto conto</w:t>
      </w:r>
      <w:r w:rsidR="0095713B" w:rsidRPr="0095713B">
        <w:rPr>
          <w:sz w:val="28"/>
          <w:szCs w:val="28"/>
        </w:rPr>
        <w:t xml:space="preserve"> dei numerosi episodi che testimoniano la </w:t>
      </w:r>
      <w:r>
        <w:rPr>
          <w:sz w:val="28"/>
          <w:szCs w:val="28"/>
        </w:rPr>
        <w:t xml:space="preserve">stretta </w:t>
      </w:r>
      <w:r w:rsidR="0095713B" w:rsidRPr="0095713B">
        <w:rPr>
          <w:sz w:val="28"/>
          <w:szCs w:val="28"/>
        </w:rPr>
        <w:t>vicinanz</w:t>
      </w:r>
      <w:r w:rsidR="006D4F00">
        <w:rPr>
          <w:sz w:val="28"/>
          <w:szCs w:val="28"/>
        </w:rPr>
        <w:t xml:space="preserve">a </w:t>
      </w:r>
      <w:r w:rsidR="0095713B" w:rsidRPr="0095713B">
        <w:rPr>
          <w:sz w:val="28"/>
          <w:szCs w:val="28"/>
        </w:rPr>
        <w:t>di Forza Nuova al fascismo, alla luce</w:t>
      </w:r>
      <w:r>
        <w:rPr>
          <w:sz w:val="28"/>
          <w:szCs w:val="28"/>
        </w:rPr>
        <w:t xml:space="preserve"> sia</w:t>
      </w:r>
      <w:r w:rsidR="0095713B" w:rsidRPr="0095713B">
        <w:rPr>
          <w:sz w:val="28"/>
          <w:szCs w:val="28"/>
        </w:rPr>
        <w:t xml:space="preserve"> della normativa interna e sovranazionale</w:t>
      </w:r>
      <w:r w:rsidR="00763FBA">
        <w:rPr>
          <w:sz w:val="28"/>
          <w:szCs w:val="28"/>
        </w:rPr>
        <w:t xml:space="preserve">, </w:t>
      </w:r>
      <w:r>
        <w:rPr>
          <w:sz w:val="28"/>
          <w:szCs w:val="28"/>
        </w:rPr>
        <w:t>che</w:t>
      </w:r>
      <w:r w:rsidR="0095713B" w:rsidRPr="0095713B">
        <w:rPr>
          <w:sz w:val="28"/>
          <w:szCs w:val="28"/>
        </w:rPr>
        <w:t xml:space="preserve"> del Codice di condotta sottoscritto da </w:t>
      </w:r>
      <w:proofErr w:type="spellStart"/>
      <w:r w:rsidR="0095713B" w:rsidRPr="0095713B">
        <w:rPr>
          <w:sz w:val="28"/>
          <w:szCs w:val="28"/>
        </w:rPr>
        <w:t>Facebook</w:t>
      </w:r>
      <w:proofErr w:type="spellEnd"/>
      <w:r w:rsidR="0095713B" w:rsidRPr="0095713B">
        <w:rPr>
          <w:sz w:val="28"/>
          <w:szCs w:val="28"/>
        </w:rPr>
        <w:t xml:space="preserve"> insieme alla Commissione europea, </w:t>
      </w:r>
      <w:r>
        <w:rPr>
          <w:sz w:val="28"/>
          <w:szCs w:val="28"/>
        </w:rPr>
        <w:t xml:space="preserve">è stata assolutamente legittima la decisione di addivenire alla </w:t>
      </w:r>
      <w:r w:rsidR="0095713B" w:rsidRPr="0095713B">
        <w:rPr>
          <w:sz w:val="28"/>
          <w:szCs w:val="28"/>
        </w:rPr>
        <w:t xml:space="preserve">risoluzione del contratto e </w:t>
      </w:r>
      <w:r w:rsidR="00D41F37">
        <w:rPr>
          <w:sz w:val="28"/>
          <w:szCs w:val="28"/>
        </w:rPr>
        <w:t>al</w:t>
      </w:r>
      <w:r w:rsidR="0095713B" w:rsidRPr="0095713B">
        <w:rPr>
          <w:sz w:val="28"/>
          <w:szCs w:val="28"/>
        </w:rPr>
        <w:t xml:space="preserve">la sospensione del servizio, </w:t>
      </w:r>
      <w:r w:rsidR="00D41F37">
        <w:rPr>
          <w:sz w:val="28"/>
          <w:szCs w:val="28"/>
        </w:rPr>
        <w:t xml:space="preserve">dal momento in cui </w:t>
      </w:r>
      <w:r w:rsidR="0095713B" w:rsidRPr="0095713B">
        <w:rPr>
          <w:sz w:val="28"/>
          <w:szCs w:val="28"/>
        </w:rPr>
        <w:t>è</w:t>
      </w:r>
      <w:r w:rsidR="00D41F37">
        <w:rPr>
          <w:sz w:val="28"/>
          <w:szCs w:val="28"/>
        </w:rPr>
        <w:t xml:space="preserve"> senza dubbio</w:t>
      </w:r>
      <w:r w:rsidR="0095713B" w:rsidRPr="0095713B">
        <w:rPr>
          <w:sz w:val="28"/>
          <w:szCs w:val="28"/>
        </w:rPr>
        <w:t xml:space="preserve"> possibile ascrivere il partito entro la definizione di “</w:t>
      </w:r>
      <w:r w:rsidR="0095713B" w:rsidRPr="00D41F37">
        <w:rPr>
          <w:i/>
          <w:iCs/>
          <w:sz w:val="28"/>
          <w:szCs w:val="28"/>
        </w:rPr>
        <w:t>organizzazione d’odio</w:t>
      </w:r>
      <w:r w:rsidR="0095713B" w:rsidRPr="0095713B">
        <w:rPr>
          <w:sz w:val="28"/>
          <w:szCs w:val="28"/>
        </w:rPr>
        <w:t>”</w:t>
      </w:r>
      <w:r w:rsidR="00D41F37">
        <w:rPr>
          <w:sz w:val="28"/>
          <w:szCs w:val="28"/>
        </w:rPr>
        <w:t xml:space="preserve">. </w:t>
      </w:r>
    </w:p>
    <w:p w14:paraId="68817755" w14:textId="77777777" w:rsidR="00763FBA" w:rsidRDefault="00D41F37" w:rsidP="00C7656B">
      <w:pPr>
        <w:pStyle w:val="NormaleWeb"/>
        <w:spacing w:before="0" w:beforeAutospacing="0" w:after="0" w:afterAutospacing="0"/>
        <w:jc w:val="both"/>
        <w:rPr>
          <w:sz w:val="28"/>
          <w:szCs w:val="28"/>
        </w:rPr>
      </w:pPr>
      <w:r>
        <w:rPr>
          <w:sz w:val="28"/>
          <w:szCs w:val="28"/>
        </w:rPr>
        <w:t xml:space="preserve">Ma i giudici si spingono oltre, asserendo che </w:t>
      </w:r>
      <w:proofErr w:type="spellStart"/>
      <w:r w:rsidR="0095713B" w:rsidRPr="0095713B">
        <w:rPr>
          <w:sz w:val="28"/>
          <w:szCs w:val="28"/>
        </w:rPr>
        <w:t>Facebook</w:t>
      </w:r>
      <w:proofErr w:type="spellEnd"/>
      <w:r w:rsidR="0095713B" w:rsidRPr="0095713B">
        <w:rPr>
          <w:sz w:val="28"/>
          <w:szCs w:val="28"/>
        </w:rPr>
        <w:t xml:space="preserve"> aveva il </w:t>
      </w:r>
      <w:r w:rsidR="0095713B" w:rsidRPr="00D41F37">
        <w:rPr>
          <w:i/>
          <w:iCs/>
          <w:sz w:val="28"/>
          <w:szCs w:val="28"/>
        </w:rPr>
        <w:t>dovere giuridico</w:t>
      </w:r>
      <w:r w:rsidR="0095713B" w:rsidRPr="0095713B">
        <w:rPr>
          <w:sz w:val="28"/>
          <w:szCs w:val="28"/>
        </w:rPr>
        <w:t xml:space="preserve"> di agire in tal senso, rischiando altrimenti di incorrere in responsabilità. A ciò </w:t>
      </w:r>
      <w:r>
        <w:rPr>
          <w:sz w:val="28"/>
          <w:szCs w:val="28"/>
        </w:rPr>
        <w:t>devono essere aggiunti i</w:t>
      </w:r>
      <w:r w:rsidR="0095713B" w:rsidRPr="0095713B">
        <w:rPr>
          <w:sz w:val="28"/>
          <w:szCs w:val="28"/>
        </w:rPr>
        <w:t xml:space="preserve"> diversi episodi in cui </w:t>
      </w:r>
      <w:r>
        <w:rPr>
          <w:sz w:val="28"/>
          <w:szCs w:val="28"/>
        </w:rPr>
        <w:t xml:space="preserve">vari </w:t>
      </w:r>
      <w:r w:rsidR="0095713B" w:rsidRPr="0095713B">
        <w:rPr>
          <w:sz w:val="28"/>
          <w:szCs w:val="28"/>
        </w:rPr>
        <w:t xml:space="preserve">esponenti di Forza Nuova si sono resi protagonisti di veri e propri discorsi d’odio o hanno comunque supportato o elogiato l’attività del partito, circostanza che </w:t>
      </w:r>
      <w:r>
        <w:rPr>
          <w:sz w:val="28"/>
          <w:szCs w:val="28"/>
        </w:rPr>
        <w:t xml:space="preserve">secondo la </w:t>
      </w:r>
      <w:r w:rsidR="0095713B" w:rsidRPr="0095713B">
        <w:rPr>
          <w:sz w:val="28"/>
          <w:szCs w:val="28"/>
        </w:rPr>
        <w:t xml:space="preserve">Corte legittima la contestuale sospensione dei loro </w:t>
      </w:r>
      <w:r w:rsidR="0095713B" w:rsidRPr="00D41F37">
        <w:rPr>
          <w:i/>
          <w:iCs/>
          <w:sz w:val="28"/>
          <w:szCs w:val="28"/>
        </w:rPr>
        <w:t>account</w:t>
      </w:r>
      <w:r w:rsidR="0095713B" w:rsidRPr="0095713B">
        <w:rPr>
          <w:sz w:val="28"/>
          <w:szCs w:val="28"/>
        </w:rPr>
        <w:t xml:space="preserve"> </w:t>
      </w:r>
      <w:r>
        <w:rPr>
          <w:sz w:val="28"/>
          <w:szCs w:val="28"/>
        </w:rPr>
        <w:t>privati</w:t>
      </w:r>
      <w:r w:rsidR="0095713B" w:rsidRPr="0095713B">
        <w:rPr>
          <w:sz w:val="28"/>
          <w:szCs w:val="28"/>
        </w:rPr>
        <w:t xml:space="preserve">, </w:t>
      </w:r>
      <w:r>
        <w:rPr>
          <w:sz w:val="28"/>
          <w:szCs w:val="28"/>
        </w:rPr>
        <w:t>in quanto</w:t>
      </w:r>
      <w:r w:rsidR="0095713B" w:rsidRPr="0095713B">
        <w:rPr>
          <w:sz w:val="28"/>
          <w:szCs w:val="28"/>
        </w:rPr>
        <w:t xml:space="preserve"> tali comportamenti si pongono </w:t>
      </w:r>
      <w:r>
        <w:rPr>
          <w:sz w:val="28"/>
          <w:szCs w:val="28"/>
        </w:rPr>
        <w:t>anche</w:t>
      </w:r>
      <w:r w:rsidR="0095713B" w:rsidRPr="0095713B">
        <w:rPr>
          <w:sz w:val="28"/>
          <w:szCs w:val="28"/>
        </w:rPr>
        <w:t xml:space="preserve"> in aperto contrasto con gli </w:t>
      </w:r>
      <w:r w:rsidR="0095713B" w:rsidRPr="00763FBA">
        <w:rPr>
          <w:i/>
          <w:iCs/>
          <w:sz w:val="28"/>
          <w:szCs w:val="28"/>
        </w:rPr>
        <w:t>Standard</w:t>
      </w:r>
      <w:r w:rsidR="0095713B" w:rsidRPr="0095713B">
        <w:rPr>
          <w:sz w:val="28"/>
          <w:szCs w:val="28"/>
        </w:rPr>
        <w:t xml:space="preserve"> della </w:t>
      </w:r>
      <w:r w:rsidR="0095713B" w:rsidRPr="00763FBA">
        <w:rPr>
          <w:i/>
          <w:iCs/>
          <w:sz w:val="28"/>
          <w:szCs w:val="28"/>
        </w:rPr>
        <w:t>Community</w:t>
      </w:r>
      <w:r w:rsidR="0095713B" w:rsidRPr="0095713B">
        <w:rPr>
          <w:sz w:val="28"/>
          <w:szCs w:val="28"/>
        </w:rPr>
        <w:t xml:space="preserve"> sopra </w:t>
      </w:r>
      <w:r w:rsidR="00763FBA">
        <w:rPr>
          <w:sz w:val="28"/>
          <w:szCs w:val="28"/>
        </w:rPr>
        <w:t>richiamati</w:t>
      </w:r>
      <w:r w:rsidR="0095713B" w:rsidRPr="0095713B">
        <w:rPr>
          <w:sz w:val="28"/>
          <w:szCs w:val="28"/>
        </w:rPr>
        <w:t xml:space="preserve">. </w:t>
      </w:r>
    </w:p>
    <w:p w14:paraId="43C6D88C" w14:textId="5F234E58" w:rsidR="0095713B" w:rsidRPr="0095713B" w:rsidRDefault="0095713B" w:rsidP="00C7656B">
      <w:pPr>
        <w:pStyle w:val="NormaleWeb"/>
        <w:spacing w:before="0" w:beforeAutospacing="0" w:after="0" w:afterAutospacing="0"/>
        <w:jc w:val="both"/>
        <w:rPr>
          <w:sz w:val="28"/>
          <w:szCs w:val="28"/>
        </w:rPr>
      </w:pPr>
      <w:r w:rsidRPr="0095713B">
        <w:rPr>
          <w:sz w:val="28"/>
          <w:szCs w:val="28"/>
        </w:rPr>
        <w:t xml:space="preserve">Il Tribunale </w:t>
      </w:r>
      <w:r w:rsidR="00D41F37">
        <w:rPr>
          <w:sz w:val="28"/>
          <w:szCs w:val="28"/>
        </w:rPr>
        <w:t xml:space="preserve">di Roma </w:t>
      </w:r>
      <w:r w:rsidRPr="0095713B">
        <w:rPr>
          <w:sz w:val="28"/>
          <w:szCs w:val="28"/>
        </w:rPr>
        <w:t>si è espresso anche in merito alla proporzionalità della misura adottata</w:t>
      </w:r>
      <w:r w:rsidR="00D41F37">
        <w:rPr>
          <w:sz w:val="28"/>
          <w:szCs w:val="28"/>
        </w:rPr>
        <w:t xml:space="preserve">, asserendo che, poiché </w:t>
      </w:r>
      <w:r w:rsidRPr="0095713B">
        <w:rPr>
          <w:sz w:val="28"/>
          <w:szCs w:val="28"/>
        </w:rPr>
        <w:t xml:space="preserve">prima di giungere alla rimozione totale delle </w:t>
      </w:r>
      <w:r w:rsidR="00D41F37">
        <w:rPr>
          <w:sz w:val="28"/>
          <w:szCs w:val="28"/>
        </w:rPr>
        <w:t>p</w:t>
      </w:r>
      <w:r w:rsidRPr="0095713B">
        <w:rPr>
          <w:sz w:val="28"/>
          <w:szCs w:val="28"/>
        </w:rPr>
        <w:t xml:space="preserve">agine e </w:t>
      </w:r>
      <w:r w:rsidRPr="0095713B">
        <w:rPr>
          <w:sz w:val="28"/>
          <w:szCs w:val="28"/>
        </w:rPr>
        <w:lastRenderedPageBreak/>
        <w:t xml:space="preserve">degli </w:t>
      </w:r>
      <w:r w:rsidRPr="00D41F37">
        <w:rPr>
          <w:i/>
          <w:iCs/>
          <w:sz w:val="28"/>
          <w:szCs w:val="28"/>
        </w:rPr>
        <w:t>account</w:t>
      </w:r>
      <w:r w:rsidRPr="0095713B">
        <w:rPr>
          <w:sz w:val="28"/>
          <w:szCs w:val="28"/>
        </w:rPr>
        <w:t xml:space="preserve">, vi era stata </w:t>
      </w:r>
      <w:r w:rsidR="00D41F37" w:rsidRPr="0095713B">
        <w:rPr>
          <w:sz w:val="28"/>
          <w:szCs w:val="28"/>
        </w:rPr>
        <w:t xml:space="preserve">reiteratamente </w:t>
      </w:r>
      <w:r w:rsidR="00D41F37">
        <w:rPr>
          <w:sz w:val="28"/>
          <w:szCs w:val="28"/>
        </w:rPr>
        <w:t xml:space="preserve">da parte di </w:t>
      </w:r>
      <w:proofErr w:type="spellStart"/>
      <w:r w:rsidR="00D41F37">
        <w:rPr>
          <w:sz w:val="28"/>
          <w:szCs w:val="28"/>
        </w:rPr>
        <w:t>Facebook</w:t>
      </w:r>
      <w:proofErr w:type="spellEnd"/>
      <w:r w:rsidR="00D41F37">
        <w:rPr>
          <w:sz w:val="28"/>
          <w:szCs w:val="28"/>
        </w:rPr>
        <w:t xml:space="preserve"> </w:t>
      </w:r>
      <w:r w:rsidRPr="0095713B">
        <w:rPr>
          <w:sz w:val="28"/>
          <w:szCs w:val="28"/>
        </w:rPr>
        <w:t>la rimozione di singoli contenuti</w:t>
      </w:r>
      <w:r w:rsidR="00D41F37">
        <w:rPr>
          <w:sz w:val="28"/>
          <w:szCs w:val="28"/>
        </w:rPr>
        <w:t xml:space="preserve">, </w:t>
      </w:r>
      <w:r w:rsidRPr="0095713B">
        <w:rPr>
          <w:sz w:val="28"/>
          <w:szCs w:val="28"/>
        </w:rPr>
        <w:t xml:space="preserve">la misura </w:t>
      </w:r>
      <w:r w:rsidR="00D41F37">
        <w:rPr>
          <w:sz w:val="28"/>
          <w:szCs w:val="28"/>
        </w:rPr>
        <w:t xml:space="preserve">della sospensione </w:t>
      </w:r>
      <w:r w:rsidRPr="0095713B">
        <w:rPr>
          <w:sz w:val="28"/>
          <w:szCs w:val="28"/>
        </w:rPr>
        <w:t>si presentava come necessaria e adeguata.</w:t>
      </w:r>
    </w:p>
    <w:p w14:paraId="5AB84F64" w14:textId="2AC53250" w:rsidR="0095713B" w:rsidRPr="0095713B" w:rsidRDefault="00A93CE4" w:rsidP="0095713B">
      <w:pPr>
        <w:pStyle w:val="NormaleWeb"/>
        <w:jc w:val="both"/>
        <w:rPr>
          <w:sz w:val="28"/>
          <w:szCs w:val="28"/>
        </w:rPr>
      </w:pPr>
      <w:r>
        <w:rPr>
          <w:sz w:val="28"/>
          <w:szCs w:val="28"/>
        </w:rPr>
        <w:t>Segue lo stesso orientamento</w:t>
      </w:r>
      <w:r w:rsidR="0095713B" w:rsidRPr="0095713B">
        <w:rPr>
          <w:sz w:val="28"/>
          <w:szCs w:val="28"/>
        </w:rPr>
        <w:t xml:space="preserve"> anche un’</w:t>
      </w:r>
      <w:r w:rsidR="00763FBA">
        <w:rPr>
          <w:sz w:val="28"/>
          <w:szCs w:val="28"/>
        </w:rPr>
        <w:t>o</w:t>
      </w:r>
      <w:r w:rsidR="0095713B" w:rsidRPr="0095713B">
        <w:rPr>
          <w:sz w:val="28"/>
          <w:szCs w:val="28"/>
        </w:rPr>
        <w:t>rdinanza del Tribunale di Siena</w:t>
      </w:r>
      <w:r w:rsidR="006D4F00">
        <w:rPr>
          <w:rStyle w:val="Rimandonotaapidipagina"/>
          <w:sz w:val="28"/>
          <w:szCs w:val="28"/>
        </w:rPr>
        <w:footnoteReference w:id="165"/>
      </w:r>
      <w:r w:rsidR="0095713B" w:rsidRPr="0095713B">
        <w:rPr>
          <w:sz w:val="28"/>
          <w:szCs w:val="28"/>
        </w:rPr>
        <w:t>, pronunciata nell’ambito di un ricorso ex artt. 669</w:t>
      </w:r>
      <w:r w:rsidR="00AA2A17">
        <w:rPr>
          <w:sz w:val="28"/>
          <w:szCs w:val="28"/>
        </w:rPr>
        <w:t>-</w:t>
      </w:r>
      <w:r w:rsidR="0095713B" w:rsidRPr="0095713B">
        <w:rPr>
          <w:sz w:val="28"/>
          <w:szCs w:val="28"/>
        </w:rPr>
        <w:t xml:space="preserve">bis e ss. e 700 c.p.c., anch’essa </w:t>
      </w:r>
      <w:r w:rsidR="00A5514E">
        <w:rPr>
          <w:sz w:val="28"/>
          <w:szCs w:val="28"/>
        </w:rPr>
        <w:t>riguardo</w:t>
      </w:r>
      <w:r w:rsidR="0095713B" w:rsidRPr="0095713B">
        <w:rPr>
          <w:sz w:val="28"/>
          <w:szCs w:val="28"/>
        </w:rPr>
        <w:t xml:space="preserve"> alla rimozione dell’</w:t>
      </w:r>
      <w:r w:rsidR="0095713B" w:rsidRPr="00A5514E">
        <w:rPr>
          <w:i/>
          <w:iCs/>
          <w:sz w:val="28"/>
          <w:szCs w:val="28"/>
        </w:rPr>
        <w:t xml:space="preserve">account </w:t>
      </w:r>
      <w:r w:rsidR="00A5514E">
        <w:rPr>
          <w:sz w:val="28"/>
          <w:szCs w:val="28"/>
        </w:rPr>
        <w:t>privato</w:t>
      </w:r>
      <w:r w:rsidR="0095713B" w:rsidRPr="0095713B">
        <w:rPr>
          <w:sz w:val="28"/>
          <w:szCs w:val="28"/>
        </w:rPr>
        <w:t xml:space="preserve"> di un utente e della “pagina tematica” ad esso connessa. Anche in questo caso i contenuti divulgati erano attinenti allo svolgimento di attività politica e sono stati considerati in contrasto con gli </w:t>
      </w:r>
      <w:r w:rsidR="0095713B" w:rsidRPr="00763FBA">
        <w:rPr>
          <w:i/>
          <w:iCs/>
          <w:sz w:val="28"/>
          <w:szCs w:val="28"/>
        </w:rPr>
        <w:t>Standard</w:t>
      </w:r>
      <w:r w:rsidR="0095713B" w:rsidRPr="0095713B">
        <w:rPr>
          <w:sz w:val="28"/>
          <w:szCs w:val="28"/>
        </w:rPr>
        <w:t xml:space="preserve"> della </w:t>
      </w:r>
      <w:r w:rsidR="0095713B" w:rsidRPr="00763FBA">
        <w:rPr>
          <w:i/>
          <w:iCs/>
          <w:sz w:val="28"/>
          <w:szCs w:val="28"/>
        </w:rPr>
        <w:t>Community</w:t>
      </w:r>
      <w:r w:rsidR="00763FBA">
        <w:rPr>
          <w:i/>
          <w:iCs/>
          <w:sz w:val="28"/>
          <w:szCs w:val="28"/>
        </w:rPr>
        <w:t>,</w:t>
      </w:r>
      <w:r w:rsidR="0095713B" w:rsidRPr="0095713B">
        <w:rPr>
          <w:sz w:val="28"/>
          <w:szCs w:val="28"/>
        </w:rPr>
        <w:t xml:space="preserve"> tanto da </w:t>
      </w:r>
      <w:proofErr w:type="spellStart"/>
      <w:r w:rsidR="0095713B" w:rsidRPr="0095713B">
        <w:rPr>
          <w:sz w:val="28"/>
          <w:szCs w:val="28"/>
        </w:rPr>
        <w:t>Facebook</w:t>
      </w:r>
      <w:proofErr w:type="spellEnd"/>
      <w:r w:rsidR="0095713B" w:rsidRPr="0095713B">
        <w:rPr>
          <w:sz w:val="28"/>
          <w:szCs w:val="28"/>
        </w:rPr>
        <w:t xml:space="preserve"> quanto dal Tribunale, che ha rigettato l’istanza del ricorrente.</w:t>
      </w:r>
    </w:p>
    <w:p w14:paraId="6B0195CA" w14:textId="77777777" w:rsidR="00763FBA" w:rsidRDefault="00A5514E" w:rsidP="00D554FC">
      <w:pPr>
        <w:pStyle w:val="NormaleWeb"/>
        <w:spacing w:before="0" w:beforeAutospacing="0" w:after="0" w:afterAutospacing="0"/>
        <w:jc w:val="both"/>
        <w:rPr>
          <w:sz w:val="28"/>
          <w:szCs w:val="28"/>
        </w:rPr>
      </w:pPr>
      <w:r>
        <w:rPr>
          <w:sz w:val="28"/>
          <w:szCs w:val="28"/>
        </w:rPr>
        <w:t>Risulta di</w:t>
      </w:r>
      <w:r w:rsidR="0095713B" w:rsidRPr="0095713B">
        <w:rPr>
          <w:sz w:val="28"/>
          <w:szCs w:val="28"/>
        </w:rPr>
        <w:t xml:space="preserve"> diverso avviso, invece, il Tribunale di Roma</w:t>
      </w:r>
      <w:r>
        <w:rPr>
          <w:sz w:val="28"/>
          <w:szCs w:val="28"/>
        </w:rPr>
        <w:t xml:space="preserve"> –</w:t>
      </w:r>
      <w:r w:rsidR="0095713B" w:rsidRPr="0095713B">
        <w:rPr>
          <w:sz w:val="28"/>
          <w:szCs w:val="28"/>
        </w:rPr>
        <w:t xml:space="preserve"> sia in prima fase che in sede di reclam</w:t>
      </w:r>
      <w:r>
        <w:rPr>
          <w:sz w:val="28"/>
          <w:szCs w:val="28"/>
        </w:rPr>
        <w:t xml:space="preserve">o – </w:t>
      </w:r>
      <w:r w:rsidR="0095713B" w:rsidRPr="0095713B">
        <w:rPr>
          <w:sz w:val="28"/>
          <w:szCs w:val="28"/>
        </w:rPr>
        <w:t>nell’</w:t>
      </w:r>
      <w:r w:rsidR="00763FBA">
        <w:rPr>
          <w:sz w:val="28"/>
          <w:szCs w:val="28"/>
        </w:rPr>
        <w:t>o</w:t>
      </w:r>
      <w:r w:rsidR="0095713B" w:rsidRPr="0095713B">
        <w:rPr>
          <w:sz w:val="28"/>
          <w:szCs w:val="28"/>
        </w:rPr>
        <w:t xml:space="preserve">rdinanza resa in data 14.02.2020 </w:t>
      </w:r>
      <w:r>
        <w:rPr>
          <w:sz w:val="28"/>
          <w:szCs w:val="28"/>
        </w:rPr>
        <w:t>(</w:t>
      </w:r>
      <w:r w:rsidR="0095713B" w:rsidRPr="0095713B">
        <w:rPr>
          <w:sz w:val="28"/>
          <w:szCs w:val="28"/>
        </w:rPr>
        <w:t>nell’ambito della causa n. 80961/19</w:t>
      </w:r>
      <w:r w:rsidR="006D4F00">
        <w:rPr>
          <w:rStyle w:val="Rimandonotaapidipagina"/>
          <w:sz w:val="28"/>
          <w:szCs w:val="28"/>
        </w:rPr>
        <w:footnoteReference w:id="166"/>
      </w:r>
      <w:r>
        <w:rPr>
          <w:sz w:val="28"/>
          <w:szCs w:val="28"/>
        </w:rPr>
        <w:t>)</w:t>
      </w:r>
      <w:r w:rsidR="0095713B" w:rsidRPr="0095713B">
        <w:rPr>
          <w:sz w:val="28"/>
          <w:szCs w:val="28"/>
        </w:rPr>
        <w:t xml:space="preserve">, a seguito del ricorso </w:t>
      </w:r>
      <w:r>
        <w:rPr>
          <w:sz w:val="28"/>
          <w:szCs w:val="28"/>
        </w:rPr>
        <w:t xml:space="preserve">promosso </w:t>
      </w:r>
      <w:r w:rsidR="0095713B" w:rsidRPr="0095713B">
        <w:rPr>
          <w:sz w:val="28"/>
          <w:szCs w:val="28"/>
        </w:rPr>
        <w:t xml:space="preserve">da parte di </w:t>
      </w:r>
      <w:proofErr w:type="spellStart"/>
      <w:r w:rsidR="0095713B" w:rsidRPr="00A5514E">
        <w:rPr>
          <w:i/>
          <w:iCs/>
          <w:sz w:val="28"/>
          <w:szCs w:val="28"/>
        </w:rPr>
        <w:t>Casapound</w:t>
      </w:r>
      <w:proofErr w:type="spellEnd"/>
      <w:r w:rsidR="0095713B" w:rsidRPr="00A5514E">
        <w:rPr>
          <w:i/>
          <w:iCs/>
          <w:sz w:val="28"/>
          <w:szCs w:val="28"/>
        </w:rPr>
        <w:t xml:space="preserve"> Italia</w:t>
      </w:r>
      <w:r w:rsidR="0095713B" w:rsidRPr="0095713B">
        <w:rPr>
          <w:sz w:val="28"/>
          <w:szCs w:val="28"/>
        </w:rPr>
        <w:t xml:space="preserve"> </w:t>
      </w:r>
      <w:r>
        <w:rPr>
          <w:sz w:val="28"/>
          <w:szCs w:val="28"/>
        </w:rPr>
        <w:t>contro</w:t>
      </w:r>
      <w:r w:rsidR="0095713B" w:rsidRPr="0095713B">
        <w:rPr>
          <w:sz w:val="28"/>
          <w:szCs w:val="28"/>
        </w:rPr>
        <w:t xml:space="preserve"> </w:t>
      </w:r>
      <w:proofErr w:type="spellStart"/>
      <w:r w:rsidR="0095713B" w:rsidRPr="0095713B">
        <w:rPr>
          <w:sz w:val="28"/>
          <w:szCs w:val="28"/>
        </w:rPr>
        <w:t>Facebook</w:t>
      </w:r>
      <w:proofErr w:type="spellEnd"/>
      <w:r>
        <w:rPr>
          <w:sz w:val="28"/>
          <w:szCs w:val="28"/>
        </w:rPr>
        <w:t>, che aveva rimosso la p</w:t>
      </w:r>
      <w:r w:rsidR="0095713B" w:rsidRPr="0095713B">
        <w:rPr>
          <w:sz w:val="28"/>
          <w:szCs w:val="28"/>
        </w:rPr>
        <w:t xml:space="preserve">agina dell’Associazione e del profilo personale di uno dei suoi esponenti. </w:t>
      </w:r>
    </w:p>
    <w:p w14:paraId="7DB17EF4" w14:textId="0C45C0C9" w:rsidR="00D554FC" w:rsidRDefault="0095713B" w:rsidP="00D554FC">
      <w:pPr>
        <w:pStyle w:val="NormaleWeb"/>
        <w:spacing w:before="0" w:beforeAutospacing="0" w:after="0" w:afterAutospacing="0"/>
        <w:jc w:val="both"/>
        <w:rPr>
          <w:sz w:val="28"/>
          <w:szCs w:val="28"/>
        </w:rPr>
      </w:pPr>
      <w:r w:rsidRPr="0095713B">
        <w:rPr>
          <w:sz w:val="28"/>
          <w:szCs w:val="28"/>
        </w:rPr>
        <w:t>Il Collegio</w:t>
      </w:r>
      <w:r w:rsidR="00A5514E">
        <w:rPr>
          <w:sz w:val="28"/>
          <w:szCs w:val="28"/>
        </w:rPr>
        <w:t xml:space="preserve"> giudicante</w:t>
      </w:r>
      <w:r w:rsidRPr="0095713B">
        <w:rPr>
          <w:sz w:val="28"/>
          <w:szCs w:val="28"/>
        </w:rPr>
        <w:t>, sebbene abbia ritenuto</w:t>
      </w:r>
      <w:r w:rsidR="00A5514E">
        <w:rPr>
          <w:sz w:val="28"/>
          <w:szCs w:val="28"/>
        </w:rPr>
        <w:t xml:space="preserve"> – </w:t>
      </w:r>
      <w:r w:rsidRPr="0095713B">
        <w:rPr>
          <w:sz w:val="28"/>
          <w:szCs w:val="28"/>
        </w:rPr>
        <w:t xml:space="preserve">in difformità </w:t>
      </w:r>
      <w:r w:rsidR="002C4403">
        <w:rPr>
          <w:sz w:val="28"/>
          <w:szCs w:val="28"/>
        </w:rPr>
        <w:t>rispetto a quanto</w:t>
      </w:r>
      <w:r w:rsidRPr="0095713B">
        <w:rPr>
          <w:sz w:val="28"/>
          <w:szCs w:val="28"/>
        </w:rPr>
        <w:t xml:space="preserve"> affermato dall’</w:t>
      </w:r>
      <w:r w:rsidR="00763FBA">
        <w:rPr>
          <w:sz w:val="28"/>
          <w:szCs w:val="28"/>
        </w:rPr>
        <w:t>o</w:t>
      </w:r>
      <w:r w:rsidRPr="0095713B">
        <w:rPr>
          <w:sz w:val="28"/>
          <w:szCs w:val="28"/>
        </w:rPr>
        <w:t>rdinanza reclamata</w:t>
      </w:r>
      <w:r w:rsidR="002C4403">
        <w:rPr>
          <w:sz w:val="28"/>
          <w:szCs w:val="28"/>
        </w:rPr>
        <w:t xml:space="preserve"> – </w:t>
      </w:r>
      <w:r w:rsidRPr="0095713B">
        <w:rPr>
          <w:sz w:val="28"/>
          <w:szCs w:val="28"/>
        </w:rPr>
        <w:t xml:space="preserve">che il rapporto fra le parti vada </w:t>
      </w:r>
      <w:r w:rsidR="002C4403">
        <w:rPr>
          <w:sz w:val="28"/>
          <w:szCs w:val="28"/>
        </w:rPr>
        <w:t>inquadrato</w:t>
      </w:r>
      <w:r w:rsidRPr="0095713B">
        <w:rPr>
          <w:sz w:val="28"/>
          <w:szCs w:val="28"/>
        </w:rPr>
        <w:t xml:space="preserve"> </w:t>
      </w:r>
      <w:r w:rsidR="002C4403">
        <w:rPr>
          <w:sz w:val="28"/>
          <w:szCs w:val="28"/>
        </w:rPr>
        <w:t>tra i contratti ordinari</w:t>
      </w:r>
      <w:r w:rsidRPr="0095713B">
        <w:rPr>
          <w:sz w:val="28"/>
          <w:szCs w:val="28"/>
        </w:rPr>
        <w:t xml:space="preserve"> di diritto civile e che, di conseguenza, la legittimità dell’esercizio del diritto di recesso da parte del contraente debba essere valutata alla luce dell’accordo negoziale stipulato fra le stesse, ha tuttavia puntualizzato che </w:t>
      </w:r>
      <w:r w:rsidR="002C4403">
        <w:rPr>
          <w:sz w:val="28"/>
          <w:szCs w:val="28"/>
        </w:rPr>
        <w:t>risulta</w:t>
      </w:r>
      <w:r w:rsidRPr="0095713B">
        <w:rPr>
          <w:sz w:val="28"/>
          <w:szCs w:val="28"/>
        </w:rPr>
        <w:t xml:space="preserve"> preclusa all’autonomia privata la possibilità di limitare i diritti costituzionali di una delle parti. I</w:t>
      </w:r>
      <w:r w:rsidR="002C4403">
        <w:rPr>
          <w:sz w:val="28"/>
          <w:szCs w:val="28"/>
        </w:rPr>
        <w:t>n altri termini, i</w:t>
      </w:r>
      <w:r w:rsidRPr="0095713B">
        <w:rPr>
          <w:sz w:val="28"/>
          <w:szCs w:val="28"/>
        </w:rPr>
        <w:t xml:space="preserve">l rispetto dei diritti fondamentali – in questo caso, la libertà di iniziativa economica privata, ex art. 41 </w:t>
      </w:r>
      <w:proofErr w:type="spellStart"/>
      <w:r w:rsidRPr="0095713B">
        <w:rPr>
          <w:sz w:val="28"/>
          <w:szCs w:val="28"/>
        </w:rPr>
        <w:t>Cost</w:t>
      </w:r>
      <w:proofErr w:type="spellEnd"/>
      <w:r w:rsidRPr="0095713B">
        <w:rPr>
          <w:sz w:val="28"/>
          <w:szCs w:val="28"/>
        </w:rPr>
        <w:t xml:space="preserve">. e la libertà di manifestazione del pensiero e di associazione, rispettivamente riconosciute dagli artt. 21 e 18 </w:t>
      </w:r>
      <w:proofErr w:type="spellStart"/>
      <w:r w:rsidRPr="0095713B">
        <w:rPr>
          <w:sz w:val="28"/>
          <w:szCs w:val="28"/>
        </w:rPr>
        <w:t>Cost</w:t>
      </w:r>
      <w:proofErr w:type="spellEnd"/>
      <w:r w:rsidRPr="0095713B">
        <w:rPr>
          <w:sz w:val="28"/>
          <w:szCs w:val="28"/>
        </w:rPr>
        <w:t>. – si pone quale limite invalicabile dell’autonomia privata.</w:t>
      </w:r>
    </w:p>
    <w:p w14:paraId="3F1388EE" w14:textId="77777777" w:rsidR="00763FBA" w:rsidRDefault="002C4403" w:rsidP="00D554FC">
      <w:pPr>
        <w:pStyle w:val="NormaleWeb"/>
        <w:spacing w:before="0" w:beforeAutospacing="0" w:after="0" w:afterAutospacing="0"/>
        <w:jc w:val="both"/>
        <w:rPr>
          <w:sz w:val="28"/>
          <w:szCs w:val="28"/>
        </w:rPr>
      </w:pPr>
      <w:r>
        <w:rPr>
          <w:sz w:val="28"/>
          <w:szCs w:val="28"/>
        </w:rPr>
        <w:t>Nello specifico, i giudici hanno</w:t>
      </w:r>
      <w:r w:rsidR="0095713B" w:rsidRPr="0095713B">
        <w:rPr>
          <w:sz w:val="28"/>
          <w:szCs w:val="28"/>
        </w:rPr>
        <w:t xml:space="preserve"> respinto il reclamo presentato da </w:t>
      </w:r>
      <w:proofErr w:type="spellStart"/>
      <w:r w:rsidR="0095713B" w:rsidRPr="0095713B">
        <w:rPr>
          <w:sz w:val="28"/>
          <w:szCs w:val="28"/>
        </w:rPr>
        <w:t>Facebook</w:t>
      </w:r>
      <w:proofErr w:type="spellEnd"/>
      <w:r w:rsidR="0095713B" w:rsidRPr="0095713B">
        <w:rPr>
          <w:sz w:val="28"/>
          <w:szCs w:val="28"/>
        </w:rPr>
        <w:t xml:space="preserve"> sulla base dell’assunto che quest’ultimo, </w:t>
      </w:r>
      <w:r>
        <w:rPr>
          <w:sz w:val="28"/>
          <w:szCs w:val="28"/>
        </w:rPr>
        <w:t>avente natura</w:t>
      </w:r>
      <w:r w:rsidR="0095713B" w:rsidRPr="0095713B">
        <w:rPr>
          <w:sz w:val="28"/>
          <w:szCs w:val="28"/>
        </w:rPr>
        <w:t xml:space="preserve"> di </w:t>
      </w:r>
      <w:r w:rsidR="0095713B" w:rsidRPr="002C4403">
        <w:rPr>
          <w:i/>
          <w:iCs/>
          <w:sz w:val="28"/>
          <w:szCs w:val="28"/>
        </w:rPr>
        <w:t>soggetto privato</w:t>
      </w:r>
      <w:r w:rsidR="0095713B" w:rsidRPr="0095713B">
        <w:rPr>
          <w:sz w:val="28"/>
          <w:szCs w:val="28"/>
        </w:rPr>
        <w:t xml:space="preserve">, non sia legittimato ad esprimersi sulla liceità o meno dell’Associazione in quanto tale, potendo limitarsi esclusivamente a contestare la violazione delle regole contrattuali che ne disciplinano il reciproco rapporto. </w:t>
      </w:r>
    </w:p>
    <w:p w14:paraId="307A8840" w14:textId="6AD21C0D" w:rsidR="0095713B" w:rsidRPr="0095713B" w:rsidRDefault="0095713B" w:rsidP="00D554FC">
      <w:pPr>
        <w:pStyle w:val="NormaleWeb"/>
        <w:spacing w:before="0" w:beforeAutospacing="0" w:after="0" w:afterAutospacing="0"/>
        <w:jc w:val="both"/>
        <w:rPr>
          <w:sz w:val="28"/>
          <w:szCs w:val="28"/>
        </w:rPr>
      </w:pPr>
      <w:r w:rsidRPr="0095713B">
        <w:rPr>
          <w:sz w:val="28"/>
          <w:szCs w:val="28"/>
        </w:rPr>
        <w:t xml:space="preserve">In particolare, </w:t>
      </w:r>
      <w:r w:rsidR="002C4403">
        <w:rPr>
          <w:sz w:val="28"/>
          <w:szCs w:val="28"/>
        </w:rPr>
        <w:t>l’organo giudicante</w:t>
      </w:r>
      <w:r w:rsidRPr="0095713B">
        <w:rPr>
          <w:sz w:val="28"/>
          <w:szCs w:val="28"/>
        </w:rPr>
        <w:t xml:space="preserve"> ha evidenziato che </w:t>
      </w:r>
      <w:proofErr w:type="spellStart"/>
      <w:r w:rsidRPr="0095713B">
        <w:rPr>
          <w:sz w:val="28"/>
          <w:szCs w:val="28"/>
        </w:rPr>
        <w:t>Facebook</w:t>
      </w:r>
      <w:proofErr w:type="spellEnd"/>
      <w:r w:rsidRPr="0095713B">
        <w:rPr>
          <w:sz w:val="28"/>
          <w:szCs w:val="28"/>
        </w:rPr>
        <w:t xml:space="preserve"> aveva giustificato la chiusura delle pagine e la sospensione dell’erogazione del servizio nei confronti del singolo utente</w:t>
      </w:r>
      <w:r w:rsidR="002C4403">
        <w:rPr>
          <w:sz w:val="28"/>
          <w:szCs w:val="28"/>
        </w:rPr>
        <w:t xml:space="preserve"> privato</w:t>
      </w:r>
      <w:r w:rsidR="00763FBA">
        <w:rPr>
          <w:sz w:val="28"/>
          <w:szCs w:val="28"/>
        </w:rPr>
        <w:t>,</w:t>
      </w:r>
      <w:r w:rsidRPr="0095713B">
        <w:rPr>
          <w:sz w:val="28"/>
          <w:szCs w:val="28"/>
        </w:rPr>
        <w:t xml:space="preserve"> sulla base di valutazioni concernenti il complesso dell’attività politica di </w:t>
      </w:r>
      <w:proofErr w:type="spellStart"/>
      <w:r w:rsidRPr="0095713B">
        <w:rPr>
          <w:sz w:val="28"/>
          <w:szCs w:val="28"/>
        </w:rPr>
        <w:t>Casapound</w:t>
      </w:r>
      <w:proofErr w:type="spellEnd"/>
      <w:r w:rsidRPr="0095713B">
        <w:rPr>
          <w:sz w:val="28"/>
          <w:szCs w:val="28"/>
        </w:rPr>
        <w:t xml:space="preserve">, ed in particolare l’esplicito richiamo di questa all’ideologia fascista. A parere di </w:t>
      </w:r>
      <w:proofErr w:type="spellStart"/>
      <w:r w:rsidRPr="0095713B">
        <w:rPr>
          <w:sz w:val="28"/>
          <w:szCs w:val="28"/>
        </w:rPr>
        <w:t>Facebook</w:t>
      </w:r>
      <w:proofErr w:type="spellEnd"/>
      <w:r w:rsidR="00763FBA">
        <w:rPr>
          <w:sz w:val="28"/>
          <w:szCs w:val="28"/>
        </w:rPr>
        <w:t>,</w:t>
      </w:r>
      <w:r w:rsidRPr="0095713B">
        <w:rPr>
          <w:sz w:val="28"/>
          <w:szCs w:val="28"/>
        </w:rPr>
        <w:t xml:space="preserve"> ciò costituiva</w:t>
      </w:r>
      <w:r w:rsidR="002C4403">
        <w:rPr>
          <w:sz w:val="28"/>
          <w:szCs w:val="28"/>
        </w:rPr>
        <w:t>,</w:t>
      </w:r>
      <w:r w:rsidRPr="0095713B">
        <w:rPr>
          <w:sz w:val="28"/>
          <w:szCs w:val="28"/>
        </w:rPr>
        <w:t xml:space="preserve"> infatti</w:t>
      </w:r>
      <w:r w:rsidR="002C4403">
        <w:rPr>
          <w:sz w:val="28"/>
          <w:szCs w:val="28"/>
        </w:rPr>
        <w:t>,</w:t>
      </w:r>
      <w:r w:rsidRPr="0095713B">
        <w:rPr>
          <w:sz w:val="28"/>
          <w:szCs w:val="28"/>
        </w:rPr>
        <w:t xml:space="preserve"> una forma di sostegno a “</w:t>
      </w:r>
      <w:r w:rsidRPr="002C4403">
        <w:rPr>
          <w:i/>
          <w:iCs/>
          <w:sz w:val="28"/>
          <w:szCs w:val="28"/>
        </w:rPr>
        <w:t xml:space="preserve">politiche </w:t>
      </w:r>
      <w:r w:rsidRPr="002C4403">
        <w:rPr>
          <w:i/>
          <w:iCs/>
          <w:sz w:val="28"/>
          <w:szCs w:val="28"/>
        </w:rPr>
        <w:lastRenderedPageBreak/>
        <w:t xml:space="preserve">incompatibili a quelle del Servizio </w:t>
      </w:r>
      <w:proofErr w:type="spellStart"/>
      <w:r w:rsidRPr="002C4403">
        <w:rPr>
          <w:i/>
          <w:iCs/>
          <w:sz w:val="28"/>
          <w:szCs w:val="28"/>
        </w:rPr>
        <w:t>Facebook</w:t>
      </w:r>
      <w:proofErr w:type="spellEnd"/>
      <w:r w:rsidRPr="0095713B">
        <w:rPr>
          <w:sz w:val="28"/>
          <w:szCs w:val="28"/>
        </w:rPr>
        <w:t>”, sufficiente a legittimare la recessione dal contratto da parte dello stesso.</w:t>
      </w:r>
    </w:p>
    <w:p w14:paraId="151D7AB2" w14:textId="77777777" w:rsidR="00763FBA" w:rsidRDefault="0095713B" w:rsidP="00D554FC">
      <w:pPr>
        <w:pStyle w:val="NormaleWeb"/>
        <w:spacing w:before="0" w:beforeAutospacing="0" w:after="0" w:afterAutospacing="0"/>
        <w:jc w:val="both"/>
        <w:rPr>
          <w:sz w:val="28"/>
          <w:szCs w:val="28"/>
        </w:rPr>
      </w:pPr>
      <w:r w:rsidRPr="0095713B">
        <w:rPr>
          <w:sz w:val="28"/>
          <w:szCs w:val="28"/>
        </w:rPr>
        <w:t xml:space="preserve">Tuttavia, </w:t>
      </w:r>
      <w:r w:rsidR="004E4128">
        <w:rPr>
          <w:sz w:val="28"/>
          <w:szCs w:val="28"/>
        </w:rPr>
        <w:t>nonostante</w:t>
      </w:r>
      <w:r w:rsidRPr="0095713B">
        <w:rPr>
          <w:sz w:val="28"/>
          <w:szCs w:val="28"/>
        </w:rPr>
        <w:t xml:space="preserve"> il Tribunale ammetta che la compatibilità dell’associazione con le condizioni contrattuali debba essere valutata anche alla luce della sua natura intrinseca, </w:t>
      </w:r>
      <w:r w:rsidR="004E4128">
        <w:rPr>
          <w:sz w:val="28"/>
          <w:szCs w:val="28"/>
        </w:rPr>
        <w:t xml:space="preserve">i Giudici </w:t>
      </w:r>
      <w:r w:rsidRPr="0095713B">
        <w:rPr>
          <w:sz w:val="28"/>
          <w:szCs w:val="28"/>
        </w:rPr>
        <w:t>sottolinea</w:t>
      </w:r>
      <w:r w:rsidR="004E4128">
        <w:rPr>
          <w:sz w:val="28"/>
          <w:szCs w:val="28"/>
        </w:rPr>
        <w:t>no</w:t>
      </w:r>
      <w:r w:rsidRPr="0095713B">
        <w:rPr>
          <w:sz w:val="28"/>
          <w:szCs w:val="28"/>
        </w:rPr>
        <w:t xml:space="preserve"> che la valutazione inerente alla liceità dell</w:t>
      </w:r>
      <w:r w:rsidR="004E4128">
        <w:rPr>
          <w:sz w:val="28"/>
          <w:szCs w:val="28"/>
        </w:rPr>
        <w:t xml:space="preserve">’organizzazione </w:t>
      </w:r>
      <w:r w:rsidRPr="0095713B">
        <w:rPr>
          <w:sz w:val="28"/>
          <w:szCs w:val="28"/>
        </w:rPr>
        <w:t>vada compiuta con riferimento alla disciplina pubblicistica, assumendo quale riferimento i limiti</w:t>
      </w:r>
      <w:r w:rsidR="006D4F00">
        <w:rPr>
          <w:sz w:val="28"/>
          <w:szCs w:val="28"/>
        </w:rPr>
        <w:t xml:space="preserve"> </w:t>
      </w:r>
      <w:r w:rsidRPr="0095713B">
        <w:rPr>
          <w:sz w:val="28"/>
          <w:szCs w:val="28"/>
        </w:rPr>
        <w:t xml:space="preserve">posti dall’art. 18 </w:t>
      </w:r>
      <w:proofErr w:type="spellStart"/>
      <w:r w:rsidRPr="0095713B">
        <w:rPr>
          <w:sz w:val="28"/>
          <w:szCs w:val="28"/>
        </w:rPr>
        <w:t>Cost</w:t>
      </w:r>
      <w:proofErr w:type="spellEnd"/>
      <w:r w:rsidR="004E4128">
        <w:rPr>
          <w:sz w:val="28"/>
          <w:szCs w:val="28"/>
        </w:rPr>
        <w:t>.</w:t>
      </w:r>
      <w:r w:rsidRPr="0095713B">
        <w:rPr>
          <w:sz w:val="28"/>
          <w:szCs w:val="28"/>
        </w:rPr>
        <w:t>, come interpretato dalla giurisprudenza costituzionale e di legittimità, e la successiva normativa a tutela del valore dell’uguaglianza.</w:t>
      </w:r>
      <w:r w:rsidR="001977BB">
        <w:rPr>
          <w:sz w:val="28"/>
          <w:szCs w:val="28"/>
        </w:rPr>
        <w:t xml:space="preserve"> </w:t>
      </w:r>
    </w:p>
    <w:p w14:paraId="7F48E1D8" w14:textId="77777777" w:rsidR="00763FBA" w:rsidRDefault="004E4128" w:rsidP="00D554FC">
      <w:pPr>
        <w:pStyle w:val="NormaleWeb"/>
        <w:spacing w:before="0" w:beforeAutospacing="0" w:after="0" w:afterAutospacing="0"/>
        <w:jc w:val="both"/>
        <w:rPr>
          <w:sz w:val="28"/>
          <w:szCs w:val="28"/>
        </w:rPr>
      </w:pPr>
      <w:r>
        <w:rPr>
          <w:sz w:val="28"/>
          <w:szCs w:val="28"/>
        </w:rPr>
        <w:t>Per quanto concerne il richiamo al</w:t>
      </w:r>
      <w:r w:rsidR="0095713B" w:rsidRPr="0095713B">
        <w:rPr>
          <w:sz w:val="28"/>
          <w:szCs w:val="28"/>
        </w:rPr>
        <w:t>l’art. 18</w:t>
      </w:r>
      <w:r>
        <w:rPr>
          <w:sz w:val="28"/>
          <w:szCs w:val="28"/>
        </w:rPr>
        <w:t xml:space="preserve"> – </w:t>
      </w:r>
      <w:r w:rsidR="0095713B" w:rsidRPr="0095713B">
        <w:rPr>
          <w:sz w:val="28"/>
          <w:szCs w:val="28"/>
        </w:rPr>
        <w:t>a norma del quale la libertà di associazione dei cittadini incontra</w:t>
      </w:r>
      <w:r w:rsidR="00763FBA">
        <w:rPr>
          <w:sz w:val="28"/>
          <w:szCs w:val="28"/>
        </w:rPr>
        <w:t>,</w:t>
      </w:r>
      <w:r w:rsidR="0095713B" w:rsidRPr="0095713B">
        <w:rPr>
          <w:sz w:val="28"/>
          <w:szCs w:val="28"/>
        </w:rPr>
        <w:t xml:space="preserve"> quale unico limite</w:t>
      </w:r>
      <w:r w:rsidR="00763FBA">
        <w:rPr>
          <w:sz w:val="28"/>
          <w:szCs w:val="28"/>
        </w:rPr>
        <w:t>,</w:t>
      </w:r>
      <w:r w:rsidR="0095713B" w:rsidRPr="0095713B">
        <w:rPr>
          <w:sz w:val="28"/>
          <w:szCs w:val="28"/>
        </w:rPr>
        <w:t xml:space="preserve"> il perseguimento di fini vietati ai singoli dalla legge penale</w:t>
      </w:r>
      <w:r>
        <w:rPr>
          <w:sz w:val="28"/>
          <w:szCs w:val="28"/>
        </w:rPr>
        <w:t xml:space="preserve"> – </w:t>
      </w:r>
      <w:r w:rsidR="0095713B" w:rsidRPr="0095713B">
        <w:rPr>
          <w:sz w:val="28"/>
          <w:szCs w:val="28"/>
        </w:rPr>
        <w:t>potrebbe rilevare</w:t>
      </w:r>
      <w:r w:rsidR="00763FBA">
        <w:rPr>
          <w:sz w:val="28"/>
          <w:szCs w:val="28"/>
        </w:rPr>
        <w:t>,</w:t>
      </w:r>
      <w:r w:rsidR="0095713B" w:rsidRPr="0095713B">
        <w:rPr>
          <w:sz w:val="28"/>
          <w:szCs w:val="28"/>
        </w:rPr>
        <w:t xml:space="preserve"> nel caso di specie</w:t>
      </w:r>
      <w:r w:rsidR="00763FBA">
        <w:rPr>
          <w:sz w:val="28"/>
          <w:szCs w:val="28"/>
        </w:rPr>
        <w:t>,</w:t>
      </w:r>
      <w:r w:rsidR="0095713B" w:rsidRPr="0095713B">
        <w:rPr>
          <w:sz w:val="28"/>
          <w:szCs w:val="28"/>
        </w:rPr>
        <w:t xml:space="preserve"> in virtù del divieto di ricostituzione del partito fascista sancito dal nostro ordinamento. </w:t>
      </w:r>
    </w:p>
    <w:p w14:paraId="3AC32103" w14:textId="77777777" w:rsidR="00763FBA" w:rsidRDefault="004E4128" w:rsidP="00D554FC">
      <w:pPr>
        <w:pStyle w:val="NormaleWeb"/>
        <w:spacing w:before="0" w:beforeAutospacing="0" w:after="0" w:afterAutospacing="0"/>
        <w:jc w:val="both"/>
        <w:rPr>
          <w:sz w:val="28"/>
          <w:szCs w:val="28"/>
        </w:rPr>
      </w:pPr>
      <w:r>
        <w:rPr>
          <w:sz w:val="28"/>
          <w:szCs w:val="28"/>
        </w:rPr>
        <w:t>Senonché</w:t>
      </w:r>
      <w:r w:rsidR="0095713B" w:rsidRPr="0095713B">
        <w:rPr>
          <w:sz w:val="28"/>
          <w:szCs w:val="28"/>
        </w:rPr>
        <w:t>, la fattispecie in esame richiede</w:t>
      </w:r>
      <w:r w:rsidR="00763FBA">
        <w:rPr>
          <w:sz w:val="28"/>
          <w:szCs w:val="28"/>
        </w:rPr>
        <w:t>rebbe</w:t>
      </w:r>
      <w:r w:rsidR="0095713B" w:rsidRPr="0095713B">
        <w:rPr>
          <w:sz w:val="28"/>
          <w:szCs w:val="28"/>
        </w:rPr>
        <w:t xml:space="preserve"> la sussistenza di un pericolo in concreto, attinente alle finalità specifiche e alle modalità di azione della forza politica, non essendo sufficiente il solo richiamo all’ideologia fascista.</w:t>
      </w:r>
      <w:r w:rsidR="00D02508">
        <w:rPr>
          <w:sz w:val="28"/>
          <w:szCs w:val="28"/>
        </w:rPr>
        <w:t xml:space="preserve"> </w:t>
      </w:r>
    </w:p>
    <w:p w14:paraId="4EC148FA" w14:textId="77777777" w:rsidR="00095D19" w:rsidRDefault="00D02508" w:rsidP="00D554FC">
      <w:pPr>
        <w:pStyle w:val="NormaleWeb"/>
        <w:spacing w:before="0" w:beforeAutospacing="0" w:after="0" w:afterAutospacing="0"/>
        <w:jc w:val="both"/>
        <w:rPr>
          <w:sz w:val="28"/>
          <w:szCs w:val="28"/>
        </w:rPr>
      </w:pPr>
      <w:r>
        <w:rPr>
          <w:sz w:val="28"/>
          <w:szCs w:val="28"/>
        </w:rPr>
        <w:t>S</w:t>
      </w:r>
      <w:r w:rsidR="0095713B" w:rsidRPr="0095713B">
        <w:rPr>
          <w:sz w:val="28"/>
          <w:szCs w:val="28"/>
        </w:rPr>
        <w:t>econdo il Collegio,</w:t>
      </w:r>
      <w:r>
        <w:rPr>
          <w:sz w:val="28"/>
          <w:szCs w:val="28"/>
        </w:rPr>
        <w:t xml:space="preserve"> inoltre, </w:t>
      </w:r>
      <w:r w:rsidR="0095713B" w:rsidRPr="0095713B">
        <w:rPr>
          <w:sz w:val="28"/>
          <w:szCs w:val="28"/>
        </w:rPr>
        <w:t xml:space="preserve">nel caso di specie </w:t>
      </w:r>
      <w:r>
        <w:rPr>
          <w:sz w:val="28"/>
          <w:szCs w:val="28"/>
        </w:rPr>
        <w:t>non</w:t>
      </w:r>
      <w:r w:rsidRPr="0095713B">
        <w:rPr>
          <w:sz w:val="28"/>
          <w:szCs w:val="28"/>
        </w:rPr>
        <w:t xml:space="preserve"> rileverebbe </w:t>
      </w:r>
      <w:r>
        <w:rPr>
          <w:sz w:val="28"/>
          <w:szCs w:val="28"/>
        </w:rPr>
        <w:t xml:space="preserve">nemmeno </w:t>
      </w:r>
      <w:r w:rsidR="0095713B" w:rsidRPr="0095713B">
        <w:rPr>
          <w:sz w:val="28"/>
          <w:szCs w:val="28"/>
        </w:rPr>
        <w:t xml:space="preserve">la disciplina che lega l’illiceità dell’associazione all’incitamento all’odio, alla discriminazione o alla violenza per motivi razziali, etnici, nazionali o religiosi, </w:t>
      </w:r>
      <w:r>
        <w:rPr>
          <w:sz w:val="28"/>
          <w:szCs w:val="28"/>
        </w:rPr>
        <w:t>poiché,</w:t>
      </w:r>
      <w:r w:rsidR="0095713B" w:rsidRPr="0095713B">
        <w:rPr>
          <w:sz w:val="28"/>
          <w:szCs w:val="28"/>
        </w:rPr>
        <w:t xml:space="preserve"> nella prospettazione data da </w:t>
      </w:r>
      <w:proofErr w:type="spellStart"/>
      <w:r w:rsidR="0095713B" w:rsidRPr="0095713B">
        <w:rPr>
          <w:sz w:val="28"/>
          <w:szCs w:val="28"/>
        </w:rPr>
        <w:t>Facebook</w:t>
      </w:r>
      <w:proofErr w:type="spellEnd"/>
      <w:r w:rsidR="0095713B" w:rsidRPr="0095713B">
        <w:rPr>
          <w:sz w:val="28"/>
          <w:szCs w:val="28"/>
        </w:rPr>
        <w:t xml:space="preserve">, tali elementi sarebbero riconducibili all’attività di </w:t>
      </w:r>
      <w:proofErr w:type="spellStart"/>
      <w:r w:rsidR="0095713B" w:rsidRPr="0095713B">
        <w:rPr>
          <w:sz w:val="28"/>
          <w:szCs w:val="28"/>
        </w:rPr>
        <w:t>Casapound</w:t>
      </w:r>
      <w:proofErr w:type="spellEnd"/>
      <w:r w:rsidR="0095713B" w:rsidRPr="0095713B">
        <w:rPr>
          <w:sz w:val="28"/>
          <w:szCs w:val="28"/>
        </w:rPr>
        <w:t xml:space="preserve"> esclusivamente sulla base dell’inscindibilità di questi aspetti dall’ideologia e dall’esperienza del fascismo. </w:t>
      </w:r>
    </w:p>
    <w:p w14:paraId="7D35D50E" w14:textId="77777777" w:rsidR="00095D19" w:rsidRDefault="00095D19" w:rsidP="00D554FC">
      <w:pPr>
        <w:pStyle w:val="NormaleWeb"/>
        <w:spacing w:before="0" w:beforeAutospacing="0" w:after="0" w:afterAutospacing="0"/>
        <w:jc w:val="both"/>
        <w:rPr>
          <w:sz w:val="28"/>
          <w:szCs w:val="28"/>
        </w:rPr>
      </w:pPr>
      <w:r>
        <w:rPr>
          <w:sz w:val="28"/>
          <w:szCs w:val="28"/>
        </w:rPr>
        <w:t>Questo è un c</w:t>
      </w:r>
      <w:r w:rsidR="0095713B" w:rsidRPr="0095713B">
        <w:rPr>
          <w:sz w:val="28"/>
          <w:szCs w:val="28"/>
        </w:rPr>
        <w:t xml:space="preserve">riterio che, </w:t>
      </w:r>
      <w:r w:rsidR="00D02508">
        <w:rPr>
          <w:sz w:val="28"/>
          <w:szCs w:val="28"/>
        </w:rPr>
        <w:t>secondo il</w:t>
      </w:r>
      <w:r w:rsidR="0095713B" w:rsidRPr="0095713B">
        <w:rPr>
          <w:sz w:val="28"/>
          <w:szCs w:val="28"/>
        </w:rPr>
        <w:t xml:space="preserve"> Tribunale, non può che dirsi arbitrario, costituendo un’inaccettabile estensione dell’applicazione della norma penale</w:t>
      </w:r>
      <w:r w:rsidR="00D02508">
        <w:rPr>
          <w:sz w:val="28"/>
          <w:szCs w:val="28"/>
        </w:rPr>
        <w:t xml:space="preserve"> – come noto </w:t>
      </w:r>
      <w:r w:rsidR="0095713B" w:rsidRPr="0095713B">
        <w:rPr>
          <w:sz w:val="28"/>
          <w:szCs w:val="28"/>
        </w:rPr>
        <w:t>soggetta al principio di tipicità</w:t>
      </w:r>
      <w:r w:rsidR="00D02508">
        <w:rPr>
          <w:sz w:val="28"/>
          <w:szCs w:val="28"/>
        </w:rPr>
        <w:t xml:space="preserve"> – </w:t>
      </w:r>
      <w:r w:rsidR="0095713B" w:rsidRPr="0095713B">
        <w:rPr>
          <w:sz w:val="28"/>
          <w:szCs w:val="28"/>
        </w:rPr>
        <w:t xml:space="preserve">e un’illegittima limitazione del diritto alla libertà di manifestazione del pensiero. </w:t>
      </w:r>
    </w:p>
    <w:p w14:paraId="23EF3027" w14:textId="77777777" w:rsidR="00095D19" w:rsidRDefault="00CE57F5" w:rsidP="00D554FC">
      <w:pPr>
        <w:pStyle w:val="NormaleWeb"/>
        <w:spacing w:before="0" w:beforeAutospacing="0" w:after="0" w:afterAutospacing="0"/>
        <w:jc w:val="both"/>
        <w:rPr>
          <w:sz w:val="28"/>
          <w:szCs w:val="28"/>
        </w:rPr>
      </w:pPr>
      <w:r>
        <w:rPr>
          <w:sz w:val="28"/>
          <w:szCs w:val="28"/>
        </w:rPr>
        <w:t>In altre parole, g</w:t>
      </w:r>
      <w:r w:rsidR="0095713B" w:rsidRPr="0095713B">
        <w:rPr>
          <w:sz w:val="28"/>
          <w:szCs w:val="28"/>
        </w:rPr>
        <w:t xml:space="preserve">li elementi dedotti in giudizio non sono, secondo il </w:t>
      </w:r>
      <w:r>
        <w:rPr>
          <w:sz w:val="28"/>
          <w:szCs w:val="28"/>
        </w:rPr>
        <w:t>Giudice</w:t>
      </w:r>
      <w:r w:rsidR="0095713B" w:rsidRPr="0095713B">
        <w:rPr>
          <w:sz w:val="28"/>
          <w:szCs w:val="28"/>
        </w:rPr>
        <w:t xml:space="preserve">, sufficienti a permettere di affermare che </w:t>
      </w:r>
      <w:proofErr w:type="spellStart"/>
      <w:r w:rsidR="0095713B" w:rsidRPr="0095713B">
        <w:rPr>
          <w:sz w:val="28"/>
          <w:szCs w:val="28"/>
        </w:rPr>
        <w:t>Casapound</w:t>
      </w:r>
      <w:proofErr w:type="spellEnd"/>
      <w:r w:rsidR="0095713B" w:rsidRPr="0095713B">
        <w:rPr>
          <w:sz w:val="28"/>
          <w:szCs w:val="28"/>
        </w:rPr>
        <w:t xml:space="preserve"> sia un’associazione illecita secondo l’ordinamento generale, </w:t>
      </w:r>
      <w:r>
        <w:rPr>
          <w:sz w:val="28"/>
          <w:szCs w:val="28"/>
        </w:rPr>
        <w:t>tenuto conto</w:t>
      </w:r>
      <w:r w:rsidR="0095713B" w:rsidRPr="0095713B">
        <w:rPr>
          <w:sz w:val="28"/>
          <w:szCs w:val="28"/>
        </w:rPr>
        <w:t xml:space="preserve"> che la valutazione svolta è limitata all’oggetto del giudizio in essere.</w:t>
      </w:r>
      <w:r>
        <w:rPr>
          <w:sz w:val="28"/>
          <w:szCs w:val="28"/>
        </w:rPr>
        <w:t xml:space="preserve"> </w:t>
      </w:r>
    </w:p>
    <w:p w14:paraId="57F8FEDA" w14:textId="247A2D86" w:rsidR="0095713B" w:rsidRDefault="0095713B" w:rsidP="00D554FC">
      <w:pPr>
        <w:pStyle w:val="NormaleWeb"/>
        <w:spacing w:before="0" w:beforeAutospacing="0" w:after="0" w:afterAutospacing="0"/>
        <w:jc w:val="both"/>
        <w:rPr>
          <w:sz w:val="28"/>
          <w:szCs w:val="28"/>
        </w:rPr>
      </w:pPr>
      <w:r w:rsidRPr="0095713B">
        <w:rPr>
          <w:sz w:val="28"/>
          <w:szCs w:val="28"/>
        </w:rPr>
        <w:t xml:space="preserve">Inoltre, nel valutare la sussistenza o meno del </w:t>
      </w:r>
      <w:proofErr w:type="spellStart"/>
      <w:r w:rsidRPr="00CE57F5">
        <w:rPr>
          <w:i/>
          <w:iCs/>
          <w:sz w:val="28"/>
          <w:szCs w:val="28"/>
        </w:rPr>
        <w:t>periculum</w:t>
      </w:r>
      <w:proofErr w:type="spellEnd"/>
      <w:r w:rsidRPr="00CE57F5">
        <w:rPr>
          <w:i/>
          <w:iCs/>
          <w:sz w:val="28"/>
          <w:szCs w:val="28"/>
        </w:rPr>
        <w:t xml:space="preserve"> in mora</w:t>
      </w:r>
      <w:r w:rsidRPr="0095713B">
        <w:rPr>
          <w:sz w:val="28"/>
          <w:szCs w:val="28"/>
        </w:rPr>
        <w:t xml:space="preserve">, il Tribunale ha evidenziato la rilevanza del servizio reso da </w:t>
      </w:r>
      <w:proofErr w:type="spellStart"/>
      <w:r w:rsidRPr="0095713B">
        <w:rPr>
          <w:sz w:val="28"/>
          <w:szCs w:val="28"/>
        </w:rPr>
        <w:t>Facebook</w:t>
      </w:r>
      <w:proofErr w:type="spellEnd"/>
      <w:r w:rsidRPr="0095713B">
        <w:rPr>
          <w:sz w:val="28"/>
          <w:szCs w:val="28"/>
        </w:rPr>
        <w:t xml:space="preserve"> in riferimento alla partecipazione al dibattito politico. La gravità del pregiudizio subito da </w:t>
      </w:r>
      <w:proofErr w:type="spellStart"/>
      <w:r w:rsidRPr="0095713B">
        <w:rPr>
          <w:sz w:val="28"/>
          <w:szCs w:val="28"/>
        </w:rPr>
        <w:t>Casapound</w:t>
      </w:r>
      <w:proofErr w:type="spellEnd"/>
      <w:r w:rsidRPr="0095713B">
        <w:rPr>
          <w:sz w:val="28"/>
          <w:szCs w:val="28"/>
        </w:rPr>
        <w:t xml:space="preserve"> viene</w:t>
      </w:r>
      <w:r w:rsidR="00095D19">
        <w:rPr>
          <w:sz w:val="28"/>
          <w:szCs w:val="28"/>
        </w:rPr>
        <w:t>,</w:t>
      </w:r>
      <w:r w:rsidRPr="0095713B">
        <w:rPr>
          <w:sz w:val="28"/>
          <w:szCs w:val="28"/>
        </w:rPr>
        <w:t xml:space="preserve"> altresì</w:t>
      </w:r>
      <w:r w:rsidR="00095D19">
        <w:rPr>
          <w:sz w:val="28"/>
          <w:szCs w:val="28"/>
        </w:rPr>
        <w:t>,</w:t>
      </w:r>
      <w:r w:rsidRPr="0095713B">
        <w:rPr>
          <w:sz w:val="28"/>
          <w:szCs w:val="28"/>
        </w:rPr>
        <w:t xml:space="preserve"> rapportata al numero di utenti della piattaform</w:t>
      </w:r>
      <w:r w:rsidR="002D266D">
        <w:rPr>
          <w:sz w:val="28"/>
          <w:szCs w:val="28"/>
        </w:rPr>
        <w:t>a.</w:t>
      </w:r>
    </w:p>
    <w:p w14:paraId="4EF7B60B" w14:textId="77777777" w:rsidR="00F805F6" w:rsidRPr="007D0045" w:rsidRDefault="00F805F6" w:rsidP="00D554FC">
      <w:pPr>
        <w:pStyle w:val="NormaleWeb"/>
        <w:spacing w:before="0" w:beforeAutospacing="0" w:after="0" w:afterAutospacing="0"/>
        <w:jc w:val="both"/>
        <w:rPr>
          <w:sz w:val="28"/>
          <w:szCs w:val="28"/>
        </w:rPr>
      </w:pPr>
    </w:p>
    <w:p w14:paraId="1CF9E512" w14:textId="77777777" w:rsidR="00095D19" w:rsidRDefault="00095D19" w:rsidP="00D554FC">
      <w:pPr>
        <w:pStyle w:val="NormaleWeb"/>
        <w:spacing w:before="0" w:beforeAutospacing="0" w:after="0" w:afterAutospacing="0"/>
        <w:jc w:val="both"/>
        <w:rPr>
          <w:sz w:val="28"/>
          <w:szCs w:val="28"/>
        </w:rPr>
      </w:pPr>
      <w:r>
        <w:rPr>
          <w:sz w:val="28"/>
          <w:szCs w:val="28"/>
        </w:rPr>
        <w:t>Dal punto di vista politico, la</w:t>
      </w:r>
      <w:r w:rsidR="0095713B" w:rsidRPr="0095713B">
        <w:rPr>
          <w:sz w:val="28"/>
          <w:szCs w:val="28"/>
        </w:rPr>
        <w:t xml:space="preserve"> nascita di una Commissione parlamentare competente per il tema </w:t>
      </w:r>
      <w:r>
        <w:rPr>
          <w:sz w:val="28"/>
          <w:szCs w:val="28"/>
        </w:rPr>
        <w:t xml:space="preserve">dell’incitamento all’odio </w:t>
      </w:r>
      <w:r w:rsidR="0095713B" w:rsidRPr="0095713B">
        <w:rPr>
          <w:sz w:val="28"/>
          <w:szCs w:val="28"/>
        </w:rPr>
        <w:t>e</w:t>
      </w:r>
      <w:r w:rsidR="00CE57F5">
        <w:rPr>
          <w:sz w:val="28"/>
          <w:szCs w:val="28"/>
        </w:rPr>
        <w:t xml:space="preserve"> la</w:t>
      </w:r>
      <w:r w:rsidR="0095713B" w:rsidRPr="0095713B">
        <w:rPr>
          <w:sz w:val="28"/>
          <w:szCs w:val="28"/>
        </w:rPr>
        <w:t xml:space="preserve"> proposizione, nel corso degli ultimi anni, di diversi disegni di legge finalizzati a colmare l’attuale lacuna dell’ordinamento</w:t>
      </w:r>
      <w:r w:rsidR="00CE57F5">
        <w:rPr>
          <w:sz w:val="28"/>
          <w:szCs w:val="28"/>
        </w:rPr>
        <w:t xml:space="preserve">, sono la piena testimonianza del fatto che anche </w:t>
      </w:r>
      <w:r w:rsidR="00CE57F5" w:rsidRPr="0095713B">
        <w:rPr>
          <w:sz w:val="28"/>
          <w:szCs w:val="28"/>
        </w:rPr>
        <w:t xml:space="preserve">dal punto di vista </w:t>
      </w:r>
      <w:r w:rsidR="00CE57F5">
        <w:rPr>
          <w:sz w:val="28"/>
          <w:szCs w:val="28"/>
        </w:rPr>
        <w:t>normativo</w:t>
      </w:r>
      <w:r w:rsidR="00CE57F5" w:rsidRPr="0095713B">
        <w:rPr>
          <w:sz w:val="28"/>
          <w:szCs w:val="28"/>
        </w:rPr>
        <w:t xml:space="preserve"> </w:t>
      </w:r>
      <w:r w:rsidR="00CE57F5">
        <w:rPr>
          <w:sz w:val="28"/>
          <w:szCs w:val="28"/>
        </w:rPr>
        <w:t xml:space="preserve">c’è stata </w:t>
      </w:r>
      <w:r w:rsidR="00CE57F5" w:rsidRPr="0095713B">
        <w:rPr>
          <w:sz w:val="28"/>
          <w:szCs w:val="28"/>
        </w:rPr>
        <w:t xml:space="preserve">grande attenzione verso il tema </w:t>
      </w:r>
      <w:r w:rsidR="00CE57F5" w:rsidRPr="00CE57F5">
        <w:rPr>
          <w:sz w:val="28"/>
          <w:szCs w:val="28"/>
        </w:rPr>
        <w:t>dell’</w:t>
      </w:r>
      <w:proofErr w:type="spellStart"/>
      <w:r w:rsidR="00CE57F5" w:rsidRPr="00CE57F5">
        <w:rPr>
          <w:i/>
          <w:iCs/>
          <w:sz w:val="28"/>
          <w:szCs w:val="28"/>
        </w:rPr>
        <w:t>hate</w:t>
      </w:r>
      <w:proofErr w:type="spellEnd"/>
      <w:r w:rsidR="00CE57F5" w:rsidRPr="00CE57F5">
        <w:rPr>
          <w:i/>
          <w:iCs/>
          <w:sz w:val="28"/>
          <w:szCs w:val="28"/>
        </w:rPr>
        <w:t xml:space="preserve"> </w:t>
      </w:r>
      <w:proofErr w:type="spellStart"/>
      <w:r w:rsidR="00CE57F5" w:rsidRPr="00CE57F5">
        <w:rPr>
          <w:i/>
          <w:iCs/>
          <w:sz w:val="28"/>
          <w:szCs w:val="28"/>
        </w:rPr>
        <w:t>speech</w:t>
      </w:r>
      <w:proofErr w:type="spellEnd"/>
      <w:r w:rsidR="0095713B" w:rsidRPr="0095713B">
        <w:rPr>
          <w:sz w:val="28"/>
          <w:szCs w:val="28"/>
        </w:rPr>
        <w:t>.</w:t>
      </w:r>
      <w:r w:rsidR="00CE57F5">
        <w:rPr>
          <w:sz w:val="28"/>
          <w:szCs w:val="28"/>
        </w:rPr>
        <w:t xml:space="preserve"> </w:t>
      </w:r>
    </w:p>
    <w:p w14:paraId="56818B7D" w14:textId="77777777" w:rsidR="00095D19" w:rsidRDefault="0095713B" w:rsidP="00D554FC">
      <w:pPr>
        <w:pStyle w:val="NormaleWeb"/>
        <w:spacing w:before="0" w:beforeAutospacing="0" w:after="0" w:afterAutospacing="0"/>
        <w:jc w:val="both"/>
        <w:rPr>
          <w:sz w:val="28"/>
          <w:szCs w:val="28"/>
        </w:rPr>
      </w:pPr>
      <w:r w:rsidRPr="0095713B">
        <w:rPr>
          <w:sz w:val="28"/>
          <w:szCs w:val="28"/>
        </w:rPr>
        <w:t>Nel 2019</w:t>
      </w:r>
      <w:r w:rsidR="00CE57F5">
        <w:rPr>
          <w:sz w:val="28"/>
          <w:szCs w:val="28"/>
        </w:rPr>
        <w:t>, infatti,</w:t>
      </w:r>
      <w:r w:rsidRPr="0095713B">
        <w:rPr>
          <w:sz w:val="28"/>
          <w:szCs w:val="28"/>
        </w:rPr>
        <w:t xml:space="preserve"> è stato presentato in Parlamento il primo disegno di legge</w:t>
      </w:r>
      <w:r w:rsidR="000F198B">
        <w:rPr>
          <w:sz w:val="28"/>
          <w:szCs w:val="28"/>
        </w:rPr>
        <w:t xml:space="preserve"> DDL </w:t>
      </w:r>
      <w:proofErr w:type="spellStart"/>
      <w:r w:rsidR="000F198B">
        <w:rPr>
          <w:sz w:val="28"/>
          <w:szCs w:val="28"/>
        </w:rPr>
        <w:t>Cirinnà</w:t>
      </w:r>
      <w:proofErr w:type="spellEnd"/>
      <w:r w:rsidR="00095D19">
        <w:rPr>
          <w:sz w:val="28"/>
          <w:szCs w:val="28"/>
        </w:rPr>
        <w:t>,</w:t>
      </w:r>
      <w:r w:rsidRPr="0095713B">
        <w:rPr>
          <w:sz w:val="28"/>
          <w:szCs w:val="28"/>
        </w:rPr>
        <w:t xml:space="preserve"> volto a disciplinare e </w:t>
      </w:r>
      <w:r w:rsidR="00CE57F5">
        <w:rPr>
          <w:sz w:val="28"/>
          <w:szCs w:val="28"/>
        </w:rPr>
        <w:t>arginare</w:t>
      </w:r>
      <w:r w:rsidRPr="0095713B">
        <w:rPr>
          <w:sz w:val="28"/>
          <w:szCs w:val="28"/>
        </w:rPr>
        <w:t xml:space="preserve"> il fenomeno dell’</w:t>
      </w:r>
      <w:proofErr w:type="spellStart"/>
      <w:r w:rsidRPr="00CE57F5">
        <w:rPr>
          <w:i/>
          <w:iCs/>
          <w:sz w:val="28"/>
          <w:szCs w:val="28"/>
        </w:rPr>
        <w:t>hate</w:t>
      </w:r>
      <w:proofErr w:type="spellEnd"/>
      <w:r w:rsidRPr="00CE57F5">
        <w:rPr>
          <w:i/>
          <w:iCs/>
          <w:sz w:val="28"/>
          <w:szCs w:val="28"/>
        </w:rPr>
        <w:t xml:space="preserve"> </w:t>
      </w:r>
      <w:proofErr w:type="spellStart"/>
      <w:r w:rsidRPr="00CE57F5">
        <w:rPr>
          <w:i/>
          <w:iCs/>
          <w:sz w:val="28"/>
          <w:szCs w:val="28"/>
        </w:rPr>
        <w:t>speech</w:t>
      </w:r>
      <w:proofErr w:type="spellEnd"/>
      <w:r w:rsidRPr="0095713B">
        <w:rPr>
          <w:sz w:val="28"/>
          <w:szCs w:val="28"/>
        </w:rPr>
        <w:t xml:space="preserve"> in Italia, </w:t>
      </w:r>
      <w:r w:rsidRPr="0095713B">
        <w:rPr>
          <w:sz w:val="28"/>
          <w:szCs w:val="28"/>
        </w:rPr>
        <w:lastRenderedPageBreak/>
        <w:t>denominato “</w:t>
      </w:r>
      <w:r w:rsidRPr="00CE57F5">
        <w:rPr>
          <w:i/>
          <w:iCs/>
          <w:sz w:val="28"/>
          <w:szCs w:val="28"/>
        </w:rPr>
        <w:t>Misure per il contrasto del fenomeno dell’istigazione all’odio sul web</w:t>
      </w:r>
      <w:r w:rsidRPr="0095713B">
        <w:rPr>
          <w:sz w:val="28"/>
          <w:szCs w:val="28"/>
        </w:rPr>
        <w:t>”</w:t>
      </w:r>
      <w:r w:rsidR="006D4F00">
        <w:rPr>
          <w:rStyle w:val="Rimandonotaapidipagina"/>
          <w:sz w:val="28"/>
          <w:szCs w:val="28"/>
        </w:rPr>
        <w:footnoteReference w:id="167"/>
      </w:r>
      <w:r w:rsidR="006D4F00">
        <w:rPr>
          <w:sz w:val="28"/>
          <w:szCs w:val="28"/>
        </w:rPr>
        <w:t>.</w:t>
      </w:r>
      <w:r w:rsidR="00D554FC">
        <w:rPr>
          <w:sz w:val="28"/>
          <w:szCs w:val="28"/>
        </w:rPr>
        <w:t xml:space="preserve"> </w:t>
      </w:r>
      <w:r w:rsidR="00A279F9">
        <w:rPr>
          <w:sz w:val="28"/>
          <w:szCs w:val="28"/>
        </w:rPr>
        <w:t>All’interno della</w:t>
      </w:r>
      <w:r w:rsidRPr="0095713B">
        <w:rPr>
          <w:sz w:val="28"/>
          <w:szCs w:val="28"/>
        </w:rPr>
        <w:t xml:space="preserve"> relazione introduttiva</w:t>
      </w:r>
      <w:r w:rsidR="00095D19">
        <w:rPr>
          <w:sz w:val="28"/>
          <w:szCs w:val="28"/>
        </w:rPr>
        <w:t>,</w:t>
      </w:r>
      <w:r w:rsidRPr="0095713B">
        <w:rPr>
          <w:sz w:val="28"/>
          <w:szCs w:val="28"/>
        </w:rPr>
        <w:t xml:space="preserve"> </w:t>
      </w:r>
      <w:r w:rsidR="00A279F9">
        <w:rPr>
          <w:sz w:val="28"/>
          <w:szCs w:val="28"/>
        </w:rPr>
        <w:t>vi è l’</w:t>
      </w:r>
      <w:r w:rsidRPr="0095713B">
        <w:rPr>
          <w:sz w:val="28"/>
          <w:szCs w:val="28"/>
        </w:rPr>
        <w:t>illustra</w:t>
      </w:r>
      <w:r w:rsidR="00A279F9">
        <w:rPr>
          <w:sz w:val="28"/>
          <w:szCs w:val="28"/>
        </w:rPr>
        <w:t>zione</w:t>
      </w:r>
      <w:r w:rsidRPr="0095713B">
        <w:rPr>
          <w:sz w:val="28"/>
          <w:szCs w:val="28"/>
        </w:rPr>
        <w:t xml:space="preserve"> </w:t>
      </w:r>
      <w:r w:rsidR="00A279F9">
        <w:rPr>
          <w:sz w:val="28"/>
          <w:szCs w:val="28"/>
        </w:rPr>
        <w:t>del</w:t>
      </w:r>
      <w:r w:rsidRPr="0095713B">
        <w:rPr>
          <w:sz w:val="28"/>
          <w:szCs w:val="28"/>
        </w:rPr>
        <w:t xml:space="preserve"> quadro normativo europeo e sovranazionale vigente, a dimostrazione del fatto che il legislatore italiano </w:t>
      </w:r>
      <w:r w:rsidR="00A279F9">
        <w:rPr>
          <w:sz w:val="28"/>
          <w:szCs w:val="28"/>
        </w:rPr>
        <w:t>ha come obiettivo quello di</w:t>
      </w:r>
      <w:r w:rsidRPr="0095713B">
        <w:rPr>
          <w:sz w:val="28"/>
          <w:szCs w:val="28"/>
        </w:rPr>
        <w:t xml:space="preserve"> garantire coerenza e continuità rispetto a quanto già fatto in materia. </w:t>
      </w:r>
    </w:p>
    <w:p w14:paraId="6BFF7607" w14:textId="77777777" w:rsidR="00095D19" w:rsidRDefault="0095713B" w:rsidP="00D554FC">
      <w:pPr>
        <w:pStyle w:val="NormaleWeb"/>
        <w:spacing w:before="0" w:beforeAutospacing="0" w:after="0" w:afterAutospacing="0"/>
        <w:jc w:val="both"/>
        <w:rPr>
          <w:sz w:val="28"/>
          <w:szCs w:val="28"/>
        </w:rPr>
      </w:pPr>
      <w:r w:rsidRPr="0095713B">
        <w:rPr>
          <w:sz w:val="28"/>
          <w:szCs w:val="28"/>
        </w:rPr>
        <w:t xml:space="preserve">L’art. 1 della proposta di legge, </w:t>
      </w:r>
      <w:r w:rsidR="00A279F9">
        <w:rPr>
          <w:sz w:val="28"/>
          <w:szCs w:val="28"/>
        </w:rPr>
        <w:t>nel definire</w:t>
      </w:r>
      <w:r w:rsidRPr="0095713B">
        <w:rPr>
          <w:sz w:val="28"/>
          <w:szCs w:val="28"/>
        </w:rPr>
        <w:t xml:space="preserve"> le finalità del progetto, individuate nella volontà di “</w:t>
      </w:r>
      <w:r w:rsidRPr="00A279F9">
        <w:rPr>
          <w:i/>
          <w:iCs/>
          <w:sz w:val="28"/>
          <w:szCs w:val="28"/>
        </w:rPr>
        <w:t>prevenire e sanzionare il fenomeno dell’istigazione all’odio sul web</w:t>
      </w:r>
      <w:r w:rsidRPr="0095713B">
        <w:rPr>
          <w:sz w:val="28"/>
          <w:szCs w:val="28"/>
        </w:rPr>
        <w:t>”, richiama espressamente la decisione quadro 2008/913/GAI e il protocollo addizionale alla Convenzione del Consiglio d’Europa sulla criminalità informativa.</w:t>
      </w:r>
      <w:r w:rsidR="001977BB">
        <w:rPr>
          <w:sz w:val="28"/>
          <w:szCs w:val="28"/>
        </w:rPr>
        <w:t xml:space="preserve"> </w:t>
      </w:r>
    </w:p>
    <w:p w14:paraId="2F41FC22" w14:textId="425FE9C5" w:rsidR="00D554FC" w:rsidRDefault="0095713B" w:rsidP="00D554FC">
      <w:pPr>
        <w:pStyle w:val="NormaleWeb"/>
        <w:spacing w:before="0" w:beforeAutospacing="0" w:after="0" w:afterAutospacing="0"/>
        <w:jc w:val="both"/>
        <w:rPr>
          <w:sz w:val="28"/>
          <w:szCs w:val="28"/>
        </w:rPr>
      </w:pPr>
      <w:r w:rsidRPr="0095713B">
        <w:rPr>
          <w:sz w:val="28"/>
          <w:szCs w:val="28"/>
        </w:rPr>
        <w:t xml:space="preserve">I </w:t>
      </w:r>
      <w:r w:rsidR="00B12E39">
        <w:rPr>
          <w:sz w:val="28"/>
          <w:szCs w:val="28"/>
        </w:rPr>
        <w:t xml:space="preserve">soggetti </w:t>
      </w:r>
      <w:r w:rsidRPr="0095713B">
        <w:rPr>
          <w:sz w:val="28"/>
          <w:szCs w:val="28"/>
        </w:rPr>
        <w:t>destinatari della proposta sono i c.d. “</w:t>
      </w:r>
      <w:r w:rsidRPr="00B12E39">
        <w:rPr>
          <w:i/>
          <w:iCs/>
          <w:sz w:val="28"/>
          <w:szCs w:val="28"/>
        </w:rPr>
        <w:t>gestori informatici</w:t>
      </w:r>
      <w:r w:rsidRPr="0095713B">
        <w:rPr>
          <w:sz w:val="28"/>
          <w:szCs w:val="28"/>
        </w:rPr>
        <w:t>”, come</w:t>
      </w:r>
      <w:r w:rsidR="00B12E39">
        <w:rPr>
          <w:sz w:val="28"/>
          <w:szCs w:val="28"/>
        </w:rPr>
        <w:t xml:space="preserve"> vengono</w:t>
      </w:r>
      <w:r w:rsidRPr="0095713B">
        <w:rPr>
          <w:sz w:val="28"/>
          <w:szCs w:val="28"/>
        </w:rPr>
        <w:t xml:space="preserve"> definiti dalla legge in materia di </w:t>
      </w:r>
      <w:proofErr w:type="spellStart"/>
      <w:r w:rsidRPr="00B12E39">
        <w:rPr>
          <w:i/>
          <w:iCs/>
          <w:sz w:val="28"/>
          <w:szCs w:val="28"/>
        </w:rPr>
        <w:t>cyberbullismo</w:t>
      </w:r>
      <w:proofErr w:type="spellEnd"/>
      <w:r w:rsidRPr="0095713B">
        <w:rPr>
          <w:sz w:val="28"/>
          <w:szCs w:val="28"/>
        </w:rPr>
        <w:t xml:space="preserve">, </w:t>
      </w:r>
      <w:r w:rsidR="00B12E39">
        <w:rPr>
          <w:sz w:val="28"/>
          <w:szCs w:val="28"/>
        </w:rPr>
        <w:t>mentre invece</w:t>
      </w:r>
      <w:r w:rsidR="00095D19">
        <w:rPr>
          <w:sz w:val="28"/>
          <w:szCs w:val="28"/>
        </w:rPr>
        <w:t>,</w:t>
      </w:r>
      <w:r w:rsidRPr="0095713B">
        <w:rPr>
          <w:sz w:val="28"/>
          <w:szCs w:val="28"/>
        </w:rPr>
        <w:t xml:space="preserve"> le condotte sanzionate coincidono con quelle previste in materia di discriminazione etnica, razziale e religiosa, ma con esplicito </w:t>
      </w:r>
      <w:r w:rsidR="00B12E39">
        <w:rPr>
          <w:sz w:val="28"/>
          <w:szCs w:val="28"/>
        </w:rPr>
        <w:t>richiamo</w:t>
      </w:r>
      <w:r w:rsidRPr="0095713B">
        <w:rPr>
          <w:sz w:val="28"/>
          <w:szCs w:val="28"/>
        </w:rPr>
        <w:t xml:space="preserve"> </w:t>
      </w:r>
      <w:r w:rsidR="00B12E39">
        <w:rPr>
          <w:sz w:val="28"/>
          <w:szCs w:val="28"/>
        </w:rPr>
        <w:t>all’ambito della rete.</w:t>
      </w:r>
    </w:p>
    <w:p w14:paraId="37E93DFB" w14:textId="77777777" w:rsidR="00095D19" w:rsidRDefault="0095713B" w:rsidP="00D554FC">
      <w:pPr>
        <w:pStyle w:val="NormaleWeb"/>
        <w:spacing w:before="0" w:beforeAutospacing="0" w:after="0" w:afterAutospacing="0"/>
        <w:jc w:val="both"/>
        <w:rPr>
          <w:sz w:val="28"/>
          <w:szCs w:val="28"/>
        </w:rPr>
      </w:pPr>
      <w:r w:rsidRPr="0095713B">
        <w:rPr>
          <w:sz w:val="28"/>
          <w:szCs w:val="28"/>
        </w:rPr>
        <w:t>Una</w:t>
      </w:r>
      <w:r w:rsidR="00B12E39">
        <w:rPr>
          <w:sz w:val="28"/>
          <w:szCs w:val="28"/>
        </w:rPr>
        <w:t xml:space="preserve"> delle</w:t>
      </w:r>
      <w:r w:rsidRPr="0095713B">
        <w:rPr>
          <w:sz w:val="28"/>
          <w:szCs w:val="28"/>
        </w:rPr>
        <w:t xml:space="preserve"> novità </w:t>
      </w:r>
      <w:r w:rsidR="00B12E39">
        <w:rPr>
          <w:sz w:val="28"/>
          <w:szCs w:val="28"/>
        </w:rPr>
        <w:t xml:space="preserve">più </w:t>
      </w:r>
      <w:r w:rsidRPr="0095713B">
        <w:rPr>
          <w:sz w:val="28"/>
          <w:szCs w:val="28"/>
        </w:rPr>
        <w:t>interessant</w:t>
      </w:r>
      <w:r w:rsidR="00B12E39">
        <w:rPr>
          <w:sz w:val="28"/>
          <w:szCs w:val="28"/>
        </w:rPr>
        <w:t>i</w:t>
      </w:r>
      <w:r w:rsidRPr="0095713B">
        <w:rPr>
          <w:sz w:val="28"/>
          <w:szCs w:val="28"/>
        </w:rPr>
        <w:t xml:space="preserve"> è quella prevista dall’art. 4, che </w:t>
      </w:r>
      <w:r w:rsidR="001977BB">
        <w:rPr>
          <w:sz w:val="28"/>
          <w:szCs w:val="28"/>
        </w:rPr>
        <w:t>vorrebbe introdurre</w:t>
      </w:r>
      <w:r w:rsidR="00095D19">
        <w:rPr>
          <w:sz w:val="28"/>
          <w:szCs w:val="28"/>
        </w:rPr>
        <w:t>,</w:t>
      </w:r>
      <w:r w:rsidR="001977BB">
        <w:rPr>
          <w:sz w:val="28"/>
          <w:szCs w:val="28"/>
        </w:rPr>
        <w:t xml:space="preserve"> nel nostro ordinamento</w:t>
      </w:r>
      <w:r w:rsidR="00095D19">
        <w:rPr>
          <w:sz w:val="28"/>
          <w:szCs w:val="28"/>
        </w:rPr>
        <w:t>,</w:t>
      </w:r>
      <w:r w:rsidRPr="0095713B">
        <w:rPr>
          <w:sz w:val="28"/>
          <w:szCs w:val="28"/>
        </w:rPr>
        <w:t xml:space="preserve"> </w:t>
      </w:r>
      <w:r w:rsidR="001977BB">
        <w:rPr>
          <w:sz w:val="28"/>
          <w:szCs w:val="28"/>
        </w:rPr>
        <w:t xml:space="preserve">lo specifico </w:t>
      </w:r>
      <w:r w:rsidR="001977BB" w:rsidRPr="0095713B">
        <w:rPr>
          <w:sz w:val="28"/>
          <w:szCs w:val="28"/>
        </w:rPr>
        <w:t>delitto</w:t>
      </w:r>
      <w:r w:rsidRPr="0095713B">
        <w:rPr>
          <w:sz w:val="28"/>
          <w:szCs w:val="28"/>
        </w:rPr>
        <w:t xml:space="preserve"> di istigazione all’odio </w:t>
      </w:r>
      <w:r w:rsidR="001977BB">
        <w:rPr>
          <w:sz w:val="28"/>
          <w:szCs w:val="28"/>
        </w:rPr>
        <w:t>in rete</w:t>
      </w:r>
      <w:r w:rsidRPr="0095713B">
        <w:rPr>
          <w:sz w:val="28"/>
          <w:szCs w:val="28"/>
        </w:rPr>
        <w:t xml:space="preserve">. </w:t>
      </w:r>
    </w:p>
    <w:p w14:paraId="4209C2D5" w14:textId="77777777" w:rsidR="00095D19" w:rsidRDefault="001977BB" w:rsidP="00D554FC">
      <w:pPr>
        <w:pStyle w:val="NormaleWeb"/>
        <w:spacing w:before="0" w:beforeAutospacing="0" w:after="0" w:afterAutospacing="0"/>
        <w:jc w:val="both"/>
        <w:rPr>
          <w:sz w:val="28"/>
          <w:szCs w:val="28"/>
        </w:rPr>
      </w:pPr>
      <w:r>
        <w:rPr>
          <w:sz w:val="28"/>
          <w:szCs w:val="28"/>
        </w:rPr>
        <w:t>La</w:t>
      </w:r>
      <w:r w:rsidR="0095713B" w:rsidRPr="0095713B">
        <w:rPr>
          <w:sz w:val="28"/>
          <w:szCs w:val="28"/>
        </w:rPr>
        <w:t xml:space="preserve"> fattispecie</w:t>
      </w:r>
      <w:r w:rsidR="00095D19">
        <w:rPr>
          <w:sz w:val="28"/>
          <w:szCs w:val="28"/>
        </w:rPr>
        <w:t>,</w:t>
      </w:r>
      <w:r w:rsidR="0095713B" w:rsidRPr="0095713B">
        <w:rPr>
          <w:sz w:val="28"/>
          <w:szCs w:val="28"/>
        </w:rPr>
        <w:t xml:space="preserve"> </w:t>
      </w:r>
      <w:r>
        <w:rPr>
          <w:sz w:val="28"/>
          <w:szCs w:val="28"/>
        </w:rPr>
        <w:t>di nuova introduzione</w:t>
      </w:r>
      <w:r w:rsidR="00095D19">
        <w:rPr>
          <w:sz w:val="28"/>
          <w:szCs w:val="28"/>
        </w:rPr>
        <w:t>,</w:t>
      </w:r>
      <w:r>
        <w:rPr>
          <w:sz w:val="28"/>
          <w:szCs w:val="28"/>
        </w:rPr>
        <w:t xml:space="preserve"> </w:t>
      </w:r>
      <w:r w:rsidR="0095713B" w:rsidRPr="0095713B">
        <w:rPr>
          <w:sz w:val="28"/>
          <w:szCs w:val="28"/>
        </w:rPr>
        <w:t xml:space="preserve">consentirebbe di sanzionare fenomeni che, </w:t>
      </w:r>
      <w:r>
        <w:rPr>
          <w:sz w:val="28"/>
          <w:szCs w:val="28"/>
        </w:rPr>
        <w:t>sebbene</w:t>
      </w:r>
      <w:r w:rsidR="0095713B" w:rsidRPr="0095713B">
        <w:rPr>
          <w:sz w:val="28"/>
          <w:szCs w:val="28"/>
        </w:rPr>
        <w:t xml:space="preserve"> </w:t>
      </w:r>
      <w:r>
        <w:rPr>
          <w:sz w:val="28"/>
          <w:szCs w:val="28"/>
        </w:rPr>
        <w:t>rechino già</w:t>
      </w:r>
      <w:r w:rsidR="0095713B" w:rsidRPr="0095713B">
        <w:rPr>
          <w:sz w:val="28"/>
          <w:szCs w:val="28"/>
        </w:rPr>
        <w:t xml:space="preserve"> pregiudizio agli utenti, non sono attualmente rilevanti per la disciplina penale. </w:t>
      </w:r>
    </w:p>
    <w:p w14:paraId="6C714DE4" w14:textId="77777777" w:rsidR="00095D19" w:rsidRDefault="001977BB" w:rsidP="00D554FC">
      <w:pPr>
        <w:pStyle w:val="NormaleWeb"/>
        <w:spacing w:before="0" w:beforeAutospacing="0" w:after="0" w:afterAutospacing="0"/>
        <w:jc w:val="both"/>
        <w:rPr>
          <w:sz w:val="28"/>
          <w:szCs w:val="28"/>
        </w:rPr>
      </w:pPr>
      <w:r>
        <w:rPr>
          <w:sz w:val="28"/>
          <w:szCs w:val="28"/>
        </w:rPr>
        <w:t xml:space="preserve">Se si prende in esame </w:t>
      </w:r>
      <w:r w:rsidR="0095713B" w:rsidRPr="0095713B">
        <w:rPr>
          <w:sz w:val="28"/>
          <w:szCs w:val="28"/>
        </w:rPr>
        <w:t>il tradizionale reato di diffamazione ex art. 595 c.p.</w:t>
      </w:r>
      <w:r>
        <w:rPr>
          <w:sz w:val="28"/>
          <w:szCs w:val="28"/>
        </w:rPr>
        <w:t>, infatti, si noterà che esso</w:t>
      </w:r>
      <w:r w:rsidR="0095713B" w:rsidRPr="0095713B">
        <w:rPr>
          <w:sz w:val="28"/>
          <w:szCs w:val="28"/>
        </w:rPr>
        <w:t xml:space="preserve"> tutela la reputazione soltanto individuale, escludendo le ipotesi in cui espressioni offensive e lesive siano rivolte ad intere categorie o gruppi di persone, e non ad un soggetto specifico. </w:t>
      </w:r>
    </w:p>
    <w:p w14:paraId="37F12935" w14:textId="77777777" w:rsidR="00095D19" w:rsidRDefault="0095713B" w:rsidP="00D554FC">
      <w:pPr>
        <w:pStyle w:val="NormaleWeb"/>
        <w:spacing w:before="0" w:beforeAutospacing="0" w:after="0" w:afterAutospacing="0"/>
        <w:jc w:val="both"/>
        <w:rPr>
          <w:sz w:val="28"/>
          <w:szCs w:val="28"/>
        </w:rPr>
      </w:pPr>
      <w:r w:rsidRPr="0095713B">
        <w:rPr>
          <w:sz w:val="28"/>
          <w:szCs w:val="28"/>
        </w:rPr>
        <w:t>La</w:t>
      </w:r>
      <w:r w:rsidR="001977BB">
        <w:rPr>
          <w:sz w:val="28"/>
          <w:szCs w:val="28"/>
        </w:rPr>
        <w:t xml:space="preserve"> nuova</w:t>
      </w:r>
      <w:r w:rsidRPr="0095713B">
        <w:rPr>
          <w:sz w:val="28"/>
          <w:szCs w:val="28"/>
        </w:rPr>
        <w:t xml:space="preserve"> fattispecie</w:t>
      </w:r>
      <w:r w:rsidR="001977BB">
        <w:rPr>
          <w:sz w:val="28"/>
          <w:szCs w:val="28"/>
        </w:rPr>
        <w:t>, inoltre,</w:t>
      </w:r>
      <w:r w:rsidR="006D4F00">
        <w:rPr>
          <w:sz w:val="28"/>
          <w:szCs w:val="28"/>
        </w:rPr>
        <w:t xml:space="preserve"> </w:t>
      </w:r>
      <w:r w:rsidRPr="0095713B">
        <w:rPr>
          <w:sz w:val="28"/>
          <w:szCs w:val="28"/>
        </w:rPr>
        <w:t>troverebbe collocazione fra i delitti contro l’uguaglianza, al fine di garantire la piena tutela a tutte le categorie</w:t>
      </w:r>
      <w:r w:rsidR="006D4F00">
        <w:rPr>
          <w:sz w:val="28"/>
          <w:szCs w:val="28"/>
        </w:rPr>
        <w:t xml:space="preserve"> </w:t>
      </w:r>
      <w:r w:rsidRPr="0095713B">
        <w:rPr>
          <w:sz w:val="28"/>
          <w:szCs w:val="28"/>
        </w:rPr>
        <w:t>oggetto di fenomeni di istigazione all’odio.</w:t>
      </w:r>
      <w:r w:rsidR="001977BB">
        <w:rPr>
          <w:sz w:val="28"/>
          <w:szCs w:val="28"/>
        </w:rPr>
        <w:t xml:space="preserve"> </w:t>
      </w:r>
    </w:p>
    <w:p w14:paraId="2578B413" w14:textId="77777777" w:rsidR="00095D19" w:rsidRDefault="001977BB" w:rsidP="00D554FC">
      <w:pPr>
        <w:pStyle w:val="NormaleWeb"/>
        <w:spacing w:before="0" w:beforeAutospacing="0" w:after="0" w:afterAutospacing="0"/>
        <w:jc w:val="both"/>
        <w:rPr>
          <w:sz w:val="28"/>
          <w:szCs w:val="28"/>
        </w:rPr>
      </w:pPr>
      <w:r>
        <w:rPr>
          <w:sz w:val="28"/>
          <w:szCs w:val="28"/>
        </w:rPr>
        <w:t>Si tenga presente che l</w:t>
      </w:r>
      <w:r w:rsidR="0095713B" w:rsidRPr="0095713B">
        <w:rPr>
          <w:sz w:val="28"/>
          <w:szCs w:val="28"/>
        </w:rPr>
        <w:t>’art. 5 introduce nuovi obblighi in capo ai gestori dei siti</w:t>
      </w:r>
      <w:r>
        <w:rPr>
          <w:sz w:val="28"/>
          <w:szCs w:val="28"/>
        </w:rPr>
        <w:t xml:space="preserve"> web</w:t>
      </w:r>
      <w:r w:rsidR="0095713B" w:rsidRPr="0095713B">
        <w:rPr>
          <w:sz w:val="28"/>
          <w:szCs w:val="28"/>
        </w:rPr>
        <w:t xml:space="preserve">, in materia di segnalazione e rimozione di </w:t>
      </w:r>
      <w:r w:rsidR="0095713B" w:rsidRPr="00095D19">
        <w:rPr>
          <w:i/>
          <w:iCs/>
          <w:sz w:val="28"/>
          <w:szCs w:val="28"/>
        </w:rPr>
        <w:t>post</w:t>
      </w:r>
      <w:r w:rsidR="0095713B" w:rsidRPr="0095713B">
        <w:rPr>
          <w:sz w:val="28"/>
          <w:szCs w:val="28"/>
        </w:rPr>
        <w:t xml:space="preserve"> dal contenuto illecito. </w:t>
      </w:r>
      <w:r>
        <w:rPr>
          <w:sz w:val="28"/>
          <w:szCs w:val="28"/>
        </w:rPr>
        <w:t>Per prima cosa</w:t>
      </w:r>
      <w:r w:rsidR="0095713B" w:rsidRPr="0095713B">
        <w:rPr>
          <w:sz w:val="28"/>
          <w:szCs w:val="28"/>
        </w:rPr>
        <w:t xml:space="preserve">, questi sono tenuti a mettere a disposizione degli utenti </w:t>
      </w:r>
      <w:r>
        <w:rPr>
          <w:sz w:val="28"/>
          <w:szCs w:val="28"/>
        </w:rPr>
        <w:t xml:space="preserve">in rete </w:t>
      </w:r>
      <w:r w:rsidR="0095713B" w:rsidRPr="0095713B">
        <w:rPr>
          <w:sz w:val="28"/>
          <w:szCs w:val="28"/>
        </w:rPr>
        <w:t xml:space="preserve">una procedura </w:t>
      </w:r>
      <w:r>
        <w:rPr>
          <w:sz w:val="28"/>
          <w:szCs w:val="28"/>
        </w:rPr>
        <w:t xml:space="preserve">che sia </w:t>
      </w:r>
      <w:r w:rsidR="0095713B" w:rsidRPr="0095713B">
        <w:rPr>
          <w:sz w:val="28"/>
          <w:szCs w:val="28"/>
        </w:rPr>
        <w:t>chiara, semplice e sempre attiva</w:t>
      </w:r>
      <w:r>
        <w:rPr>
          <w:sz w:val="28"/>
          <w:szCs w:val="28"/>
        </w:rPr>
        <w:t>, idonea a</w:t>
      </w:r>
      <w:r w:rsidR="0095713B" w:rsidRPr="0095713B">
        <w:rPr>
          <w:sz w:val="28"/>
          <w:szCs w:val="28"/>
        </w:rPr>
        <w:t xml:space="preserve"> formulare le proprie segnalazioni. Quest</w:t>
      </w:r>
      <w:r>
        <w:rPr>
          <w:sz w:val="28"/>
          <w:szCs w:val="28"/>
        </w:rPr>
        <w:t>’ultime</w:t>
      </w:r>
      <w:r w:rsidR="0095713B" w:rsidRPr="0095713B">
        <w:rPr>
          <w:sz w:val="28"/>
          <w:szCs w:val="28"/>
        </w:rPr>
        <w:t xml:space="preserve"> saranno</w:t>
      </w:r>
      <w:r>
        <w:rPr>
          <w:sz w:val="28"/>
          <w:szCs w:val="28"/>
        </w:rPr>
        <w:t xml:space="preserve">, poi, </w:t>
      </w:r>
      <w:r w:rsidR="0095713B" w:rsidRPr="0095713B">
        <w:rPr>
          <w:sz w:val="28"/>
          <w:szCs w:val="28"/>
        </w:rPr>
        <w:t xml:space="preserve">valutate da un organismo di autoregolazione, composto da analisti e periti indipendenti, e, </w:t>
      </w:r>
      <w:r>
        <w:rPr>
          <w:sz w:val="28"/>
          <w:szCs w:val="28"/>
        </w:rPr>
        <w:t>nel</w:t>
      </w:r>
      <w:r w:rsidR="0095713B" w:rsidRPr="0095713B">
        <w:rPr>
          <w:sz w:val="28"/>
          <w:szCs w:val="28"/>
        </w:rPr>
        <w:t xml:space="preserve"> caso </w:t>
      </w:r>
      <w:r>
        <w:rPr>
          <w:sz w:val="28"/>
          <w:szCs w:val="28"/>
        </w:rPr>
        <w:t>venga espresso</w:t>
      </w:r>
      <w:r w:rsidR="0095713B" w:rsidRPr="0095713B">
        <w:rPr>
          <w:sz w:val="28"/>
          <w:szCs w:val="28"/>
        </w:rPr>
        <w:t xml:space="preserve"> parere positivo, il gestore dovrà provvedere alla rimozione del </w:t>
      </w:r>
      <w:r w:rsidR="0095713B" w:rsidRPr="00095D19">
        <w:rPr>
          <w:i/>
          <w:iCs/>
          <w:sz w:val="28"/>
          <w:szCs w:val="28"/>
        </w:rPr>
        <w:t>post</w:t>
      </w:r>
      <w:r w:rsidR="0095713B" w:rsidRPr="0095713B">
        <w:rPr>
          <w:sz w:val="28"/>
          <w:szCs w:val="28"/>
        </w:rPr>
        <w:t xml:space="preserve"> </w:t>
      </w:r>
      <w:r>
        <w:rPr>
          <w:sz w:val="28"/>
          <w:szCs w:val="28"/>
        </w:rPr>
        <w:t>nel termine di</w:t>
      </w:r>
      <w:r w:rsidR="0095713B" w:rsidRPr="0095713B">
        <w:rPr>
          <w:sz w:val="28"/>
          <w:szCs w:val="28"/>
        </w:rPr>
        <w:t xml:space="preserve"> 24</w:t>
      </w:r>
      <w:r w:rsidR="00095D19">
        <w:rPr>
          <w:sz w:val="28"/>
          <w:szCs w:val="28"/>
        </w:rPr>
        <w:t xml:space="preserve"> ore</w:t>
      </w:r>
      <w:r w:rsidR="0095713B" w:rsidRPr="0095713B">
        <w:rPr>
          <w:sz w:val="28"/>
          <w:szCs w:val="28"/>
        </w:rPr>
        <w:t xml:space="preserve"> dalla segnalazione, salvo </w:t>
      </w:r>
      <w:r>
        <w:rPr>
          <w:sz w:val="28"/>
          <w:szCs w:val="28"/>
        </w:rPr>
        <w:t xml:space="preserve">che intervenga un </w:t>
      </w:r>
      <w:r w:rsidR="0095713B" w:rsidRPr="0095713B">
        <w:rPr>
          <w:sz w:val="28"/>
          <w:szCs w:val="28"/>
        </w:rPr>
        <w:t xml:space="preserve">diverso accordo con le autorità competenti. </w:t>
      </w:r>
    </w:p>
    <w:p w14:paraId="16ECDFFA" w14:textId="77777777" w:rsidR="00095D19" w:rsidRDefault="0095713B" w:rsidP="00D554FC">
      <w:pPr>
        <w:pStyle w:val="NormaleWeb"/>
        <w:spacing w:before="0" w:beforeAutospacing="0" w:after="0" w:afterAutospacing="0"/>
        <w:jc w:val="both"/>
        <w:rPr>
          <w:sz w:val="28"/>
          <w:szCs w:val="28"/>
        </w:rPr>
      </w:pPr>
      <w:r w:rsidRPr="0095713B">
        <w:rPr>
          <w:sz w:val="28"/>
          <w:szCs w:val="28"/>
        </w:rPr>
        <w:t>L’art</w:t>
      </w:r>
      <w:r w:rsidR="001977BB">
        <w:rPr>
          <w:sz w:val="28"/>
          <w:szCs w:val="28"/>
        </w:rPr>
        <w:t>. 6 sancisce,</w:t>
      </w:r>
      <w:r w:rsidRPr="0095713B">
        <w:rPr>
          <w:sz w:val="28"/>
          <w:szCs w:val="28"/>
        </w:rPr>
        <w:t xml:space="preserve"> inoltre</w:t>
      </w:r>
      <w:r w:rsidR="001977BB">
        <w:rPr>
          <w:sz w:val="28"/>
          <w:szCs w:val="28"/>
        </w:rPr>
        <w:t>,</w:t>
      </w:r>
      <w:r w:rsidRPr="0095713B">
        <w:rPr>
          <w:sz w:val="28"/>
          <w:szCs w:val="28"/>
        </w:rPr>
        <w:t xml:space="preserve"> l’obbligo </w:t>
      </w:r>
      <w:r w:rsidR="001977BB">
        <w:rPr>
          <w:sz w:val="28"/>
          <w:szCs w:val="28"/>
        </w:rPr>
        <w:t>per i g</w:t>
      </w:r>
      <w:r w:rsidR="001977BB" w:rsidRPr="0095713B">
        <w:rPr>
          <w:sz w:val="28"/>
          <w:szCs w:val="28"/>
        </w:rPr>
        <w:t>estori dei siti</w:t>
      </w:r>
      <w:r w:rsidR="001977BB">
        <w:rPr>
          <w:sz w:val="28"/>
          <w:szCs w:val="28"/>
        </w:rPr>
        <w:t xml:space="preserve"> web</w:t>
      </w:r>
      <w:r w:rsidR="001977BB" w:rsidRPr="0095713B">
        <w:rPr>
          <w:sz w:val="28"/>
          <w:szCs w:val="28"/>
        </w:rPr>
        <w:t xml:space="preserve"> </w:t>
      </w:r>
      <w:r w:rsidRPr="0095713B">
        <w:rPr>
          <w:sz w:val="28"/>
          <w:szCs w:val="28"/>
        </w:rPr>
        <w:t xml:space="preserve">di redigere un rapporto semestrale sulle segnalazioni ricevute, distinguendo le stesse a seconda dell’oggetto e del motivo ed indicando l’esito di ciascuna. </w:t>
      </w:r>
    </w:p>
    <w:p w14:paraId="71623236" w14:textId="22A10942" w:rsidR="006D4F00" w:rsidRDefault="0095713B" w:rsidP="00D554FC">
      <w:pPr>
        <w:pStyle w:val="NormaleWeb"/>
        <w:spacing w:before="0" w:beforeAutospacing="0" w:after="0" w:afterAutospacing="0"/>
        <w:jc w:val="both"/>
        <w:rPr>
          <w:sz w:val="28"/>
          <w:szCs w:val="28"/>
        </w:rPr>
      </w:pPr>
      <w:r w:rsidRPr="0095713B">
        <w:rPr>
          <w:sz w:val="28"/>
          <w:szCs w:val="28"/>
        </w:rPr>
        <w:t xml:space="preserve">Tale rapporto </w:t>
      </w:r>
      <w:r w:rsidR="002376CD">
        <w:rPr>
          <w:sz w:val="28"/>
          <w:szCs w:val="28"/>
        </w:rPr>
        <w:t>deve venire</w:t>
      </w:r>
      <w:r w:rsidRPr="0095713B">
        <w:rPr>
          <w:sz w:val="28"/>
          <w:szCs w:val="28"/>
        </w:rPr>
        <w:t xml:space="preserve"> </w:t>
      </w:r>
      <w:r w:rsidR="002376CD">
        <w:rPr>
          <w:sz w:val="28"/>
          <w:szCs w:val="28"/>
        </w:rPr>
        <w:t xml:space="preserve">poi </w:t>
      </w:r>
      <w:r w:rsidRPr="0095713B">
        <w:rPr>
          <w:sz w:val="28"/>
          <w:szCs w:val="28"/>
        </w:rPr>
        <w:t xml:space="preserve">pubblicato sulla </w:t>
      </w:r>
      <w:r w:rsidRPr="002376CD">
        <w:rPr>
          <w:i/>
          <w:iCs/>
          <w:sz w:val="28"/>
          <w:szCs w:val="28"/>
        </w:rPr>
        <w:t>homepage</w:t>
      </w:r>
      <w:r w:rsidRPr="0095713B">
        <w:rPr>
          <w:sz w:val="28"/>
          <w:szCs w:val="28"/>
        </w:rPr>
        <w:t xml:space="preserve"> del sito, affinché sia facilmente fruibile dagli utenti.</w:t>
      </w:r>
      <w:r w:rsidR="001977BB">
        <w:rPr>
          <w:sz w:val="28"/>
          <w:szCs w:val="28"/>
        </w:rPr>
        <w:t xml:space="preserve"> </w:t>
      </w:r>
      <w:r w:rsidR="002376CD">
        <w:rPr>
          <w:sz w:val="28"/>
          <w:szCs w:val="28"/>
        </w:rPr>
        <w:t xml:space="preserve">Nel caso di violazione di tali </w:t>
      </w:r>
      <w:r w:rsidRPr="0095713B">
        <w:rPr>
          <w:sz w:val="28"/>
          <w:szCs w:val="28"/>
        </w:rPr>
        <w:t>obblighi</w:t>
      </w:r>
      <w:r w:rsidR="002376CD">
        <w:rPr>
          <w:sz w:val="28"/>
          <w:szCs w:val="28"/>
        </w:rPr>
        <w:t xml:space="preserve"> da parte dei gestori dei siti</w:t>
      </w:r>
      <w:r w:rsidRPr="0095713B">
        <w:rPr>
          <w:sz w:val="28"/>
          <w:szCs w:val="28"/>
        </w:rPr>
        <w:t xml:space="preserve">, possono essere irrogate nei loro confronti delle sanzioni amministrative pecuniarie, la cui entità </w:t>
      </w:r>
      <w:r w:rsidR="002376CD">
        <w:rPr>
          <w:sz w:val="28"/>
          <w:szCs w:val="28"/>
        </w:rPr>
        <w:t xml:space="preserve">può </w:t>
      </w:r>
      <w:r w:rsidRPr="0095713B">
        <w:rPr>
          <w:sz w:val="28"/>
          <w:szCs w:val="28"/>
        </w:rPr>
        <w:t>varia</w:t>
      </w:r>
      <w:r w:rsidR="002376CD">
        <w:rPr>
          <w:sz w:val="28"/>
          <w:szCs w:val="28"/>
        </w:rPr>
        <w:t>re</w:t>
      </w:r>
      <w:r w:rsidRPr="0095713B">
        <w:rPr>
          <w:sz w:val="28"/>
          <w:szCs w:val="28"/>
        </w:rPr>
        <w:t xml:space="preserve"> a seconda del tipo di violazione, della gravità e dell’eventuale reiterazione della condotta.</w:t>
      </w:r>
    </w:p>
    <w:p w14:paraId="1435F031" w14:textId="77777777" w:rsidR="00852797" w:rsidRDefault="00852797" w:rsidP="00D554FC">
      <w:pPr>
        <w:pStyle w:val="NormaleWeb"/>
        <w:spacing w:before="0" w:beforeAutospacing="0" w:after="0" w:afterAutospacing="0"/>
        <w:jc w:val="both"/>
        <w:rPr>
          <w:sz w:val="28"/>
          <w:szCs w:val="28"/>
        </w:rPr>
      </w:pPr>
    </w:p>
    <w:p w14:paraId="150B5560" w14:textId="77777777" w:rsidR="00030A9F" w:rsidRDefault="002376CD" w:rsidP="00D554FC">
      <w:pPr>
        <w:pStyle w:val="NormaleWeb"/>
        <w:spacing w:before="0" w:beforeAutospacing="0" w:after="0" w:afterAutospacing="0"/>
        <w:jc w:val="both"/>
        <w:rPr>
          <w:sz w:val="28"/>
          <w:szCs w:val="28"/>
        </w:rPr>
      </w:pPr>
      <w:r>
        <w:rPr>
          <w:sz w:val="28"/>
          <w:szCs w:val="28"/>
        </w:rPr>
        <w:t xml:space="preserve">Si evidenzia che, da </w:t>
      </w:r>
      <w:r w:rsidR="0095713B" w:rsidRPr="0095713B">
        <w:rPr>
          <w:sz w:val="28"/>
          <w:szCs w:val="28"/>
        </w:rPr>
        <w:t>ultimo</w:t>
      </w:r>
      <w:r>
        <w:rPr>
          <w:sz w:val="28"/>
          <w:szCs w:val="28"/>
        </w:rPr>
        <w:t>,</w:t>
      </w:r>
      <w:r w:rsidR="0095713B" w:rsidRPr="0095713B">
        <w:rPr>
          <w:sz w:val="28"/>
          <w:szCs w:val="28"/>
        </w:rPr>
        <w:t xml:space="preserve"> è stato presentato alla Camera il c.d. DDL Boldrini, denominato “</w:t>
      </w:r>
      <w:r w:rsidR="0095713B" w:rsidRPr="002376CD">
        <w:rPr>
          <w:i/>
          <w:iCs/>
          <w:sz w:val="28"/>
          <w:szCs w:val="28"/>
        </w:rPr>
        <w:t>Misure per la prevenzione e il contrasto della diffusione di manifestazioni d’odio mediante la rete internet</w:t>
      </w:r>
      <w:r w:rsidR="0095713B" w:rsidRPr="0095713B">
        <w:rPr>
          <w:sz w:val="28"/>
          <w:szCs w:val="28"/>
        </w:rPr>
        <w:t>”</w:t>
      </w:r>
      <w:r w:rsidR="006D4F00">
        <w:rPr>
          <w:rStyle w:val="Rimandonotaapidipagina"/>
          <w:sz w:val="28"/>
          <w:szCs w:val="28"/>
        </w:rPr>
        <w:footnoteReference w:id="168"/>
      </w:r>
      <w:r w:rsidR="0095713B" w:rsidRPr="0095713B">
        <w:rPr>
          <w:sz w:val="28"/>
          <w:szCs w:val="28"/>
        </w:rPr>
        <w:t xml:space="preserve">. </w:t>
      </w:r>
    </w:p>
    <w:p w14:paraId="47FA59B5" w14:textId="26EE0A3C" w:rsidR="0095713B" w:rsidRPr="0095713B" w:rsidRDefault="002376CD" w:rsidP="00D554FC">
      <w:pPr>
        <w:pStyle w:val="NormaleWeb"/>
        <w:spacing w:before="0" w:beforeAutospacing="0" w:after="0" w:afterAutospacing="0"/>
        <w:jc w:val="both"/>
        <w:rPr>
          <w:sz w:val="28"/>
          <w:szCs w:val="28"/>
        </w:rPr>
      </w:pPr>
      <w:r>
        <w:rPr>
          <w:sz w:val="28"/>
          <w:szCs w:val="28"/>
        </w:rPr>
        <w:t>Si parte, anche qui, dalla considerazione</w:t>
      </w:r>
      <w:r w:rsidR="0095713B" w:rsidRPr="0095713B">
        <w:rPr>
          <w:sz w:val="28"/>
          <w:szCs w:val="28"/>
        </w:rPr>
        <w:t xml:space="preserve"> che la rete sia </w:t>
      </w:r>
      <w:r>
        <w:rPr>
          <w:sz w:val="28"/>
          <w:szCs w:val="28"/>
        </w:rPr>
        <w:t xml:space="preserve">ormai </w:t>
      </w:r>
      <w:r w:rsidR="0095713B" w:rsidRPr="0095713B">
        <w:rPr>
          <w:sz w:val="28"/>
          <w:szCs w:val="28"/>
        </w:rPr>
        <w:t xml:space="preserve">diventata </w:t>
      </w:r>
      <w:r>
        <w:rPr>
          <w:sz w:val="28"/>
          <w:szCs w:val="28"/>
        </w:rPr>
        <w:t>lo</w:t>
      </w:r>
      <w:r w:rsidR="0095713B" w:rsidRPr="0095713B">
        <w:rPr>
          <w:sz w:val="28"/>
          <w:szCs w:val="28"/>
        </w:rPr>
        <w:t xml:space="preserve"> strumento di diffusione di idee e messaggi </w:t>
      </w:r>
      <w:r>
        <w:rPr>
          <w:sz w:val="28"/>
          <w:szCs w:val="28"/>
        </w:rPr>
        <w:t>più</w:t>
      </w:r>
      <w:r w:rsidR="0095713B" w:rsidRPr="0095713B">
        <w:rPr>
          <w:sz w:val="28"/>
          <w:szCs w:val="28"/>
        </w:rPr>
        <w:t xml:space="preserve"> potente </w:t>
      </w:r>
      <w:r>
        <w:rPr>
          <w:sz w:val="28"/>
          <w:szCs w:val="28"/>
        </w:rPr>
        <w:t xml:space="preserve">di qualunque altro </w:t>
      </w:r>
      <w:r w:rsidR="0095713B" w:rsidRPr="0095713B">
        <w:rPr>
          <w:sz w:val="28"/>
          <w:szCs w:val="28"/>
        </w:rPr>
        <w:t xml:space="preserve">e </w:t>
      </w:r>
      <w:r>
        <w:rPr>
          <w:sz w:val="28"/>
          <w:szCs w:val="28"/>
        </w:rPr>
        <w:t xml:space="preserve">che </w:t>
      </w:r>
      <w:r w:rsidR="0095713B" w:rsidRPr="0095713B">
        <w:rPr>
          <w:sz w:val="28"/>
          <w:szCs w:val="28"/>
        </w:rPr>
        <w:t xml:space="preserve">il suo utilizzo </w:t>
      </w:r>
      <w:r>
        <w:rPr>
          <w:sz w:val="28"/>
          <w:szCs w:val="28"/>
        </w:rPr>
        <w:t xml:space="preserve">errato o </w:t>
      </w:r>
      <w:r w:rsidR="0095713B" w:rsidRPr="0095713B">
        <w:rPr>
          <w:sz w:val="28"/>
          <w:szCs w:val="28"/>
        </w:rPr>
        <w:t xml:space="preserve">distorto si </w:t>
      </w:r>
      <w:r>
        <w:rPr>
          <w:sz w:val="28"/>
          <w:szCs w:val="28"/>
        </w:rPr>
        <w:t>possa concretizzare</w:t>
      </w:r>
      <w:r w:rsidR="0095713B" w:rsidRPr="0095713B">
        <w:rPr>
          <w:sz w:val="28"/>
          <w:szCs w:val="28"/>
        </w:rPr>
        <w:t xml:space="preserve"> in </w:t>
      </w:r>
      <w:r>
        <w:rPr>
          <w:sz w:val="28"/>
          <w:szCs w:val="28"/>
        </w:rPr>
        <w:t>severe</w:t>
      </w:r>
      <w:r w:rsidR="0095713B" w:rsidRPr="0095713B">
        <w:rPr>
          <w:sz w:val="28"/>
          <w:szCs w:val="28"/>
        </w:rPr>
        <w:t xml:space="preserve"> forme di discriminazione di alcune categorie</w:t>
      </w:r>
      <w:r>
        <w:rPr>
          <w:sz w:val="28"/>
          <w:szCs w:val="28"/>
        </w:rPr>
        <w:t>, soprattutto</w:t>
      </w:r>
      <w:r w:rsidR="0095713B" w:rsidRPr="0095713B">
        <w:rPr>
          <w:sz w:val="28"/>
          <w:szCs w:val="28"/>
        </w:rPr>
        <w:t xml:space="preserve"> minoranze, sulla base dell’orientamento sessuale, della razza o del genere. </w:t>
      </w:r>
      <w:r>
        <w:rPr>
          <w:sz w:val="28"/>
          <w:szCs w:val="28"/>
        </w:rPr>
        <w:t xml:space="preserve">Nel seguire </w:t>
      </w:r>
      <w:r w:rsidR="0095713B" w:rsidRPr="0095713B">
        <w:rPr>
          <w:sz w:val="28"/>
          <w:szCs w:val="28"/>
        </w:rPr>
        <w:t>l’esempio di altri Paesi</w:t>
      </w:r>
      <w:r w:rsidR="002660E6">
        <w:rPr>
          <w:sz w:val="28"/>
          <w:szCs w:val="28"/>
        </w:rPr>
        <w:t xml:space="preserve"> europei</w:t>
      </w:r>
      <w:r w:rsidR="0095713B" w:rsidRPr="0095713B">
        <w:rPr>
          <w:sz w:val="28"/>
          <w:szCs w:val="28"/>
        </w:rPr>
        <w:t xml:space="preserve">, che si sono </w:t>
      </w:r>
      <w:r>
        <w:rPr>
          <w:sz w:val="28"/>
          <w:szCs w:val="28"/>
        </w:rPr>
        <w:t xml:space="preserve">già </w:t>
      </w:r>
      <w:r w:rsidR="0095713B" w:rsidRPr="0095713B">
        <w:rPr>
          <w:sz w:val="28"/>
          <w:szCs w:val="28"/>
        </w:rPr>
        <w:t>dotati di una normativa specifica in materia</w:t>
      </w:r>
      <w:r>
        <w:rPr>
          <w:sz w:val="28"/>
          <w:szCs w:val="28"/>
        </w:rPr>
        <w:t xml:space="preserve"> di </w:t>
      </w:r>
      <w:proofErr w:type="spellStart"/>
      <w:r w:rsidRPr="002660E6">
        <w:rPr>
          <w:i/>
          <w:iCs/>
          <w:sz w:val="28"/>
          <w:szCs w:val="28"/>
        </w:rPr>
        <w:t>hate</w:t>
      </w:r>
      <w:proofErr w:type="spellEnd"/>
      <w:r w:rsidRPr="002660E6">
        <w:rPr>
          <w:i/>
          <w:iCs/>
          <w:sz w:val="28"/>
          <w:szCs w:val="28"/>
        </w:rPr>
        <w:t xml:space="preserve"> </w:t>
      </w:r>
      <w:proofErr w:type="spellStart"/>
      <w:r w:rsidRPr="002660E6">
        <w:rPr>
          <w:i/>
          <w:iCs/>
          <w:sz w:val="28"/>
          <w:szCs w:val="28"/>
        </w:rPr>
        <w:t>speech</w:t>
      </w:r>
      <w:proofErr w:type="spellEnd"/>
      <w:r>
        <w:rPr>
          <w:sz w:val="28"/>
          <w:szCs w:val="28"/>
        </w:rPr>
        <w:t xml:space="preserve"> </w:t>
      </w:r>
      <w:r w:rsidR="0095713B" w:rsidRPr="0095713B">
        <w:rPr>
          <w:sz w:val="28"/>
          <w:szCs w:val="28"/>
        </w:rPr>
        <w:t>(</w:t>
      </w:r>
      <w:r>
        <w:rPr>
          <w:sz w:val="28"/>
          <w:szCs w:val="28"/>
        </w:rPr>
        <w:t xml:space="preserve">v. </w:t>
      </w:r>
      <w:proofErr w:type="spellStart"/>
      <w:r w:rsidRPr="002660E6">
        <w:rPr>
          <w:i/>
          <w:iCs/>
          <w:sz w:val="28"/>
          <w:szCs w:val="28"/>
        </w:rPr>
        <w:t>supra</w:t>
      </w:r>
      <w:proofErr w:type="spellEnd"/>
      <w:r w:rsidR="0095713B" w:rsidRPr="0095713B">
        <w:rPr>
          <w:sz w:val="28"/>
          <w:szCs w:val="28"/>
        </w:rPr>
        <w:t xml:space="preserve"> </w:t>
      </w:r>
      <w:r w:rsidR="002660E6">
        <w:rPr>
          <w:sz w:val="28"/>
          <w:szCs w:val="28"/>
        </w:rPr>
        <w:t xml:space="preserve">il </w:t>
      </w:r>
      <w:r w:rsidR="0095713B" w:rsidRPr="0095713B">
        <w:rPr>
          <w:sz w:val="28"/>
          <w:szCs w:val="28"/>
        </w:rPr>
        <w:t xml:space="preserve">riferimento alla Germania), </w:t>
      </w:r>
      <w:r w:rsidR="002660E6">
        <w:rPr>
          <w:sz w:val="28"/>
          <w:szCs w:val="28"/>
        </w:rPr>
        <w:t>lo scopo dichiarato è quello</w:t>
      </w:r>
      <w:r w:rsidR="0095713B" w:rsidRPr="0095713B">
        <w:rPr>
          <w:sz w:val="28"/>
          <w:szCs w:val="28"/>
        </w:rPr>
        <w:t xml:space="preserve"> </w:t>
      </w:r>
      <w:r w:rsidR="002660E6">
        <w:rPr>
          <w:sz w:val="28"/>
          <w:szCs w:val="28"/>
        </w:rPr>
        <w:t xml:space="preserve">di andare a </w:t>
      </w:r>
      <w:r w:rsidR="0095713B" w:rsidRPr="0095713B">
        <w:rPr>
          <w:sz w:val="28"/>
          <w:szCs w:val="28"/>
        </w:rPr>
        <w:t>regolamentare questa fattispecie</w:t>
      </w:r>
      <w:r w:rsidR="002660E6">
        <w:rPr>
          <w:sz w:val="28"/>
          <w:szCs w:val="28"/>
        </w:rPr>
        <w:t xml:space="preserve"> specifica</w:t>
      </w:r>
      <w:r w:rsidR="0095713B" w:rsidRPr="0095713B">
        <w:rPr>
          <w:sz w:val="28"/>
          <w:szCs w:val="28"/>
        </w:rPr>
        <w:t>, che</w:t>
      </w:r>
      <w:r w:rsidR="002660E6">
        <w:rPr>
          <w:sz w:val="28"/>
          <w:szCs w:val="28"/>
        </w:rPr>
        <w:t xml:space="preserve"> </w:t>
      </w:r>
      <w:r w:rsidR="0095713B" w:rsidRPr="0095713B">
        <w:rPr>
          <w:sz w:val="28"/>
          <w:szCs w:val="28"/>
        </w:rPr>
        <w:t xml:space="preserve">presenta connotati </w:t>
      </w:r>
      <w:r w:rsidR="002660E6">
        <w:rPr>
          <w:sz w:val="28"/>
          <w:szCs w:val="28"/>
        </w:rPr>
        <w:t xml:space="preserve">ben </w:t>
      </w:r>
      <w:r w:rsidR="0095713B" w:rsidRPr="0095713B">
        <w:rPr>
          <w:sz w:val="28"/>
          <w:szCs w:val="28"/>
        </w:rPr>
        <w:t>diversi rispetto alla tradizionale figura dell’</w:t>
      </w:r>
      <w:r w:rsidR="0095713B" w:rsidRPr="002660E6">
        <w:rPr>
          <w:i/>
          <w:iCs/>
          <w:sz w:val="28"/>
          <w:szCs w:val="28"/>
        </w:rPr>
        <w:t>incitamento all’odio</w:t>
      </w:r>
      <w:r w:rsidR="0095713B" w:rsidRPr="0095713B">
        <w:rPr>
          <w:sz w:val="28"/>
          <w:szCs w:val="28"/>
        </w:rPr>
        <w:t>, proprio in ragione della maggiore invasività del</w:t>
      </w:r>
      <w:r w:rsidR="002660E6">
        <w:rPr>
          <w:sz w:val="28"/>
          <w:szCs w:val="28"/>
        </w:rPr>
        <w:t xml:space="preserve"> web </w:t>
      </w:r>
      <w:r w:rsidR="0095713B" w:rsidRPr="0095713B">
        <w:rPr>
          <w:sz w:val="28"/>
          <w:szCs w:val="28"/>
        </w:rPr>
        <w:t xml:space="preserve">come strumento di diffusione. </w:t>
      </w:r>
      <w:r w:rsidR="002660E6">
        <w:rPr>
          <w:sz w:val="28"/>
          <w:szCs w:val="28"/>
        </w:rPr>
        <w:t>Il</w:t>
      </w:r>
      <w:r w:rsidR="0095713B" w:rsidRPr="0095713B">
        <w:rPr>
          <w:sz w:val="28"/>
          <w:szCs w:val="28"/>
        </w:rPr>
        <w:t xml:space="preserve"> presupposto </w:t>
      </w:r>
      <w:r w:rsidR="002660E6">
        <w:rPr>
          <w:sz w:val="28"/>
          <w:szCs w:val="28"/>
        </w:rPr>
        <w:t xml:space="preserve">di tale ragionamento è </w:t>
      </w:r>
      <w:r w:rsidR="0095713B" w:rsidRPr="0095713B">
        <w:rPr>
          <w:sz w:val="28"/>
          <w:szCs w:val="28"/>
        </w:rPr>
        <w:t xml:space="preserve">che la regolamentazione di Internet sia </w:t>
      </w:r>
      <w:r w:rsidR="002660E6">
        <w:rPr>
          <w:sz w:val="28"/>
          <w:szCs w:val="28"/>
        </w:rPr>
        <w:t xml:space="preserve">divenuta </w:t>
      </w:r>
      <w:r w:rsidR="0095713B" w:rsidRPr="0095713B">
        <w:rPr>
          <w:sz w:val="28"/>
          <w:szCs w:val="28"/>
        </w:rPr>
        <w:t xml:space="preserve">non solo </w:t>
      </w:r>
      <w:r w:rsidR="002660E6">
        <w:rPr>
          <w:sz w:val="28"/>
          <w:szCs w:val="28"/>
        </w:rPr>
        <w:t xml:space="preserve">cosa </w:t>
      </w:r>
      <w:r w:rsidR="0095713B" w:rsidRPr="0095713B">
        <w:rPr>
          <w:sz w:val="28"/>
          <w:szCs w:val="28"/>
        </w:rPr>
        <w:t xml:space="preserve">possibile, </w:t>
      </w:r>
      <w:r w:rsidR="002660E6">
        <w:rPr>
          <w:sz w:val="28"/>
          <w:szCs w:val="28"/>
        </w:rPr>
        <w:t>bensì strettamente</w:t>
      </w:r>
      <w:r w:rsidR="0095713B" w:rsidRPr="0095713B">
        <w:rPr>
          <w:sz w:val="28"/>
          <w:szCs w:val="28"/>
        </w:rPr>
        <w:t xml:space="preserve"> necessaria.</w:t>
      </w:r>
    </w:p>
    <w:p w14:paraId="1C7E334C" w14:textId="77777777" w:rsidR="00030A9F" w:rsidRDefault="002660E6" w:rsidP="00D554FC">
      <w:pPr>
        <w:pStyle w:val="NormaleWeb"/>
        <w:spacing w:before="0" w:beforeAutospacing="0" w:after="0" w:afterAutospacing="0"/>
        <w:jc w:val="both"/>
        <w:rPr>
          <w:sz w:val="28"/>
          <w:szCs w:val="28"/>
        </w:rPr>
      </w:pPr>
      <w:r>
        <w:rPr>
          <w:sz w:val="28"/>
          <w:szCs w:val="28"/>
        </w:rPr>
        <w:t>Il</w:t>
      </w:r>
      <w:r w:rsidR="0095713B" w:rsidRPr="0095713B">
        <w:rPr>
          <w:sz w:val="28"/>
          <w:szCs w:val="28"/>
        </w:rPr>
        <w:t xml:space="preserve"> DDL</w:t>
      </w:r>
      <w:r>
        <w:rPr>
          <w:sz w:val="28"/>
          <w:szCs w:val="28"/>
        </w:rPr>
        <w:t xml:space="preserve"> Boldrini, all’art. 1,</w:t>
      </w:r>
      <w:r w:rsidR="0095713B" w:rsidRPr="0095713B">
        <w:rPr>
          <w:sz w:val="28"/>
          <w:szCs w:val="28"/>
        </w:rPr>
        <w:t xml:space="preserve"> </w:t>
      </w:r>
      <w:r>
        <w:rPr>
          <w:sz w:val="28"/>
          <w:szCs w:val="28"/>
        </w:rPr>
        <w:t>dichiara in maniera esplicita</w:t>
      </w:r>
      <w:r w:rsidR="0095713B" w:rsidRPr="0095713B">
        <w:rPr>
          <w:sz w:val="28"/>
          <w:szCs w:val="28"/>
        </w:rPr>
        <w:t xml:space="preserve"> l</w:t>
      </w:r>
      <w:r>
        <w:rPr>
          <w:sz w:val="28"/>
          <w:szCs w:val="28"/>
        </w:rPr>
        <w:t xml:space="preserve">o scopo </w:t>
      </w:r>
      <w:r w:rsidR="0095713B" w:rsidRPr="0095713B">
        <w:rPr>
          <w:sz w:val="28"/>
          <w:szCs w:val="28"/>
        </w:rPr>
        <w:t xml:space="preserve">della proposta di legge, </w:t>
      </w:r>
      <w:r>
        <w:rPr>
          <w:sz w:val="28"/>
          <w:szCs w:val="28"/>
        </w:rPr>
        <w:t>ossia</w:t>
      </w:r>
      <w:r w:rsidR="0095713B" w:rsidRPr="0095713B">
        <w:rPr>
          <w:sz w:val="28"/>
          <w:szCs w:val="28"/>
        </w:rPr>
        <w:t xml:space="preserve"> </w:t>
      </w:r>
      <w:r>
        <w:rPr>
          <w:sz w:val="28"/>
          <w:szCs w:val="28"/>
        </w:rPr>
        <w:t>la</w:t>
      </w:r>
      <w:r w:rsidR="0095713B" w:rsidRPr="0095713B">
        <w:rPr>
          <w:sz w:val="28"/>
          <w:szCs w:val="28"/>
        </w:rPr>
        <w:t xml:space="preserve"> tutela dell</w:t>
      </w:r>
      <w:r w:rsidR="00030A9F">
        <w:rPr>
          <w:sz w:val="28"/>
          <w:szCs w:val="28"/>
        </w:rPr>
        <w:t>e</w:t>
      </w:r>
      <w:r w:rsidR="0095713B" w:rsidRPr="0095713B">
        <w:rPr>
          <w:sz w:val="28"/>
          <w:szCs w:val="28"/>
        </w:rPr>
        <w:t xml:space="preserve"> dignità</w:t>
      </w:r>
      <w:r w:rsidR="00030A9F">
        <w:rPr>
          <w:sz w:val="28"/>
          <w:szCs w:val="28"/>
        </w:rPr>
        <w:t xml:space="preserve">, </w:t>
      </w:r>
      <w:r w:rsidR="0095713B" w:rsidRPr="0095713B">
        <w:rPr>
          <w:sz w:val="28"/>
          <w:szCs w:val="28"/>
        </w:rPr>
        <w:t>libertà personal</w:t>
      </w:r>
      <w:r>
        <w:rPr>
          <w:sz w:val="28"/>
          <w:szCs w:val="28"/>
        </w:rPr>
        <w:t>e</w:t>
      </w:r>
      <w:r w:rsidR="0095713B" w:rsidRPr="0095713B">
        <w:rPr>
          <w:sz w:val="28"/>
          <w:szCs w:val="28"/>
        </w:rPr>
        <w:t xml:space="preserve"> e</w:t>
      </w:r>
      <w:r w:rsidR="00030A9F">
        <w:rPr>
          <w:sz w:val="28"/>
          <w:szCs w:val="28"/>
        </w:rPr>
        <w:t xml:space="preserve"> </w:t>
      </w:r>
      <w:r w:rsidR="0095713B" w:rsidRPr="0095713B">
        <w:rPr>
          <w:sz w:val="28"/>
          <w:szCs w:val="28"/>
        </w:rPr>
        <w:t>salute psicofisica de</w:t>
      </w:r>
      <w:r>
        <w:rPr>
          <w:sz w:val="28"/>
          <w:szCs w:val="28"/>
        </w:rPr>
        <w:t>i fruitori del web</w:t>
      </w:r>
      <w:r w:rsidR="0095713B" w:rsidRPr="0095713B">
        <w:rPr>
          <w:sz w:val="28"/>
          <w:szCs w:val="28"/>
        </w:rPr>
        <w:t xml:space="preserve">, messe a </w:t>
      </w:r>
      <w:r>
        <w:rPr>
          <w:sz w:val="28"/>
          <w:szCs w:val="28"/>
        </w:rPr>
        <w:t xml:space="preserve">serio </w:t>
      </w:r>
      <w:r w:rsidR="0095713B" w:rsidRPr="0095713B">
        <w:rPr>
          <w:sz w:val="28"/>
          <w:szCs w:val="28"/>
        </w:rPr>
        <w:t>rischio da comportamenti che</w:t>
      </w:r>
      <w:r>
        <w:rPr>
          <w:sz w:val="28"/>
          <w:szCs w:val="28"/>
        </w:rPr>
        <w:t xml:space="preserve"> continuamente</w:t>
      </w:r>
      <w:r w:rsidR="0095713B" w:rsidRPr="0095713B">
        <w:rPr>
          <w:sz w:val="28"/>
          <w:szCs w:val="28"/>
        </w:rPr>
        <w:t xml:space="preserve"> incitano, promuovono o incoraggian</w:t>
      </w:r>
      <w:r w:rsidR="0095713B" w:rsidRPr="002660E6">
        <w:rPr>
          <w:sz w:val="28"/>
          <w:szCs w:val="28"/>
        </w:rPr>
        <w:t xml:space="preserve">o l’odio. </w:t>
      </w:r>
    </w:p>
    <w:p w14:paraId="3ED43DD9" w14:textId="77777777" w:rsidR="00030A9F" w:rsidRDefault="0095713B" w:rsidP="00D554FC">
      <w:pPr>
        <w:pStyle w:val="NormaleWeb"/>
        <w:spacing w:before="0" w:beforeAutospacing="0" w:after="0" w:afterAutospacing="0"/>
        <w:jc w:val="both"/>
        <w:rPr>
          <w:sz w:val="28"/>
          <w:szCs w:val="28"/>
        </w:rPr>
      </w:pPr>
      <w:r w:rsidRPr="002660E6">
        <w:rPr>
          <w:sz w:val="28"/>
          <w:szCs w:val="28"/>
        </w:rPr>
        <w:t xml:space="preserve">Per raggiungere tale </w:t>
      </w:r>
      <w:r w:rsidR="002660E6" w:rsidRPr="002660E6">
        <w:rPr>
          <w:sz w:val="28"/>
          <w:szCs w:val="28"/>
        </w:rPr>
        <w:t>precipua finalità</w:t>
      </w:r>
      <w:r w:rsidR="00030A9F">
        <w:rPr>
          <w:sz w:val="28"/>
          <w:szCs w:val="28"/>
        </w:rPr>
        <w:t>,</w:t>
      </w:r>
      <w:r w:rsidRPr="002660E6">
        <w:rPr>
          <w:sz w:val="28"/>
          <w:szCs w:val="28"/>
        </w:rPr>
        <w:t xml:space="preserve"> si </w:t>
      </w:r>
      <w:r w:rsidR="00EC192A">
        <w:rPr>
          <w:sz w:val="28"/>
          <w:szCs w:val="28"/>
        </w:rPr>
        <w:t xml:space="preserve">è </w:t>
      </w:r>
      <w:r w:rsidR="00EC192A" w:rsidRPr="002660E6">
        <w:rPr>
          <w:sz w:val="28"/>
          <w:szCs w:val="28"/>
        </w:rPr>
        <w:t>o</w:t>
      </w:r>
      <w:r w:rsidR="00EC192A">
        <w:rPr>
          <w:sz w:val="28"/>
          <w:szCs w:val="28"/>
        </w:rPr>
        <w:t>ptato per una maggiore</w:t>
      </w:r>
      <w:r w:rsidRPr="002660E6">
        <w:rPr>
          <w:sz w:val="28"/>
          <w:szCs w:val="28"/>
        </w:rPr>
        <w:t xml:space="preserve"> responsabilizzazione dei gestori dei siti, chiamati a contribuire alla prevenzione e al contrasto di tali fenomeni, anche</w:t>
      </w:r>
      <w:r w:rsidR="00EC192A">
        <w:rPr>
          <w:sz w:val="28"/>
          <w:szCs w:val="28"/>
        </w:rPr>
        <w:t xml:space="preserve"> </w:t>
      </w:r>
      <w:r w:rsidRPr="002660E6">
        <w:rPr>
          <w:sz w:val="28"/>
          <w:szCs w:val="28"/>
        </w:rPr>
        <w:t xml:space="preserve">limitando la diffusione di </w:t>
      </w:r>
      <w:proofErr w:type="spellStart"/>
      <w:r w:rsidR="00EC192A" w:rsidRPr="00EC192A">
        <w:rPr>
          <w:i/>
          <w:iCs/>
          <w:sz w:val="28"/>
          <w:szCs w:val="28"/>
        </w:rPr>
        <w:t>fake</w:t>
      </w:r>
      <w:proofErr w:type="spellEnd"/>
      <w:r w:rsidR="00EC192A" w:rsidRPr="00EC192A">
        <w:rPr>
          <w:i/>
          <w:iCs/>
          <w:sz w:val="28"/>
          <w:szCs w:val="28"/>
        </w:rPr>
        <w:t xml:space="preserve"> news</w:t>
      </w:r>
      <w:r w:rsidRPr="002660E6">
        <w:rPr>
          <w:sz w:val="28"/>
          <w:szCs w:val="28"/>
        </w:rPr>
        <w:t xml:space="preserve">. </w:t>
      </w:r>
    </w:p>
    <w:p w14:paraId="58B35A59" w14:textId="3A6C4393" w:rsidR="00030A9F" w:rsidRDefault="00EC192A" w:rsidP="00D554FC">
      <w:pPr>
        <w:pStyle w:val="NormaleWeb"/>
        <w:spacing w:before="0" w:beforeAutospacing="0" w:after="0" w:afterAutospacing="0"/>
        <w:jc w:val="both"/>
        <w:rPr>
          <w:sz w:val="28"/>
          <w:szCs w:val="28"/>
        </w:rPr>
      </w:pPr>
      <w:r>
        <w:rPr>
          <w:sz w:val="28"/>
          <w:szCs w:val="28"/>
        </w:rPr>
        <w:t>È un elemento che</w:t>
      </w:r>
      <w:r w:rsidR="0095713B" w:rsidRPr="002660E6">
        <w:rPr>
          <w:sz w:val="28"/>
          <w:szCs w:val="28"/>
        </w:rPr>
        <w:t xml:space="preserve"> si ricollega </w:t>
      </w:r>
      <w:r>
        <w:rPr>
          <w:sz w:val="28"/>
          <w:szCs w:val="28"/>
        </w:rPr>
        <w:t>a</w:t>
      </w:r>
      <w:r w:rsidR="0095713B" w:rsidRPr="002660E6">
        <w:rPr>
          <w:sz w:val="28"/>
          <w:szCs w:val="28"/>
        </w:rPr>
        <w:t xml:space="preserve">lla tematica della diffamazione a mezzo </w:t>
      </w:r>
      <w:r w:rsidR="0095713B" w:rsidRPr="00030A9F">
        <w:rPr>
          <w:i/>
          <w:iCs/>
          <w:sz w:val="28"/>
          <w:szCs w:val="28"/>
        </w:rPr>
        <w:t>social</w:t>
      </w:r>
      <w:r w:rsidR="00163B9D" w:rsidRPr="00163B9D">
        <w:rPr>
          <w:rStyle w:val="Rimandonotaapidipagina"/>
          <w:sz w:val="28"/>
          <w:szCs w:val="28"/>
        </w:rPr>
        <w:footnoteReference w:id="169"/>
      </w:r>
      <w:r w:rsidR="00030A9F" w:rsidRPr="00163B9D">
        <w:rPr>
          <w:sz w:val="28"/>
          <w:szCs w:val="28"/>
        </w:rPr>
        <w:t>,</w:t>
      </w:r>
      <w:r w:rsidR="00030A9F">
        <w:rPr>
          <w:sz w:val="28"/>
          <w:szCs w:val="28"/>
        </w:rPr>
        <w:t xml:space="preserve"> di cui si parlerà più avanti.</w:t>
      </w:r>
      <w:r w:rsidR="0095713B" w:rsidRPr="002660E6">
        <w:rPr>
          <w:sz w:val="28"/>
          <w:szCs w:val="28"/>
        </w:rPr>
        <w:t xml:space="preserve"> </w:t>
      </w:r>
    </w:p>
    <w:p w14:paraId="015E4E64" w14:textId="77777777" w:rsidR="00030A9F" w:rsidRDefault="0095713B" w:rsidP="00D554FC">
      <w:pPr>
        <w:pStyle w:val="NormaleWeb"/>
        <w:spacing w:before="0" w:beforeAutospacing="0" w:after="0" w:afterAutospacing="0"/>
        <w:jc w:val="both"/>
        <w:rPr>
          <w:sz w:val="28"/>
          <w:szCs w:val="28"/>
        </w:rPr>
      </w:pPr>
      <w:r w:rsidRPr="0095713B">
        <w:rPr>
          <w:sz w:val="28"/>
          <w:szCs w:val="28"/>
        </w:rPr>
        <w:t>Il prevalente orientamento giurisprudenziale ritenere che sia sufficiente, affinché il diritto di cronaca/critica prevalga sull’interesse del soggetto diffamato, scriminando la condotta, che sia presente la c.d</w:t>
      </w:r>
      <w:r w:rsidRPr="00EC192A">
        <w:rPr>
          <w:i/>
          <w:iCs/>
          <w:sz w:val="28"/>
          <w:szCs w:val="28"/>
        </w:rPr>
        <w:t>. verità putativa</w:t>
      </w:r>
      <w:r w:rsidRPr="0095713B">
        <w:rPr>
          <w:sz w:val="28"/>
          <w:szCs w:val="28"/>
        </w:rPr>
        <w:t xml:space="preserve">. </w:t>
      </w:r>
      <w:r w:rsidR="00EC192A">
        <w:rPr>
          <w:sz w:val="28"/>
          <w:szCs w:val="28"/>
        </w:rPr>
        <w:t xml:space="preserve">Questo </w:t>
      </w:r>
      <w:r w:rsidRPr="0095713B">
        <w:rPr>
          <w:sz w:val="28"/>
          <w:szCs w:val="28"/>
        </w:rPr>
        <w:t>esplicito riferimento del</w:t>
      </w:r>
      <w:r w:rsidR="00EC192A">
        <w:rPr>
          <w:sz w:val="28"/>
          <w:szCs w:val="28"/>
        </w:rPr>
        <w:t xml:space="preserve"> progetto </w:t>
      </w:r>
      <w:r w:rsidRPr="0095713B">
        <w:rPr>
          <w:sz w:val="28"/>
          <w:szCs w:val="28"/>
        </w:rPr>
        <w:t>di legge alla verità dei fatti potrebbe contribuire a modificare tale orientamento nel senso di riconoscere maggiore rilevanza alla dignità della persona e al diritto di quest’ultima di ottenere l’accertamento della realtà.</w:t>
      </w:r>
      <w:r w:rsidR="00EC192A">
        <w:rPr>
          <w:sz w:val="28"/>
          <w:szCs w:val="28"/>
        </w:rPr>
        <w:t xml:space="preserve"> </w:t>
      </w:r>
    </w:p>
    <w:p w14:paraId="25DE2F27" w14:textId="2184DEA6" w:rsidR="0095713B" w:rsidRPr="0095713B" w:rsidRDefault="0095713B" w:rsidP="00D554FC">
      <w:pPr>
        <w:pStyle w:val="NormaleWeb"/>
        <w:spacing w:before="0" w:beforeAutospacing="0" w:after="0" w:afterAutospacing="0"/>
        <w:jc w:val="both"/>
        <w:rPr>
          <w:sz w:val="28"/>
          <w:szCs w:val="28"/>
        </w:rPr>
      </w:pPr>
      <w:r w:rsidRPr="0095713B">
        <w:rPr>
          <w:sz w:val="28"/>
          <w:szCs w:val="28"/>
        </w:rPr>
        <w:t xml:space="preserve">È </w:t>
      </w:r>
      <w:r w:rsidR="00EC192A">
        <w:rPr>
          <w:sz w:val="28"/>
          <w:szCs w:val="28"/>
        </w:rPr>
        <w:t>anche</w:t>
      </w:r>
      <w:r w:rsidRPr="0095713B">
        <w:rPr>
          <w:sz w:val="28"/>
          <w:szCs w:val="28"/>
        </w:rPr>
        <w:t xml:space="preserve"> prevista la modifica di diverse disposizioni del </w:t>
      </w:r>
      <w:proofErr w:type="gramStart"/>
      <w:r w:rsidRPr="0095713B">
        <w:rPr>
          <w:sz w:val="28"/>
          <w:szCs w:val="28"/>
        </w:rPr>
        <w:t>codice penale</w:t>
      </w:r>
      <w:proofErr w:type="gramEnd"/>
      <w:r w:rsidRPr="0095713B">
        <w:rPr>
          <w:sz w:val="28"/>
          <w:szCs w:val="28"/>
        </w:rPr>
        <w:t>, al</w:t>
      </w:r>
      <w:r w:rsidR="00EC192A">
        <w:rPr>
          <w:sz w:val="28"/>
          <w:szCs w:val="28"/>
        </w:rPr>
        <w:t xml:space="preserve">lo scopo </w:t>
      </w:r>
      <w:r w:rsidRPr="0095713B">
        <w:rPr>
          <w:sz w:val="28"/>
          <w:szCs w:val="28"/>
        </w:rPr>
        <w:t xml:space="preserve">di favorire la rimozione di contenuti </w:t>
      </w:r>
      <w:r w:rsidR="00EC192A">
        <w:rPr>
          <w:sz w:val="28"/>
          <w:szCs w:val="28"/>
        </w:rPr>
        <w:t>illegali</w:t>
      </w:r>
      <w:r w:rsidRPr="0095713B">
        <w:rPr>
          <w:sz w:val="28"/>
          <w:szCs w:val="28"/>
        </w:rPr>
        <w:t xml:space="preserve"> dal</w:t>
      </w:r>
      <w:r w:rsidR="00EC192A">
        <w:rPr>
          <w:sz w:val="28"/>
          <w:szCs w:val="28"/>
        </w:rPr>
        <w:t xml:space="preserve"> web.</w:t>
      </w:r>
    </w:p>
    <w:p w14:paraId="735452D6" w14:textId="77777777" w:rsidR="00030A9F" w:rsidRDefault="00EC192A" w:rsidP="00D554FC">
      <w:pPr>
        <w:pStyle w:val="NormaleWeb"/>
        <w:spacing w:before="0" w:beforeAutospacing="0" w:after="0" w:afterAutospacing="0"/>
        <w:jc w:val="both"/>
        <w:rPr>
          <w:sz w:val="28"/>
          <w:szCs w:val="28"/>
        </w:rPr>
      </w:pPr>
      <w:r>
        <w:rPr>
          <w:sz w:val="28"/>
          <w:szCs w:val="28"/>
        </w:rPr>
        <w:t>Anche qui, come</w:t>
      </w:r>
      <w:r w:rsidR="0095713B" w:rsidRPr="0095713B">
        <w:rPr>
          <w:sz w:val="28"/>
          <w:szCs w:val="28"/>
        </w:rPr>
        <w:t xml:space="preserve"> </w:t>
      </w:r>
      <w:r>
        <w:rPr>
          <w:sz w:val="28"/>
          <w:szCs w:val="28"/>
        </w:rPr>
        <w:t>nel</w:t>
      </w:r>
      <w:r w:rsidR="0095713B" w:rsidRPr="0095713B">
        <w:rPr>
          <w:sz w:val="28"/>
          <w:szCs w:val="28"/>
        </w:rPr>
        <w:t xml:space="preserve"> DDL </w:t>
      </w:r>
      <w:proofErr w:type="spellStart"/>
      <w:r w:rsidR="0095713B" w:rsidRPr="0095713B">
        <w:rPr>
          <w:sz w:val="28"/>
          <w:szCs w:val="28"/>
        </w:rPr>
        <w:t>Cirinnà</w:t>
      </w:r>
      <w:proofErr w:type="spellEnd"/>
      <w:r w:rsidR="0095713B" w:rsidRPr="0095713B">
        <w:rPr>
          <w:sz w:val="28"/>
          <w:szCs w:val="28"/>
        </w:rPr>
        <w:t xml:space="preserve">, </w:t>
      </w:r>
      <w:r>
        <w:rPr>
          <w:sz w:val="28"/>
          <w:szCs w:val="28"/>
        </w:rPr>
        <w:t>è</w:t>
      </w:r>
      <w:r w:rsidR="0095713B" w:rsidRPr="0095713B">
        <w:rPr>
          <w:sz w:val="28"/>
          <w:szCs w:val="28"/>
        </w:rPr>
        <w:t xml:space="preserve"> riconosciuto agli utenti </w:t>
      </w:r>
      <w:r>
        <w:rPr>
          <w:sz w:val="28"/>
          <w:szCs w:val="28"/>
        </w:rPr>
        <w:t xml:space="preserve">del servizio web </w:t>
      </w:r>
      <w:r w:rsidR="0095713B" w:rsidRPr="0095713B">
        <w:rPr>
          <w:sz w:val="28"/>
          <w:szCs w:val="28"/>
        </w:rPr>
        <w:t xml:space="preserve">il diritto di segnalare la presenza di contenuti manifestamente illeciti, per ottenerne la rimozione. </w:t>
      </w:r>
    </w:p>
    <w:p w14:paraId="5E5D501C" w14:textId="71B3DC48" w:rsidR="00EC192A" w:rsidRDefault="0095713B" w:rsidP="00D554FC">
      <w:pPr>
        <w:pStyle w:val="NormaleWeb"/>
        <w:spacing w:before="0" w:beforeAutospacing="0" w:after="0" w:afterAutospacing="0"/>
        <w:jc w:val="both"/>
        <w:rPr>
          <w:sz w:val="28"/>
          <w:szCs w:val="28"/>
        </w:rPr>
      </w:pPr>
      <w:r w:rsidRPr="0095713B">
        <w:rPr>
          <w:sz w:val="28"/>
          <w:szCs w:val="28"/>
        </w:rPr>
        <w:lastRenderedPageBreak/>
        <w:t>Il gestore del sito</w:t>
      </w:r>
      <w:r w:rsidR="00EC192A">
        <w:rPr>
          <w:sz w:val="28"/>
          <w:szCs w:val="28"/>
        </w:rPr>
        <w:t xml:space="preserve"> web</w:t>
      </w:r>
      <w:r w:rsidRPr="0095713B">
        <w:rPr>
          <w:sz w:val="28"/>
          <w:szCs w:val="28"/>
        </w:rPr>
        <w:t xml:space="preserve"> è </w:t>
      </w:r>
      <w:r w:rsidR="00EC192A">
        <w:rPr>
          <w:sz w:val="28"/>
          <w:szCs w:val="28"/>
        </w:rPr>
        <w:t>obbligato</w:t>
      </w:r>
      <w:r w:rsidRPr="0095713B">
        <w:rPr>
          <w:sz w:val="28"/>
          <w:szCs w:val="28"/>
        </w:rPr>
        <w:t xml:space="preserve"> a mettere a disposizione </w:t>
      </w:r>
      <w:r w:rsidR="00030A9F">
        <w:rPr>
          <w:sz w:val="28"/>
          <w:szCs w:val="28"/>
        </w:rPr>
        <w:t xml:space="preserve">dei fruitori </w:t>
      </w:r>
      <w:r w:rsidRPr="0095713B">
        <w:rPr>
          <w:sz w:val="28"/>
          <w:szCs w:val="28"/>
        </w:rPr>
        <w:t>una procedura semplice</w:t>
      </w:r>
      <w:r w:rsidR="00EC192A">
        <w:rPr>
          <w:sz w:val="28"/>
          <w:szCs w:val="28"/>
        </w:rPr>
        <w:t>, chiara e</w:t>
      </w:r>
      <w:r w:rsidRPr="0095713B">
        <w:rPr>
          <w:sz w:val="28"/>
          <w:szCs w:val="28"/>
        </w:rPr>
        <w:t xml:space="preserve"> trasparente per effettuare la segnalazione. Anche in questo caso</w:t>
      </w:r>
      <w:r w:rsidR="00EC192A">
        <w:rPr>
          <w:sz w:val="28"/>
          <w:szCs w:val="28"/>
        </w:rPr>
        <w:t>, inoltre,</w:t>
      </w:r>
      <w:r w:rsidR="006D4F00">
        <w:rPr>
          <w:sz w:val="28"/>
          <w:szCs w:val="28"/>
        </w:rPr>
        <w:t xml:space="preserve"> </w:t>
      </w:r>
      <w:r w:rsidRPr="0095713B">
        <w:rPr>
          <w:sz w:val="28"/>
          <w:szCs w:val="28"/>
        </w:rPr>
        <w:t xml:space="preserve">l’esame della segnalazione è rimesso ad un organismo di autoregolamentazione, </w:t>
      </w:r>
      <w:r w:rsidR="00030A9F">
        <w:rPr>
          <w:sz w:val="28"/>
          <w:szCs w:val="28"/>
        </w:rPr>
        <w:t xml:space="preserve">di </w:t>
      </w:r>
      <w:r w:rsidR="00EC192A">
        <w:rPr>
          <w:sz w:val="28"/>
          <w:szCs w:val="28"/>
        </w:rPr>
        <w:t>cui fanno parte</w:t>
      </w:r>
      <w:r w:rsidRPr="0095713B">
        <w:rPr>
          <w:sz w:val="28"/>
          <w:szCs w:val="28"/>
        </w:rPr>
        <w:t xml:space="preserve"> “</w:t>
      </w:r>
      <w:r w:rsidRPr="00EC192A">
        <w:rPr>
          <w:i/>
          <w:iCs/>
          <w:sz w:val="28"/>
          <w:szCs w:val="28"/>
        </w:rPr>
        <w:t>esperti dotati di ampie e diverse competenze e di esperienza, che non presentino cause di conflitto di interessi tali da comprometterne l’indipendenza del giudizio e delle decisioni prese</w:t>
      </w:r>
      <w:r w:rsidRPr="0095713B">
        <w:rPr>
          <w:sz w:val="28"/>
          <w:szCs w:val="28"/>
        </w:rPr>
        <w:t xml:space="preserve">”. </w:t>
      </w:r>
    </w:p>
    <w:p w14:paraId="2C5F1031" w14:textId="77777777" w:rsidR="00030A9F" w:rsidRDefault="0095713B" w:rsidP="00D554FC">
      <w:pPr>
        <w:pStyle w:val="NormaleWeb"/>
        <w:spacing w:before="0" w:beforeAutospacing="0" w:after="0" w:afterAutospacing="0"/>
        <w:jc w:val="both"/>
        <w:rPr>
          <w:sz w:val="28"/>
          <w:szCs w:val="28"/>
        </w:rPr>
      </w:pPr>
      <w:r w:rsidRPr="0095713B">
        <w:rPr>
          <w:sz w:val="28"/>
          <w:szCs w:val="28"/>
        </w:rPr>
        <w:t xml:space="preserve">Il gestore del sito internet </w:t>
      </w:r>
      <w:r w:rsidR="00EC192A">
        <w:rPr>
          <w:sz w:val="28"/>
          <w:szCs w:val="28"/>
        </w:rPr>
        <w:t>deve</w:t>
      </w:r>
      <w:r w:rsidRPr="0095713B">
        <w:rPr>
          <w:sz w:val="28"/>
          <w:szCs w:val="28"/>
        </w:rPr>
        <w:t xml:space="preserve"> farsi carico degli oneri di gestione del suddetto organismo, mentre la definizione dell’ambito e della struttura delle verifiche è rimessa a norme procedurali </w:t>
      </w:r>
      <w:r w:rsidRPr="00EC192A">
        <w:rPr>
          <w:sz w:val="28"/>
          <w:szCs w:val="28"/>
        </w:rPr>
        <w:t>ispirate ad un codice etico di comportamento, trasparente e accessibile agli utenti.</w:t>
      </w:r>
      <w:r w:rsidR="00EC192A" w:rsidRPr="00EC192A">
        <w:rPr>
          <w:sz w:val="28"/>
          <w:szCs w:val="28"/>
        </w:rPr>
        <w:t xml:space="preserve"> </w:t>
      </w:r>
    </w:p>
    <w:p w14:paraId="51DA33E8" w14:textId="77777777" w:rsidR="00DA754B" w:rsidRDefault="00EC192A" w:rsidP="00D554FC">
      <w:pPr>
        <w:pStyle w:val="NormaleWeb"/>
        <w:spacing w:before="0" w:beforeAutospacing="0" w:after="0" w:afterAutospacing="0"/>
        <w:jc w:val="both"/>
        <w:rPr>
          <w:sz w:val="28"/>
          <w:szCs w:val="28"/>
        </w:rPr>
      </w:pPr>
      <w:r>
        <w:rPr>
          <w:sz w:val="28"/>
          <w:szCs w:val="28"/>
        </w:rPr>
        <w:t>Se il parere dell’organismo risulta</w:t>
      </w:r>
      <w:r w:rsidR="0095713B" w:rsidRPr="00EC192A">
        <w:rPr>
          <w:sz w:val="28"/>
          <w:szCs w:val="28"/>
        </w:rPr>
        <w:t xml:space="preserve"> negativo, è ammesso il ricorso al Garante per la protezione dei dati personali. </w:t>
      </w:r>
    </w:p>
    <w:p w14:paraId="0C1EFB05" w14:textId="77777777" w:rsidR="00DC31BE" w:rsidRDefault="0095713B" w:rsidP="00D554FC">
      <w:pPr>
        <w:pStyle w:val="NormaleWeb"/>
        <w:spacing w:before="0" w:beforeAutospacing="0" w:after="0" w:afterAutospacing="0"/>
        <w:jc w:val="both"/>
        <w:rPr>
          <w:sz w:val="28"/>
          <w:szCs w:val="28"/>
        </w:rPr>
      </w:pPr>
      <w:r w:rsidRPr="00EC192A">
        <w:rPr>
          <w:sz w:val="28"/>
          <w:szCs w:val="28"/>
        </w:rPr>
        <w:t>Il gestore del sito è</w:t>
      </w:r>
      <w:r w:rsidR="00EC192A">
        <w:rPr>
          <w:sz w:val="28"/>
          <w:szCs w:val="28"/>
        </w:rPr>
        <w:t>,</w:t>
      </w:r>
      <w:r w:rsidRPr="00EC192A">
        <w:rPr>
          <w:sz w:val="28"/>
          <w:szCs w:val="28"/>
        </w:rPr>
        <w:t xml:space="preserve"> in ogni caso</w:t>
      </w:r>
      <w:r w:rsidR="00EC192A">
        <w:rPr>
          <w:sz w:val="28"/>
          <w:szCs w:val="28"/>
        </w:rPr>
        <w:t>,</w:t>
      </w:r>
      <w:r w:rsidRPr="00EC192A">
        <w:rPr>
          <w:sz w:val="28"/>
          <w:szCs w:val="28"/>
        </w:rPr>
        <w:t xml:space="preserve"> legittimato a segnalare la presenza di un contenuto manifestamente</w:t>
      </w:r>
      <w:r w:rsidRPr="0095713B">
        <w:rPr>
          <w:sz w:val="28"/>
          <w:szCs w:val="28"/>
        </w:rPr>
        <w:t xml:space="preserve"> illecito direttamente, in assenza di specifica segnalazione da parte dell’utente</w:t>
      </w:r>
      <w:r w:rsidR="00DC31BE">
        <w:rPr>
          <w:sz w:val="28"/>
          <w:szCs w:val="28"/>
        </w:rPr>
        <w:t>,</w:t>
      </w:r>
      <w:r w:rsidRPr="0095713B">
        <w:rPr>
          <w:sz w:val="28"/>
          <w:szCs w:val="28"/>
        </w:rPr>
        <w:t xml:space="preserve"> ed è tenuto a garantire che il medesimo contenuto non venga nuovamente caricato o condiviso. </w:t>
      </w:r>
    </w:p>
    <w:p w14:paraId="28CF5BF2" w14:textId="7BFF4C4C" w:rsidR="0095713B" w:rsidRPr="0095713B" w:rsidRDefault="0095713B" w:rsidP="00D554FC">
      <w:pPr>
        <w:pStyle w:val="NormaleWeb"/>
        <w:spacing w:before="0" w:beforeAutospacing="0" w:after="0" w:afterAutospacing="0"/>
        <w:jc w:val="both"/>
        <w:rPr>
          <w:sz w:val="28"/>
          <w:szCs w:val="28"/>
        </w:rPr>
      </w:pPr>
      <w:r w:rsidRPr="0095713B">
        <w:rPr>
          <w:sz w:val="28"/>
          <w:szCs w:val="28"/>
        </w:rPr>
        <w:t>I gestori dovranno</w:t>
      </w:r>
      <w:r w:rsidR="00EC192A">
        <w:rPr>
          <w:sz w:val="28"/>
          <w:szCs w:val="28"/>
        </w:rPr>
        <w:t>,</w:t>
      </w:r>
      <w:r w:rsidRPr="0095713B">
        <w:rPr>
          <w:sz w:val="28"/>
          <w:szCs w:val="28"/>
        </w:rPr>
        <w:t xml:space="preserve"> inoltre</w:t>
      </w:r>
      <w:r w:rsidR="00EC192A">
        <w:rPr>
          <w:sz w:val="28"/>
          <w:szCs w:val="28"/>
        </w:rPr>
        <w:t>,</w:t>
      </w:r>
      <w:r w:rsidRPr="0095713B">
        <w:rPr>
          <w:sz w:val="28"/>
          <w:szCs w:val="28"/>
        </w:rPr>
        <w:t xml:space="preserve"> redigere un resoconto delle segnalazioni pervenute, con specifici obblighi nel caso in cui il numero di queste ultime sia particolarmente elevato.</w:t>
      </w:r>
      <w:r w:rsidR="00EC192A">
        <w:rPr>
          <w:sz w:val="28"/>
          <w:szCs w:val="28"/>
        </w:rPr>
        <w:t xml:space="preserve"> </w:t>
      </w:r>
      <w:r w:rsidRPr="0095713B">
        <w:rPr>
          <w:sz w:val="28"/>
          <w:szCs w:val="28"/>
        </w:rPr>
        <w:t xml:space="preserve">Il Garante per </w:t>
      </w:r>
      <w:r w:rsidR="00EC192A">
        <w:rPr>
          <w:sz w:val="28"/>
          <w:szCs w:val="28"/>
        </w:rPr>
        <w:t>la privacy</w:t>
      </w:r>
      <w:r w:rsidRPr="0095713B">
        <w:rPr>
          <w:sz w:val="28"/>
          <w:szCs w:val="28"/>
        </w:rPr>
        <w:t xml:space="preserve"> può </w:t>
      </w:r>
      <w:r w:rsidR="00EC192A">
        <w:rPr>
          <w:sz w:val="28"/>
          <w:szCs w:val="28"/>
        </w:rPr>
        <w:t>anche</w:t>
      </w:r>
      <w:r w:rsidRPr="0095713B">
        <w:rPr>
          <w:sz w:val="28"/>
          <w:szCs w:val="28"/>
        </w:rPr>
        <w:t xml:space="preserve"> irrogare sanzioni – la cui entità è commisurata alla gravità della violazione – in caso di violazione degli obblighi in materia di segnalazione, oscuramento, rimozione o blocco di contenuti illeciti e resoconto da parte dei gestori.</w:t>
      </w:r>
    </w:p>
    <w:p w14:paraId="765BA5EC" w14:textId="77777777" w:rsidR="00DC31BE" w:rsidRDefault="00EC192A" w:rsidP="00D554FC">
      <w:pPr>
        <w:pStyle w:val="NormaleWeb"/>
        <w:spacing w:before="0" w:beforeAutospacing="0" w:after="0" w:afterAutospacing="0"/>
        <w:jc w:val="both"/>
        <w:rPr>
          <w:sz w:val="28"/>
          <w:szCs w:val="28"/>
        </w:rPr>
      </w:pPr>
      <w:r>
        <w:rPr>
          <w:sz w:val="28"/>
          <w:szCs w:val="28"/>
        </w:rPr>
        <w:t>Per quanto concerne l’</w:t>
      </w:r>
      <w:r w:rsidR="0095713B" w:rsidRPr="0095713B">
        <w:rPr>
          <w:sz w:val="28"/>
          <w:szCs w:val="28"/>
        </w:rPr>
        <w:t>art. 8</w:t>
      </w:r>
      <w:r>
        <w:rPr>
          <w:sz w:val="28"/>
          <w:szCs w:val="28"/>
        </w:rPr>
        <w:t>, esso</w:t>
      </w:r>
      <w:r w:rsidR="0095713B" w:rsidRPr="0095713B">
        <w:rPr>
          <w:sz w:val="28"/>
          <w:szCs w:val="28"/>
        </w:rPr>
        <w:t xml:space="preserve"> interviene sul diritto all’oscuramento, alla rimozione o al blocco della diffusione dei propri dati o immagini personali nella rete, ampliandone la portata rispetto alle fattispecie di cui all’art. 167 del </w:t>
      </w:r>
      <w:r w:rsidR="00DC31BE">
        <w:rPr>
          <w:sz w:val="28"/>
          <w:szCs w:val="28"/>
        </w:rPr>
        <w:t>D</w:t>
      </w:r>
      <w:r w:rsidR="0095713B" w:rsidRPr="0095713B">
        <w:rPr>
          <w:sz w:val="28"/>
          <w:szCs w:val="28"/>
        </w:rPr>
        <w:t>.lgs</w:t>
      </w:r>
      <w:r w:rsidR="00DC31BE">
        <w:rPr>
          <w:sz w:val="28"/>
          <w:szCs w:val="28"/>
        </w:rPr>
        <w:t>.</w:t>
      </w:r>
      <w:r w:rsidR="0095713B" w:rsidRPr="0095713B">
        <w:rPr>
          <w:sz w:val="28"/>
          <w:szCs w:val="28"/>
        </w:rPr>
        <w:t xml:space="preserve"> n. 196/2003 e includendovi anche ipotesi escluse dall’art. 4 del medesimo </w:t>
      </w:r>
      <w:r>
        <w:rPr>
          <w:sz w:val="28"/>
          <w:szCs w:val="28"/>
        </w:rPr>
        <w:t>disegno</w:t>
      </w:r>
      <w:r w:rsidR="0095713B" w:rsidRPr="0095713B">
        <w:rPr>
          <w:sz w:val="28"/>
          <w:szCs w:val="28"/>
        </w:rPr>
        <w:t xml:space="preserve"> di legge o da altre norme incriminatrici. </w:t>
      </w:r>
    </w:p>
    <w:p w14:paraId="5895DEB1" w14:textId="77777777" w:rsidR="00DC31BE" w:rsidRDefault="00EC192A" w:rsidP="00D554FC">
      <w:pPr>
        <w:pStyle w:val="NormaleWeb"/>
        <w:spacing w:before="0" w:beforeAutospacing="0" w:after="0" w:afterAutospacing="0"/>
        <w:jc w:val="both"/>
        <w:rPr>
          <w:sz w:val="28"/>
          <w:szCs w:val="28"/>
        </w:rPr>
      </w:pPr>
      <w:r>
        <w:rPr>
          <w:sz w:val="28"/>
          <w:szCs w:val="28"/>
        </w:rPr>
        <w:t>È,</w:t>
      </w:r>
      <w:r w:rsidR="0095713B" w:rsidRPr="0095713B">
        <w:rPr>
          <w:sz w:val="28"/>
          <w:szCs w:val="28"/>
        </w:rPr>
        <w:t xml:space="preserve"> infatti</w:t>
      </w:r>
      <w:r>
        <w:rPr>
          <w:sz w:val="28"/>
          <w:szCs w:val="28"/>
        </w:rPr>
        <w:t>,</w:t>
      </w:r>
      <w:r w:rsidR="0095713B" w:rsidRPr="0095713B">
        <w:rPr>
          <w:sz w:val="28"/>
          <w:szCs w:val="28"/>
        </w:rPr>
        <w:t xml:space="preserve"> riconosciuto a chiunque (ivi compresi i soggetti di minore età</w:t>
      </w:r>
      <w:r>
        <w:rPr>
          <w:sz w:val="28"/>
          <w:szCs w:val="28"/>
        </w:rPr>
        <w:t>; s</w:t>
      </w:r>
      <w:r w:rsidRPr="0095713B">
        <w:rPr>
          <w:sz w:val="28"/>
          <w:szCs w:val="28"/>
        </w:rPr>
        <w:t>e</w:t>
      </w:r>
      <w:r>
        <w:rPr>
          <w:sz w:val="28"/>
          <w:szCs w:val="28"/>
        </w:rPr>
        <w:t xml:space="preserve"> </w:t>
      </w:r>
      <w:r w:rsidR="0095713B" w:rsidRPr="0095713B">
        <w:rPr>
          <w:sz w:val="28"/>
          <w:szCs w:val="28"/>
        </w:rPr>
        <w:t xml:space="preserve">ultraquattordicenni, i minori possono agire personalmente) il diritto </w:t>
      </w:r>
      <w:r>
        <w:rPr>
          <w:sz w:val="28"/>
          <w:szCs w:val="28"/>
        </w:rPr>
        <w:t>ad</w:t>
      </w:r>
      <w:r w:rsidR="0095713B" w:rsidRPr="0095713B">
        <w:rPr>
          <w:sz w:val="28"/>
          <w:szCs w:val="28"/>
        </w:rPr>
        <w:t xml:space="preserve"> ottenere</w:t>
      </w:r>
      <w:r>
        <w:rPr>
          <w:sz w:val="28"/>
          <w:szCs w:val="28"/>
        </w:rPr>
        <w:t>,</w:t>
      </w:r>
      <w:r w:rsidR="0095713B" w:rsidRPr="0095713B">
        <w:rPr>
          <w:sz w:val="28"/>
          <w:szCs w:val="28"/>
        </w:rPr>
        <w:t xml:space="preserve"> in qualsiasi momento</w:t>
      </w:r>
      <w:r>
        <w:rPr>
          <w:sz w:val="28"/>
          <w:szCs w:val="28"/>
        </w:rPr>
        <w:t>,</w:t>
      </w:r>
      <w:r w:rsidR="0095713B" w:rsidRPr="0095713B">
        <w:rPr>
          <w:sz w:val="28"/>
          <w:szCs w:val="28"/>
        </w:rPr>
        <w:t xml:space="preserve"> l’oscuramento, la rimozione o il blocco di propri dati o immagini ritenuti offensivi o lesivi della propria dignità, identità e libertà personale, </w:t>
      </w:r>
      <w:r>
        <w:rPr>
          <w:sz w:val="28"/>
          <w:szCs w:val="28"/>
        </w:rPr>
        <w:t>tramite</w:t>
      </w:r>
      <w:r w:rsidR="0095713B" w:rsidRPr="0095713B">
        <w:rPr>
          <w:sz w:val="28"/>
          <w:szCs w:val="28"/>
        </w:rPr>
        <w:t xml:space="preserve"> istanza presentata al titolare del trattamento. </w:t>
      </w:r>
    </w:p>
    <w:p w14:paraId="36071D2B" w14:textId="7D723991" w:rsidR="0095713B" w:rsidRDefault="0095713B" w:rsidP="00D554FC">
      <w:pPr>
        <w:pStyle w:val="NormaleWeb"/>
        <w:spacing w:before="0" w:beforeAutospacing="0" w:after="0" w:afterAutospacing="0"/>
        <w:jc w:val="both"/>
        <w:rPr>
          <w:sz w:val="28"/>
          <w:szCs w:val="28"/>
        </w:rPr>
      </w:pPr>
      <w:r w:rsidRPr="0095713B">
        <w:rPr>
          <w:sz w:val="28"/>
          <w:szCs w:val="28"/>
        </w:rPr>
        <w:t xml:space="preserve">Nel caso in cui questo dia tempestivamente seguito alla richiesta o non sia possibile identificarlo, l’istanza può essere presentata direttamente al Garante </w:t>
      </w:r>
      <w:r w:rsidR="00DC31BE">
        <w:rPr>
          <w:sz w:val="28"/>
          <w:szCs w:val="28"/>
        </w:rPr>
        <w:t>della P</w:t>
      </w:r>
      <w:r w:rsidR="00440D07">
        <w:rPr>
          <w:sz w:val="28"/>
          <w:szCs w:val="28"/>
        </w:rPr>
        <w:t>rivacy</w:t>
      </w:r>
      <w:r w:rsidRPr="0095713B">
        <w:rPr>
          <w:sz w:val="28"/>
          <w:szCs w:val="28"/>
        </w:rPr>
        <w:t>. La legittimità della richiesta di rimozione del contenuto può altresì essere contestata innanzi al Garante, le cui decisioni sono suscettibili di ricorso innanzi al giudice ordinario. Il Garante</w:t>
      </w:r>
      <w:r w:rsidR="00DC31BE">
        <w:rPr>
          <w:sz w:val="28"/>
          <w:szCs w:val="28"/>
        </w:rPr>
        <w:t xml:space="preserve"> </w:t>
      </w:r>
      <w:r w:rsidRPr="0095713B">
        <w:rPr>
          <w:sz w:val="28"/>
          <w:szCs w:val="28"/>
        </w:rPr>
        <w:t>ha il potere di irrogare sanzioni amministrative pecuniarie nei confronti del gestore</w:t>
      </w:r>
      <w:r w:rsidR="00440D07">
        <w:rPr>
          <w:sz w:val="28"/>
          <w:szCs w:val="28"/>
        </w:rPr>
        <w:t xml:space="preserve"> sul web</w:t>
      </w:r>
      <w:r w:rsidR="00DC31BE">
        <w:rPr>
          <w:sz w:val="28"/>
          <w:szCs w:val="28"/>
        </w:rPr>
        <w:t xml:space="preserve">, il cui </w:t>
      </w:r>
      <w:r w:rsidRPr="0095713B">
        <w:rPr>
          <w:sz w:val="28"/>
          <w:szCs w:val="28"/>
        </w:rPr>
        <w:t xml:space="preserve">ammontare può variare da 500.000 a 5.000.000 </w:t>
      </w:r>
      <w:r w:rsidR="00DC31BE" w:rsidRPr="0095713B">
        <w:rPr>
          <w:sz w:val="28"/>
          <w:szCs w:val="28"/>
        </w:rPr>
        <w:t>euro</w:t>
      </w:r>
      <w:r w:rsidR="00DC31BE">
        <w:rPr>
          <w:sz w:val="28"/>
          <w:szCs w:val="28"/>
        </w:rPr>
        <w:t>,</w:t>
      </w:r>
      <w:r w:rsidR="00DC31BE" w:rsidRPr="0095713B">
        <w:rPr>
          <w:sz w:val="28"/>
          <w:szCs w:val="28"/>
        </w:rPr>
        <w:t xml:space="preserve"> </w:t>
      </w:r>
      <w:r w:rsidRPr="0095713B">
        <w:rPr>
          <w:sz w:val="28"/>
          <w:szCs w:val="28"/>
        </w:rPr>
        <w:t>sulla base della gravità e della reiterazione della condotta.</w:t>
      </w:r>
    </w:p>
    <w:p w14:paraId="2217749A" w14:textId="77777777" w:rsidR="00DC31BE" w:rsidRPr="0095713B" w:rsidRDefault="00DC31BE" w:rsidP="00D554FC">
      <w:pPr>
        <w:pStyle w:val="NormaleWeb"/>
        <w:spacing w:before="0" w:beforeAutospacing="0" w:after="0" w:afterAutospacing="0"/>
        <w:jc w:val="both"/>
        <w:rPr>
          <w:sz w:val="28"/>
          <w:szCs w:val="28"/>
        </w:rPr>
      </w:pPr>
    </w:p>
    <w:p w14:paraId="53553027" w14:textId="77777777" w:rsidR="00DC31BE" w:rsidRDefault="00440D07" w:rsidP="00DC31BE">
      <w:pPr>
        <w:pStyle w:val="NormaleWeb"/>
        <w:spacing w:before="0" w:beforeAutospacing="0" w:after="0" w:afterAutospacing="0"/>
        <w:jc w:val="both"/>
        <w:rPr>
          <w:sz w:val="28"/>
          <w:szCs w:val="28"/>
        </w:rPr>
      </w:pPr>
      <w:r>
        <w:rPr>
          <w:sz w:val="28"/>
          <w:szCs w:val="28"/>
        </w:rPr>
        <w:t>Il</w:t>
      </w:r>
      <w:r w:rsidR="0095713B" w:rsidRPr="0095713B">
        <w:rPr>
          <w:sz w:val="28"/>
          <w:szCs w:val="28"/>
        </w:rPr>
        <w:t xml:space="preserve"> meccanismo di tutela</w:t>
      </w:r>
      <w:r>
        <w:rPr>
          <w:sz w:val="28"/>
          <w:szCs w:val="28"/>
        </w:rPr>
        <w:t xml:space="preserve"> appena descritto </w:t>
      </w:r>
      <w:r w:rsidR="0095713B" w:rsidRPr="0095713B">
        <w:rPr>
          <w:sz w:val="28"/>
          <w:szCs w:val="28"/>
        </w:rPr>
        <w:t xml:space="preserve">coincide con quanto già previsto in materia di diritto all’oblio e </w:t>
      </w:r>
      <w:proofErr w:type="spellStart"/>
      <w:r w:rsidR="0095713B" w:rsidRPr="00440D07">
        <w:rPr>
          <w:i/>
          <w:iCs/>
          <w:sz w:val="28"/>
          <w:szCs w:val="28"/>
        </w:rPr>
        <w:t>cyberbullismo</w:t>
      </w:r>
      <w:proofErr w:type="spellEnd"/>
      <w:r w:rsidR="0095713B" w:rsidRPr="0095713B">
        <w:rPr>
          <w:sz w:val="28"/>
          <w:szCs w:val="28"/>
        </w:rPr>
        <w:t xml:space="preserve">, </w:t>
      </w:r>
      <w:r>
        <w:rPr>
          <w:sz w:val="28"/>
          <w:szCs w:val="28"/>
        </w:rPr>
        <w:t xml:space="preserve">ed </w:t>
      </w:r>
      <w:r w:rsidR="0095713B" w:rsidRPr="0095713B">
        <w:rPr>
          <w:sz w:val="28"/>
          <w:szCs w:val="28"/>
        </w:rPr>
        <w:t xml:space="preserve">è stato richiamato e lodato dal Presidente del Garante </w:t>
      </w:r>
      <w:r w:rsidR="00DC31BE">
        <w:rPr>
          <w:sz w:val="28"/>
          <w:szCs w:val="28"/>
        </w:rPr>
        <w:t>della</w:t>
      </w:r>
      <w:r>
        <w:rPr>
          <w:sz w:val="28"/>
          <w:szCs w:val="28"/>
        </w:rPr>
        <w:t xml:space="preserve"> </w:t>
      </w:r>
      <w:r w:rsidR="00DC31BE">
        <w:rPr>
          <w:sz w:val="28"/>
          <w:szCs w:val="28"/>
        </w:rPr>
        <w:t>P</w:t>
      </w:r>
      <w:r>
        <w:rPr>
          <w:sz w:val="28"/>
          <w:szCs w:val="28"/>
        </w:rPr>
        <w:t>rivacy</w:t>
      </w:r>
      <w:r w:rsidR="0095713B" w:rsidRPr="0095713B">
        <w:rPr>
          <w:sz w:val="28"/>
          <w:szCs w:val="28"/>
        </w:rPr>
        <w:t xml:space="preserve">, il </w:t>
      </w:r>
      <w:r w:rsidR="00DC31BE">
        <w:rPr>
          <w:sz w:val="28"/>
          <w:szCs w:val="28"/>
        </w:rPr>
        <w:t>P</w:t>
      </w:r>
      <w:r w:rsidR="0095713B" w:rsidRPr="0095713B">
        <w:rPr>
          <w:sz w:val="28"/>
          <w:szCs w:val="28"/>
        </w:rPr>
        <w:t>rof</w:t>
      </w:r>
      <w:r w:rsidR="00DC31BE">
        <w:rPr>
          <w:sz w:val="28"/>
          <w:szCs w:val="28"/>
        </w:rPr>
        <w:t>essor</w:t>
      </w:r>
      <w:r w:rsidR="0095713B" w:rsidRPr="0095713B">
        <w:rPr>
          <w:sz w:val="28"/>
          <w:szCs w:val="28"/>
        </w:rPr>
        <w:t xml:space="preserve"> Pasquale </w:t>
      </w:r>
      <w:proofErr w:type="spellStart"/>
      <w:r w:rsidR="0095713B" w:rsidRPr="0095713B">
        <w:rPr>
          <w:sz w:val="28"/>
          <w:szCs w:val="28"/>
        </w:rPr>
        <w:t>Stanzione</w:t>
      </w:r>
      <w:proofErr w:type="spellEnd"/>
      <w:r>
        <w:rPr>
          <w:sz w:val="28"/>
          <w:szCs w:val="28"/>
        </w:rPr>
        <w:t>,</w:t>
      </w:r>
      <w:r w:rsidR="0095713B" w:rsidRPr="0095713B">
        <w:rPr>
          <w:sz w:val="28"/>
          <w:szCs w:val="28"/>
        </w:rPr>
        <w:t xml:space="preserve"> nel corso dell’audizione </w:t>
      </w:r>
      <w:r w:rsidR="0095713B" w:rsidRPr="0095713B">
        <w:rPr>
          <w:sz w:val="28"/>
          <w:szCs w:val="28"/>
        </w:rPr>
        <w:lastRenderedPageBreak/>
        <w:t>tenutasi il 13 luglio 2021</w:t>
      </w:r>
      <w:r w:rsidR="006D4F00">
        <w:rPr>
          <w:rStyle w:val="Rimandonotaapidipagina"/>
          <w:sz w:val="28"/>
          <w:szCs w:val="28"/>
        </w:rPr>
        <w:footnoteReference w:id="170"/>
      </w:r>
      <w:r w:rsidR="0095713B" w:rsidRPr="0095713B">
        <w:rPr>
          <w:sz w:val="28"/>
          <w:szCs w:val="28"/>
        </w:rPr>
        <w:t xml:space="preserve">, il quale lo ha definito un utile strumento di tutela dei diritti della personalità </w:t>
      </w:r>
      <w:r w:rsidR="0095713B" w:rsidRPr="00CB4B54">
        <w:rPr>
          <w:i/>
          <w:iCs/>
          <w:sz w:val="28"/>
          <w:szCs w:val="28"/>
        </w:rPr>
        <w:t>online</w:t>
      </w:r>
      <w:r w:rsidR="0095713B" w:rsidRPr="0095713B">
        <w:rPr>
          <w:sz w:val="28"/>
          <w:szCs w:val="28"/>
        </w:rPr>
        <w:t xml:space="preserve">, </w:t>
      </w:r>
      <w:r w:rsidR="00CB4B54">
        <w:rPr>
          <w:sz w:val="28"/>
          <w:szCs w:val="28"/>
        </w:rPr>
        <w:t>capace</w:t>
      </w:r>
      <w:r w:rsidR="0095713B" w:rsidRPr="0095713B">
        <w:rPr>
          <w:sz w:val="28"/>
          <w:szCs w:val="28"/>
        </w:rPr>
        <w:t xml:space="preserve"> di conciliare l’esigenza di rimozione dei contenuti con la riserva all’autorità pubblica della decisione di ultima istanza, in linea con il </w:t>
      </w:r>
      <w:r w:rsidR="00CB4B54">
        <w:rPr>
          <w:sz w:val="28"/>
          <w:szCs w:val="28"/>
        </w:rPr>
        <w:t>difficile</w:t>
      </w:r>
      <w:r w:rsidR="0095713B" w:rsidRPr="0095713B">
        <w:rPr>
          <w:sz w:val="28"/>
          <w:szCs w:val="28"/>
        </w:rPr>
        <w:t xml:space="preserve"> bilanciamento di interessi da svolgere secondo le indicazioni della CGUE e della Corte </w:t>
      </w:r>
      <w:r w:rsidR="00CB4B54">
        <w:rPr>
          <w:sz w:val="28"/>
          <w:szCs w:val="28"/>
        </w:rPr>
        <w:t xml:space="preserve">EDU. È interessante </w:t>
      </w:r>
      <w:r w:rsidR="0095713B" w:rsidRPr="0095713B">
        <w:rPr>
          <w:sz w:val="28"/>
          <w:szCs w:val="28"/>
        </w:rPr>
        <w:t>evidenzia</w:t>
      </w:r>
      <w:r w:rsidR="00CB4B54">
        <w:rPr>
          <w:sz w:val="28"/>
          <w:szCs w:val="28"/>
        </w:rPr>
        <w:t>re</w:t>
      </w:r>
      <w:r w:rsidR="0095713B" w:rsidRPr="0095713B">
        <w:rPr>
          <w:sz w:val="28"/>
          <w:szCs w:val="28"/>
        </w:rPr>
        <w:t xml:space="preserve"> che il coinvolgimento del Garante è funzionale al rispetto delle libertà fondamentali, sottratte a valutazioni compiute esclusivamente da soggetti privati, arginando il rischio di comportamenti arbitrari e abusivi</w:t>
      </w:r>
      <w:r w:rsidR="00CB4B54">
        <w:rPr>
          <w:sz w:val="28"/>
          <w:szCs w:val="28"/>
        </w:rPr>
        <w:t xml:space="preserve">. </w:t>
      </w:r>
    </w:p>
    <w:p w14:paraId="1D4A2427" w14:textId="5F849B61" w:rsidR="0095713B" w:rsidRPr="00CB4B54" w:rsidRDefault="00CB4B54" w:rsidP="00DC31BE">
      <w:pPr>
        <w:pStyle w:val="NormaleWeb"/>
        <w:spacing w:before="0" w:beforeAutospacing="0" w:after="0" w:afterAutospacing="0"/>
        <w:jc w:val="both"/>
        <w:rPr>
          <w:sz w:val="28"/>
          <w:szCs w:val="28"/>
        </w:rPr>
      </w:pPr>
      <w:r>
        <w:rPr>
          <w:sz w:val="28"/>
          <w:szCs w:val="28"/>
        </w:rPr>
        <w:t>I</w:t>
      </w:r>
      <w:r w:rsidR="0095713B" w:rsidRPr="0095713B">
        <w:rPr>
          <w:sz w:val="28"/>
          <w:szCs w:val="28"/>
        </w:rPr>
        <w:t>l Presidente</w:t>
      </w:r>
      <w:r>
        <w:rPr>
          <w:sz w:val="28"/>
          <w:szCs w:val="28"/>
        </w:rPr>
        <w:t>, inoltre,</w:t>
      </w:r>
      <w:r w:rsidR="0095713B" w:rsidRPr="0095713B">
        <w:rPr>
          <w:sz w:val="28"/>
          <w:szCs w:val="28"/>
        </w:rPr>
        <w:t xml:space="preserve"> si è espresso in senso favorevole all’ampliamento dell’ambito di applicazione dell’art. 167 del Codice Privacy, che </w:t>
      </w:r>
      <w:r>
        <w:rPr>
          <w:sz w:val="28"/>
          <w:szCs w:val="28"/>
        </w:rPr>
        <w:t xml:space="preserve">si occupa del </w:t>
      </w:r>
      <w:r w:rsidR="0095713B" w:rsidRPr="0095713B">
        <w:rPr>
          <w:sz w:val="28"/>
          <w:szCs w:val="28"/>
        </w:rPr>
        <w:t>delitto di trattamento illecito di dati personali</w:t>
      </w:r>
      <w:r w:rsidR="00DC31BE">
        <w:rPr>
          <w:sz w:val="28"/>
          <w:szCs w:val="28"/>
        </w:rPr>
        <w:t xml:space="preserve">: </w:t>
      </w:r>
      <w:r w:rsidR="0095713B" w:rsidRPr="0095713B">
        <w:rPr>
          <w:sz w:val="28"/>
          <w:szCs w:val="28"/>
        </w:rPr>
        <w:t xml:space="preserve">si suggerisce la reintroduzione del consenso tra i requisiti di illiceità speciale (come prima della riforma di cui al </w:t>
      </w:r>
      <w:r w:rsidR="00DC31BE">
        <w:rPr>
          <w:sz w:val="28"/>
          <w:szCs w:val="28"/>
        </w:rPr>
        <w:t>D</w:t>
      </w:r>
      <w:r w:rsidR="0095713B" w:rsidRPr="0095713B">
        <w:rPr>
          <w:sz w:val="28"/>
          <w:szCs w:val="28"/>
        </w:rPr>
        <w:t>.lgs. 101/2018</w:t>
      </w:r>
      <w:r>
        <w:rPr>
          <w:sz w:val="28"/>
          <w:szCs w:val="28"/>
        </w:rPr>
        <w:t>; l</w:t>
      </w:r>
      <w:r w:rsidR="0095713B" w:rsidRPr="0095713B">
        <w:rPr>
          <w:sz w:val="28"/>
          <w:szCs w:val="28"/>
        </w:rPr>
        <w:t xml:space="preserve">a disciplina </w:t>
      </w:r>
      <w:r w:rsidR="0095713B" w:rsidRPr="00CB4B54">
        <w:rPr>
          <w:sz w:val="28"/>
          <w:szCs w:val="28"/>
        </w:rPr>
        <w:t xml:space="preserve">attuale ha infatti limitato la fattispecie alle sole attività di </w:t>
      </w:r>
      <w:r w:rsidR="0095713B" w:rsidRPr="00CB4B54">
        <w:rPr>
          <w:i/>
          <w:iCs/>
          <w:sz w:val="28"/>
          <w:szCs w:val="28"/>
        </w:rPr>
        <w:t>telemarketing</w:t>
      </w:r>
      <w:r w:rsidR="0095713B" w:rsidRPr="00CB4B54">
        <w:rPr>
          <w:sz w:val="28"/>
          <w:szCs w:val="28"/>
        </w:rPr>
        <w:t>).</w:t>
      </w:r>
    </w:p>
    <w:p w14:paraId="25A6A408" w14:textId="38BCD1A3" w:rsidR="0095713B" w:rsidRPr="0095713B" w:rsidRDefault="00CB4B54" w:rsidP="0095713B">
      <w:pPr>
        <w:pStyle w:val="NormaleWeb"/>
        <w:jc w:val="both"/>
        <w:rPr>
          <w:sz w:val="28"/>
          <w:szCs w:val="28"/>
        </w:rPr>
      </w:pPr>
      <w:r>
        <w:rPr>
          <w:sz w:val="28"/>
          <w:szCs w:val="28"/>
        </w:rPr>
        <w:t>Si sta andando verso la stessa direzione di quella</w:t>
      </w:r>
      <w:r w:rsidR="0095713B" w:rsidRPr="00CB4B54">
        <w:rPr>
          <w:sz w:val="28"/>
          <w:szCs w:val="28"/>
        </w:rPr>
        <w:t xml:space="preserve"> </w:t>
      </w:r>
      <w:r>
        <w:rPr>
          <w:sz w:val="28"/>
          <w:szCs w:val="28"/>
        </w:rPr>
        <w:t xml:space="preserve">emersa in ambito </w:t>
      </w:r>
      <w:r w:rsidR="0095713B" w:rsidRPr="00CB4B54">
        <w:rPr>
          <w:sz w:val="28"/>
          <w:szCs w:val="28"/>
        </w:rPr>
        <w:t xml:space="preserve">europeo, come dimostrato dal c.d. </w:t>
      </w:r>
      <w:r w:rsidR="0095713B" w:rsidRPr="00CB4B54">
        <w:rPr>
          <w:i/>
          <w:iCs/>
          <w:sz w:val="28"/>
          <w:szCs w:val="28"/>
        </w:rPr>
        <w:t>Digital Service</w:t>
      </w:r>
      <w:r w:rsidR="009211B4">
        <w:rPr>
          <w:i/>
          <w:iCs/>
          <w:sz w:val="28"/>
          <w:szCs w:val="28"/>
        </w:rPr>
        <w:t>s</w:t>
      </w:r>
      <w:r w:rsidR="0095713B" w:rsidRPr="00CB4B54">
        <w:rPr>
          <w:i/>
          <w:iCs/>
          <w:sz w:val="28"/>
          <w:szCs w:val="28"/>
        </w:rPr>
        <w:t xml:space="preserve"> </w:t>
      </w:r>
      <w:proofErr w:type="spellStart"/>
      <w:r w:rsidR="0095713B" w:rsidRPr="00CB4B54">
        <w:rPr>
          <w:i/>
          <w:iCs/>
          <w:sz w:val="28"/>
          <w:szCs w:val="28"/>
        </w:rPr>
        <w:t>Act</w:t>
      </w:r>
      <w:proofErr w:type="spellEnd"/>
      <w:r w:rsidR="006D4F00" w:rsidRPr="00CB4B54">
        <w:rPr>
          <w:rStyle w:val="Rimandonotaapidipagina"/>
          <w:sz w:val="28"/>
          <w:szCs w:val="28"/>
        </w:rPr>
        <w:footnoteReference w:id="171"/>
      </w:r>
      <w:r w:rsidR="0095713B" w:rsidRPr="00CB4B54">
        <w:rPr>
          <w:sz w:val="28"/>
          <w:szCs w:val="28"/>
        </w:rPr>
        <w:t>, la proposta di Regolamento presentata dalla Commissione nel dicembre 2020. La</w:t>
      </w:r>
      <w:r w:rsidR="0095713B" w:rsidRPr="0095713B">
        <w:rPr>
          <w:sz w:val="28"/>
          <w:szCs w:val="28"/>
        </w:rPr>
        <w:t xml:space="preserve"> proposta </w:t>
      </w:r>
      <w:r>
        <w:rPr>
          <w:sz w:val="28"/>
          <w:szCs w:val="28"/>
        </w:rPr>
        <w:t xml:space="preserve">italiana </w:t>
      </w:r>
      <w:r w:rsidR="00DD1CED">
        <w:rPr>
          <w:sz w:val="28"/>
          <w:szCs w:val="28"/>
        </w:rPr>
        <w:t>va ad imporre</w:t>
      </w:r>
      <w:r>
        <w:rPr>
          <w:sz w:val="28"/>
          <w:szCs w:val="28"/>
        </w:rPr>
        <w:t>,</w:t>
      </w:r>
      <w:r w:rsidR="0095713B" w:rsidRPr="0095713B">
        <w:rPr>
          <w:sz w:val="28"/>
          <w:szCs w:val="28"/>
        </w:rPr>
        <w:t xml:space="preserve"> infatti</w:t>
      </w:r>
      <w:r>
        <w:rPr>
          <w:sz w:val="28"/>
          <w:szCs w:val="28"/>
        </w:rPr>
        <w:t>,</w:t>
      </w:r>
      <w:r w:rsidR="0095713B" w:rsidRPr="0095713B">
        <w:rPr>
          <w:sz w:val="28"/>
          <w:szCs w:val="28"/>
        </w:rPr>
        <w:t xml:space="preserve"> degli specifici obblighi in capo ai gestori delle piattaforme digitali, mirando alla responsabilizzazione di questi ultimi, proprio con riferimento alla rimozione di contenuti </w:t>
      </w:r>
      <w:r>
        <w:rPr>
          <w:sz w:val="28"/>
          <w:szCs w:val="28"/>
        </w:rPr>
        <w:t>illegali</w:t>
      </w:r>
      <w:r w:rsidR="0095713B" w:rsidRPr="0095713B">
        <w:rPr>
          <w:sz w:val="28"/>
          <w:szCs w:val="28"/>
        </w:rPr>
        <w:t xml:space="preserve">, fra i quali rientrano senz’altro i contenuti </w:t>
      </w:r>
      <w:r w:rsidR="00DD1CED">
        <w:rPr>
          <w:sz w:val="28"/>
          <w:szCs w:val="28"/>
        </w:rPr>
        <w:t xml:space="preserve">di </w:t>
      </w:r>
      <w:proofErr w:type="spellStart"/>
      <w:r w:rsidR="00DD1CED" w:rsidRPr="00DD1CED">
        <w:rPr>
          <w:i/>
          <w:iCs/>
          <w:sz w:val="28"/>
          <w:szCs w:val="28"/>
        </w:rPr>
        <w:t>hate</w:t>
      </w:r>
      <w:proofErr w:type="spellEnd"/>
      <w:r w:rsidR="00DD1CED" w:rsidRPr="00DD1CED">
        <w:rPr>
          <w:i/>
          <w:iCs/>
          <w:sz w:val="28"/>
          <w:szCs w:val="28"/>
        </w:rPr>
        <w:t xml:space="preserve"> </w:t>
      </w:r>
      <w:proofErr w:type="spellStart"/>
      <w:r w:rsidR="00DD1CED" w:rsidRPr="00DD1CED">
        <w:rPr>
          <w:i/>
          <w:iCs/>
          <w:sz w:val="28"/>
          <w:szCs w:val="28"/>
        </w:rPr>
        <w:t>speech</w:t>
      </w:r>
      <w:proofErr w:type="spellEnd"/>
      <w:r w:rsidR="0095713B" w:rsidRPr="0095713B">
        <w:rPr>
          <w:sz w:val="28"/>
          <w:szCs w:val="28"/>
        </w:rPr>
        <w:t xml:space="preserve">. </w:t>
      </w:r>
      <w:r w:rsidR="00DD1CED">
        <w:rPr>
          <w:sz w:val="28"/>
          <w:szCs w:val="28"/>
        </w:rPr>
        <w:t>Non è un caso, infatti, che</w:t>
      </w:r>
      <w:r w:rsidR="0095713B" w:rsidRPr="0095713B">
        <w:rPr>
          <w:sz w:val="28"/>
          <w:szCs w:val="28"/>
        </w:rPr>
        <w:t xml:space="preserve"> già nel corso dei lavori di preparazione della bozza di provvedimento – anch’esso fortemente influenzato dalla nuova normativa tedesca – </w:t>
      </w:r>
      <w:r w:rsidR="00DD1CED">
        <w:rPr>
          <w:sz w:val="28"/>
          <w:szCs w:val="28"/>
        </w:rPr>
        <w:t>sia</w:t>
      </w:r>
      <w:r w:rsidR="0095713B" w:rsidRPr="0095713B">
        <w:rPr>
          <w:sz w:val="28"/>
          <w:szCs w:val="28"/>
        </w:rPr>
        <w:t xml:space="preserve"> emersa la rilevanza di tali disposizioni nel contesto dell’</w:t>
      </w:r>
      <w:proofErr w:type="spellStart"/>
      <w:r w:rsidR="0095713B" w:rsidRPr="00DD1CED">
        <w:rPr>
          <w:i/>
          <w:iCs/>
          <w:sz w:val="28"/>
          <w:szCs w:val="28"/>
        </w:rPr>
        <w:t>hate</w:t>
      </w:r>
      <w:proofErr w:type="spellEnd"/>
      <w:r w:rsidR="0095713B" w:rsidRPr="00DD1CED">
        <w:rPr>
          <w:i/>
          <w:iCs/>
          <w:sz w:val="28"/>
          <w:szCs w:val="28"/>
        </w:rPr>
        <w:t xml:space="preserve"> </w:t>
      </w:r>
      <w:proofErr w:type="spellStart"/>
      <w:r w:rsidR="0095713B" w:rsidRPr="00DD1CED">
        <w:rPr>
          <w:i/>
          <w:iCs/>
          <w:sz w:val="28"/>
          <w:szCs w:val="28"/>
        </w:rPr>
        <w:t>speech</w:t>
      </w:r>
      <w:proofErr w:type="spellEnd"/>
      <w:r w:rsidR="0095713B" w:rsidRPr="0095713B">
        <w:rPr>
          <w:sz w:val="28"/>
          <w:szCs w:val="28"/>
        </w:rPr>
        <w:t>.</w:t>
      </w:r>
    </w:p>
    <w:p w14:paraId="4E9B05EF" w14:textId="77777777" w:rsidR="00156EB1" w:rsidRDefault="00DD1CED" w:rsidP="00D554FC">
      <w:pPr>
        <w:pStyle w:val="NormaleWeb"/>
        <w:spacing w:before="0" w:beforeAutospacing="0" w:after="0" w:afterAutospacing="0"/>
        <w:jc w:val="both"/>
        <w:rPr>
          <w:sz w:val="28"/>
          <w:szCs w:val="28"/>
        </w:rPr>
      </w:pPr>
      <w:r>
        <w:rPr>
          <w:sz w:val="28"/>
          <w:szCs w:val="28"/>
        </w:rPr>
        <w:t>Per quanto concerne la</w:t>
      </w:r>
      <w:r w:rsidR="0095713B" w:rsidRPr="0095713B">
        <w:rPr>
          <w:sz w:val="28"/>
          <w:szCs w:val="28"/>
        </w:rPr>
        <w:t xml:space="preserve"> responsabilità dei gestori e </w:t>
      </w:r>
      <w:r>
        <w:rPr>
          <w:sz w:val="28"/>
          <w:szCs w:val="28"/>
        </w:rPr>
        <w:t>la</w:t>
      </w:r>
      <w:r w:rsidR="0095713B" w:rsidRPr="0095713B">
        <w:rPr>
          <w:sz w:val="28"/>
          <w:szCs w:val="28"/>
        </w:rPr>
        <w:t xml:space="preserve"> prevenzione di comportamenti illeciti, </w:t>
      </w:r>
      <w:r>
        <w:rPr>
          <w:sz w:val="28"/>
          <w:szCs w:val="28"/>
        </w:rPr>
        <w:t>è importante</w:t>
      </w:r>
      <w:r w:rsidR="0095713B" w:rsidRPr="0095713B">
        <w:rPr>
          <w:sz w:val="28"/>
          <w:szCs w:val="28"/>
        </w:rPr>
        <w:t xml:space="preserve"> anche il parere espresso dall’AGCOM in merito all’utilizzo dell’Intelligenza Artificiale come strumento di monitoraggio. </w:t>
      </w:r>
      <w:r>
        <w:rPr>
          <w:sz w:val="28"/>
          <w:szCs w:val="28"/>
        </w:rPr>
        <w:t>Viene, in tal caso,</w:t>
      </w:r>
      <w:r w:rsidR="0095713B" w:rsidRPr="0095713B">
        <w:rPr>
          <w:sz w:val="28"/>
          <w:szCs w:val="28"/>
        </w:rPr>
        <w:t xml:space="preserve"> incoraggiato lo sfruttamento delle nuove tecnologie</w:t>
      </w:r>
      <w:r>
        <w:rPr>
          <w:sz w:val="28"/>
          <w:szCs w:val="28"/>
        </w:rPr>
        <w:t>, che deve avvenire</w:t>
      </w:r>
      <w:r w:rsidR="0095713B" w:rsidRPr="0095713B">
        <w:rPr>
          <w:sz w:val="28"/>
          <w:szCs w:val="28"/>
        </w:rPr>
        <w:t xml:space="preserve"> non in sostituzione</w:t>
      </w:r>
      <w:r>
        <w:rPr>
          <w:sz w:val="28"/>
          <w:szCs w:val="28"/>
        </w:rPr>
        <w:t xml:space="preserve"> dell’attività umana</w:t>
      </w:r>
      <w:r w:rsidR="0095713B" w:rsidRPr="0095713B">
        <w:rPr>
          <w:sz w:val="28"/>
          <w:szCs w:val="28"/>
        </w:rPr>
        <w:t xml:space="preserve">, </w:t>
      </w:r>
      <w:r>
        <w:rPr>
          <w:sz w:val="28"/>
          <w:szCs w:val="28"/>
        </w:rPr>
        <w:t>bensì</w:t>
      </w:r>
      <w:r w:rsidR="0095713B" w:rsidRPr="0095713B">
        <w:rPr>
          <w:sz w:val="28"/>
          <w:szCs w:val="28"/>
        </w:rPr>
        <w:t xml:space="preserve"> </w:t>
      </w:r>
      <w:r>
        <w:rPr>
          <w:sz w:val="28"/>
          <w:szCs w:val="28"/>
        </w:rPr>
        <w:t>in suo supporto</w:t>
      </w:r>
      <w:r w:rsidR="0095713B" w:rsidRPr="0095713B">
        <w:rPr>
          <w:sz w:val="28"/>
          <w:szCs w:val="28"/>
        </w:rPr>
        <w:t xml:space="preserve">. </w:t>
      </w:r>
    </w:p>
    <w:p w14:paraId="69499E5B" w14:textId="5C7D510B" w:rsidR="0095713B" w:rsidRPr="0095713B" w:rsidRDefault="00DD1CED" w:rsidP="00D554FC">
      <w:pPr>
        <w:pStyle w:val="NormaleWeb"/>
        <w:spacing w:before="0" w:beforeAutospacing="0" w:after="0" w:afterAutospacing="0"/>
        <w:jc w:val="both"/>
        <w:rPr>
          <w:sz w:val="28"/>
          <w:szCs w:val="28"/>
        </w:rPr>
      </w:pPr>
      <w:r>
        <w:rPr>
          <w:sz w:val="28"/>
          <w:szCs w:val="28"/>
        </w:rPr>
        <w:t>L’</w:t>
      </w:r>
      <w:r w:rsidR="0095713B" w:rsidRPr="0095713B">
        <w:rPr>
          <w:sz w:val="28"/>
          <w:szCs w:val="28"/>
        </w:rPr>
        <w:t xml:space="preserve">approccio </w:t>
      </w:r>
      <w:r>
        <w:rPr>
          <w:sz w:val="28"/>
          <w:szCs w:val="28"/>
        </w:rPr>
        <w:t>sin qui delineato potrebbe contribuire,</w:t>
      </w:r>
      <w:r w:rsidR="0095713B" w:rsidRPr="0095713B">
        <w:rPr>
          <w:sz w:val="28"/>
          <w:szCs w:val="28"/>
        </w:rPr>
        <w:t xml:space="preserve"> senza dubbio</w:t>
      </w:r>
      <w:r>
        <w:rPr>
          <w:sz w:val="28"/>
          <w:szCs w:val="28"/>
        </w:rPr>
        <w:t>,</w:t>
      </w:r>
      <w:r w:rsidR="0095713B" w:rsidRPr="0095713B">
        <w:rPr>
          <w:sz w:val="28"/>
          <w:szCs w:val="28"/>
        </w:rPr>
        <w:t xml:space="preserve"> ad agevolare l’adempimento degli obblighi che s’intende imporre in capo ai gestori dei siti.</w:t>
      </w:r>
    </w:p>
    <w:p w14:paraId="1E211046" w14:textId="77777777" w:rsidR="00156EB1" w:rsidRDefault="0095713B" w:rsidP="00D554FC">
      <w:pPr>
        <w:pStyle w:val="NormaleWeb"/>
        <w:spacing w:before="0" w:beforeAutospacing="0" w:after="0" w:afterAutospacing="0"/>
        <w:jc w:val="both"/>
        <w:rPr>
          <w:sz w:val="28"/>
          <w:szCs w:val="28"/>
        </w:rPr>
      </w:pPr>
      <w:r w:rsidRPr="0095713B">
        <w:rPr>
          <w:sz w:val="28"/>
          <w:szCs w:val="28"/>
        </w:rPr>
        <w:t>L’</w:t>
      </w:r>
      <w:r w:rsidR="00DD1CED">
        <w:rPr>
          <w:sz w:val="28"/>
          <w:szCs w:val="28"/>
        </w:rPr>
        <w:t xml:space="preserve">Autorità </w:t>
      </w:r>
      <w:r w:rsidR="00371C87">
        <w:rPr>
          <w:sz w:val="28"/>
          <w:szCs w:val="28"/>
        </w:rPr>
        <w:t>garante delle comunicazioni</w:t>
      </w:r>
      <w:r w:rsidR="00DD1CED">
        <w:rPr>
          <w:sz w:val="28"/>
          <w:szCs w:val="28"/>
        </w:rPr>
        <w:t xml:space="preserve"> </w:t>
      </w:r>
      <w:r w:rsidRPr="0095713B">
        <w:rPr>
          <w:sz w:val="28"/>
          <w:szCs w:val="28"/>
        </w:rPr>
        <w:t xml:space="preserve">ha già aderito al progetto </w:t>
      </w:r>
      <w:proofErr w:type="spellStart"/>
      <w:r w:rsidRPr="00DD1CED">
        <w:rPr>
          <w:i/>
          <w:iCs/>
          <w:sz w:val="28"/>
          <w:szCs w:val="28"/>
        </w:rPr>
        <w:t>ISMyPP</w:t>
      </w:r>
      <w:proofErr w:type="spellEnd"/>
      <w:r w:rsidR="00AA154B">
        <w:rPr>
          <w:rStyle w:val="Rimandonotaapidipagina"/>
          <w:sz w:val="28"/>
          <w:szCs w:val="28"/>
        </w:rPr>
        <w:footnoteReference w:id="172"/>
      </w:r>
      <w:r w:rsidRPr="0095713B">
        <w:rPr>
          <w:sz w:val="28"/>
          <w:szCs w:val="28"/>
        </w:rPr>
        <w:t xml:space="preserve">, </w:t>
      </w:r>
      <w:r w:rsidR="00DD1CED">
        <w:rPr>
          <w:sz w:val="28"/>
          <w:szCs w:val="28"/>
        </w:rPr>
        <w:t>il quale vuole</w:t>
      </w:r>
      <w:r w:rsidRPr="0095713B">
        <w:rPr>
          <w:sz w:val="28"/>
          <w:szCs w:val="28"/>
        </w:rPr>
        <w:t xml:space="preserve"> </w:t>
      </w:r>
      <w:r w:rsidR="00DD1CED">
        <w:rPr>
          <w:sz w:val="28"/>
          <w:szCs w:val="28"/>
        </w:rPr>
        <w:t>arrivare</w:t>
      </w:r>
      <w:r w:rsidRPr="0095713B">
        <w:rPr>
          <w:sz w:val="28"/>
          <w:szCs w:val="28"/>
        </w:rPr>
        <w:t xml:space="preserve"> allo sviluppo di tecniche per la </w:t>
      </w:r>
      <w:r w:rsidR="00371C87">
        <w:rPr>
          <w:i/>
          <w:iCs/>
          <w:sz w:val="28"/>
          <w:szCs w:val="28"/>
        </w:rPr>
        <w:t>rilevazione</w:t>
      </w:r>
      <w:r w:rsidRPr="0095713B">
        <w:rPr>
          <w:sz w:val="28"/>
          <w:szCs w:val="28"/>
        </w:rPr>
        <w:t xml:space="preserve"> </w:t>
      </w:r>
      <w:r w:rsidRPr="00371C87">
        <w:rPr>
          <w:i/>
          <w:iCs/>
          <w:sz w:val="28"/>
          <w:szCs w:val="28"/>
        </w:rPr>
        <w:t>automatizzata</w:t>
      </w:r>
      <w:r w:rsidRPr="0095713B">
        <w:rPr>
          <w:sz w:val="28"/>
          <w:szCs w:val="28"/>
        </w:rPr>
        <w:t xml:space="preserve"> </w:t>
      </w:r>
      <w:r w:rsidR="00371C87">
        <w:rPr>
          <w:sz w:val="28"/>
          <w:szCs w:val="28"/>
        </w:rPr>
        <w:t>dei discorsi d’odio</w:t>
      </w:r>
      <w:r w:rsidRPr="0095713B">
        <w:rPr>
          <w:sz w:val="28"/>
          <w:szCs w:val="28"/>
        </w:rPr>
        <w:t>, che assume particolare rilevanza nell’ambito del recepimento della Direttiva (UE) 1808/2018 (Direttiva SMAV)</w:t>
      </w:r>
      <w:r w:rsidR="00AA154B">
        <w:rPr>
          <w:rStyle w:val="Rimandonotaapidipagina"/>
          <w:sz w:val="28"/>
          <w:szCs w:val="28"/>
        </w:rPr>
        <w:footnoteReference w:id="173"/>
      </w:r>
      <w:r w:rsidRPr="0095713B">
        <w:rPr>
          <w:sz w:val="28"/>
          <w:szCs w:val="28"/>
        </w:rPr>
        <w:t>, con la quale viene esteso l’ambito di applicazione delle norme in materia di contrasto all’</w:t>
      </w:r>
      <w:proofErr w:type="spellStart"/>
      <w:r w:rsidRPr="00371C87">
        <w:rPr>
          <w:i/>
          <w:iCs/>
          <w:sz w:val="28"/>
          <w:szCs w:val="28"/>
        </w:rPr>
        <w:t>hate</w:t>
      </w:r>
      <w:proofErr w:type="spellEnd"/>
      <w:r w:rsidRPr="00371C87">
        <w:rPr>
          <w:i/>
          <w:iCs/>
          <w:sz w:val="28"/>
          <w:szCs w:val="28"/>
        </w:rPr>
        <w:t xml:space="preserve"> </w:t>
      </w:r>
      <w:proofErr w:type="spellStart"/>
      <w:r w:rsidRPr="00371C87">
        <w:rPr>
          <w:i/>
          <w:iCs/>
          <w:sz w:val="28"/>
          <w:szCs w:val="28"/>
        </w:rPr>
        <w:t>speech</w:t>
      </w:r>
      <w:proofErr w:type="spellEnd"/>
      <w:r w:rsidRPr="00371C87">
        <w:rPr>
          <w:i/>
          <w:iCs/>
          <w:sz w:val="28"/>
          <w:szCs w:val="28"/>
        </w:rPr>
        <w:t xml:space="preserve"> </w:t>
      </w:r>
      <w:r w:rsidRPr="0095713B">
        <w:rPr>
          <w:sz w:val="28"/>
          <w:szCs w:val="28"/>
        </w:rPr>
        <w:t xml:space="preserve">anche alle piattaforme di </w:t>
      </w:r>
      <w:r w:rsidRPr="00371C87">
        <w:rPr>
          <w:i/>
          <w:iCs/>
          <w:sz w:val="28"/>
          <w:szCs w:val="28"/>
        </w:rPr>
        <w:t xml:space="preserve">video </w:t>
      </w:r>
      <w:proofErr w:type="spellStart"/>
      <w:r w:rsidRPr="00371C87">
        <w:rPr>
          <w:i/>
          <w:iCs/>
          <w:sz w:val="28"/>
          <w:szCs w:val="28"/>
        </w:rPr>
        <w:t>sharing</w:t>
      </w:r>
      <w:proofErr w:type="spellEnd"/>
      <w:r w:rsidR="00371C87">
        <w:rPr>
          <w:sz w:val="28"/>
          <w:szCs w:val="28"/>
        </w:rPr>
        <w:t xml:space="preserve">. </w:t>
      </w:r>
    </w:p>
    <w:p w14:paraId="484CF3AE" w14:textId="6F08CA2C" w:rsidR="0095713B" w:rsidRPr="0095713B" w:rsidRDefault="00371C87" w:rsidP="00D554FC">
      <w:pPr>
        <w:pStyle w:val="NormaleWeb"/>
        <w:spacing w:before="0" w:beforeAutospacing="0" w:after="0" w:afterAutospacing="0"/>
        <w:jc w:val="both"/>
        <w:rPr>
          <w:sz w:val="28"/>
          <w:szCs w:val="28"/>
        </w:rPr>
      </w:pPr>
      <w:r>
        <w:rPr>
          <w:sz w:val="28"/>
          <w:szCs w:val="28"/>
        </w:rPr>
        <w:t>Tuttavia,</w:t>
      </w:r>
      <w:r w:rsidR="0095713B" w:rsidRPr="0095713B">
        <w:rPr>
          <w:sz w:val="28"/>
          <w:szCs w:val="28"/>
        </w:rPr>
        <w:t xml:space="preserve"> </w:t>
      </w:r>
      <w:r>
        <w:rPr>
          <w:sz w:val="28"/>
          <w:szCs w:val="28"/>
        </w:rPr>
        <w:t>poiché</w:t>
      </w:r>
      <w:r w:rsidR="0095713B" w:rsidRPr="0095713B">
        <w:rPr>
          <w:sz w:val="28"/>
          <w:szCs w:val="28"/>
        </w:rPr>
        <w:t xml:space="preserve"> la rimozione di contenuti dal web costituisce comunque una limitazione del diritto alla libertà d’espressione, ammissibile solo in presenza di </w:t>
      </w:r>
      <w:r w:rsidR="0095713B" w:rsidRPr="0095713B">
        <w:rPr>
          <w:sz w:val="28"/>
          <w:szCs w:val="28"/>
        </w:rPr>
        <w:lastRenderedPageBreak/>
        <w:t>specifiche</w:t>
      </w:r>
      <w:r w:rsidR="00156EB1">
        <w:rPr>
          <w:sz w:val="28"/>
          <w:szCs w:val="28"/>
        </w:rPr>
        <w:t xml:space="preserve"> circostanze,</w:t>
      </w:r>
      <w:r w:rsidR="0095713B" w:rsidRPr="0095713B">
        <w:rPr>
          <w:sz w:val="28"/>
          <w:szCs w:val="28"/>
        </w:rPr>
        <w:t xml:space="preserve"> </w:t>
      </w:r>
      <w:r>
        <w:rPr>
          <w:sz w:val="28"/>
          <w:szCs w:val="28"/>
        </w:rPr>
        <w:t>si è diffusa</w:t>
      </w:r>
      <w:r w:rsidR="0095713B" w:rsidRPr="0095713B">
        <w:rPr>
          <w:sz w:val="28"/>
          <w:szCs w:val="28"/>
        </w:rPr>
        <w:t xml:space="preserve"> la tendenza </w:t>
      </w:r>
      <w:r>
        <w:rPr>
          <w:sz w:val="28"/>
          <w:szCs w:val="28"/>
        </w:rPr>
        <w:t>che vuole</w:t>
      </w:r>
      <w:r w:rsidR="0095713B" w:rsidRPr="0095713B">
        <w:rPr>
          <w:sz w:val="28"/>
          <w:szCs w:val="28"/>
        </w:rPr>
        <w:t xml:space="preserve"> escludere che i processi di monitoraggio siano totalmente automatizzati, dovendo comunque essere garantito il controllo umano volto ad evitare errori</w:t>
      </w:r>
      <w:r w:rsidRPr="00371C87">
        <w:rPr>
          <w:sz w:val="28"/>
          <w:szCs w:val="28"/>
        </w:rPr>
        <w:t xml:space="preserve"> </w:t>
      </w:r>
      <w:r w:rsidRPr="0095713B">
        <w:rPr>
          <w:sz w:val="28"/>
          <w:szCs w:val="28"/>
        </w:rPr>
        <w:t>eventuali</w:t>
      </w:r>
      <w:r>
        <w:rPr>
          <w:sz w:val="28"/>
          <w:szCs w:val="28"/>
        </w:rPr>
        <w:t>.</w:t>
      </w:r>
    </w:p>
    <w:p w14:paraId="64539805" w14:textId="77777777" w:rsidR="00156EB1" w:rsidRDefault="00371C87" w:rsidP="00D554FC">
      <w:pPr>
        <w:pStyle w:val="NormaleWeb"/>
        <w:spacing w:before="0" w:beforeAutospacing="0" w:after="0" w:afterAutospacing="0"/>
        <w:jc w:val="both"/>
        <w:rPr>
          <w:sz w:val="28"/>
          <w:szCs w:val="28"/>
        </w:rPr>
      </w:pPr>
      <w:r>
        <w:rPr>
          <w:sz w:val="28"/>
          <w:szCs w:val="28"/>
        </w:rPr>
        <w:t>Una</w:t>
      </w:r>
      <w:r w:rsidR="0095713B" w:rsidRPr="0095713B">
        <w:rPr>
          <w:sz w:val="28"/>
          <w:szCs w:val="28"/>
        </w:rPr>
        <w:t xml:space="preserve"> delle decisioni assunte dall’</w:t>
      </w:r>
      <w:proofErr w:type="spellStart"/>
      <w:r w:rsidR="0095713B" w:rsidRPr="00371C87">
        <w:rPr>
          <w:i/>
          <w:iCs/>
          <w:sz w:val="28"/>
          <w:szCs w:val="28"/>
        </w:rPr>
        <w:t>Oversight</w:t>
      </w:r>
      <w:proofErr w:type="spellEnd"/>
      <w:r w:rsidR="0095713B" w:rsidRPr="00371C87">
        <w:rPr>
          <w:i/>
          <w:iCs/>
          <w:sz w:val="28"/>
          <w:szCs w:val="28"/>
        </w:rPr>
        <w:t xml:space="preserve"> Board </w:t>
      </w:r>
      <w:r w:rsidR="0095713B" w:rsidRPr="0095713B">
        <w:rPr>
          <w:sz w:val="28"/>
          <w:szCs w:val="28"/>
        </w:rPr>
        <w:t xml:space="preserve">istituito da </w:t>
      </w:r>
      <w:proofErr w:type="spellStart"/>
      <w:r w:rsidR="0095713B" w:rsidRPr="0095713B">
        <w:rPr>
          <w:sz w:val="28"/>
          <w:szCs w:val="28"/>
        </w:rPr>
        <w:t>Facebook</w:t>
      </w:r>
      <w:proofErr w:type="spellEnd"/>
      <w:r w:rsidR="0095713B" w:rsidRPr="0095713B">
        <w:rPr>
          <w:sz w:val="28"/>
          <w:szCs w:val="28"/>
        </w:rPr>
        <w:t xml:space="preserve">, un Comitato interno alla società e preposto a valutare l’adeguatezza delle decisioni concernenti la rimozione dei </w:t>
      </w:r>
      <w:r w:rsidR="0095713B" w:rsidRPr="00156EB1">
        <w:rPr>
          <w:i/>
          <w:iCs/>
          <w:sz w:val="28"/>
          <w:szCs w:val="28"/>
        </w:rPr>
        <w:t>post</w:t>
      </w:r>
      <w:r>
        <w:rPr>
          <w:sz w:val="28"/>
          <w:szCs w:val="28"/>
        </w:rPr>
        <w:t xml:space="preserve">, è rilevate in tal senso. </w:t>
      </w:r>
    </w:p>
    <w:p w14:paraId="4B2D4642" w14:textId="652F35EE" w:rsidR="0095713B" w:rsidRPr="0095713B" w:rsidRDefault="00371C87" w:rsidP="00D554FC">
      <w:pPr>
        <w:pStyle w:val="NormaleWeb"/>
        <w:spacing w:before="0" w:beforeAutospacing="0" w:after="0" w:afterAutospacing="0"/>
        <w:jc w:val="both"/>
        <w:rPr>
          <w:sz w:val="28"/>
          <w:szCs w:val="28"/>
        </w:rPr>
      </w:pPr>
      <w:r>
        <w:rPr>
          <w:sz w:val="28"/>
          <w:szCs w:val="28"/>
        </w:rPr>
        <w:t>T</w:t>
      </w:r>
      <w:r w:rsidR="0095713B" w:rsidRPr="0095713B">
        <w:rPr>
          <w:sz w:val="28"/>
          <w:szCs w:val="28"/>
        </w:rPr>
        <w:t>rovato</w:t>
      </w:r>
      <w:r>
        <w:rPr>
          <w:sz w:val="28"/>
          <w:szCs w:val="28"/>
        </w:rPr>
        <w:t>si</w:t>
      </w:r>
      <w:r w:rsidR="0095713B" w:rsidRPr="0095713B">
        <w:rPr>
          <w:sz w:val="28"/>
          <w:szCs w:val="28"/>
        </w:rPr>
        <w:t xml:space="preserve"> ad affrontare la questione a seguito della cancellazione di un </w:t>
      </w:r>
      <w:r w:rsidR="0095713B" w:rsidRPr="00156EB1">
        <w:rPr>
          <w:i/>
          <w:iCs/>
          <w:sz w:val="28"/>
          <w:szCs w:val="28"/>
        </w:rPr>
        <w:t>post</w:t>
      </w:r>
      <w:r w:rsidR="0095713B" w:rsidRPr="0095713B">
        <w:rPr>
          <w:sz w:val="28"/>
          <w:szCs w:val="28"/>
        </w:rPr>
        <w:t xml:space="preserve"> per la sensibilizzazione sul tumore al seno, raffigurante foto di donne che avevano subito operazioni</w:t>
      </w:r>
      <w:r w:rsidR="00A20357">
        <w:rPr>
          <w:sz w:val="28"/>
          <w:szCs w:val="28"/>
        </w:rPr>
        <w:t>, il Comitato ha sostenuto che l</w:t>
      </w:r>
      <w:r w:rsidR="0095713B" w:rsidRPr="0095713B">
        <w:rPr>
          <w:sz w:val="28"/>
          <w:szCs w:val="28"/>
        </w:rPr>
        <w:t>a decisione assunta dall’algoritmo era sbagliata</w:t>
      </w:r>
      <w:r w:rsidR="00156EB1">
        <w:rPr>
          <w:sz w:val="28"/>
          <w:szCs w:val="28"/>
        </w:rPr>
        <w:t xml:space="preserve">: </w:t>
      </w:r>
      <w:r w:rsidR="0095713B" w:rsidRPr="0095713B">
        <w:rPr>
          <w:sz w:val="28"/>
          <w:szCs w:val="28"/>
        </w:rPr>
        <w:t xml:space="preserve">non era stata rilevata correttamente la descrizione dell’immagine, nella quale si chiariva lo scopo del </w:t>
      </w:r>
      <w:r w:rsidR="0095713B" w:rsidRPr="00156EB1">
        <w:rPr>
          <w:i/>
          <w:iCs/>
          <w:sz w:val="28"/>
          <w:szCs w:val="28"/>
        </w:rPr>
        <w:t>post</w:t>
      </w:r>
      <w:r w:rsidR="0095713B" w:rsidRPr="0095713B">
        <w:rPr>
          <w:sz w:val="28"/>
          <w:szCs w:val="28"/>
        </w:rPr>
        <w:t xml:space="preserve">. </w:t>
      </w:r>
      <w:r w:rsidR="00A20357">
        <w:rPr>
          <w:sz w:val="28"/>
          <w:szCs w:val="28"/>
        </w:rPr>
        <w:t xml:space="preserve">Il </w:t>
      </w:r>
      <w:r w:rsidR="0095713B" w:rsidRPr="0095713B">
        <w:rPr>
          <w:sz w:val="28"/>
          <w:szCs w:val="28"/>
        </w:rPr>
        <w:t>Comitato</w:t>
      </w:r>
      <w:r w:rsidR="00A20357">
        <w:rPr>
          <w:sz w:val="28"/>
          <w:szCs w:val="28"/>
        </w:rPr>
        <w:t>, dunque,</w:t>
      </w:r>
      <w:r w:rsidR="0095713B" w:rsidRPr="0095713B">
        <w:rPr>
          <w:sz w:val="28"/>
          <w:szCs w:val="28"/>
        </w:rPr>
        <w:t xml:space="preserve"> si è espresso proprio nel senso di ribadire la necessità di un controllo umano rispetto alle decisioni algoritmiche, a tutela delle libertà fondamentali dell’individuo.</w:t>
      </w:r>
    </w:p>
    <w:p w14:paraId="443EE684" w14:textId="7DE96319" w:rsidR="00156EB1" w:rsidRDefault="00A20357" w:rsidP="00D554FC">
      <w:pPr>
        <w:pStyle w:val="NormaleWeb"/>
        <w:spacing w:before="0" w:beforeAutospacing="0" w:after="0" w:afterAutospacing="0"/>
        <w:jc w:val="both"/>
        <w:rPr>
          <w:sz w:val="28"/>
          <w:szCs w:val="28"/>
        </w:rPr>
      </w:pPr>
      <w:r>
        <w:rPr>
          <w:sz w:val="28"/>
          <w:szCs w:val="28"/>
        </w:rPr>
        <w:t>Per quanto riguarda la partecipazione</w:t>
      </w:r>
      <w:r w:rsidR="0095713B" w:rsidRPr="0095713B">
        <w:rPr>
          <w:sz w:val="28"/>
          <w:szCs w:val="28"/>
        </w:rPr>
        <w:t xml:space="preserve"> dell’AGCOM</w:t>
      </w:r>
      <w:r>
        <w:rPr>
          <w:sz w:val="28"/>
          <w:szCs w:val="28"/>
        </w:rPr>
        <w:t>, bisogna</w:t>
      </w:r>
      <w:r w:rsidR="0095713B" w:rsidRPr="0095713B">
        <w:rPr>
          <w:sz w:val="28"/>
          <w:szCs w:val="28"/>
        </w:rPr>
        <w:t xml:space="preserve"> segnalare che l</w:t>
      </w:r>
      <w:r>
        <w:rPr>
          <w:sz w:val="28"/>
          <w:szCs w:val="28"/>
        </w:rPr>
        <w:t>’</w:t>
      </w:r>
      <w:r w:rsidR="0095713B" w:rsidRPr="0095713B">
        <w:rPr>
          <w:sz w:val="28"/>
          <w:szCs w:val="28"/>
        </w:rPr>
        <w:t>Autorità ha già approvato un proprio Regolamento, rivolto in primo luogo ai fornitori di servizi media audiovisivi e radiofonici</w:t>
      </w:r>
      <w:r w:rsidR="00AA154B">
        <w:rPr>
          <w:rStyle w:val="Rimandonotaapidipagina"/>
          <w:sz w:val="28"/>
          <w:szCs w:val="28"/>
        </w:rPr>
        <w:footnoteReference w:id="174"/>
      </w:r>
      <w:r w:rsidR="0095713B" w:rsidRPr="0095713B">
        <w:rPr>
          <w:sz w:val="28"/>
          <w:szCs w:val="28"/>
        </w:rPr>
        <w:t>, invitati a promuovere i temi dell’inclusione</w:t>
      </w:r>
      <w:r w:rsidR="00156EB1">
        <w:rPr>
          <w:sz w:val="28"/>
          <w:szCs w:val="28"/>
        </w:rPr>
        <w:t xml:space="preserve">, </w:t>
      </w:r>
      <w:r w:rsidR="0095713B" w:rsidRPr="0095713B">
        <w:rPr>
          <w:sz w:val="28"/>
          <w:szCs w:val="28"/>
        </w:rPr>
        <w:t>della coesione sociale, della promozione della diversità e dei diritti fondamentali</w:t>
      </w:r>
      <w:r w:rsidR="00156EB1">
        <w:rPr>
          <w:rStyle w:val="Rimandonotaapidipagina"/>
          <w:sz w:val="28"/>
          <w:szCs w:val="28"/>
        </w:rPr>
        <w:footnoteReference w:id="175"/>
      </w:r>
      <w:r w:rsidR="00156EB1">
        <w:rPr>
          <w:sz w:val="28"/>
          <w:szCs w:val="28"/>
        </w:rPr>
        <w:t>.</w:t>
      </w:r>
    </w:p>
    <w:p w14:paraId="42832615" w14:textId="77777777" w:rsidR="00846987" w:rsidRDefault="00A20357" w:rsidP="00D554FC">
      <w:pPr>
        <w:pStyle w:val="NormaleWeb"/>
        <w:spacing w:before="0" w:beforeAutospacing="0" w:after="0" w:afterAutospacing="0"/>
        <w:jc w:val="both"/>
        <w:rPr>
          <w:sz w:val="28"/>
          <w:szCs w:val="28"/>
        </w:rPr>
      </w:pPr>
      <w:r>
        <w:rPr>
          <w:sz w:val="28"/>
          <w:szCs w:val="28"/>
        </w:rPr>
        <w:t xml:space="preserve">Ebbene, </w:t>
      </w:r>
      <w:r w:rsidRPr="0095713B">
        <w:rPr>
          <w:sz w:val="28"/>
          <w:szCs w:val="28"/>
        </w:rPr>
        <w:t xml:space="preserve">l’AGCOM ha avviato delle interlocuzioni con le maggiori piattaforme </w:t>
      </w:r>
      <w:r w:rsidR="00156EB1">
        <w:rPr>
          <w:sz w:val="28"/>
          <w:szCs w:val="28"/>
        </w:rPr>
        <w:t>(</w:t>
      </w:r>
      <w:r>
        <w:rPr>
          <w:sz w:val="28"/>
          <w:szCs w:val="28"/>
        </w:rPr>
        <w:t xml:space="preserve">come </w:t>
      </w:r>
      <w:r w:rsidRPr="0095713B">
        <w:rPr>
          <w:sz w:val="28"/>
          <w:szCs w:val="28"/>
        </w:rPr>
        <w:t xml:space="preserve">Google e </w:t>
      </w:r>
      <w:proofErr w:type="spellStart"/>
      <w:r w:rsidRPr="0095713B">
        <w:rPr>
          <w:sz w:val="28"/>
          <w:szCs w:val="28"/>
        </w:rPr>
        <w:t>Facebook</w:t>
      </w:r>
      <w:proofErr w:type="spellEnd"/>
      <w:r w:rsidR="00156EB1">
        <w:rPr>
          <w:sz w:val="28"/>
          <w:szCs w:val="28"/>
        </w:rPr>
        <w:t>)</w:t>
      </w:r>
      <w:r w:rsidR="00846987">
        <w:rPr>
          <w:sz w:val="28"/>
          <w:szCs w:val="28"/>
        </w:rPr>
        <w:t>,</w:t>
      </w:r>
      <w:r>
        <w:rPr>
          <w:sz w:val="28"/>
          <w:szCs w:val="28"/>
        </w:rPr>
        <w:t xml:space="preserve"> proprio alla</w:t>
      </w:r>
      <w:r w:rsidR="0095713B" w:rsidRPr="0095713B">
        <w:rPr>
          <w:sz w:val="28"/>
          <w:szCs w:val="28"/>
        </w:rPr>
        <w:t xml:space="preserve"> luce della crescente rilevanza della diffusione dei contenuti sulla rete e del potere riconosciuto all’Autorità di promuovere, mediante procedure di co-regolamentazione, l’adozione da parte delle piattaforme di misure volte a contrastare la diffusione sui </w:t>
      </w:r>
      <w:r w:rsidR="0095713B" w:rsidRPr="00846987">
        <w:rPr>
          <w:i/>
          <w:iCs/>
          <w:sz w:val="28"/>
          <w:szCs w:val="28"/>
        </w:rPr>
        <w:t>social</w:t>
      </w:r>
      <w:r w:rsidR="0095713B" w:rsidRPr="0095713B">
        <w:rPr>
          <w:sz w:val="28"/>
          <w:szCs w:val="28"/>
        </w:rPr>
        <w:t xml:space="preserve"> di contenuti lesivi della dignità umana</w:t>
      </w:r>
      <w:r>
        <w:rPr>
          <w:sz w:val="28"/>
          <w:szCs w:val="28"/>
        </w:rPr>
        <w:t xml:space="preserve">. </w:t>
      </w:r>
    </w:p>
    <w:p w14:paraId="59C1C761" w14:textId="77777777" w:rsidR="00846987" w:rsidRDefault="00A20357" w:rsidP="00D554FC">
      <w:pPr>
        <w:pStyle w:val="NormaleWeb"/>
        <w:spacing w:before="0" w:beforeAutospacing="0" w:after="0" w:afterAutospacing="0"/>
        <w:jc w:val="both"/>
        <w:rPr>
          <w:sz w:val="28"/>
          <w:szCs w:val="28"/>
        </w:rPr>
      </w:pPr>
      <w:r>
        <w:rPr>
          <w:sz w:val="28"/>
          <w:szCs w:val="28"/>
        </w:rPr>
        <w:t>È evidente che l’</w:t>
      </w:r>
      <w:r w:rsidR="0095713B" w:rsidRPr="0095713B">
        <w:rPr>
          <w:sz w:val="28"/>
          <w:szCs w:val="28"/>
        </w:rPr>
        <w:t xml:space="preserve">Autorità </w:t>
      </w:r>
      <w:r>
        <w:rPr>
          <w:sz w:val="28"/>
          <w:szCs w:val="28"/>
        </w:rPr>
        <w:t>punta</w:t>
      </w:r>
      <w:r w:rsidR="0095713B" w:rsidRPr="0095713B">
        <w:rPr>
          <w:sz w:val="28"/>
          <w:szCs w:val="28"/>
        </w:rPr>
        <w:t xml:space="preserve"> a raccogliere informazioni sui criteri e le procedure già</w:t>
      </w:r>
      <w:r w:rsidR="00AA154B">
        <w:rPr>
          <w:sz w:val="28"/>
          <w:szCs w:val="28"/>
        </w:rPr>
        <w:t xml:space="preserve"> </w:t>
      </w:r>
      <w:r w:rsidR="0095713B" w:rsidRPr="0095713B">
        <w:rPr>
          <w:sz w:val="28"/>
          <w:szCs w:val="28"/>
        </w:rPr>
        <w:t xml:space="preserve">in essere per la segnalazione e la rimozione dei contenuti d’odio, </w:t>
      </w:r>
      <w:r>
        <w:rPr>
          <w:sz w:val="28"/>
          <w:szCs w:val="28"/>
        </w:rPr>
        <w:t>volendo raggiungere</w:t>
      </w:r>
      <w:r w:rsidR="0095713B" w:rsidRPr="0095713B">
        <w:rPr>
          <w:sz w:val="28"/>
          <w:szCs w:val="28"/>
        </w:rPr>
        <w:t xml:space="preserve"> l’obiettivo di favorire l’adozione di misure ulteriori</w:t>
      </w:r>
      <w:r w:rsidR="00846987">
        <w:rPr>
          <w:sz w:val="28"/>
          <w:szCs w:val="28"/>
        </w:rPr>
        <w:t xml:space="preserve"> (es. </w:t>
      </w:r>
      <w:r w:rsidR="0095713B" w:rsidRPr="0095713B">
        <w:rPr>
          <w:sz w:val="28"/>
          <w:szCs w:val="28"/>
        </w:rPr>
        <w:t>codici di condotta</w:t>
      </w:r>
      <w:r w:rsidR="00846987">
        <w:rPr>
          <w:sz w:val="28"/>
          <w:szCs w:val="28"/>
        </w:rPr>
        <w:t>)</w:t>
      </w:r>
      <w:r w:rsidR="0095713B" w:rsidRPr="0095713B">
        <w:rPr>
          <w:sz w:val="28"/>
          <w:szCs w:val="28"/>
        </w:rPr>
        <w:t xml:space="preserve">. </w:t>
      </w:r>
    </w:p>
    <w:p w14:paraId="55BC1246" w14:textId="58CD1BA6" w:rsidR="00AA154B" w:rsidRDefault="00014DFD" w:rsidP="00D554FC">
      <w:pPr>
        <w:pStyle w:val="NormaleWeb"/>
        <w:spacing w:before="0" w:beforeAutospacing="0" w:after="0" w:afterAutospacing="0"/>
        <w:jc w:val="both"/>
        <w:rPr>
          <w:sz w:val="28"/>
          <w:szCs w:val="28"/>
        </w:rPr>
      </w:pPr>
      <w:r>
        <w:rPr>
          <w:sz w:val="28"/>
          <w:szCs w:val="28"/>
        </w:rPr>
        <w:t>Al fine di</w:t>
      </w:r>
      <w:r w:rsidR="0095713B" w:rsidRPr="0095713B">
        <w:rPr>
          <w:sz w:val="28"/>
          <w:szCs w:val="28"/>
        </w:rPr>
        <w:t xml:space="preserve"> </w:t>
      </w:r>
      <w:r>
        <w:rPr>
          <w:sz w:val="28"/>
          <w:szCs w:val="28"/>
        </w:rPr>
        <w:t>assicurare</w:t>
      </w:r>
      <w:r w:rsidR="0095713B" w:rsidRPr="0095713B">
        <w:rPr>
          <w:sz w:val="28"/>
          <w:szCs w:val="28"/>
        </w:rPr>
        <w:t xml:space="preserve"> l’efficacia di tali misure, l’AGCOM ha </w:t>
      </w:r>
      <w:r>
        <w:rPr>
          <w:sz w:val="28"/>
          <w:szCs w:val="28"/>
        </w:rPr>
        <w:t>anche</w:t>
      </w:r>
      <w:r w:rsidR="0095713B" w:rsidRPr="0095713B">
        <w:rPr>
          <w:sz w:val="28"/>
          <w:szCs w:val="28"/>
        </w:rPr>
        <w:t xml:space="preserve"> avviato un’indagine conoscitiva</w:t>
      </w:r>
      <w:r w:rsidR="00AA154B">
        <w:rPr>
          <w:rStyle w:val="Rimandonotaapidipagina"/>
          <w:sz w:val="28"/>
          <w:szCs w:val="28"/>
        </w:rPr>
        <w:footnoteReference w:id="176"/>
      </w:r>
      <w:r w:rsidR="00846987">
        <w:rPr>
          <w:sz w:val="28"/>
          <w:szCs w:val="28"/>
        </w:rPr>
        <w:t xml:space="preserve">, </w:t>
      </w:r>
      <w:r w:rsidR="0095713B" w:rsidRPr="0095713B">
        <w:rPr>
          <w:sz w:val="28"/>
          <w:szCs w:val="28"/>
        </w:rPr>
        <w:t>volta a valutare l’impatto delle piattaforme sull’economia e sulla società, classificando i servizi offerti da queste ultime e valutandone le potenzialità, le problematiche e gli effetti</w:t>
      </w:r>
      <w:r w:rsidR="00D554FC">
        <w:rPr>
          <w:sz w:val="28"/>
          <w:szCs w:val="28"/>
        </w:rPr>
        <w:t>.</w:t>
      </w:r>
      <w:r w:rsidR="00AA154B">
        <w:rPr>
          <w:sz w:val="28"/>
          <w:szCs w:val="28"/>
        </w:rPr>
        <w:br w:type="page"/>
      </w:r>
    </w:p>
    <w:p w14:paraId="781B7189" w14:textId="663AC9B8" w:rsidR="00A75A26" w:rsidRDefault="00A75A26" w:rsidP="0095713B">
      <w:pPr>
        <w:pStyle w:val="NormaleWeb"/>
        <w:jc w:val="both"/>
        <w:rPr>
          <w:b/>
          <w:bCs/>
          <w:sz w:val="32"/>
          <w:szCs w:val="32"/>
        </w:rPr>
      </w:pPr>
      <w:r>
        <w:rPr>
          <w:b/>
          <w:bCs/>
          <w:sz w:val="32"/>
          <w:szCs w:val="32"/>
        </w:rPr>
        <w:lastRenderedPageBreak/>
        <w:t>Capitolo</w:t>
      </w:r>
      <w:r w:rsidR="008F4198" w:rsidRPr="008F4198">
        <w:rPr>
          <w:b/>
          <w:bCs/>
          <w:sz w:val="32"/>
          <w:szCs w:val="32"/>
        </w:rPr>
        <w:t xml:space="preserve"> </w:t>
      </w:r>
      <w:r w:rsidR="008F4198">
        <w:rPr>
          <w:b/>
          <w:bCs/>
          <w:sz w:val="32"/>
          <w:szCs w:val="32"/>
        </w:rPr>
        <w:t>XI</w:t>
      </w:r>
    </w:p>
    <w:p w14:paraId="22124994" w14:textId="67E2E7A3" w:rsidR="00AA154B" w:rsidRPr="00B7769D" w:rsidRDefault="00EE48FF" w:rsidP="0095713B">
      <w:pPr>
        <w:pStyle w:val="NormaleWeb"/>
        <w:jc w:val="both"/>
        <w:rPr>
          <w:b/>
          <w:bCs/>
          <w:sz w:val="32"/>
          <w:szCs w:val="32"/>
        </w:rPr>
      </w:pPr>
      <w:r>
        <w:rPr>
          <w:b/>
          <w:bCs/>
          <w:sz w:val="32"/>
          <w:szCs w:val="32"/>
        </w:rPr>
        <w:t xml:space="preserve">La figura degli </w:t>
      </w:r>
      <w:proofErr w:type="spellStart"/>
      <w:r w:rsidRPr="00142345">
        <w:rPr>
          <w:b/>
          <w:bCs/>
          <w:i/>
          <w:iCs/>
          <w:sz w:val="32"/>
          <w:szCs w:val="32"/>
        </w:rPr>
        <w:t>influencer</w:t>
      </w:r>
      <w:proofErr w:type="spellEnd"/>
    </w:p>
    <w:p w14:paraId="3AF60B3A" w14:textId="77777777" w:rsidR="00125AE2" w:rsidRDefault="00302D35" w:rsidP="00125AE2">
      <w:pPr>
        <w:pStyle w:val="NormaleWeb"/>
        <w:spacing w:before="0" w:beforeAutospacing="0" w:after="0" w:afterAutospacing="0"/>
        <w:jc w:val="both"/>
        <w:rPr>
          <w:sz w:val="28"/>
          <w:szCs w:val="28"/>
        </w:rPr>
      </w:pPr>
      <w:r>
        <w:rPr>
          <w:sz w:val="28"/>
          <w:szCs w:val="28"/>
        </w:rPr>
        <w:t xml:space="preserve">Il mondo dei </w:t>
      </w:r>
      <w:r w:rsidR="0095713B" w:rsidRPr="00125AE2">
        <w:rPr>
          <w:i/>
          <w:iCs/>
          <w:sz w:val="28"/>
          <w:szCs w:val="28"/>
        </w:rPr>
        <w:t>social media</w:t>
      </w:r>
      <w:r>
        <w:rPr>
          <w:sz w:val="28"/>
          <w:szCs w:val="28"/>
        </w:rPr>
        <w:t xml:space="preserve">, e soprattutto il modo in cui questi vengono utilizzati </w:t>
      </w:r>
      <w:r w:rsidR="0095713B" w:rsidRPr="003400F1">
        <w:rPr>
          <w:sz w:val="28"/>
          <w:szCs w:val="28"/>
        </w:rPr>
        <w:t>d</w:t>
      </w:r>
      <w:r>
        <w:rPr>
          <w:sz w:val="28"/>
          <w:szCs w:val="28"/>
        </w:rPr>
        <w:t>a</w:t>
      </w:r>
      <w:r w:rsidR="0095713B" w:rsidRPr="003400F1">
        <w:rPr>
          <w:sz w:val="28"/>
          <w:szCs w:val="28"/>
        </w:rPr>
        <w:t xml:space="preserve">i c.d. </w:t>
      </w:r>
      <w:proofErr w:type="spellStart"/>
      <w:r w:rsidR="0095713B" w:rsidRPr="00302D35">
        <w:rPr>
          <w:i/>
          <w:iCs/>
          <w:sz w:val="28"/>
          <w:szCs w:val="28"/>
        </w:rPr>
        <w:t>influencer</w:t>
      </w:r>
      <w:proofErr w:type="spellEnd"/>
      <w:r w:rsidR="0095713B" w:rsidRPr="003400F1">
        <w:rPr>
          <w:sz w:val="28"/>
          <w:szCs w:val="28"/>
        </w:rPr>
        <w:t xml:space="preserve">, </w:t>
      </w:r>
      <w:r w:rsidR="00C63EF1">
        <w:rPr>
          <w:sz w:val="28"/>
          <w:szCs w:val="28"/>
        </w:rPr>
        <w:t>sta avendo</w:t>
      </w:r>
      <w:r w:rsidR="0095713B" w:rsidRPr="003400F1">
        <w:rPr>
          <w:sz w:val="28"/>
          <w:szCs w:val="28"/>
        </w:rPr>
        <w:t xml:space="preserve"> un</w:t>
      </w:r>
      <w:r>
        <w:rPr>
          <w:sz w:val="28"/>
          <w:szCs w:val="28"/>
        </w:rPr>
        <w:t xml:space="preserve"> grande</w:t>
      </w:r>
      <w:r w:rsidR="0095713B" w:rsidRPr="003400F1">
        <w:rPr>
          <w:sz w:val="28"/>
          <w:szCs w:val="28"/>
        </w:rPr>
        <w:t xml:space="preserve"> impatto anche</w:t>
      </w:r>
      <w:r w:rsidR="00AA154B" w:rsidRPr="003400F1">
        <w:rPr>
          <w:sz w:val="28"/>
          <w:szCs w:val="28"/>
        </w:rPr>
        <w:t xml:space="preserve"> </w:t>
      </w:r>
      <w:r>
        <w:rPr>
          <w:sz w:val="28"/>
          <w:szCs w:val="28"/>
        </w:rPr>
        <w:t>per quanto concerne</w:t>
      </w:r>
      <w:r w:rsidR="0095713B" w:rsidRPr="003400F1">
        <w:rPr>
          <w:sz w:val="28"/>
          <w:szCs w:val="28"/>
        </w:rPr>
        <w:t xml:space="preserve"> </w:t>
      </w:r>
      <w:r>
        <w:rPr>
          <w:sz w:val="28"/>
          <w:szCs w:val="28"/>
        </w:rPr>
        <w:t>la materia relativa alla</w:t>
      </w:r>
      <w:r w:rsidR="0095713B" w:rsidRPr="003400F1">
        <w:rPr>
          <w:sz w:val="28"/>
          <w:szCs w:val="28"/>
        </w:rPr>
        <w:t xml:space="preserve"> tutela dei marchi e della pubblicità occulta.</w:t>
      </w:r>
      <w:r w:rsidR="00366FFE">
        <w:rPr>
          <w:sz w:val="28"/>
          <w:szCs w:val="28"/>
        </w:rPr>
        <w:t xml:space="preserve"> </w:t>
      </w:r>
    </w:p>
    <w:p w14:paraId="19533604" w14:textId="526603B5" w:rsidR="009D2B44" w:rsidRDefault="00C63EF1" w:rsidP="00125AE2">
      <w:pPr>
        <w:pStyle w:val="NormaleWeb"/>
        <w:spacing w:before="0" w:beforeAutospacing="0" w:after="0" w:afterAutospacing="0"/>
        <w:jc w:val="both"/>
        <w:rPr>
          <w:sz w:val="28"/>
          <w:szCs w:val="28"/>
        </w:rPr>
      </w:pPr>
      <w:r>
        <w:rPr>
          <w:sz w:val="28"/>
          <w:szCs w:val="28"/>
        </w:rPr>
        <w:t>L’</w:t>
      </w:r>
      <w:r w:rsidR="0095713B" w:rsidRPr="003400F1">
        <w:rPr>
          <w:sz w:val="28"/>
          <w:szCs w:val="28"/>
        </w:rPr>
        <w:t>AGCM</w:t>
      </w:r>
      <w:r>
        <w:rPr>
          <w:sz w:val="28"/>
          <w:szCs w:val="28"/>
        </w:rPr>
        <w:t xml:space="preserve">, </w:t>
      </w:r>
      <w:r w:rsidRPr="003400F1">
        <w:rPr>
          <w:sz w:val="28"/>
          <w:szCs w:val="28"/>
        </w:rPr>
        <w:t>consapevole della portata della questio</w:t>
      </w:r>
      <w:r>
        <w:rPr>
          <w:sz w:val="28"/>
          <w:szCs w:val="28"/>
        </w:rPr>
        <w:t>ne,</w:t>
      </w:r>
      <w:r w:rsidR="0095713B" w:rsidRPr="003400F1">
        <w:rPr>
          <w:sz w:val="28"/>
          <w:szCs w:val="28"/>
        </w:rPr>
        <w:t xml:space="preserve"> </w:t>
      </w:r>
      <w:r>
        <w:rPr>
          <w:sz w:val="28"/>
          <w:szCs w:val="28"/>
        </w:rPr>
        <w:t xml:space="preserve">ha mostrato una grande attenzione verso quest’ultima fattispecie, scegliendo di modificare il proprio approccio </w:t>
      </w:r>
      <w:r w:rsidR="0095713B" w:rsidRPr="003400F1">
        <w:rPr>
          <w:sz w:val="28"/>
          <w:szCs w:val="28"/>
        </w:rPr>
        <w:t>nell’ultimo periodo</w:t>
      </w:r>
      <w:r>
        <w:rPr>
          <w:sz w:val="28"/>
          <w:szCs w:val="28"/>
        </w:rPr>
        <w:t xml:space="preserve">. </w:t>
      </w:r>
      <w:r w:rsidR="00366FFE">
        <w:rPr>
          <w:sz w:val="28"/>
          <w:szCs w:val="28"/>
        </w:rPr>
        <w:t>P</w:t>
      </w:r>
      <w:r w:rsidR="00366FFE" w:rsidRPr="003400F1">
        <w:rPr>
          <w:sz w:val="28"/>
          <w:szCs w:val="28"/>
        </w:rPr>
        <w:t xml:space="preserve">iuttosto che limitarsi a pronunce di </w:t>
      </w:r>
      <w:r w:rsidR="00E36D08">
        <w:rPr>
          <w:i/>
          <w:iCs/>
          <w:sz w:val="28"/>
          <w:szCs w:val="28"/>
        </w:rPr>
        <w:t>soft law</w:t>
      </w:r>
      <w:r w:rsidR="00E36D08" w:rsidRPr="00E36D08">
        <w:rPr>
          <w:rStyle w:val="Rimandonotaapidipagina"/>
          <w:sz w:val="28"/>
          <w:szCs w:val="28"/>
        </w:rPr>
        <w:footnoteReference w:id="177"/>
      </w:r>
      <w:r w:rsidR="00366FFE" w:rsidRPr="00E36D08">
        <w:rPr>
          <w:sz w:val="28"/>
          <w:szCs w:val="28"/>
        </w:rPr>
        <w:t>,</w:t>
      </w:r>
      <w:r w:rsidR="00366FFE">
        <w:rPr>
          <w:sz w:val="28"/>
          <w:szCs w:val="28"/>
        </w:rPr>
        <w:t xml:space="preserve"> so</w:t>
      </w:r>
      <w:r>
        <w:rPr>
          <w:sz w:val="28"/>
          <w:szCs w:val="28"/>
        </w:rPr>
        <w:t xml:space="preserve">no state </w:t>
      </w:r>
      <w:r w:rsidR="00366FFE">
        <w:rPr>
          <w:sz w:val="28"/>
          <w:szCs w:val="28"/>
        </w:rPr>
        <w:t xml:space="preserve">recentemente </w:t>
      </w:r>
      <w:r>
        <w:rPr>
          <w:sz w:val="28"/>
          <w:szCs w:val="28"/>
        </w:rPr>
        <w:t xml:space="preserve">avviate, infatti, </w:t>
      </w:r>
      <w:r w:rsidR="0095713B" w:rsidRPr="003400F1">
        <w:rPr>
          <w:sz w:val="28"/>
          <w:szCs w:val="28"/>
        </w:rPr>
        <w:t>vere e proprie indagini istruttorie</w:t>
      </w:r>
      <w:r>
        <w:rPr>
          <w:sz w:val="28"/>
          <w:szCs w:val="28"/>
        </w:rPr>
        <w:t xml:space="preserve"> nei confronti delle imprese digitali</w:t>
      </w:r>
      <w:r w:rsidR="0095713B" w:rsidRPr="003400F1">
        <w:rPr>
          <w:sz w:val="28"/>
          <w:szCs w:val="28"/>
        </w:rPr>
        <w:t xml:space="preserve">, </w:t>
      </w:r>
      <w:r w:rsidR="00366FFE">
        <w:rPr>
          <w:sz w:val="28"/>
          <w:szCs w:val="28"/>
        </w:rPr>
        <w:t xml:space="preserve">con lo scopo di spronarle all’adeguamento </w:t>
      </w:r>
      <w:r w:rsidR="0095713B" w:rsidRPr="003400F1">
        <w:rPr>
          <w:sz w:val="28"/>
          <w:szCs w:val="28"/>
        </w:rPr>
        <w:t>alla disciplina vigente.</w:t>
      </w:r>
    </w:p>
    <w:p w14:paraId="4A7C04F0" w14:textId="7A8E9DF1" w:rsidR="00125AE2" w:rsidRDefault="00366FFE" w:rsidP="00125AE2">
      <w:pPr>
        <w:pStyle w:val="NormaleWeb"/>
        <w:spacing w:before="0" w:beforeAutospacing="0" w:after="0" w:afterAutospacing="0"/>
        <w:jc w:val="both"/>
        <w:rPr>
          <w:sz w:val="28"/>
          <w:szCs w:val="28"/>
        </w:rPr>
      </w:pPr>
      <w:r>
        <w:rPr>
          <w:sz w:val="28"/>
          <w:szCs w:val="28"/>
        </w:rPr>
        <w:t>Dal momento che l</w:t>
      </w:r>
      <w:r w:rsidR="0095713B" w:rsidRPr="003400F1">
        <w:rPr>
          <w:sz w:val="28"/>
          <w:szCs w:val="28"/>
        </w:rPr>
        <w:t xml:space="preserve">’attività del c.d. </w:t>
      </w:r>
      <w:proofErr w:type="spellStart"/>
      <w:r w:rsidR="0095713B" w:rsidRPr="00366FFE">
        <w:rPr>
          <w:i/>
          <w:iCs/>
          <w:sz w:val="28"/>
          <w:szCs w:val="28"/>
        </w:rPr>
        <w:t>influencer</w:t>
      </w:r>
      <w:proofErr w:type="spellEnd"/>
      <w:r w:rsidR="0095713B" w:rsidRPr="00366FFE">
        <w:rPr>
          <w:i/>
          <w:iCs/>
          <w:sz w:val="28"/>
          <w:szCs w:val="28"/>
        </w:rPr>
        <w:t xml:space="preserve"> marketing</w:t>
      </w:r>
      <w:r w:rsidR="006D75A7" w:rsidRPr="006D75A7">
        <w:rPr>
          <w:rStyle w:val="Rimandonotaapidipagina"/>
          <w:sz w:val="28"/>
          <w:szCs w:val="28"/>
        </w:rPr>
        <w:footnoteReference w:id="178"/>
      </w:r>
      <w:r w:rsidR="0095713B" w:rsidRPr="006D75A7">
        <w:rPr>
          <w:sz w:val="28"/>
          <w:szCs w:val="28"/>
        </w:rPr>
        <w:t xml:space="preserve"> </w:t>
      </w:r>
      <w:r w:rsidR="0095713B" w:rsidRPr="003400F1">
        <w:rPr>
          <w:sz w:val="28"/>
          <w:szCs w:val="28"/>
        </w:rPr>
        <w:t xml:space="preserve">ricade nell’ambito di applicazione del Codice del Consumo, </w:t>
      </w:r>
      <w:r>
        <w:rPr>
          <w:sz w:val="28"/>
          <w:szCs w:val="28"/>
        </w:rPr>
        <w:t xml:space="preserve">non è raro che si vadano a </w:t>
      </w:r>
      <w:r w:rsidR="0095713B" w:rsidRPr="003400F1">
        <w:rPr>
          <w:sz w:val="28"/>
          <w:szCs w:val="28"/>
        </w:rPr>
        <w:t>configurare ipotesi di pubblicità occulta a danno del consumatore.</w:t>
      </w:r>
    </w:p>
    <w:p w14:paraId="7E851336" w14:textId="411D2F79" w:rsidR="0095713B" w:rsidRDefault="00366FFE" w:rsidP="00125AE2">
      <w:pPr>
        <w:pStyle w:val="NormaleWeb"/>
        <w:spacing w:before="0" w:beforeAutospacing="0" w:after="0" w:afterAutospacing="0"/>
        <w:jc w:val="both"/>
        <w:rPr>
          <w:sz w:val="28"/>
          <w:szCs w:val="28"/>
        </w:rPr>
      </w:pPr>
      <w:r>
        <w:rPr>
          <w:sz w:val="28"/>
          <w:szCs w:val="28"/>
        </w:rPr>
        <w:t>Per ovviare a tale pericolosa situazione, è stato necessario l’intervento del</w:t>
      </w:r>
      <w:r w:rsidR="0095713B" w:rsidRPr="003400F1">
        <w:rPr>
          <w:sz w:val="28"/>
          <w:szCs w:val="28"/>
        </w:rPr>
        <w:t xml:space="preserve">lo </w:t>
      </w:r>
      <w:r w:rsidR="0095713B" w:rsidRPr="00366FFE">
        <w:rPr>
          <w:i/>
          <w:iCs/>
          <w:sz w:val="28"/>
          <w:szCs w:val="28"/>
        </w:rPr>
        <w:t>IAP</w:t>
      </w:r>
      <w:r w:rsidR="0095713B" w:rsidRPr="003400F1">
        <w:rPr>
          <w:sz w:val="28"/>
          <w:szCs w:val="28"/>
        </w:rPr>
        <w:t xml:space="preserve">, </w:t>
      </w:r>
      <w:r>
        <w:rPr>
          <w:sz w:val="28"/>
          <w:szCs w:val="28"/>
        </w:rPr>
        <w:t>che ha reso pubblica</w:t>
      </w:r>
      <w:r w:rsidR="0095713B" w:rsidRPr="003400F1">
        <w:rPr>
          <w:sz w:val="28"/>
          <w:szCs w:val="28"/>
        </w:rPr>
        <w:t xml:space="preserve"> la </w:t>
      </w:r>
      <w:r w:rsidR="0095713B" w:rsidRPr="00366FFE">
        <w:rPr>
          <w:i/>
          <w:iCs/>
          <w:sz w:val="28"/>
          <w:szCs w:val="28"/>
        </w:rPr>
        <w:t>Digital Chart</w:t>
      </w:r>
      <w:r w:rsidR="00BA27B5" w:rsidRPr="00125AE2">
        <w:rPr>
          <w:rStyle w:val="Rimandonotaapidipagina"/>
          <w:sz w:val="28"/>
          <w:szCs w:val="28"/>
        </w:rPr>
        <w:footnoteReference w:id="179"/>
      </w:r>
      <w:r w:rsidR="0095713B" w:rsidRPr="003400F1">
        <w:rPr>
          <w:sz w:val="28"/>
          <w:szCs w:val="28"/>
        </w:rPr>
        <w:t xml:space="preserve">, </w:t>
      </w:r>
      <w:r>
        <w:rPr>
          <w:sz w:val="28"/>
          <w:szCs w:val="28"/>
        </w:rPr>
        <w:t xml:space="preserve">che consiste in </w:t>
      </w:r>
      <w:r w:rsidR="0095713B" w:rsidRPr="003400F1">
        <w:rPr>
          <w:sz w:val="28"/>
          <w:szCs w:val="28"/>
        </w:rPr>
        <w:t xml:space="preserve">un documento </w:t>
      </w:r>
      <w:r>
        <w:rPr>
          <w:sz w:val="28"/>
          <w:szCs w:val="28"/>
        </w:rPr>
        <w:t xml:space="preserve">– </w:t>
      </w:r>
      <w:r w:rsidR="0095713B" w:rsidRPr="003400F1">
        <w:rPr>
          <w:sz w:val="28"/>
          <w:szCs w:val="28"/>
        </w:rPr>
        <w:t>condiviso anche dall’AGCM</w:t>
      </w:r>
      <w:r>
        <w:rPr>
          <w:sz w:val="28"/>
          <w:szCs w:val="28"/>
        </w:rPr>
        <w:t xml:space="preserve"> – </w:t>
      </w:r>
      <w:r w:rsidR="0095713B" w:rsidRPr="003400F1">
        <w:rPr>
          <w:sz w:val="28"/>
          <w:szCs w:val="28"/>
        </w:rPr>
        <w:t xml:space="preserve">con </w:t>
      </w:r>
      <w:r>
        <w:rPr>
          <w:sz w:val="28"/>
          <w:szCs w:val="28"/>
        </w:rPr>
        <w:t>cui</w:t>
      </w:r>
      <w:r w:rsidR="0095713B" w:rsidRPr="003400F1">
        <w:rPr>
          <w:sz w:val="28"/>
          <w:szCs w:val="28"/>
        </w:rPr>
        <w:t xml:space="preserve"> </w:t>
      </w:r>
      <w:r>
        <w:rPr>
          <w:sz w:val="28"/>
          <w:szCs w:val="28"/>
        </w:rPr>
        <w:t>sono</w:t>
      </w:r>
      <w:r w:rsidR="0095713B" w:rsidRPr="003400F1">
        <w:rPr>
          <w:sz w:val="28"/>
          <w:szCs w:val="28"/>
        </w:rPr>
        <w:t xml:space="preserve"> fornite </w:t>
      </w:r>
      <w:r w:rsidR="008E5577">
        <w:rPr>
          <w:sz w:val="28"/>
          <w:szCs w:val="28"/>
        </w:rPr>
        <w:t xml:space="preserve">delle </w:t>
      </w:r>
      <w:r w:rsidR="008E5577" w:rsidRPr="003400F1">
        <w:rPr>
          <w:sz w:val="28"/>
          <w:szCs w:val="28"/>
        </w:rPr>
        <w:t xml:space="preserve">precise </w:t>
      </w:r>
      <w:r w:rsidR="0095713B" w:rsidRPr="003400F1">
        <w:rPr>
          <w:sz w:val="28"/>
          <w:szCs w:val="28"/>
        </w:rPr>
        <w:t xml:space="preserve">indicazioni </w:t>
      </w:r>
      <w:r w:rsidR="008E5577">
        <w:rPr>
          <w:sz w:val="28"/>
          <w:szCs w:val="28"/>
        </w:rPr>
        <w:t>per quanto riguarda le</w:t>
      </w:r>
      <w:r w:rsidR="0095713B" w:rsidRPr="003400F1">
        <w:rPr>
          <w:sz w:val="28"/>
          <w:szCs w:val="28"/>
        </w:rPr>
        <w:t xml:space="preserve"> misure </w:t>
      </w:r>
      <w:r w:rsidR="008E5577">
        <w:rPr>
          <w:sz w:val="28"/>
          <w:szCs w:val="28"/>
        </w:rPr>
        <w:t xml:space="preserve">che gli </w:t>
      </w:r>
      <w:proofErr w:type="spellStart"/>
      <w:r w:rsidR="008E5577" w:rsidRPr="008E5577">
        <w:rPr>
          <w:i/>
          <w:iCs/>
          <w:sz w:val="28"/>
          <w:szCs w:val="28"/>
        </w:rPr>
        <w:t>influencer</w:t>
      </w:r>
      <w:proofErr w:type="spellEnd"/>
      <w:r w:rsidR="008E5577">
        <w:rPr>
          <w:sz w:val="28"/>
          <w:szCs w:val="28"/>
        </w:rPr>
        <w:t xml:space="preserve"> devono </w:t>
      </w:r>
      <w:r w:rsidR="0095713B" w:rsidRPr="003400F1">
        <w:rPr>
          <w:sz w:val="28"/>
          <w:szCs w:val="28"/>
        </w:rPr>
        <w:t xml:space="preserve">adottare </w:t>
      </w:r>
      <w:r w:rsidR="008E5577">
        <w:rPr>
          <w:sz w:val="28"/>
          <w:szCs w:val="28"/>
        </w:rPr>
        <w:t>al fine di</w:t>
      </w:r>
      <w:r w:rsidR="0095713B" w:rsidRPr="003400F1">
        <w:rPr>
          <w:sz w:val="28"/>
          <w:szCs w:val="28"/>
        </w:rPr>
        <w:t xml:space="preserve"> rendere esplicita la finalità commerciale delle </w:t>
      </w:r>
      <w:r w:rsidR="008E5577">
        <w:rPr>
          <w:sz w:val="28"/>
          <w:szCs w:val="28"/>
        </w:rPr>
        <w:t xml:space="preserve">loro </w:t>
      </w:r>
      <w:r w:rsidR="0095713B" w:rsidRPr="003400F1">
        <w:rPr>
          <w:sz w:val="28"/>
          <w:szCs w:val="28"/>
        </w:rPr>
        <w:t>comunicazioni</w:t>
      </w:r>
      <w:r w:rsidR="008E5577">
        <w:rPr>
          <w:sz w:val="28"/>
          <w:szCs w:val="28"/>
        </w:rPr>
        <w:t xml:space="preserve"> </w:t>
      </w:r>
      <w:r w:rsidR="008E5577" w:rsidRPr="00125AE2">
        <w:rPr>
          <w:i/>
          <w:iCs/>
          <w:sz w:val="28"/>
          <w:szCs w:val="28"/>
        </w:rPr>
        <w:t>social</w:t>
      </w:r>
      <w:r w:rsidR="008E5577">
        <w:rPr>
          <w:sz w:val="28"/>
          <w:szCs w:val="28"/>
        </w:rPr>
        <w:t xml:space="preserve"> (</w:t>
      </w:r>
      <w:proofErr w:type="spellStart"/>
      <w:r w:rsidR="008E5577" w:rsidRPr="008E5577">
        <w:rPr>
          <w:i/>
          <w:iCs/>
          <w:sz w:val="28"/>
          <w:szCs w:val="28"/>
        </w:rPr>
        <w:t>posts</w:t>
      </w:r>
      <w:proofErr w:type="spellEnd"/>
      <w:r w:rsidR="008E5577">
        <w:rPr>
          <w:sz w:val="28"/>
          <w:szCs w:val="28"/>
        </w:rPr>
        <w:t xml:space="preserve">, </w:t>
      </w:r>
      <w:r w:rsidR="008E5577" w:rsidRPr="008E5577">
        <w:rPr>
          <w:i/>
          <w:iCs/>
          <w:sz w:val="28"/>
          <w:szCs w:val="28"/>
        </w:rPr>
        <w:t>stories</w:t>
      </w:r>
      <w:r w:rsidR="008E5577">
        <w:rPr>
          <w:sz w:val="28"/>
          <w:szCs w:val="28"/>
        </w:rPr>
        <w:t>)</w:t>
      </w:r>
      <w:r w:rsidR="0095713B" w:rsidRPr="003400F1">
        <w:rPr>
          <w:sz w:val="28"/>
          <w:szCs w:val="28"/>
        </w:rPr>
        <w:t>, a seconda del tipo di contenuto che viene pubblicato e della natura del rapporto che lega l’</w:t>
      </w:r>
      <w:proofErr w:type="spellStart"/>
      <w:r w:rsidR="0095713B" w:rsidRPr="008E5577">
        <w:rPr>
          <w:i/>
          <w:iCs/>
          <w:sz w:val="28"/>
          <w:szCs w:val="28"/>
        </w:rPr>
        <w:t>influencer</w:t>
      </w:r>
      <w:proofErr w:type="spellEnd"/>
      <w:r w:rsidR="0095713B" w:rsidRPr="008E5577">
        <w:rPr>
          <w:i/>
          <w:iCs/>
          <w:sz w:val="28"/>
          <w:szCs w:val="28"/>
        </w:rPr>
        <w:t xml:space="preserve"> </w:t>
      </w:r>
      <w:r w:rsidR="0095713B" w:rsidRPr="003400F1">
        <w:rPr>
          <w:sz w:val="28"/>
          <w:szCs w:val="28"/>
        </w:rPr>
        <w:t>al titolare del marchio</w:t>
      </w:r>
      <w:r w:rsidR="008D69B3">
        <w:rPr>
          <w:sz w:val="28"/>
          <w:szCs w:val="28"/>
        </w:rPr>
        <w:t>.</w:t>
      </w:r>
      <w:r w:rsidR="00125AE2">
        <w:rPr>
          <w:sz w:val="28"/>
          <w:szCs w:val="28"/>
        </w:rPr>
        <w:t xml:space="preserve"> </w:t>
      </w:r>
      <w:r w:rsidR="008E5577">
        <w:rPr>
          <w:sz w:val="28"/>
          <w:szCs w:val="28"/>
        </w:rPr>
        <w:t>Ed è sulla base di questa più limpida regolamentazione che</w:t>
      </w:r>
      <w:r w:rsidR="0095713B" w:rsidRPr="003400F1">
        <w:rPr>
          <w:sz w:val="28"/>
          <w:szCs w:val="28"/>
        </w:rPr>
        <w:t xml:space="preserve"> </w:t>
      </w:r>
      <w:r w:rsidR="008E5577">
        <w:rPr>
          <w:sz w:val="28"/>
          <w:szCs w:val="28"/>
        </w:rPr>
        <w:t>l’Autorità Garante della Concorrenza e del Mercato</w:t>
      </w:r>
      <w:r w:rsidR="0095713B" w:rsidRPr="003400F1">
        <w:rPr>
          <w:sz w:val="28"/>
          <w:szCs w:val="28"/>
        </w:rPr>
        <w:t xml:space="preserve"> ha </w:t>
      </w:r>
      <w:r w:rsidR="008E5577">
        <w:rPr>
          <w:sz w:val="28"/>
          <w:szCs w:val="28"/>
        </w:rPr>
        <w:t xml:space="preserve">iniziato ad intervenire. </w:t>
      </w:r>
      <w:r w:rsidR="008D69B3">
        <w:rPr>
          <w:sz w:val="28"/>
          <w:szCs w:val="28"/>
        </w:rPr>
        <w:t>Si pensi ai casi che</w:t>
      </w:r>
      <w:r w:rsidR="0095713B" w:rsidRPr="003400F1">
        <w:rPr>
          <w:sz w:val="28"/>
          <w:szCs w:val="28"/>
        </w:rPr>
        <w:t xml:space="preserve"> hanno </w:t>
      </w:r>
      <w:r w:rsidR="008D69B3">
        <w:rPr>
          <w:sz w:val="28"/>
          <w:szCs w:val="28"/>
        </w:rPr>
        <w:t>coinvolto</w:t>
      </w:r>
      <w:r w:rsidR="0095713B" w:rsidRPr="003400F1">
        <w:rPr>
          <w:sz w:val="28"/>
          <w:szCs w:val="28"/>
        </w:rPr>
        <w:t xml:space="preserve"> Alitalia e Barilla</w:t>
      </w:r>
      <w:r w:rsidR="008D69B3">
        <w:rPr>
          <w:sz w:val="28"/>
          <w:szCs w:val="28"/>
        </w:rPr>
        <w:t xml:space="preserve">: sono la </w:t>
      </w:r>
      <w:r w:rsidR="0095713B" w:rsidRPr="003400F1">
        <w:rPr>
          <w:sz w:val="28"/>
          <w:szCs w:val="28"/>
        </w:rPr>
        <w:t>testimonia</w:t>
      </w:r>
      <w:r w:rsidR="008D69B3">
        <w:rPr>
          <w:sz w:val="28"/>
          <w:szCs w:val="28"/>
        </w:rPr>
        <w:t>nza</w:t>
      </w:r>
      <w:r w:rsidR="0095713B" w:rsidRPr="003400F1">
        <w:rPr>
          <w:sz w:val="28"/>
          <w:szCs w:val="28"/>
        </w:rPr>
        <w:t xml:space="preserve"> </w:t>
      </w:r>
      <w:r w:rsidR="008D69B3">
        <w:rPr>
          <w:sz w:val="28"/>
          <w:szCs w:val="28"/>
        </w:rPr>
        <w:t>del</w:t>
      </w:r>
      <w:r w:rsidR="0095713B" w:rsidRPr="003400F1">
        <w:rPr>
          <w:sz w:val="28"/>
          <w:szCs w:val="28"/>
        </w:rPr>
        <w:t>l’attenzione dell’Autorità anche verso le più recenti evoluzioni del fenomeno.</w:t>
      </w:r>
    </w:p>
    <w:p w14:paraId="1F6BA721" w14:textId="77777777" w:rsidR="006F4FAB" w:rsidRPr="003400F1" w:rsidRDefault="006F4FAB" w:rsidP="008D69B3">
      <w:pPr>
        <w:pStyle w:val="NormaleWeb"/>
        <w:snapToGrid w:val="0"/>
        <w:spacing w:before="0" w:beforeAutospacing="0" w:after="0" w:afterAutospacing="0"/>
        <w:jc w:val="both"/>
        <w:rPr>
          <w:sz w:val="28"/>
          <w:szCs w:val="28"/>
        </w:rPr>
      </w:pPr>
    </w:p>
    <w:p w14:paraId="6E13BAFC" w14:textId="77777777" w:rsidR="009211B4" w:rsidRDefault="004E2883" w:rsidP="008304CF">
      <w:pPr>
        <w:pStyle w:val="NormaleWeb"/>
        <w:snapToGrid w:val="0"/>
        <w:spacing w:before="0" w:beforeAutospacing="0" w:after="0" w:afterAutospacing="0"/>
        <w:jc w:val="both"/>
        <w:rPr>
          <w:sz w:val="28"/>
          <w:szCs w:val="28"/>
        </w:rPr>
      </w:pPr>
      <w:r>
        <w:rPr>
          <w:sz w:val="28"/>
          <w:szCs w:val="28"/>
        </w:rPr>
        <w:t xml:space="preserve">Per quanto concerne la </w:t>
      </w:r>
      <w:r w:rsidR="0095713B" w:rsidRPr="003400F1">
        <w:rPr>
          <w:sz w:val="28"/>
          <w:szCs w:val="28"/>
        </w:rPr>
        <w:t>tutela dei marchi</w:t>
      </w:r>
      <w:r>
        <w:rPr>
          <w:sz w:val="28"/>
          <w:szCs w:val="28"/>
        </w:rPr>
        <w:t>, invece, vengono in rilievo</w:t>
      </w:r>
      <w:r w:rsidR="0095713B" w:rsidRPr="003400F1">
        <w:rPr>
          <w:sz w:val="28"/>
          <w:szCs w:val="28"/>
        </w:rPr>
        <w:t xml:space="preserve"> </w:t>
      </w:r>
      <w:r>
        <w:rPr>
          <w:sz w:val="28"/>
          <w:szCs w:val="28"/>
        </w:rPr>
        <w:t>anzitutto</w:t>
      </w:r>
      <w:r w:rsidR="0095713B" w:rsidRPr="003400F1">
        <w:rPr>
          <w:sz w:val="28"/>
          <w:szCs w:val="28"/>
        </w:rPr>
        <w:t xml:space="preserve"> le questioni legate all’utilizzo degli </w:t>
      </w:r>
      <w:proofErr w:type="spellStart"/>
      <w:r w:rsidR="0095713B" w:rsidRPr="004E2883">
        <w:rPr>
          <w:i/>
          <w:iCs/>
          <w:sz w:val="28"/>
          <w:szCs w:val="28"/>
        </w:rPr>
        <w:t>hashtag</w:t>
      </w:r>
      <w:proofErr w:type="spellEnd"/>
      <w:r>
        <w:rPr>
          <w:sz w:val="28"/>
          <w:szCs w:val="28"/>
        </w:rPr>
        <w:t xml:space="preserve">; si pensi, ad esempio, </w:t>
      </w:r>
      <w:r w:rsidR="0095713B" w:rsidRPr="003400F1">
        <w:rPr>
          <w:sz w:val="28"/>
          <w:szCs w:val="28"/>
        </w:rPr>
        <w:t xml:space="preserve">alla possibilità di </w:t>
      </w:r>
      <w:r>
        <w:rPr>
          <w:sz w:val="28"/>
          <w:szCs w:val="28"/>
        </w:rPr>
        <w:t>applicare a</w:t>
      </w:r>
      <w:r w:rsidR="0095713B" w:rsidRPr="003400F1">
        <w:rPr>
          <w:sz w:val="28"/>
          <w:szCs w:val="28"/>
        </w:rPr>
        <w:t xml:space="preserve"> questi ultimi </w:t>
      </w:r>
      <w:r>
        <w:rPr>
          <w:sz w:val="28"/>
          <w:szCs w:val="28"/>
        </w:rPr>
        <w:t>la</w:t>
      </w:r>
      <w:r w:rsidR="0095713B" w:rsidRPr="003400F1">
        <w:rPr>
          <w:sz w:val="28"/>
          <w:szCs w:val="28"/>
        </w:rPr>
        <w:t xml:space="preserve"> disciplina propria dei segni distintivi.</w:t>
      </w:r>
      <w:r>
        <w:rPr>
          <w:sz w:val="28"/>
          <w:szCs w:val="28"/>
        </w:rPr>
        <w:t xml:space="preserve"> </w:t>
      </w:r>
    </w:p>
    <w:p w14:paraId="72F10DC1" w14:textId="4000CBAA" w:rsidR="008304CF" w:rsidRDefault="001670EF" w:rsidP="008304CF">
      <w:pPr>
        <w:pStyle w:val="NormaleWeb"/>
        <w:snapToGrid w:val="0"/>
        <w:spacing w:before="0" w:beforeAutospacing="0" w:after="0" w:afterAutospacing="0"/>
        <w:jc w:val="both"/>
        <w:rPr>
          <w:sz w:val="28"/>
          <w:szCs w:val="28"/>
        </w:rPr>
      </w:pPr>
      <w:r>
        <w:rPr>
          <w:sz w:val="28"/>
          <w:szCs w:val="28"/>
        </w:rPr>
        <w:t>Recentemente, l</w:t>
      </w:r>
      <w:r w:rsidR="0095713B" w:rsidRPr="003400F1">
        <w:rPr>
          <w:sz w:val="28"/>
          <w:szCs w:val="28"/>
        </w:rPr>
        <w:t xml:space="preserve">a giurisprudenza si è espressa </w:t>
      </w:r>
      <w:r>
        <w:rPr>
          <w:sz w:val="28"/>
          <w:szCs w:val="28"/>
        </w:rPr>
        <w:t xml:space="preserve">sui </w:t>
      </w:r>
      <w:r w:rsidR="0095713B" w:rsidRPr="003400F1">
        <w:rPr>
          <w:sz w:val="28"/>
          <w:szCs w:val="28"/>
        </w:rPr>
        <w:t xml:space="preserve">marchi celebri, </w:t>
      </w:r>
      <w:r w:rsidR="00AA3D03">
        <w:rPr>
          <w:sz w:val="28"/>
          <w:szCs w:val="28"/>
        </w:rPr>
        <w:t xml:space="preserve">in un caso che ha visto protagonista la </w:t>
      </w:r>
      <w:r w:rsidR="0095713B" w:rsidRPr="003400F1">
        <w:rPr>
          <w:sz w:val="28"/>
          <w:szCs w:val="28"/>
        </w:rPr>
        <w:t>Ferrari</w:t>
      </w:r>
      <w:r w:rsidR="00AA3D03">
        <w:rPr>
          <w:rStyle w:val="Rimandonotaapidipagina"/>
          <w:sz w:val="28"/>
          <w:szCs w:val="28"/>
        </w:rPr>
        <w:footnoteReference w:id="180"/>
      </w:r>
      <w:r w:rsidR="0095713B" w:rsidRPr="003400F1">
        <w:rPr>
          <w:sz w:val="28"/>
          <w:szCs w:val="28"/>
        </w:rPr>
        <w:t xml:space="preserve">. La pronuncia </w:t>
      </w:r>
      <w:r w:rsidR="00AA3D03">
        <w:rPr>
          <w:sz w:val="28"/>
          <w:szCs w:val="28"/>
        </w:rPr>
        <w:t xml:space="preserve">in questione </w:t>
      </w:r>
      <w:r w:rsidR="0095713B" w:rsidRPr="003400F1">
        <w:rPr>
          <w:sz w:val="28"/>
          <w:szCs w:val="28"/>
        </w:rPr>
        <w:t xml:space="preserve">ha suscitato grande interesse, </w:t>
      </w:r>
      <w:r w:rsidR="00AA3D03">
        <w:rPr>
          <w:sz w:val="28"/>
          <w:szCs w:val="28"/>
        </w:rPr>
        <w:lastRenderedPageBreak/>
        <w:t>da un lato perché si tratta di</w:t>
      </w:r>
      <w:r w:rsidR="0095713B" w:rsidRPr="003400F1">
        <w:rPr>
          <w:sz w:val="28"/>
          <w:szCs w:val="28"/>
        </w:rPr>
        <w:t xml:space="preserve"> una delle primissime applicazioni del C</w:t>
      </w:r>
      <w:r w:rsidR="00AA3D03">
        <w:rPr>
          <w:sz w:val="28"/>
          <w:szCs w:val="28"/>
        </w:rPr>
        <w:t xml:space="preserve">odice della </w:t>
      </w:r>
      <w:r w:rsidR="00AA3D03" w:rsidRPr="003400F1">
        <w:rPr>
          <w:sz w:val="28"/>
          <w:szCs w:val="28"/>
        </w:rPr>
        <w:t>P</w:t>
      </w:r>
      <w:r w:rsidR="00AA3D03">
        <w:rPr>
          <w:sz w:val="28"/>
          <w:szCs w:val="28"/>
        </w:rPr>
        <w:t xml:space="preserve">roprietà </w:t>
      </w:r>
      <w:r w:rsidR="0095713B" w:rsidRPr="003400F1">
        <w:rPr>
          <w:sz w:val="28"/>
          <w:szCs w:val="28"/>
        </w:rPr>
        <w:t>I</w:t>
      </w:r>
      <w:r w:rsidR="00AA3D03">
        <w:rPr>
          <w:sz w:val="28"/>
          <w:szCs w:val="28"/>
        </w:rPr>
        <w:t>ndustriale</w:t>
      </w:r>
      <w:r w:rsidR="0095713B" w:rsidRPr="003400F1">
        <w:rPr>
          <w:sz w:val="28"/>
          <w:szCs w:val="28"/>
        </w:rPr>
        <w:t xml:space="preserve"> al</w:t>
      </w:r>
      <w:r w:rsidR="00AA3D03">
        <w:rPr>
          <w:sz w:val="28"/>
          <w:szCs w:val="28"/>
        </w:rPr>
        <w:t xml:space="preserve"> nuovo e</w:t>
      </w:r>
      <w:r w:rsidR="0095713B" w:rsidRPr="003400F1">
        <w:rPr>
          <w:sz w:val="28"/>
          <w:szCs w:val="28"/>
        </w:rPr>
        <w:t xml:space="preserve"> specifico contesto dei </w:t>
      </w:r>
      <w:r w:rsidR="0095713B" w:rsidRPr="00AA3D03">
        <w:rPr>
          <w:i/>
          <w:iCs/>
          <w:sz w:val="28"/>
          <w:szCs w:val="28"/>
        </w:rPr>
        <w:t>social network</w:t>
      </w:r>
      <w:r w:rsidR="0095713B" w:rsidRPr="003400F1">
        <w:rPr>
          <w:sz w:val="28"/>
          <w:szCs w:val="28"/>
        </w:rPr>
        <w:t xml:space="preserve">, </w:t>
      </w:r>
      <w:r w:rsidR="00AA3D03">
        <w:rPr>
          <w:sz w:val="28"/>
          <w:szCs w:val="28"/>
        </w:rPr>
        <w:t xml:space="preserve">dall’altro perché vi si trova una grande </w:t>
      </w:r>
      <w:r w:rsidR="0095713B" w:rsidRPr="003400F1">
        <w:rPr>
          <w:sz w:val="28"/>
          <w:szCs w:val="28"/>
        </w:rPr>
        <w:t>estensione della tutela riconosciuta al titolare del marchio</w:t>
      </w:r>
      <w:r w:rsidR="006F4FAB">
        <w:rPr>
          <w:sz w:val="28"/>
          <w:szCs w:val="28"/>
        </w:rPr>
        <w:t>,</w:t>
      </w:r>
      <w:r w:rsidR="0095713B" w:rsidRPr="003400F1">
        <w:rPr>
          <w:sz w:val="28"/>
          <w:szCs w:val="28"/>
        </w:rPr>
        <w:t xml:space="preserve"> al di là della funzione distintiva</w:t>
      </w:r>
      <w:r w:rsidR="008304CF">
        <w:rPr>
          <w:sz w:val="28"/>
          <w:szCs w:val="28"/>
        </w:rPr>
        <w:t xml:space="preserve"> </w:t>
      </w:r>
      <w:r w:rsidR="009211B4">
        <w:rPr>
          <w:sz w:val="28"/>
          <w:szCs w:val="28"/>
        </w:rPr>
        <w:t xml:space="preserve">propria </w:t>
      </w:r>
      <w:r w:rsidR="008304CF">
        <w:rPr>
          <w:sz w:val="28"/>
          <w:szCs w:val="28"/>
        </w:rPr>
        <w:t>dello stesso.</w:t>
      </w:r>
    </w:p>
    <w:p w14:paraId="5365BDFD" w14:textId="0EA5E6E7" w:rsidR="00A33881" w:rsidRPr="003400F1" w:rsidRDefault="008304CF" w:rsidP="009211B4">
      <w:pPr>
        <w:pStyle w:val="NormaleWeb"/>
        <w:snapToGrid w:val="0"/>
        <w:spacing w:before="0" w:beforeAutospacing="0" w:after="0" w:afterAutospacing="0"/>
        <w:jc w:val="both"/>
        <w:rPr>
          <w:sz w:val="28"/>
          <w:szCs w:val="28"/>
        </w:rPr>
      </w:pPr>
      <w:r>
        <w:rPr>
          <w:sz w:val="28"/>
          <w:szCs w:val="28"/>
        </w:rPr>
        <w:t>Più in generale, l</w:t>
      </w:r>
      <w:r w:rsidR="0095713B" w:rsidRPr="003400F1">
        <w:rPr>
          <w:sz w:val="28"/>
          <w:szCs w:val="28"/>
        </w:rPr>
        <w:t>a diffusione di casi in cui il marchio celebre altrui è utilizzato non in funzione distintiva</w:t>
      </w:r>
      <w:r w:rsidR="006F4FAB">
        <w:rPr>
          <w:sz w:val="28"/>
          <w:szCs w:val="28"/>
        </w:rPr>
        <w:t>,</w:t>
      </w:r>
      <w:r w:rsidR="0095713B" w:rsidRPr="003400F1">
        <w:rPr>
          <w:sz w:val="28"/>
          <w:szCs w:val="28"/>
        </w:rPr>
        <w:t xml:space="preserve"> </w:t>
      </w:r>
      <w:r w:rsidR="006F4FAB">
        <w:rPr>
          <w:sz w:val="28"/>
          <w:szCs w:val="28"/>
        </w:rPr>
        <w:t>bensì</w:t>
      </w:r>
      <w:r w:rsidR="0095713B" w:rsidRPr="003400F1">
        <w:rPr>
          <w:sz w:val="28"/>
          <w:szCs w:val="28"/>
        </w:rPr>
        <w:t xml:space="preserve"> di agganciamento</w:t>
      </w:r>
      <w:r w:rsidR="006F4FAB">
        <w:rPr>
          <w:sz w:val="28"/>
          <w:szCs w:val="28"/>
        </w:rPr>
        <w:t>, è un tema che</w:t>
      </w:r>
      <w:r>
        <w:rPr>
          <w:sz w:val="28"/>
          <w:szCs w:val="28"/>
        </w:rPr>
        <w:t xml:space="preserve"> </w:t>
      </w:r>
      <w:r w:rsidR="006F4FAB">
        <w:rPr>
          <w:sz w:val="28"/>
          <w:szCs w:val="28"/>
        </w:rPr>
        <w:t>sta suscitando</w:t>
      </w:r>
      <w:r>
        <w:rPr>
          <w:sz w:val="28"/>
          <w:szCs w:val="28"/>
        </w:rPr>
        <w:t xml:space="preserve"> molto interesse</w:t>
      </w:r>
      <w:r w:rsidR="0095713B" w:rsidRPr="003400F1">
        <w:rPr>
          <w:sz w:val="28"/>
          <w:szCs w:val="28"/>
        </w:rPr>
        <w:t xml:space="preserve">. </w:t>
      </w:r>
      <w:r>
        <w:rPr>
          <w:sz w:val="28"/>
          <w:szCs w:val="28"/>
        </w:rPr>
        <w:t xml:space="preserve">In alcuni casi, </w:t>
      </w:r>
      <w:r w:rsidR="0095713B" w:rsidRPr="003400F1">
        <w:rPr>
          <w:sz w:val="28"/>
          <w:szCs w:val="28"/>
        </w:rPr>
        <w:t>addirittura</w:t>
      </w:r>
      <w:r>
        <w:rPr>
          <w:sz w:val="28"/>
          <w:szCs w:val="28"/>
        </w:rPr>
        <w:t>,</w:t>
      </w:r>
      <w:r w:rsidR="0095713B" w:rsidRPr="003400F1">
        <w:rPr>
          <w:sz w:val="28"/>
          <w:szCs w:val="28"/>
        </w:rPr>
        <w:t xml:space="preserve"> il marchio </w:t>
      </w:r>
      <w:r w:rsidR="00A33881">
        <w:rPr>
          <w:sz w:val="28"/>
          <w:szCs w:val="28"/>
        </w:rPr>
        <w:t>viene</w:t>
      </w:r>
      <w:r w:rsidR="0095713B" w:rsidRPr="003400F1">
        <w:rPr>
          <w:sz w:val="28"/>
          <w:szCs w:val="28"/>
        </w:rPr>
        <w:t xml:space="preserve"> utilizzato </w:t>
      </w:r>
      <w:r w:rsidR="00A33881">
        <w:rPr>
          <w:sz w:val="28"/>
          <w:szCs w:val="28"/>
        </w:rPr>
        <w:t>in maniera occulta,</w:t>
      </w:r>
      <w:r w:rsidR="0095713B" w:rsidRPr="003400F1">
        <w:rPr>
          <w:sz w:val="28"/>
          <w:szCs w:val="28"/>
        </w:rPr>
        <w:t xml:space="preserve"> in funzione della presentazione di prodotti di concorrenti (ad esempio nei </w:t>
      </w:r>
      <w:proofErr w:type="spellStart"/>
      <w:r w:rsidR="0095713B" w:rsidRPr="00A33881">
        <w:rPr>
          <w:i/>
          <w:iCs/>
          <w:sz w:val="28"/>
          <w:szCs w:val="28"/>
        </w:rPr>
        <w:t>marketplace</w:t>
      </w:r>
      <w:proofErr w:type="spellEnd"/>
      <w:r w:rsidR="0095713B" w:rsidRPr="003400F1">
        <w:rPr>
          <w:sz w:val="28"/>
          <w:szCs w:val="28"/>
        </w:rPr>
        <w:t xml:space="preserve"> e nei </w:t>
      </w:r>
      <w:proofErr w:type="spellStart"/>
      <w:r w:rsidR="0095713B" w:rsidRPr="00A33881">
        <w:rPr>
          <w:i/>
          <w:iCs/>
          <w:sz w:val="28"/>
          <w:szCs w:val="28"/>
        </w:rPr>
        <w:t>recommender</w:t>
      </w:r>
      <w:proofErr w:type="spellEnd"/>
      <w:r w:rsidR="0095713B" w:rsidRPr="00A33881">
        <w:rPr>
          <w:i/>
          <w:iCs/>
          <w:sz w:val="28"/>
          <w:szCs w:val="28"/>
        </w:rPr>
        <w:t xml:space="preserve"> </w:t>
      </w:r>
      <w:proofErr w:type="spellStart"/>
      <w:r w:rsidR="0095713B" w:rsidRPr="00A33881">
        <w:rPr>
          <w:i/>
          <w:iCs/>
          <w:sz w:val="28"/>
          <w:szCs w:val="28"/>
        </w:rPr>
        <w:t>system</w:t>
      </w:r>
      <w:proofErr w:type="spellEnd"/>
      <w:r w:rsidR="0095713B" w:rsidRPr="003400F1">
        <w:rPr>
          <w:sz w:val="28"/>
          <w:szCs w:val="28"/>
        </w:rPr>
        <w:t>).</w:t>
      </w:r>
    </w:p>
    <w:p w14:paraId="7FB65F57" w14:textId="44DD128D" w:rsidR="00A33881" w:rsidRDefault="00A33881" w:rsidP="00A33881">
      <w:pPr>
        <w:pStyle w:val="NormaleWeb"/>
        <w:snapToGrid w:val="0"/>
        <w:spacing w:before="0" w:beforeAutospacing="0" w:after="0" w:afterAutospacing="0"/>
        <w:jc w:val="both"/>
        <w:rPr>
          <w:sz w:val="28"/>
          <w:szCs w:val="28"/>
        </w:rPr>
      </w:pPr>
      <w:r>
        <w:rPr>
          <w:sz w:val="28"/>
          <w:szCs w:val="28"/>
        </w:rPr>
        <w:t>Sul tema, per quanto concerne l’ambito europeo e la legislazione europea</w:t>
      </w:r>
      <w:r w:rsidR="0095713B" w:rsidRPr="003400F1">
        <w:rPr>
          <w:sz w:val="28"/>
          <w:szCs w:val="28"/>
        </w:rPr>
        <w:t xml:space="preserve">, </w:t>
      </w:r>
      <w:r>
        <w:rPr>
          <w:sz w:val="28"/>
          <w:szCs w:val="28"/>
        </w:rPr>
        <w:t>il riferimento obbligato è al</w:t>
      </w:r>
      <w:r w:rsidR="0095713B" w:rsidRPr="003400F1">
        <w:rPr>
          <w:sz w:val="28"/>
          <w:szCs w:val="28"/>
        </w:rPr>
        <w:t xml:space="preserve"> “</w:t>
      </w:r>
      <w:r w:rsidR="0095713B" w:rsidRPr="00A33881">
        <w:rPr>
          <w:i/>
          <w:iCs/>
          <w:sz w:val="28"/>
          <w:szCs w:val="28"/>
        </w:rPr>
        <w:t xml:space="preserve">Social media </w:t>
      </w:r>
      <w:proofErr w:type="spellStart"/>
      <w:r w:rsidR="0095713B" w:rsidRPr="00A33881">
        <w:rPr>
          <w:i/>
          <w:iCs/>
          <w:sz w:val="28"/>
          <w:szCs w:val="28"/>
        </w:rPr>
        <w:t>discussion</w:t>
      </w:r>
      <w:proofErr w:type="spellEnd"/>
      <w:r w:rsidR="0095713B" w:rsidRPr="00A33881">
        <w:rPr>
          <w:i/>
          <w:iCs/>
          <w:sz w:val="28"/>
          <w:szCs w:val="28"/>
        </w:rPr>
        <w:t xml:space="preserve"> </w:t>
      </w:r>
      <w:proofErr w:type="spellStart"/>
      <w:r w:rsidR="0095713B" w:rsidRPr="00A33881">
        <w:rPr>
          <w:i/>
          <w:iCs/>
          <w:sz w:val="28"/>
          <w:szCs w:val="28"/>
        </w:rPr>
        <w:t>paper</w:t>
      </w:r>
      <w:proofErr w:type="spellEnd"/>
      <w:r w:rsidR="0095713B" w:rsidRPr="003400F1">
        <w:rPr>
          <w:sz w:val="28"/>
          <w:szCs w:val="28"/>
        </w:rPr>
        <w:t>”</w:t>
      </w:r>
      <w:r>
        <w:rPr>
          <w:sz w:val="28"/>
          <w:szCs w:val="28"/>
        </w:rPr>
        <w:t>,</w:t>
      </w:r>
      <w:r w:rsidR="0095713B" w:rsidRPr="003400F1">
        <w:rPr>
          <w:sz w:val="28"/>
          <w:szCs w:val="28"/>
        </w:rPr>
        <w:t xml:space="preserve"> rilasciato dall’</w:t>
      </w:r>
      <w:r w:rsidR="00D36351">
        <w:rPr>
          <w:sz w:val="28"/>
          <w:szCs w:val="28"/>
        </w:rPr>
        <w:t>Ufficio dell’UE per la Proprietà Intellettuale (EUIPO)</w:t>
      </w:r>
      <w:r>
        <w:rPr>
          <w:sz w:val="28"/>
          <w:szCs w:val="28"/>
        </w:rPr>
        <w:t>,</w:t>
      </w:r>
      <w:r w:rsidR="0095713B" w:rsidRPr="003400F1">
        <w:rPr>
          <w:sz w:val="28"/>
          <w:szCs w:val="28"/>
        </w:rPr>
        <w:t xml:space="preserve"> </w:t>
      </w:r>
      <w:r>
        <w:rPr>
          <w:sz w:val="28"/>
          <w:szCs w:val="28"/>
        </w:rPr>
        <w:t>il quale</w:t>
      </w:r>
      <w:r w:rsidR="0095713B" w:rsidRPr="003400F1">
        <w:rPr>
          <w:sz w:val="28"/>
          <w:szCs w:val="28"/>
        </w:rPr>
        <w:t xml:space="preserve"> ha </w:t>
      </w:r>
      <w:r>
        <w:rPr>
          <w:sz w:val="28"/>
          <w:szCs w:val="28"/>
        </w:rPr>
        <w:t xml:space="preserve">evidenziato ed esaminato </w:t>
      </w:r>
      <w:r w:rsidR="0095713B" w:rsidRPr="003400F1">
        <w:rPr>
          <w:sz w:val="28"/>
          <w:szCs w:val="28"/>
        </w:rPr>
        <w:t xml:space="preserve">le violazioni di diritti IP </w:t>
      </w:r>
      <w:r>
        <w:rPr>
          <w:sz w:val="28"/>
          <w:szCs w:val="28"/>
        </w:rPr>
        <w:t>in cui è possibile incorrere</w:t>
      </w:r>
      <w:r w:rsidR="0095713B" w:rsidRPr="003400F1">
        <w:rPr>
          <w:sz w:val="28"/>
          <w:szCs w:val="28"/>
        </w:rPr>
        <w:t xml:space="preserve"> attraverso l’utilizzo dei </w:t>
      </w:r>
      <w:r w:rsidR="0095713B" w:rsidRPr="00A33881">
        <w:rPr>
          <w:i/>
          <w:iCs/>
          <w:sz w:val="28"/>
          <w:szCs w:val="28"/>
        </w:rPr>
        <w:t>social media</w:t>
      </w:r>
      <w:r w:rsidR="001978F4">
        <w:rPr>
          <w:sz w:val="28"/>
          <w:szCs w:val="28"/>
        </w:rPr>
        <w:t>; c</w:t>
      </w:r>
      <w:r>
        <w:rPr>
          <w:sz w:val="28"/>
          <w:szCs w:val="28"/>
        </w:rPr>
        <w:t>ontestualmente, è stata</w:t>
      </w:r>
      <w:r w:rsidR="0095713B" w:rsidRPr="003400F1">
        <w:rPr>
          <w:sz w:val="28"/>
          <w:szCs w:val="28"/>
        </w:rPr>
        <w:t xml:space="preserve"> </w:t>
      </w:r>
      <w:r>
        <w:rPr>
          <w:sz w:val="28"/>
          <w:szCs w:val="28"/>
        </w:rPr>
        <w:t xml:space="preserve">suggerita </w:t>
      </w:r>
      <w:r w:rsidR="0095713B" w:rsidRPr="003400F1">
        <w:rPr>
          <w:sz w:val="28"/>
          <w:szCs w:val="28"/>
        </w:rPr>
        <w:t xml:space="preserve">l’adozione di alcune </w:t>
      </w:r>
      <w:proofErr w:type="spellStart"/>
      <w:r w:rsidRPr="00A33881">
        <w:rPr>
          <w:i/>
          <w:iCs/>
          <w:sz w:val="28"/>
          <w:szCs w:val="28"/>
        </w:rPr>
        <w:t>good</w:t>
      </w:r>
      <w:proofErr w:type="spellEnd"/>
      <w:r w:rsidRPr="00A33881">
        <w:rPr>
          <w:i/>
          <w:iCs/>
          <w:sz w:val="28"/>
          <w:szCs w:val="28"/>
        </w:rPr>
        <w:t xml:space="preserve"> </w:t>
      </w:r>
      <w:proofErr w:type="spellStart"/>
      <w:r w:rsidRPr="00A33881">
        <w:rPr>
          <w:i/>
          <w:iCs/>
          <w:sz w:val="28"/>
          <w:szCs w:val="28"/>
        </w:rPr>
        <w:t>practice</w:t>
      </w:r>
      <w:r>
        <w:rPr>
          <w:i/>
          <w:iCs/>
          <w:sz w:val="28"/>
          <w:szCs w:val="28"/>
        </w:rPr>
        <w:t>s</w:t>
      </w:r>
      <w:proofErr w:type="spellEnd"/>
      <w:r w:rsidR="0095713B" w:rsidRPr="003400F1">
        <w:rPr>
          <w:sz w:val="28"/>
          <w:szCs w:val="28"/>
        </w:rPr>
        <w:t xml:space="preserve"> </w:t>
      </w:r>
      <w:r w:rsidR="001978F4">
        <w:rPr>
          <w:sz w:val="28"/>
          <w:szCs w:val="28"/>
        </w:rPr>
        <w:t xml:space="preserve">allo scopo di </w:t>
      </w:r>
      <w:r w:rsidR="0095713B" w:rsidRPr="003400F1">
        <w:rPr>
          <w:sz w:val="28"/>
          <w:szCs w:val="28"/>
        </w:rPr>
        <w:t>impedire</w:t>
      </w:r>
      <w:r w:rsidR="001978F4">
        <w:rPr>
          <w:sz w:val="28"/>
          <w:szCs w:val="28"/>
        </w:rPr>
        <w:t xml:space="preserve"> – o </w:t>
      </w:r>
      <w:r w:rsidR="0095713B" w:rsidRPr="003400F1">
        <w:rPr>
          <w:sz w:val="28"/>
          <w:szCs w:val="28"/>
        </w:rPr>
        <w:t xml:space="preserve">quantomeno </w:t>
      </w:r>
      <w:r w:rsidR="001978F4">
        <w:rPr>
          <w:sz w:val="28"/>
          <w:szCs w:val="28"/>
        </w:rPr>
        <w:t>arginare</w:t>
      </w:r>
      <w:r w:rsidR="0095713B" w:rsidRPr="003400F1">
        <w:rPr>
          <w:sz w:val="28"/>
          <w:szCs w:val="28"/>
        </w:rPr>
        <w:t xml:space="preserve"> </w:t>
      </w:r>
      <w:r w:rsidR="001978F4">
        <w:rPr>
          <w:sz w:val="28"/>
          <w:szCs w:val="28"/>
        </w:rPr>
        <w:t xml:space="preserve">– </w:t>
      </w:r>
      <w:r w:rsidR="0095713B" w:rsidRPr="003400F1">
        <w:rPr>
          <w:sz w:val="28"/>
          <w:szCs w:val="28"/>
        </w:rPr>
        <w:t xml:space="preserve">gli effetti negativi </w:t>
      </w:r>
      <w:r w:rsidR="001978F4">
        <w:rPr>
          <w:sz w:val="28"/>
          <w:szCs w:val="28"/>
        </w:rPr>
        <w:t>che ne potrebbero derivare.</w:t>
      </w:r>
    </w:p>
    <w:p w14:paraId="71630ABF" w14:textId="36F7A76E" w:rsidR="001978F4" w:rsidRPr="003400F1" w:rsidRDefault="001978F4" w:rsidP="009D2B44">
      <w:pPr>
        <w:pStyle w:val="NormaleWeb"/>
        <w:snapToGrid w:val="0"/>
        <w:spacing w:before="0" w:beforeAutospacing="0" w:after="0" w:afterAutospacing="0"/>
        <w:jc w:val="both"/>
        <w:rPr>
          <w:sz w:val="28"/>
          <w:szCs w:val="28"/>
        </w:rPr>
      </w:pPr>
      <w:r>
        <w:rPr>
          <w:sz w:val="28"/>
          <w:szCs w:val="28"/>
        </w:rPr>
        <w:t>Anche la Corte di Giustizia è intervenuta sul tema relativo alle</w:t>
      </w:r>
      <w:r w:rsidR="0095713B" w:rsidRPr="003400F1">
        <w:rPr>
          <w:sz w:val="28"/>
          <w:szCs w:val="28"/>
        </w:rPr>
        <w:t xml:space="preserve"> regole procedurali applicabili nel caso di azioni civili promosse per la contraffazione di marchi europei e nazionali, </w:t>
      </w:r>
      <w:r>
        <w:rPr>
          <w:sz w:val="28"/>
          <w:szCs w:val="28"/>
        </w:rPr>
        <w:t>in cui siano parti</w:t>
      </w:r>
      <w:r w:rsidR="0095713B" w:rsidRPr="003400F1">
        <w:rPr>
          <w:sz w:val="28"/>
          <w:szCs w:val="28"/>
        </w:rPr>
        <w:t xml:space="preserve"> due o più Stati Membri.</w:t>
      </w:r>
    </w:p>
    <w:p w14:paraId="24F69CAB" w14:textId="3BD2EBCF" w:rsidR="0095713B" w:rsidRDefault="001978F4" w:rsidP="009D2B44">
      <w:pPr>
        <w:pStyle w:val="NormaleWeb"/>
        <w:spacing w:before="0" w:beforeAutospacing="0" w:after="0" w:afterAutospacing="0"/>
        <w:jc w:val="both"/>
        <w:rPr>
          <w:sz w:val="28"/>
          <w:szCs w:val="28"/>
        </w:rPr>
      </w:pPr>
      <w:r>
        <w:rPr>
          <w:sz w:val="28"/>
          <w:szCs w:val="28"/>
        </w:rPr>
        <w:t xml:space="preserve">Non è una novità, dunque, che l’avanzare dell’utilizzo </w:t>
      </w:r>
      <w:r w:rsidR="0095713B" w:rsidRPr="003400F1">
        <w:rPr>
          <w:sz w:val="28"/>
          <w:szCs w:val="28"/>
        </w:rPr>
        <w:t xml:space="preserve">di Internet, e soprattutto </w:t>
      </w:r>
      <w:r w:rsidR="0051559F">
        <w:rPr>
          <w:sz w:val="28"/>
          <w:szCs w:val="28"/>
        </w:rPr>
        <w:t xml:space="preserve">la diffusione </w:t>
      </w:r>
      <w:r w:rsidR="0095713B" w:rsidRPr="003400F1">
        <w:rPr>
          <w:sz w:val="28"/>
          <w:szCs w:val="28"/>
        </w:rPr>
        <w:t xml:space="preserve">dei </w:t>
      </w:r>
      <w:r w:rsidR="0095713B" w:rsidRPr="0051559F">
        <w:rPr>
          <w:i/>
          <w:iCs/>
          <w:sz w:val="28"/>
          <w:szCs w:val="28"/>
        </w:rPr>
        <w:t>social network</w:t>
      </w:r>
      <w:r w:rsidR="0095713B" w:rsidRPr="003400F1">
        <w:rPr>
          <w:sz w:val="28"/>
          <w:szCs w:val="28"/>
        </w:rPr>
        <w:t xml:space="preserve">, </w:t>
      </w:r>
      <w:r w:rsidR="0051559F">
        <w:rPr>
          <w:sz w:val="28"/>
          <w:szCs w:val="28"/>
        </w:rPr>
        <w:t xml:space="preserve">stiano modificando, </w:t>
      </w:r>
      <w:r w:rsidR="0095713B" w:rsidRPr="003400F1">
        <w:rPr>
          <w:sz w:val="28"/>
          <w:szCs w:val="28"/>
        </w:rPr>
        <w:t>rivoluziona</w:t>
      </w:r>
      <w:r w:rsidR="0051559F">
        <w:rPr>
          <w:sz w:val="28"/>
          <w:szCs w:val="28"/>
        </w:rPr>
        <w:t>ndolo del tutto,</w:t>
      </w:r>
      <w:r w:rsidR="0095713B" w:rsidRPr="003400F1">
        <w:rPr>
          <w:sz w:val="28"/>
          <w:szCs w:val="28"/>
        </w:rPr>
        <w:t xml:space="preserve"> il mondo della pubblicità e</w:t>
      </w:r>
      <w:r w:rsidR="00AA154B" w:rsidRPr="003400F1">
        <w:rPr>
          <w:sz w:val="28"/>
          <w:szCs w:val="28"/>
        </w:rPr>
        <w:t xml:space="preserve"> </w:t>
      </w:r>
      <w:r w:rsidR="0095713B" w:rsidRPr="003400F1">
        <w:rPr>
          <w:sz w:val="28"/>
          <w:szCs w:val="28"/>
        </w:rPr>
        <w:t>della tutela dei marchi.</w:t>
      </w:r>
    </w:p>
    <w:p w14:paraId="25AD265D" w14:textId="77777777" w:rsidR="0051559F" w:rsidRPr="003400F1" w:rsidRDefault="0051559F" w:rsidP="001978F4">
      <w:pPr>
        <w:pStyle w:val="NormaleWeb"/>
        <w:spacing w:before="0" w:beforeAutospacing="0" w:after="0" w:afterAutospacing="0"/>
        <w:jc w:val="both"/>
        <w:rPr>
          <w:sz w:val="28"/>
          <w:szCs w:val="28"/>
        </w:rPr>
      </w:pPr>
    </w:p>
    <w:p w14:paraId="3A216A7B" w14:textId="77777777" w:rsidR="00D36351" w:rsidRDefault="00320F10" w:rsidP="001978F4">
      <w:pPr>
        <w:pStyle w:val="NormaleWeb"/>
        <w:spacing w:before="0" w:beforeAutospacing="0" w:after="0" w:afterAutospacing="0"/>
        <w:jc w:val="both"/>
        <w:rPr>
          <w:sz w:val="28"/>
          <w:szCs w:val="28"/>
        </w:rPr>
      </w:pPr>
      <w:r>
        <w:rPr>
          <w:sz w:val="28"/>
          <w:szCs w:val="28"/>
        </w:rPr>
        <w:t>Anzitutto</w:t>
      </w:r>
      <w:r w:rsidR="0095713B" w:rsidRPr="003400F1">
        <w:rPr>
          <w:sz w:val="28"/>
          <w:szCs w:val="28"/>
        </w:rPr>
        <w:t xml:space="preserve">, </w:t>
      </w:r>
      <w:r>
        <w:rPr>
          <w:sz w:val="28"/>
          <w:szCs w:val="28"/>
        </w:rPr>
        <w:t>è necessario</w:t>
      </w:r>
      <w:r w:rsidR="0095713B" w:rsidRPr="003400F1">
        <w:rPr>
          <w:sz w:val="28"/>
          <w:szCs w:val="28"/>
        </w:rPr>
        <w:t xml:space="preserve"> </w:t>
      </w:r>
      <w:r>
        <w:rPr>
          <w:sz w:val="28"/>
          <w:szCs w:val="28"/>
        </w:rPr>
        <w:t>volgere lo sguardo</w:t>
      </w:r>
      <w:r w:rsidR="0095713B" w:rsidRPr="003400F1">
        <w:rPr>
          <w:sz w:val="28"/>
          <w:szCs w:val="28"/>
        </w:rPr>
        <w:t xml:space="preserve"> </w:t>
      </w:r>
      <w:r>
        <w:rPr>
          <w:sz w:val="28"/>
          <w:szCs w:val="28"/>
        </w:rPr>
        <w:t>alle</w:t>
      </w:r>
      <w:r w:rsidR="0095713B" w:rsidRPr="003400F1">
        <w:rPr>
          <w:sz w:val="28"/>
          <w:szCs w:val="28"/>
        </w:rPr>
        <w:t xml:space="preserve"> problematiche </w:t>
      </w:r>
      <w:r>
        <w:rPr>
          <w:sz w:val="28"/>
          <w:szCs w:val="28"/>
        </w:rPr>
        <w:t>poste dalla</w:t>
      </w:r>
      <w:r w:rsidR="0095713B" w:rsidRPr="003400F1">
        <w:rPr>
          <w:sz w:val="28"/>
          <w:szCs w:val="28"/>
        </w:rPr>
        <w:t xml:space="preserve"> pubblicità occulta e d</w:t>
      </w:r>
      <w:r>
        <w:rPr>
          <w:sz w:val="28"/>
          <w:szCs w:val="28"/>
        </w:rPr>
        <w:t>a</w:t>
      </w:r>
      <w:r w:rsidR="0095713B" w:rsidRPr="003400F1">
        <w:rPr>
          <w:sz w:val="28"/>
          <w:szCs w:val="28"/>
        </w:rPr>
        <w:t>lla tutela de</w:t>
      </w:r>
      <w:r>
        <w:rPr>
          <w:sz w:val="28"/>
          <w:szCs w:val="28"/>
        </w:rPr>
        <w:t>gli utenti-</w:t>
      </w:r>
      <w:r w:rsidR="0095713B" w:rsidRPr="003400F1">
        <w:rPr>
          <w:sz w:val="28"/>
          <w:szCs w:val="28"/>
        </w:rPr>
        <w:t xml:space="preserve">consumatori. </w:t>
      </w:r>
    </w:p>
    <w:p w14:paraId="23E516AD" w14:textId="701D9671" w:rsidR="0095713B" w:rsidRPr="0095713B" w:rsidRDefault="00320F10" w:rsidP="001978F4">
      <w:pPr>
        <w:pStyle w:val="NormaleWeb"/>
        <w:spacing w:before="0" w:beforeAutospacing="0" w:after="0" w:afterAutospacing="0"/>
        <w:jc w:val="both"/>
        <w:rPr>
          <w:sz w:val="28"/>
          <w:szCs w:val="28"/>
        </w:rPr>
      </w:pPr>
      <w:r>
        <w:rPr>
          <w:sz w:val="28"/>
          <w:szCs w:val="28"/>
        </w:rPr>
        <w:t>Nel</w:t>
      </w:r>
      <w:r w:rsidR="0095713B" w:rsidRPr="003400F1">
        <w:rPr>
          <w:sz w:val="28"/>
          <w:szCs w:val="28"/>
        </w:rPr>
        <w:t xml:space="preserve"> nostro ordinamento</w:t>
      </w:r>
      <w:r>
        <w:rPr>
          <w:sz w:val="28"/>
          <w:szCs w:val="28"/>
        </w:rPr>
        <w:t>, è</w:t>
      </w:r>
      <w:r w:rsidR="0095713B" w:rsidRPr="003400F1">
        <w:rPr>
          <w:sz w:val="28"/>
          <w:szCs w:val="28"/>
        </w:rPr>
        <w:t xml:space="preserve"> in particolare il Codice del Consumo</w:t>
      </w:r>
      <w:r>
        <w:rPr>
          <w:sz w:val="28"/>
          <w:szCs w:val="28"/>
        </w:rPr>
        <w:t xml:space="preserve"> a </w:t>
      </w:r>
      <w:r w:rsidR="00651811">
        <w:rPr>
          <w:sz w:val="28"/>
          <w:szCs w:val="28"/>
        </w:rPr>
        <w:t>fornire le direttive</w:t>
      </w:r>
      <w:r w:rsidR="0095713B" w:rsidRPr="003400F1">
        <w:rPr>
          <w:sz w:val="28"/>
          <w:szCs w:val="28"/>
        </w:rPr>
        <w:t xml:space="preserve"> </w:t>
      </w:r>
      <w:r>
        <w:rPr>
          <w:sz w:val="28"/>
          <w:szCs w:val="28"/>
        </w:rPr>
        <w:t>che devono essere seguite</w:t>
      </w:r>
      <w:r w:rsidR="0095713B" w:rsidRPr="003400F1">
        <w:rPr>
          <w:sz w:val="28"/>
          <w:szCs w:val="28"/>
        </w:rPr>
        <w:t xml:space="preserve"> nell’ambito delle attività pubblicitarie. </w:t>
      </w:r>
      <w:r w:rsidR="00651811">
        <w:rPr>
          <w:sz w:val="28"/>
          <w:szCs w:val="28"/>
        </w:rPr>
        <w:t>Le regole ivi contenute, infatti, tutelano il consumatore tramite la predisposizione di norme finalizzate</w:t>
      </w:r>
      <w:r w:rsidR="0095713B" w:rsidRPr="003400F1">
        <w:rPr>
          <w:sz w:val="28"/>
          <w:szCs w:val="28"/>
        </w:rPr>
        <w:t xml:space="preserve"> a garantire la massima trasparenza</w:t>
      </w:r>
      <w:r w:rsidR="00651811">
        <w:rPr>
          <w:sz w:val="28"/>
          <w:szCs w:val="28"/>
        </w:rPr>
        <w:t>; è necessario, come prima cosa,</w:t>
      </w:r>
      <w:r w:rsidR="0095713B" w:rsidRPr="003400F1">
        <w:rPr>
          <w:sz w:val="28"/>
          <w:szCs w:val="28"/>
        </w:rPr>
        <w:t xml:space="preserve"> </w:t>
      </w:r>
      <w:r w:rsidR="00651811">
        <w:rPr>
          <w:sz w:val="28"/>
          <w:szCs w:val="28"/>
        </w:rPr>
        <w:t>assicurarsi</w:t>
      </w:r>
      <w:r w:rsidR="0095713B" w:rsidRPr="0095713B">
        <w:rPr>
          <w:sz w:val="28"/>
          <w:szCs w:val="28"/>
        </w:rPr>
        <w:t xml:space="preserve"> che il destinatario del messaggio pubblicitario sia </w:t>
      </w:r>
      <w:r w:rsidR="00651811">
        <w:rPr>
          <w:sz w:val="28"/>
          <w:szCs w:val="28"/>
        </w:rPr>
        <w:t xml:space="preserve">posto nella facoltà </w:t>
      </w:r>
      <w:r w:rsidR="0095713B" w:rsidRPr="0095713B">
        <w:rPr>
          <w:sz w:val="28"/>
          <w:szCs w:val="28"/>
        </w:rPr>
        <w:t xml:space="preserve">di </w:t>
      </w:r>
      <w:r w:rsidR="00651811">
        <w:rPr>
          <w:sz w:val="28"/>
          <w:szCs w:val="28"/>
        </w:rPr>
        <w:t>discernere</w:t>
      </w:r>
      <w:r w:rsidR="0095713B" w:rsidRPr="0095713B">
        <w:rPr>
          <w:sz w:val="28"/>
          <w:szCs w:val="28"/>
        </w:rPr>
        <w:t xml:space="preserve"> la natura commerciale d</w:t>
      </w:r>
      <w:r w:rsidR="00651811">
        <w:rPr>
          <w:sz w:val="28"/>
          <w:szCs w:val="28"/>
        </w:rPr>
        <w:t xml:space="preserve">i una data </w:t>
      </w:r>
      <w:r w:rsidR="0095713B" w:rsidRPr="0095713B">
        <w:rPr>
          <w:sz w:val="28"/>
          <w:szCs w:val="28"/>
        </w:rPr>
        <w:t xml:space="preserve">comunicazione, attraverso l’inserimento di appositi </w:t>
      </w:r>
      <w:proofErr w:type="spellStart"/>
      <w:r w:rsidR="0095713B" w:rsidRPr="00651811">
        <w:rPr>
          <w:i/>
          <w:iCs/>
          <w:sz w:val="28"/>
          <w:szCs w:val="28"/>
        </w:rPr>
        <w:t>disclaimer</w:t>
      </w:r>
      <w:proofErr w:type="spellEnd"/>
      <w:r w:rsidR="0095713B" w:rsidRPr="0095713B">
        <w:rPr>
          <w:sz w:val="28"/>
          <w:szCs w:val="28"/>
        </w:rPr>
        <w:t>.</w:t>
      </w:r>
    </w:p>
    <w:p w14:paraId="4DD7E5EE" w14:textId="284BEF34" w:rsidR="008B2C8E" w:rsidRPr="0095713B" w:rsidRDefault="00651811" w:rsidP="001978F4">
      <w:pPr>
        <w:pStyle w:val="NormaleWeb"/>
        <w:spacing w:before="0" w:beforeAutospacing="0" w:after="0" w:afterAutospacing="0"/>
        <w:jc w:val="both"/>
        <w:rPr>
          <w:sz w:val="28"/>
          <w:szCs w:val="28"/>
        </w:rPr>
      </w:pPr>
      <w:r>
        <w:rPr>
          <w:sz w:val="28"/>
          <w:szCs w:val="28"/>
        </w:rPr>
        <w:t xml:space="preserve">Per </w:t>
      </w:r>
      <w:r w:rsidR="0095713B" w:rsidRPr="0095713B">
        <w:rPr>
          <w:sz w:val="28"/>
          <w:szCs w:val="28"/>
        </w:rPr>
        <w:t>applica</w:t>
      </w:r>
      <w:r>
        <w:rPr>
          <w:sz w:val="28"/>
          <w:szCs w:val="28"/>
        </w:rPr>
        <w:t>re</w:t>
      </w:r>
      <w:r w:rsidR="0095713B" w:rsidRPr="0095713B">
        <w:rPr>
          <w:sz w:val="28"/>
          <w:szCs w:val="28"/>
        </w:rPr>
        <w:t xml:space="preserve"> </w:t>
      </w:r>
      <w:r>
        <w:rPr>
          <w:sz w:val="28"/>
          <w:szCs w:val="28"/>
        </w:rPr>
        <w:t>questa</w:t>
      </w:r>
      <w:r w:rsidR="0095713B" w:rsidRPr="0095713B">
        <w:rPr>
          <w:sz w:val="28"/>
          <w:szCs w:val="28"/>
        </w:rPr>
        <w:t xml:space="preserve"> disciplina </w:t>
      </w:r>
      <w:r>
        <w:rPr>
          <w:sz w:val="28"/>
          <w:szCs w:val="28"/>
        </w:rPr>
        <w:t>è stato inevitabile un confronto</w:t>
      </w:r>
      <w:r w:rsidR="0095713B" w:rsidRPr="0095713B">
        <w:rPr>
          <w:sz w:val="28"/>
          <w:szCs w:val="28"/>
        </w:rPr>
        <w:t xml:space="preserve"> con l’evoluzione delle tecnologie e dei mezzi</w:t>
      </w:r>
      <w:r w:rsidR="00AA154B">
        <w:rPr>
          <w:sz w:val="28"/>
          <w:szCs w:val="28"/>
        </w:rPr>
        <w:t xml:space="preserve"> </w:t>
      </w:r>
      <w:r w:rsidR="0095713B" w:rsidRPr="0095713B">
        <w:rPr>
          <w:sz w:val="28"/>
          <w:szCs w:val="28"/>
        </w:rPr>
        <w:t xml:space="preserve">di comunicazione, dapprima con riferimento alle opere audiovisive e, da ultimo, ai </w:t>
      </w:r>
      <w:r w:rsidR="0095713B" w:rsidRPr="00651811">
        <w:rPr>
          <w:i/>
          <w:iCs/>
          <w:sz w:val="28"/>
          <w:szCs w:val="28"/>
        </w:rPr>
        <w:t>social network</w:t>
      </w:r>
      <w:r w:rsidR="0095713B" w:rsidRPr="0095713B">
        <w:rPr>
          <w:sz w:val="28"/>
          <w:szCs w:val="28"/>
        </w:rPr>
        <w:t>.</w:t>
      </w:r>
    </w:p>
    <w:p w14:paraId="270AE7F2" w14:textId="250813C1" w:rsidR="008B2C8E" w:rsidRDefault="008B2C8E" w:rsidP="001978F4">
      <w:pPr>
        <w:pStyle w:val="NormaleWeb"/>
        <w:spacing w:before="0" w:beforeAutospacing="0" w:after="0" w:afterAutospacing="0"/>
        <w:jc w:val="both"/>
        <w:rPr>
          <w:sz w:val="28"/>
          <w:szCs w:val="28"/>
        </w:rPr>
      </w:pPr>
      <w:r>
        <w:rPr>
          <w:sz w:val="28"/>
          <w:szCs w:val="28"/>
        </w:rPr>
        <w:t>Per quanto riguarda</w:t>
      </w:r>
      <w:r w:rsidR="0095713B" w:rsidRPr="0095713B">
        <w:rPr>
          <w:sz w:val="28"/>
          <w:szCs w:val="28"/>
        </w:rPr>
        <w:t xml:space="preserve"> quest’ultimo profilo, </w:t>
      </w:r>
      <w:r>
        <w:rPr>
          <w:sz w:val="28"/>
          <w:szCs w:val="28"/>
        </w:rPr>
        <w:t xml:space="preserve">con </w:t>
      </w:r>
      <w:r w:rsidR="0095713B" w:rsidRPr="001A0472">
        <w:rPr>
          <w:sz w:val="28"/>
          <w:szCs w:val="28"/>
        </w:rPr>
        <w:t>l’espressione “</w:t>
      </w:r>
      <w:proofErr w:type="spellStart"/>
      <w:r w:rsidR="0095713B" w:rsidRPr="001A0472">
        <w:rPr>
          <w:i/>
          <w:iCs/>
          <w:sz w:val="28"/>
          <w:szCs w:val="28"/>
        </w:rPr>
        <w:t>influencer</w:t>
      </w:r>
      <w:proofErr w:type="spellEnd"/>
      <w:r w:rsidR="0095713B" w:rsidRPr="001A0472">
        <w:rPr>
          <w:i/>
          <w:iCs/>
          <w:sz w:val="28"/>
          <w:szCs w:val="28"/>
        </w:rPr>
        <w:t xml:space="preserve"> marketing</w:t>
      </w:r>
      <w:r w:rsidR="0095713B" w:rsidRPr="001A0472">
        <w:rPr>
          <w:sz w:val="28"/>
          <w:szCs w:val="28"/>
        </w:rPr>
        <w:t>”</w:t>
      </w:r>
      <w:r w:rsidR="00E36D08">
        <w:rPr>
          <w:rStyle w:val="Rimandonotaapidipagina"/>
          <w:sz w:val="28"/>
          <w:szCs w:val="28"/>
        </w:rPr>
        <w:footnoteReference w:id="181"/>
      </w:r>
      <w:r>
        <w:rPr>
          <w:sz w:val="28"/>
          <w:szCs w:val="28"/>
        </w:rPr>
        <w:t xml:space="preserve"> </w:t>
      </w:r>
      <w:r w:rsidR="0095713B" w:rsidRPr="0095713B">
        <w:rPr>
          <w:sz w:val="28"/>
          <w:szCs w:val="28"/>
        </w:rPr>
        <w:t xml:space="preserve">si </w:t>
      </w:r>
      <w:r>
        <w:rPr>
          <w:sz w:val="28"/>
          <w:szCs w:val="28"/>
        </w:rPr>
        <w:t>intende</w:t>
      </w:r>
      <w:r w:rsidR="0095713B" w:rsidRPr="0095713B">
        <w:rPr>
          <w:sz w:val="28"/>
          <w:szCs w:val="28"/>
        </w:rPr>
        <w:t xml:space="preserve"> – secondo una definizione condivisa dall’Autorità Garante per la Concorrenza e per il Mercato</w:t>
      </w:r>
      <w:r>
        <w:rPr>
          <w:sz w:val="28"/>
          <w:szCs w:val="28"/>
        </w:rPr>
        <w:t xml:space="preserve"> – </w:t>
      </w:r>
      <w:r w:rsidR="0095713B" w:rsidRPr="0095713B">
        <w:rPr>
          <w:sz w:val="28"/>
          <w:szCs w:val="28"/>
        </w:rPr>
        <w:t>“</w:t>
      </w:r>
      <w:r w:rsidR="0095713B" w:rsidRPr="008B2C8E">
        <w:rPr>
          <w:i/>
          <w:iCs/>
          <w:sz w:val="28"/>
          <w:szCs w:val="28"/>
        </w:rPr>
        <w:t xml:space="preserve">una modalità consolidata di comunicazione, </w:t>
      </w:r>
      <w:r w:rsidR="0095713B" w:rsidRPr="008B2C8E">
        <w:rPr>
          <w:i/>
          <w:iCs/>
          <w:sz w:val="28"/>
          <w:szCs w:val="28"/>
        </w:rPr>
        <w:lastRenderedPageBreak/>
        <w:t xml:space="preserve">consistente nella diffusione su blog, </w:t>
      </w:r>
      <w:proofErr w:type="spellStart"/>
      <w:r w:rsidR="0095713B" w:rsidRPr="008B2C8E">
        <w:rPr>
          <w:i/>
          <w:iCs/>
          <w:sz w:val="28"/>
          <w:szCs w:val="28"/>
        </w:rPr>
        <w:t>vlog</w:t>
      </w:r>
      <w:proofErr w:type="spellEnd"/>
      <w:r w:rsidR="0095713B" w:rsidRPr="008B2C8E">
        <w:rPr>
          <w:i/>
          <w:iCs/>
          <w:sz w:val="28"/>
          <w:szCs w:val="28"/>
        </w:rPr>
        <w:t xml:space="preserve"> e social network (come </w:t>
      </w:r>
      <w:proofErr w:type="spellStart"/>
      <w:r w:rsidR="0095713B" w:rsidRPr="008B2C8E">
        <w:rPr>
          <w:i/>
          <w:iCs/>
          <w:sz w:val="28"/>
          <w:szCs w:val="28"/>
        </w:rPr>
        <w:t>Facebook</w:t>
      </w:r>
      <w:proofErr w:type="spellEnd"/>
      <w:r w:rsidR="0095713B" w:rsidRPr="008B2C8E">
        <w:rPr>
          <w:i/>
          <w:iCs/>
          <w:sz w:val="28"/>
          <w:szCs w:val="28"/>
        </w:rPr>
        <w:t xml:space="preserve">, Instagram, </w:t>
      </w:r>
      <w:proofErr w:type="spellStart"/>
      <w:r w:rsidR="0095713B" w:rsidRPr="008B2C8E">
        <w:rPr>
          <w:i/>
          <w:iCs/>
          <w:sz w:val="28"/>
          <w:szCs w:val="28"/>
        </w:rPr>
        <w:t>Twitter</w:t>
      </w:r>
      <w:proofErr w:type="spellEnd"/>
      <w:r w:rsidR="0095713B" w:rsidRPr="008B2C8E">
        <w:rPr>
          <w:i/>
          <w:iCs/>
          <w:sz w:val="28"/>
          <w:szCs w:val="28"/>
        </w:rPr>
        <w:t xml:space="preserve">, </w:t>
      </w:r>
      <w:proofErr w:type="spellStart"/>
      <w:r w:rsidR="0095713B" w:rsidRPr="008B2C8E">
        <w:rPr>
          <w:i/>
          <w:iCs/>
          <w:sz w:val="28"/>
          <w:szCs w:val="28"/>
        </w:rPr>
        <w:t>YouTube</w:t>
      </w:r>
      <w:proofErr w:type="spellEnd"/>
      <w:r w:rsidR="0095713B" w:rsidRPr="008B2C8E">
        <w:rPr>
          <w:i/>
          <w:iCs/>
          <w:sz w:val="28"/>
          <w:szCs w:val="28"/>
        </w:rPr>
        <w:t xml:space="preserve">, </w:t>
      </w:r>
      <w:proofErr w:type="spellStart"/>
      <w:r w:rsidR="0095713B" w:rsidRPr="008B2C8E">
        <w:rPr>
          <w:i/>
          <w:iCs/>
          <w:sz w:val="28"/>
          <w:szCs w:val="28"/>
        </w:rPr>
        <w:t>Snapchat</w:t>
      </w:r>
      <w:proofErr w:type="spellEnd"/>
      <w:r w:rsidR="0095713B" w:rsidRPr="008B2C8E">
        <w:rPr>
          <w:i/>
          <w:iCs/>
          <w:sz w:val="28"/>
          <w:szCs w:val="28"/>
        </w:rPr>
        <w:t xml:space="preserve">, </w:t>
      </w:r>
      <w:proofErr w:type="spellStart"/>
      <w:r w:rsidR="0095713B" w:rsidRPr="008B2C8E">
        <w:rPr>
          <w:i/>
          <w:iCs/>
          <w:sz w:val="28"/>
          <w:szCs w:val="28"/>
        </w:rPr>
        <w:t>Myspace</w:t>
      </w:r>
      <w:proofErr w:type="spellEnd"/>
      <w:r w:rsidR="0095713B" w:rsidRPr="008B2C8E">
        <w:rPr>
          <w:i/>
          <w:iCs/>
          <w:sz w:val="28"/>
          <w:szCs w:val="28"/>
        </w:rPr>
        <w:t xml:space="preserve">) di foto, video e commenti da parte di blogger e </w:t>
      </w:r>
      <w:proofErr w:type="spellStart"/>
      <w:r w:rsidR="0095713B" w:rsidRPr="008B2C8E">
        <w:rPr>
          <w:i/>
          <w:iCs/>
          <w:sz w:val="28"/>
          <w:szCs w:val="28"/>
        </w:rPr>
        <w:t>influencer</w:t>
      </w:r>
      <w:proofErr w:type="spellEnd"/>
      <w:r w:rsidR="0095713B" w:rsidRPr="008B2C8E">
        <w:rPr>
          <w:i/>
          <w:iCs/>
          <w:sz w:val="28"/>
          <w:szCs w:val="28"/>
        </w:rPr>
        <w:t xml:space="preserve"> che mostrano sostegno o approvazione (</w:t>
      </w:r>
      <w:proofErr w:type="spellStart"/>
      <w:r w:rsidR="0095713B" w:rsidRPr="008B2C8E">
        <w:rPr>
          <w:i/>
          <w:iCs/>
          <w:sz w:val="28"/>
          <w:szCs w:val="28"/>
        </w:rPr>
        <w:t>endorsement</w:t>
      </w:r>
      <w:proofErr w:type="spellEnd"/>
      <w:r w:rsidR="0095713B" w:rsidRPr="008B2C8E">
        <w:rPr>
          <w:i/>
          <w:iCs/>
          <w:sz w:val="28"/>
          <w:szCs w:val="28"/>
        </w:rPr>
        <w:t>) per determinati brand, generando un effetto pubblicitario</w:t>
      </w:r>
      <w:r w:rsidR="0095713B" w:rsidRPr="0095713B">
        <w:rPr>
          <w:sz w:val="28"/>
          <w:szCs w:val="28"/>
        </w:rPr>
        <w:t xml:space="preserve">”. </w:t>
      </w:r>
    </w:p>
    <w:p w14:paraId="0013C3B3" w14:textId="77777777" w:rsidR="00D36351" w:rsidRDefault="008B2C8E" w:rsidP="009D2B44">
      <w:pPr>
        <w:pStyle w:val="NormaleWeb"/>
        <w:spacing w:before="0" w:beforeAutospacing="0" w:after="0" w:afterAutospacing="0"/>
        <w:jc w:val="both"/>
        <w:rPr>
          <w:sz w:val="28"/>
          <w:szCs w:val="28"/>
        </w:rPr>
      </w:pPr>
      <w:r>
        <w:rPr>
          <w:sz w:val="28"/>
          <w:szCs w:val="28"/>
        </w:rPr>
        <w:t xml:space="preserve">Differentemente dal </w:t>
      </w:r>
      <w:r w:rsidR="0095713B" w:rsidRPr="0095713B">
        <w:rPr>
          <w:sz w:val="28"/>
          <w:szCs w:val="28"/>
        </w:rPr>
        <w:t>caso dei tradizionali canali di pubblicità</w:t>
      </w:r>
      <w:r>
        <w:rPr>
          <w:sz w:val="28"/>
          <w:szCs w:val="28"/>
        </w:rPr>
        <w:t>, l</w:t>
      </w:r>
      <w:r w:rsidRPr="0095713B">
        <w:rPr>
          <w:sz w:val="28"/>
          <w:szCs w:val="28"/>
        </w:rPr>
        <w:t>’AGCM</w:t>
      </w:r>
      <w:r>
        <w:rPr>
          <w:sz w:val="28"/>
          <w:szCs w:val="28"/>
        </w:rPr>
        <w:t xml:space="preserve"> ha rilevato che </w:t>
      </w:r>
      <w:r w:rsidR="0095713B" w:rsidRPr="0095713B">
        <w:rPr>
          <w:sz w:val="28"/>
          <w:szCs w:val="28"/>
        </w:rPr>
        <w:t xml:space="preserve">la condivisione da parte degli </w:t>
      </w:r>
      <w:proofErr w:type="spellStart"/>
      <w:r w:rsidR="0095713B" w:rsidRPr="008B2C8E">
        <w:rPr>
          <w:i/>
          <w:iCs/>
          <w:sz w:val="28"/>
          <w:szCs w:val="28"/>
        </w:rPr>
        <w:t>influencer</w:t>
      </w:r>
      <w:proofErr w:type="spellEnd"/>
      <w:r w:rsidR="00492B3C">
        <w:rPr>
          <w:i/>
          <w:iCs/>
          <w:sz w:val="28"/>
          <w:szCs w:val="28"/>
        </w:rPr>
        <w:t>,</w:t>
      </w:r>
      <w:r w:rsidR="0095713B" w:rsidRPr="0095713B">
        <w:rPr>
          <w:sz w:val="28"/>
          <w:szCs w:val="28"/>
        </w:rPr>
        <w:t xml:space="preserve"> sul proprio profilo </w:t>
      </w:r>
      <w:r>
        <w:rPr>
          <w:sz w:val="28"/>
          <w:szCs w:val="28"/>
        </w:rPr>
        <w:t>privato</w:t>
      </w:r>
      <w:r w:rsidR="00492B3C">
        <w:rPr>
          <w:sz w:val="28"/>
          <w:szCs w:val="28"/>
        </w:rPr>
        <w:t>,</w:t>
      </w:r>
      <w:r w:rsidR="0095713B" w:rsidRPr="0095713B">
        <w:rPr>
          <w:sz w:val="28"/>
          <w:szCs w:val="28"/>
        </w:rPr>
        <w:t xml:space="preserve"> genera nel</w:t>
      </w:r>
      <w:r>
        <w:rPr>
          <w:sz w:val="28"/>
          <w:szCs w:val="28"/>
        </w:rPr>
        <w:t>l’utente-</w:t>
      </w:r>
      <w:r w:rsidR="0095713B" w:rsidRPr="0095713B">
        <w:rPr>
          <w:sz w:val="28"/>
          <w:szCs w:val="28"/>
        </w:rPr>
        <w:t xml:space="preserve">consumatore la sensazione di una maggiore credibilità del messaggio, </w:t>
      </w:r>
      <w:r>
        <w:rPr>
          <w:sz w:val="28"/>
          <w:szCs w:val="28"/>
        </w:rPr>
        <w:t>poiché</w:t>
      </w:r>
      <w:r w:rsidR="0095713B" w:rsidRPr="0095713B">
        <w:rPr>
          <w:sz w:val="28"/>
          <w:szCs w:val="28"/>
        </w:rPr>
        <w:t xml:space="preserve"> questo è inserito “</w:t>
      </w:r>
      <w:r w:rsidR="0095713B" w:rsidRPr="008B2C8E">
        <w:rPr>
          <w:i/>
          <w:iCs/>
          <w:sz w:val="28"/>
          <w:szCs w:val="28"/>
        </w:rPr>
        <w:t>in un flusso che dà l’impressione di una narrazione privata della quotidianità dell’</w:t>
      </w:r>
      <w:proofErr w:type="spellStart"/>
      <w:r w:rsidR="0095713B" w:rsidRPr="008B2C8E">
        <w:rPr>
          <w:i/>
          <w:iCs/>
          <w:sz w:val="28"/>
          <w:szCs w:val="28"/>
        </w:rPr>
        <w:t>influencer</w:t>
      </w:r>
      <w:proofErr w:type="spellEnd"/>
      <w:r w:rsidR="0095713B" w:rsidRPr="008B2C8E">
        <w:rPr>
          <w:i/>
          <w:iCs/>
          <w:sz w:val="28"/>
          <w:szCs w:val="28"/>
        </w:rPr>
        <w:t>, che coinvolge i destinatari nel proprio racconto</w:t>
      </w:r>
      <w:r w:rsidR="0095713B" w:rsidRPr="0095713B">
        <w:rPr>
          <w:sz w:val="28"/>
          <w:szCs w:val="28"/>
        </w:rPr>
        <w:t>”.</w:t>
      </w:r>
      <w:r w:rsidR="00492B3C">
        <w:rPr>
          <w:sz w:val="28"/>
          <w:szCs w:val="28"/>
        </w:rPr>
        <w:t xml:space="preserve"> </w:t>
      </w:r>
    </w:p>
    <w:p w14:paraId="2EFBD632" w14:textId="2EFECD39" w:rsidR="00492B3C" w:rsidRPr="0095713B" w:rsidRDefault="00492B3C" w:rsidP="009D2B44">
      <w:pPr>
        <w:pStyle w:val="NormaleWeb"/>
        <w:spacing w:before="0" w:beforeAutospacing="0" w:after="0" w:afterAutospacing="0"/>
        <w:jc w:val="both"/>
        <w:rPr>
          <w:sz w:val="28"/>
          <w:szCs w:val="28"/>
        </w:rPr>
      </w:pPr>
      <w:r>
        <w:rPr>
          <w:sz w:val="28"/>
          <w:szCs w:val="28"/>
        </w:rPr>
        <w:t>Il fenomeno in esame è talmente diffuso che, ormai, si assiste anche ad una sua evoluzione,</w:t>
      </w:r>
      <w:r w:rsidR="0095713B" w:rsidRPr="0095713B">
        <w:rPr>
          <w:sz w:val="28"/>
          <w:szCs w:val="28"/>
        </w:rPr>
        <w:t xml:space="preserve"> </w:t>
      </w:r>
      <w:r>
        <w:rPr>
          <w:sz w:val="28"/>
          <w:szCs w:val="28"/>
        </w:rPr>
        <w:t>che può essere ravvisata</w:t>
      </w:r>
      <w:r w:rsidR="0095713B" w:rsidRPr="0095713B">
        <w:rPr>
          <w:sz w:val="28"/>
          <w:szCs w:val="28"/>
        </w:rPr>
        <w:t xml:space="preserve"> nel coinvolgimento sempre maggiore di soggetti che non godono di un numero di </w:t>
      </w:r>
      <w:proofErr w:type="spellStart"/>
      <w:r w:rsidR="0095713B" w:rsidRPr="00492B3C">
        <w:rPr>
          <w:i/>
          <w:iCs/>
          <w:sz w:val="28"/>
          <w:szCs w:val="28"/>
        </w:rPr>
        <w:t>followers</w:t>
      </w:r>
      <w:proofErr w:type="spellEnd"/>
      <w:r w:rsidR="0095713B" w:rsidRPr="0095713B">
        <w:rPr>
          <w:sz w:val="28"/>
          <w:szCs w:val="28"/>
        </w:rPr>
        <w:t xml:space="preserve"> </w:t>
      </w:r>
      <w:r>
        <w:rPr>
          <w:sz w:val="28"/>
          <w:szCs w:val="28"/>
        </w:rPr>
        <w:t>così elevato</w:t>
      </w:r>
      <w:r w:rsidR="0095713B" w:rsidRPr="0095713B">
        <w:rPr>
          <w:sz w:val="28"/>
          <w:szCs w:val="28"/>
        </w:rPr>
        <w:t xml:space="preserve"> (</w:t>
      </w:r>
      <w:r>
        <w:rPr>
          <w:sz w:val="28"/>
          <w:szCs w:val="28"/>
        </w:rPr>
        <w:t xml:space="preserve">si tratta dei </w:t>
      </w:r>
      <w:r w:rsidR="0095713B" w:rsidRPr="0095713B">
        <w:rPr>
          <w:sz w:val="28"/>
          <w:szCs w:val="28"/>
        </w:rPr>
        <w:t xml:space="preserve">c.d. </w:t>
      </w:r>
      <w:proofErr w:type="spellStart"/>
      <w:r w:rsidR="0095713B" w:rsidRPr="00492B3C">
        <w:rPr>
          <w:i/>
          <w:iCs/>
          <w:sz w:val="28"/>
          <w:szCs w:val="28"/>
        </w:rPr>
        <w:t>microinfluencer</w:t>
      </w:r>
      <w:proofErr w:type="spellEnd"/>
      <w:r w:rsidR="0095713B" w:rsidRPr="0095713B">
        <w:rPr>
          <w:sz w:val="28"/>
          <w:szCs w:val="28"/>
        </w:rPr>
        <w:t>).</w:t>
      </w:r>
    </w:p>
    <w:p w14:paraId="7A8D2784" w14:textId="77777777" w:rsidR="00D36351" w:rsidRDefault="00492B3C" w:rsidP="009D2B44">
      <w:pPr>
        <w:pStyle w:val="NormaleWeb"/>
        <w:spacing w:before="0" w:beforeAutospacing="0" w:after="0" w:afterAutospacing="0"/>
        <w:jc w:val="both"/>
        <w:rPr>
          <w:sz w:val="28"/>
          <w:szCs w:val="28"/>
        </w:rPr>
      </w:pPr>
      <w:r>
        <w:rPr>
          <w:sz w:val="28"/>
          <w:szCs w:val="28"/>
        </w:rPr>
        <w:t>Analizzando la disciplina del</w:t>
      </w:r>
      <w:r w:rsidR="0095713B" w:rsidRPr="0095713B">
        <w:rPr>
          <w:sz w:val="28"/>
          <w:szCs w:val="28"/>
        </w:rPr>
        <w:t xml:space="preserve"> Codice del Consumo</w:t>
      </w:r>
      <w:r>
        <w:rPr>
          <w:sz w:val="28"/>
          <w:szCs w:val="28"/>
        </w:rPr>
        <w:t xml:space="preserve">, </w:t>
      </w:r>
      <w:r w:rsidR="0095713B" w:rsidRPr="0095713B">
        <w:rPr>
          <w:sz w:val="28"/>
          <w:szCs w:val="28"/>
        </w:rPr>
        <w:t>agli artt. 22 e 23 in materia di pubblicità occulta</w:t>
      </w:r>
      <w:r>
        <w:rPr>
          <w:sz w:val="28"/>
          <w:szCs w:val="28"/>
        </w:rPr>
        <w:t xml:space="preserve"> – che sicuramente trovano applicazione anche qui – notiamo che l</w:t>
      </w:r>
      <w:r w:rsidR="0095713B" w:rsidRPr="0095713B">
        <w:rPr>
          <w:sz w:val="28"/>
          <w:szCs w:val="28"/>
        </w:rPr>
        <w:t xml:space="preserve">e norme impongono l’adozione di specifici accorgimenti che consentano al consumatore di identificare </w:t>
      </w:r>
      <w:r>
        <w:rPr>
          <w:sz w:val="28"/>
          <w:szCs w:val="28"/>
        </w:rPr>
        <w:t>in maniera chiara</w:t>
      </w:r>
      <w:r w:rsidR="0095713B" w:rsidRPr="0095713B">
        <w:rPr>
          <w:sz w:val="28"/>
          <w:szCs w:val="28"/>
        </w:rPr>
        <w:t xml:space="preserve"> la presenza di un messaggio pubblicitario. </w:t>
      </w:r>
    </w:p>
    <w:p w14:paraId="4C26E187" w14:textId="7E9F4115" w:rsidR="00723F25" w:rsidRDefault="00492B3C" w:rsidP="009D2B44">
      <w:pPr>
        <w:pStyle w:val="NormaleWeb"/>
        <w:spacing w:before="0" w:beforeAutospacing="0" w:after="0" w:afterAutospacing="0"/>
        <w:jc w:val="both"/>
        <w:rPr>
          <w:sz w:val="28"/>
          <w:szCs w:val="28"/>
        </w:rPr>
      </w:pPr>
      <w:r>
        <w:rPr>
          <w:sz w:val="28"/>
          <w:szCs w:val="28"/>
        </w:rPr>
        <w:t>Nel caso specifico dei</w:t>
      </w:r>
      <w:r w:rsidR="0095713B" w:rsidRPr="0095713B">
        <w:rPr>
          <w:sz w:val="28"/>
          <w:szCs w:val="28"/>
        </w:rPr>
        <w:t xml:space="preserve"> messaggi pubblicitari veicolati attraverso i </w:t>
      </w:r>
      <w:r w:rsidR="0095713B" w:rsidRPr="00492B3C">
        <w:rPr>
          <w:i/>
          <w:iCs/>
          <w:sz w:val="28"/>
          <w:szCs w:val="28"/>
        </w:rPr>
        <w:t>social network</w:t>
      </w:r>
      <w:r w:rsidR="0095713B" w:rsidRPr="0095713B">
        <w:rPr>
          <w:sz w:val="28"/>
          <w:szCs w:val="28"/>
        </w:rPr>
        <w:t xml:space="preserve">, è </w:t>
      </w:r>
      <w:r w:rsidR="007227C9">
        <w:rPr>
          <w:sz w:val="28"/>
          <w:szCs w:val="28"/>
        </w:rPr>
        <w:t>interessante analizzare l’intervento del</w:t>
      </w:r>
      <w:r w:rsidR="0095713B" w:rsidRPr="0095713B">
        <w:rPr>
          <w:sz w:val="28"/>
          <w:szCs w:val="28"/>
        </w:rPr>
        <w:t>l’</w:t>
      </w:r>
      <w:r w:rsidR="0095713B" w:rsidRPr="007227C9">
        <w:rPr>
          <w:i/>
          <w:iCs/>
          <w:sz w:val="28"/>
          <w:szCs w:val="28"/>
        </w:rPr>
        <w:t xml:space="preserve">Istituto di Autodisciplina Pubblicitaria </w:t>
      </w:r>
      <w:r w:rsidR="0095713B" w:rsidRPr="0095713B">
        <w:rPr>
          <w:sz w:val="28"/>
          <w:szCs w:val="28"/>
        </w:rPr>
        <w:t>(IAP)</w:t>
      </w:r>
      <w:r w:rsidR="007227C9">
        <w:rPr>
          <w:sz w:val="28"/>
          <w:szCs w:val="28"/>
        </w:rPr>
        <w:t>.</w:t>
      </w:r>
      <w:r w:rsidR="007227C9">
        <w:rPr>
          <w:sz w:val="28"/>
          <w:szCs w:val="28"/>
        </w:rPr>
        <w:br/>
        <w:t>L’istituto ha pubblicato</w:t>
      </w:r>
      <w:r w:rsidR="0095713B" w:rsidRPr="0095713B">
        <w:rPr>
          <w:sz w:val="28"/>
          <w:szCs w:val="28"/>
        </w:rPr>
        <w:t xml:space="preserve"> </w:t>
      </w:r>
      <w:r w:rsidR="007227C9">
        <w:rPr>
          <w:sz w:val="28"/>
          <w:szCs w:val="28"/>
        </w:rPr>
        <w:t>la</w:t>
      </w:r>
      <w:r w:rsidR="0095713B" w:rsidRPr="0095713B">
        <w:rPr>
          <w:sz w:val="28"/>
          <w:szCs w:val="28"/>
        </w:rPr>
        <w:t xml:space="preserve"> “</w:t>
      </w:r>
      <w:r w:rsidR="0095713B" w:rsidRPr="007227C9">
        <w:rPr>
          <w:i/>
          <w:iCs/>
          <w:sz w:val="28"/>
          <w:szCs w:val="28"/>
        </w:rPr>
        <w:t>Digital Chart</w:t>
      </w:r>
      <w:r w:rsidR="0095713B" w:rsidRPr="0095713B">
        <w:rPr>
          <w:sz w:val="28"/>
          <w:szCs w:val="28"/>
        </w:rPr>
        <w:t>”</w:t>
      </w:r>
      <w:r w:rsidR="00AA154B">
        <w:rPr>
          <w:rStyle w:val="Rimandonotaapidipagina"/>
          <w:sz w:val="28"/>
          <w:szCs w:val="28"/>
        </w:rPr>
        <w:footnoteReference w:id="182"/>
      </w:r>
      <w:r w:rsidR="0095713B" w:rsidRPr="0095713B">
        <w:rPr>
          <w:sz w:val="28"/>
          <w:szCs w:val="28"/>
        </w:rPr>
        <w:t>, un</w:t>
      </w:r>
      <w:r w:rsidR="007227C9">
        <w:rPr>
          <w:sz w:val="28"/>
          <w:szCs w:val="28"/>
        </w:rPr>
        <w:t xml:space="preserve"> importante</w:t>
      </w:r>
      <w:r w:rsidR="0095713B" w:rsidRPr="0095713B">
        <w:rPr>
          <w:sz w:val="28"/>
          <w:szCs w:val="28"/>
        </w:rPr>
        <w:t xml:space="preserve"> documento che </w:t>
      </w:r>
      <w:r w:rsidR="007227C9">
        <w:rPr>
          <w:sz w:val="28"/>
          <w:szCs w:val="28"/>
        </w:rPr>
        <w:t>riporta</w:t>
      </w:r>
      <w:r w:rsidR="0095713B" w:rsidRPr="0095713B">
        <w:rPr>
          <w:sz w:val="28"/>
          <w:szCs w:val="28"/>
        </w:rPr>
        <w:t xml:space="preserve"> le </w:t>
      </w:r>
      <w:r w:rsidR="007227C9">
        <w:rPr>
          <w:sz w:val="28"/>
          <w:szCs w:val="28"/>
        </w:rPr>
        <w:t xml:space="preserve">regole e le </w:t>
      </w:r>
      <w:r w:rsidR="0095713B" w:rsidRPr="0095713B">
        <w:rPr>
          <w:sz w:val="28"/>
          <w:szCs w:val="28"/>
        </w:rPr>
        <w:t xml:space="preserve">misure che </w:t>
      </w:r>
      <w:r w:rsidR="007227C9">
        <w:rPr>
          <w:sz w:val="28"/>
          <w:szCs w:val="28"/>
        </w:rPr>
        <w:t xml:space="preserve">tutti </w:t>
      </w:r>
      <w:r w:rsidR="0095713B" w:rsidRPr="0095713B">
        <w:rPr>
          <w:sz w:val="28"/>
          <w:szCs w:val="28"/>
        </w:rPr>
        <w:t xml:space="preserve">gli </w:t>
      </w:r>
      <w:proofErr w:type="spellStart"/>
      <w:r w:rsidR="0095713B" w:rsidRPr="007227C9">
        <w:rPr>
          <w:i/>
          <w:iCs/>
          <w:sz w:val="28"/>
          <w:szCs w:val="28"/>
        </w:rPr>
        <w:t>influencer</w:t>
      </w:r>
      <w:proofErr w:type="spellEnd"/>
      <w:r w:rsidR="0095713B" w:rsidRPr="0095713B">
        <w:rPr>
          <w:sz w:val="28"/>
          <w:szCs w:val="28"/>
        </w:rPr>
        <w:t xml:space="preserve"> sono </w:t>
      </w:r>
      <w:r w:rsidR="007227C9">
        <w:rPr>
          <w:sz w:val="28"/>
          <w:szCs w:val="28"/>
        </w:rPr>
        <w:t>obbligati a rispettare</w:t>
      </w:r>
      <w:r w:rsidR="0095713B" w:rsidRPr="0095713B">
        <w:rPr>
          <w:sz w:val="28"/>
          <w:szCs w:val="28"/>
        </w:rPr>
        <w:t xml:space="preserve"> affinché l’attività di pubblicizzazione dei prodotti </w:t>
      </w:r>
      <w:r w:rsidR="007227C9">
        <w:rPr>
          <w:sz w:val="28"/>
          <w:szCs w:val="28"/>
        </w:rPr>
        <w:t xml:space="preserve">delle loro imprese digitali </w:t>
      </w:r>
      <w:r w:rsidR="0095713B" w:rsidRPr="0095713B">
        <w:rPr>
          <w:sz w:val="28"/>
          <w:szCs w:val="28"/>
        </w:rPr>
        <w:t xml:space="preserve">soddisfi il requisito della </w:t>
      </w:r>
      <w:r w:rsidR="007227C9">
        <w:rPr>
          <w:sz w:val="28"/>
          <w:szCs w:val="28"/>
        </w:rPr>
        <w:t>c.d.</w:t>
      </w:r>
      <w:r w:rsidR="0095713B" w:rsidRPr="0095713B">
        <w:rPr>
          <w:sz w:val="28"/>
          <w:szCs w:val="28"/>
        </w:rPr>
        <w:t xml:space="preserve"> “</w:t>
      </w:r>
      <w:r w:rsidR="0095713B" w:rsidRPr="007227C9">
        <w:rPr>
          <w:i/>
          <w:iCs/>
          <w:sz w:val="28"/>
          <w:szCs w:val="28"/>
        </w:rPr>
        <w:t>riconoscibilità</w:t>
      </w:r>
      <w:r w:rsidR="0095713B" w:rsidRPr="0095713B">
        <w:rPr>
          <w:sz w:val="28"/>
          <w:szCs w:val="28"/>
        </w:rPr>
        <w:t>”</w:t>
      </w:r>
      <w:r w:rsidR="007227C9">
        <w:rPr>
          <w:sz w:val="28"/>
          <w:szCs w:val="28"/>
        </w:rPr>
        <w:t>. Si tratta della</w:t>
      </w:r>
      <w:r w:rsidR="0095713B" w:rsidRPr="0095713B">
        <w:rPr>
          <w:sz w:val="28"/>
          <w:szCs w:val="28"/>
        </w:rPr>
        <w:t xml:space="preserve"> necessità che, </w:t>
      </w:r>
      <w:r w:rsidR="007227C9">
        <w:rPr>
          <w:sz w:val="28"/>
          <w:szCs w:val="28"/>
        </w:rPr>
        <w:t>al di là dello strumento utilizzato per</w:t>
      </w:r>
      <w:r w:rsidR="0095713B" w:rsidRPr="0095713B">
        <w:rPr>
          <w:sz w:val="28"/>
          <w:szCs w:val="28"/>
        </w:rPr>
        <w:t xml:space="preserve"> </w:t>
      </w:r>
      <w:proofErr w:type="gramStart"/>
      <w:r w:rsidR="007227C9">
        <w:rPr>
          <w:sz w:val="28"/>
          <w:szCs w:val="28"/>
        </w:rPr>
        <w:t>porre</w:t>
      </w:r>
      <w:r w:rsidR="0095713B" w:rsidRPr="0095713B">
        <w:rPr>
          <w:sz w:val="28"/>
          <w:szCs w:val="28"/>
        </w:rPr>
        <w:t xml:space="preserve"> in essere</w:t>
      </w:r>
      <w:proofErr w:type="gramEnd"/>
      <w:r w:rsidR="0095713B" w:rsidRPr="0095713B">
        <w:rPr>
          <w:sz w:val="28"/>
          <w:szCs w:val="28"/>
        </w:rPr>
        <w:t xml:space="preserve"> la comunicazione commerciale, se ne deve sempre garantire la piena riconoscibilità. </w:t>
      </w:r>
      <w:r w:rsidR="00976EE8">
        <w:rPr>
          <w:sz w:val="28"/>
          <w:szCs w:val="28"/>
        </w:rPr>
        <w:t xml:space="preserve">La </w:t>
      </w:r>
      <w:r w:rsidR="00976EE8" w:rsidRPr="00976EE8">
        <w:rPr>
          <w:i/>
          <w:iCs/>
          <w:sz w:val="28"/>
          <w:szCs w:val="28"/>
        </w:rPr>
        <w:t>Digital Chart</w:t>
      </w:r>
      <w:r w:rsidR="00976EE8">
        <w:rPr>
          <w:sz w:val="28"/>
          <w:szCs w:val="28"/>
        </w:rPr>
        <w:t>, che n</w:t>
      </w:r>
      <w:r w:rsidR="007227C9" w:rsidRPr="0095713B">
        <w:rPr>
          <w:sz w:val="28"/>
          <w:szCs w:val="28"/>
        </w:rPr>
        <w:t>ell’ambito dell’accordo-quadro stipulato fra l’A</w:t>
      </w:r>
      <w:r w:rsidR="00C308E1">
        <w:rPr>
          <w:sz w:val="28"/>
          <w:szCs w:val="28"/>
        </w:rPr>
        <w:t xml:space="preserve">GCM </w:t>
      </w:r>
      <w:r w:rsidR="007227C9" w:rsidRPr="0095713B">
        <w:rPr>
          <w:sz w:val="28"/>
          <w:szCs w:val="28"/>
        </w:rPr>
        <w:t>e l’</w:t>
      </w:r>
      <w:r w:rsidR="00C308E1">
        <w:rPr>
          <w:sz w:val="28"/>
          <w:szCs w:val="28"/>
        </w:rPr>
        <w:t>Istituto</w:t>
      </w:r>
      <w:r w:rsidR="007227C9">
        <w:rPr>
          <w:rStyle w:val="Rimandonotaapidipagina"/>
          <w:sz w:val="28"/>
          <w:szCs w:val="28"/>
        </w:rPr>
        <w:footnoteReference w:id="183"/>
      </w:r>
      <w:r w:rsidR="00976EE8">
        <w:rPr>
          <w:sz w:val="28"/>
          <w:szCs w:val="28"/>
        </w:rPr>
        <w:t xml:space="preserve"> </w:t>
      </w:r>
      <w:r w:rsidR="0095713B" w:rsidRPr="0095713B">
        <w:rPr>
          <w:sz w:val="28"/>
          <w:szCs w:val="28"/>
        </w:rPr>
        <w:t>ha trovato anche l’approvazione dell’</w:t>
      </w:r>
      <w:r w:rsidR="00C308E1">
        <w:rPr>
          <w:sz w:val="28"/>
          <w:szCs w:val="28"/>
        </w:rPr>
        <w:t>Autorità</w:t>
      </w:r>
      <w:r w:rsidR="00976EE8">
        <w:rPr>
          <w:sz w:val="28"/>
          <w:szCs w:val="28"/>
        </w:rPr>
        <w:t xml:space="preserve">, </w:t>
      </w:r>
      <w:r w:rsidR="0095713B" w:rsidRPr="0095713B">
        <w:rPr>
          <w:sz w:val="28"/>
          <w:szCs w:val="28"/>
        </w:rPr>
        <w:t xml:space="preserve">distingue </w:t>
      </w:r>
      <w:r w:rsidR="00C308E1">
        <w:rPr>
          <w:sz w:val="28"/>
          <w:szCs w:val="28"/>
        </w:rPr>
        <w:t xml:space="preserve">varie ipotesi, </w:t>
      </w:r>
      <w:r w:rsidR="0095713B" w:rsidRPr="0095713B">
        <w:rPr>
          <w:sz w:val="28"/>
          <w:szCs w:val="28"/>
        </w:rPr>
        <w:t>a seconda del tipo di contenuto condiviso</w:t>
      </w:r>
      <w:r w:rsidR="00C308E1">
        <w:rPr>
          <w:sz w:val="28"/>
          <w:szCs w:val="28"/>
        </w:rPr>
        <w:t xml:space="preserve"> sui </w:t>
      </w:r>
      <w:r w:rsidR="00C308E1" w:rsidRPr="00C308E1">
        <w:rPr>
          <w:i/>
          <w:iCs/>
          <w:sz w:val="28"/>
          <w:szCs w:val="28"/>
        </w:rPr>
        <w:t>social</w:t>
      </w:r>
      <w:r w:rsidR="0095713B" w:rsidRPr="0095713B">
        <w:rPr>
          <w:sz w:val="28"/>
          <w:szCs w:val="28"/>
        </w:rPr>
        <w:t>.</w:t>
      </w:r>
    </w:p>
    <w:p w14:paraId="691DCE60" w14:textId="77777777" w:rsidR="009D2B44" w:rsidRDefault="009D2B44" w:rsidP="009D2B44">
      <w:pPr>
        <w:pStyle w:val="NormaleWeb"/>
        <w:spacing w:before="0" w:beforeAutospacing="0" w:after="0" w:afterAutospacing="0"/>
        <w:jc w:val="both"/>
        <w:rPr>
          <w:sz w:val="28"/>
          <w:szCs w:val="28"/>
        </w:rPr>
      </w:pPr>
    </w:p>
    <w:p w14:paraId="73FA03DB" w14:textId="6394F916" w:rsidR="00723F25" w:rsidRDefault="0095713B" w:rsidP="00723F25">
      <w:pPr>
        <w:pStyle w:val="NormaleWeb"/>
        <w:spacing w:before="0" w:beforeAutospacing="0" w:after="0" w:afterAutospacing="0"/>
        <w:jc w:val="both"/>
        <w:rPr>
          <w:sz w:val="28"/>
          <w:szCs w:val="28"/>
        </w:rPr>
      </w:pPr>
      <w:r w:rsidRPr="00C308E1">
        <w:rPr>
          <w:sz w:val="28"/>
          <w:szCs w:val="28"/>
        </w:rPr>
        <w:t xml:space="preserve">La </w:t>
      </w:r>
      <w:r w:rsidRPr="00EF1E58">
        <w:rPr>
          <w:i/>
          <w:iCs/>
          <w:sz w:val="28"/>
          <w:szCs w:val="28"/>
        </w:rPr>
        <w:t>prima ipotesi</w:t>
      </w:r>
      <w:r w:rsidRPr="00C308E1">
        <w:rPr>
          <w:sz w:val="28"/>
          <w:szCs w:val="28"/>
        </w:rPr>
        <w:t xml:space="preserve"> </w:t>
      </w:r>
      <w:r w:rsidR="00C308E1">
        <w:rPr>
          <w:sz w:val="28"/>
          <w:szCs w:val="28"/>
        </w:rPr>
        <w:t xml:space="preserve">analizzata </w:t>
      </w:r>
      <w:r w:rsidRPr="00C308E1">
        <w:rPr>
          <w:sz w:val="28"/>
          <w:szCs w:val="28"/>
        </w:rPr>
        <w:t>è quella del c.d. “</w:t>
      </w:r>
      <w:proofErr w:type="spellStart"/>
      <w:r w:rsidRPr="00C308E1">
        <w:rPr>
          <w:i/>
          <w:iCs/>
          <w:sz w:val="28"/>
          <w:szCs w:val="28"/>
        </w:rPr>
        <w:t>endorsement</w:t>
      </w:r>
      <w:proofErr w:type="spellEnd"/>
      <w:r w:rsidRPr="00C308E1">
        <w:rPr>
          <w:sz w:val="28"/>
          <w:szCs w:val="28"/>
        </w:rPr>
        <w:t xml:space="preserve">”, </w:t>
      </w:r>
      <w:r w:rsidR="001B3C12">
        <w:rPr>
          <w:sz w:val="28"/>
          <w:szCs w:val="28"/>
        </w:rPr>
        <w:t>che si sostanzia nell’attività di chi accredita</w:t>
      </w:r>
      <w:r w:rsidRPr="00C308E1">
        <w:rPr>
          <w:sz w:val="28"/>
          <w:szCs w:val="28"/>
        </w:rPr>
        <w:t xml:space="preserve"> un prodotto </w:t>
      </w:r>
      <w:r w:rsidR="001B3C12">
        <w:rPr>
          <w:sz w:val="28"/>
          <w:szCs w:val="28"/>
        </w:rPr>
        <w:t>per</w:t>
      </w:r>
      <w:r w:rsidRPr="00C308E1">
        <w:rPr>
          <w:sz w:val="28"/>
          <w:szCs w:val="28"/>
        </w:rPr>
        <w:t xml:space="preserve"> persuadere il pubblico al suo acquisto</w:t>
      </w:r>
      <w:r w:rsidR="00947478">
        <w:rPr>
          <w:rStyle w:val="Rimandonotaapidipagina"/>
          <w:sz w:val="28"/>
          <w:szCs w:val="28"/>
        </w:rPr>
        <w:footnoteReference w:id="184"/>
      </w:r>
      <w:r w:rsidRPr="00C308E1">
        <w:rPr>
          <w:sz w:val="28"/>
          <w:szCs w:val="28"/>
        </w:rPr>
        <w:t xml:space="preserve">. </w:t>
      </w:r>
      <w:r w:rsidR="001B3C12">
        <w:rPr>
          <w:sz w:val="28"/>
          <w:szCs w:val="28"/>
        </w:rPr>
        <w:t>All’interno</w:t>
      </w:r>
      <w:r w:rsidRPr="00C308E1">
        <w:rPr>
          <w:sz w:val="28"/>
          <w:szCs w:val="28"/>
        </w:rPr>
        <w:t xml:space="preserve"> di questa fattispecie, </w:t>
      </w:r>
      <w:r w:rsidR="001B3C12">
        <w:rPr>
          <w:sz w:val="28"/>
          <w:szCs w:val="28"/>
        </w:rPr>
        <w:t>bisogna</w:t>
      </w:r>
      <w:r w:rsidRPr="00C308E1">
        <w:rPr>
          <w:sz w:val="28"/>
          <w:szCs w:val="28"/>
        </w:rPr>
        <w:t xml:space="preserve"> </w:t>
      </w:r>
      <w:r w:rsidR="00723F25" w:rsidRPr="00C308E1">
        <w:rPr>
          <w:sz w:val="28"/>
          <w:szCs w:val="28"/>
        </w:rPr>
        <w:t xml:space="preserve">ulteriormente </w:t>
      </w:r>
      <w:r w:rsidRPr="00C308E1">
        <w:rPr>
          <w:sz w:val="28"/>
          <w:szCs w:val="28"/>
        </w:rPr>
        <w:t xml:space="preserve">distinguere </w:t>
      </w:r>
      <w:r w:rsidR="00723F25">
        <w:rPr>
          <w:sz w:val="28"/>
          <w:szCs w:val="28"/>
        </w:rPr>
        <w:t xml:space="preserve">due casi: il caso in cui </w:t>
      </w:r>
      <w:r w:rsidRPr="00C308E1">
        <w:rPr>
          <w:sz w:val="28"/>
          <w:szCs w:val="28"/>
        </w:rPr>
        <w:t>il rapporto</w:t>
      </w:r>
      <w:r w:rsidRPr="0095713B">
        <w:rPr>
          <w:sz w:val="28"/>
          <w:szCs w:val="28"/>
        </w:rPr>
        <w:t xml:space="preserve"> fra il titolare del </w:t>
      </w:r>
      <w:proofErr w:type="gramStart"/>
      <w:r w:rsidRPr="001B3C12">
        <w:rPr>
          <w:i/>
          <w:iCs/>
          <w:sz w:val="28"/>
          <w:szCs w:val="28"/>
        </w:rPr>
        <w:t>brand</w:t>
      </w:r>
      <w:proofErr w:type="gramEnd"/>
      <w:r w:rsidRPr="0095713B">
        <w:rPr>
          <w:sz w:val="28"/>
          <w:szCs w:val="28"/>
        </w:rPr>
        <w:t xml:space="preserve"> e l’</w:t>
      </w:r>
      <w:proofErr w:type="spellStart"/>
      <w:r w:rsidRPr="001B3C12">
        <w:rPr>
          <w:i/>
          <w:iCs/>
          <w:sz w:val="28"/>
          <w:szCs w:val="28"/>
        </w:rPr>
        <w:t>influencer</w:t>
      </w:r>
      <w:proofErr w:type="spellEnd"/>
      <w:r w:rsidRPr="001B3C12">
        <w:rPr>
          <w:i/>
          <w:iCs/>
          <w:sz w:val="28"/>
          <w:szCs w:val="28"/>
        </w:rPr>
        <w:t xml:space="preserve"> </w:t>
      </w:r>
      <w:r w:rsidRPr="0095713B">
        <w:rPr>
          <w:sz w:val="28"/>
          <w:szCs w:val="28"/>
        </w:rPr>
        <w:t>sia un rapporto di committenza</w:t>
      </w:r>
      <w:r w:rsidR="00723F25">
        <w:rPr>
          <w:sz w:val="28"/>
          <w:szCs w:val="28"/>
        </w:rPr>
        <w:t xml:space="preserve"> e il diverso caso in cui il rapporto</w:t>
      </w:r>
      <w:r w:rsidRPr="0095713B">
        <w:rPr>
          <w:sz w:val="28"/>
          <w:szCs w:val="28"/>
        </w:rPr>
        <w:t xml:space="preserve"> abbia natura meramente occasionale (</w:t>
      </w:r>
      <w:r w:rsidR="00723F25">
        <w:rPr>
          <w:sz w:val="28"/>
          <w:szCs w:val="28"/>
        </w:rPr>
        <w:t xml:space="preserve">es. </w:t>
      </w:r>
      <w:r w:rsidRPr="0095713B">
        <w:rPr>
          <w:sz w:val="28"/>
          <w:szCs w:val="28"/>
        </w:rPr>
        <w:t>invio gratuito di prodotti o dietro modico corrispettivo).</w:t>
      </w:r>
    </w:p>
    <w:p w14:paraId="2AA5322F" w14:textId="77777777" w:rsidR="00880703" w:rsidRDefault="00723F25" w:rsidP="00880703">
      <w:pPr>
        <w:pStyle w:val="NormaleWeb"/>
        <w:spacing w:before="0" w:beforeAutospacing="0" w:after="0" w:afterAutospacing="0"/>
        <w:jc w:val="both"/>
        <w:rPr>
          <w:sz w:val="28"/>
          <w:szCs w:val="28"/>
        </w:rPr>
      </w:pPr>
      <w:r>
        <w:rPr>
          <w:sz w:val="28"/>
          <w:szCs w:val="28"/>
        </w:rPr>
        <w:lastRenderedPageBreak/>
        <w:t>Nel caso di rapporto di committenza</w:t>
      </w:r>
      <w:r w:rsidR="0095713B" w:rsidRPr="0095713B">
        <w:rPr>
          <w:sz w:val="28"/>
          <w:szCs w:val="28"/>
        </w:rPr>
        <w:t xml:space="preserve">, </w:t>
      </w:r>
      <w:r w:rsidR="00880703">
        <w:rPr>
          <w:sz w:val="28"/>
          <w:szCs w:val="28"/>
        </w:rPr>
        <w:t xml:space="preserve">è necessario che </w:t>
      </w:r>
      <w:r w:rsidR="0095713B" w:rsidRPr="0095713B">
        <w:rPr>
          <w:sz w:val="28"/>
          <w:szCs w:val="28"/>
        </w:rPr>
        <w:t xml:space="preserve">la natura commerciale della comunicazione </w:t>
      </w:r>
      <w:r w:rsidRPr="00723F25">
        <w:rPr>
          <w:i/>
          <w:iCs/>
          <w:sz w:val="28"/>
          <w:szCs w:val="28"/>
        </w:rPr>
        <w:t>social</w:t>
      </w:r>
      <w:r>
        <w:rPr>
          <w:sz w:val="28"/>
          <w:szCs w:val="28"/>
        </w:rPr>
        <w:t xml:space="preserve"> </w:t>
      </w:r>
      <w:r w:rsidR="00880703">
        <w:rPr>
          <w:sz w:val="28"/>
          <w:szCs w:val="28"/>
        </w:rPr>
        <w:t>sia</w:t>
      </w:r>
      <w:r w:rsidR="0095713B" w:rsidRPr="0095713B">
        <w:rPr>
          <w:sz w:val="28"/>
          <w:szCs w:val="28"/>
        </w:rPr>
        <w:t xml:space="preserve"> resa esplicita </w:t>
      </w:r>
      <w:r>
        <w:rPr>
          <w:sz w:val="28"/>
          <w:szCs w:val="28"/>
        </w:rPr>
        <w:t>tramite</w:t>
      </w:r>
      <w:r w:rsidR="0095713B" w:rsidRPr="0095713B">
        <w:rPr>
          <w:sz w:val="28"/>
          <w:szCs w:val="28"/>
        </w:rPr>
        <w:t xml:space="preserve"> l’inserimento</w:t>
      </w:r>
      <w:r>
        <w:rPr>
          <w:sz w:val="28"/>
          <w:szCs w:val="28"/>
        </w:rPr>
        <w:t xml:space="preserve"> –</w:t>
      </w:r>
      <w:r w:rsidR="0095713B" w:rsidRPr="0095713B">
        <w:rPr>
          <w:sz w:val="28"/>
          <w:szCs w:val="28"/>
        </w:rPr>
        <w:t xml:space="preserve"> nella </w:t>
      </w:r>
      <w:proofErr w:type="spellStart"/>
      <w:r w:rsidR="0095713B" w:rsidRPr="00723F25">
        <w:rPr>
          <w:i/>
          <w:iCs/>
          <w:sz w:val="28"/>
          <w:szCs w:val="28"/>
        </w:rPr>
        <w:t>caption</w:t>
      </w:r>
      <w:proofErr w:type="spellEnd"/>
      <w:r w:rsidR="0095713B" w:rsidRPr="0095713B">
        <w:rPr>
          <w:sz w:val="28"/>
          <w:szCs w:val="28"/>
        </w:rPr>
        <w:t xml:space="preserve"> che accompagna il </w:t>
      </w:r>
      <w:r w:rsidR="0095713B" w:rsidRPr="00D36351">
        <w:rPr>
          <w:i/>
          <w:iCs/>
          <w:sz w:val="28"/>
          <w:szCs w:val="28"/>
        </w:rPr>
        <w:t>post</w:t>
      </w:r>
      <w:r w:rsidR="0095713B" w:rsidRPr="0095713B">
        <w:rPr>
          <w:sz w:val="28"/>
          <w:szCs w:val="28"/>
        </w:rPr>
        <w:t xml:space="preserve"> o le </w:t>
      </w:r>
      <w:r w:rsidR="0095713B" w:rsidRPr="00D36351">
        <w:rPr>
          <w:i/>
          <w:iCs/>
          <w:sz w:val="28"/>
          <w:szCs w:val="28"/>
        </w:rPr>
        <w:t>stories</w:t>
      </w:r>
      <w:r w:rsidR="0095713B" w:rsidRPr="0095713B">
        <w:rPr>
          <w:sz w:val="28"/>
          <w:szCs w:val="28"/>
        </w:rPr>
        <w:t xml:space="preserve"> (</w:t>
      </w:r>
      <w:r w:rsidR="0095713B" w:rsidRPr="001B3C12">
        <w:rPr>
          <w:sz w:val="28"/>
          <w:szCs w:val="28"/>
        </w:rPr>
        <w:t>in modo tale che la dicitura sia ben visibile rispetto agli elementi promozionali)</w:t>
      </w:r>
      <w:r>
        <w:rPr>
          <w:sz w:val="28"/>
          <w:szCs w:val="28"/>
        </w:rPr>
        <w:t xml:space="preserve"> –</w:t>
      </w:r>
      <w:r w:rsidR="0095713B" w:rsidRPr="001B3C12">
        <w:rPr>
          <w:sz w:val="28"/>
          <w:szCs w:val="28"/>
        </w:rPr>
        <w:t xml:space="preserve"> di diciture quali “</w:t>
      </w:r>
      <w:r w:rsidR="0095713B" w:rsidRPr="00880703">
        <w:rPr>
          <w:i/>
          <w:iCs/>
          <w:sz w:val="28"/>
          <w:szCs w:val="28"/>
        </w:rPr>
        <w:t>Pubblicità/Advertising</w:t>
      </w:r>
      <w:r w:rsidR="0095713B" w:rsidRPr="001B3C12">
        <w:rPr>
          <w:sz w:val="28"/>
          <w:szCs w:val="28"/>
        </w:rPr>
        <w:t>”, o “</w:t>
      </w:r>
      <w:r w:rsidR="0095713B" w:rsidRPr="00880703">
        <w:rPr>
          <w:i/>
          <w:iCs/>
          <w:sz w:val="28"/>
          <w:szCs w:val="28"/>
        </w:rPr>
        <w:t>Promosso da…brand/</w:t>
      </w:r>
      <w:proofErr w:type="spellStart"/>
      <w:r w:rsidR="0095713B" w:rsidRPr="00880703">
        <w:rPr>
          <w:i/>
          <w:iCs/>
          <w:sz w:val="28"/>
          <w:szCs w:val="28"/>
        </w:rPr>
        <w:t>Promoted</w:t>
      </w:r>
      <w:proofErr w:type="spellEnd"/>
      <w:r w:rsidR="0095713B" w:rsidRPr="00880703">
        <w:rPr>
          <w:i/>
          <w:iCs/>
          <w:sz w:val="28"/>
          <w:szCs w:val="28"/>
        </w:rPr>
        <w:t xml:space="preserve"> b</w:t>
      </w:r>
      <w:r w:rsidR="00880703">
        <w:rPr>
          <w:i/>
          <w:iCs/>
          <w:sz w:val="28"/>
          <w:szCs w:val="28"/>
        </w:rPr>
        <w:t>y</w:t>
      </w:r>
      <w:r w:rsidR="0095713B" w:rsidRPr="00880703">
        <w:rPr>
          <w:i/>
          <w:iCs/>
          <w:sz w:val="28"/>
          <w:szCs w:val="28"/>
        </w:rPr>
        <w:t>…brand</w:t>
      </w:r>
      <w:r w:rsidR="0095713B" w:rsidRPr="001B3C12">
        <w:rPr>
          <w:sz w:val="28"/>
          <w:szCs w:val="28"/>
        </w:rPr>
        <w:t>” o “</w:t>
      </w:r>
      <w:r w:rsidR="0095713B" w:rsidRPr="00880703">
        <w:rPr>
          <w:i/>
          <w:iCs/>
          <w:sz w:val="28"/>
          <w:szCs w:val="28"/>
        </w:rPr>
        <w:t>Sponsorizzato da…brand/</w:t>
      </w:r>
      <w:proofErr w:type="spellStart"/>
      <w:r w:rsidR="0095713B" w:rsidRPr="00880703">
        <w:rPr>
          <w:i/>
          <w:iCs/>
          <w:sz w:val="28"/>
          <w:szCs w:val="28"/>
        </w:rPr>
        <w:t>Sponsored</w:t>
      </w:r>
      <w:proofErr w:type="spellEnd"/>
      <w:r w:rsidR="00880703">
        <w:rPr>
          <w:i/>
          <w:iCs/>
          <w:sz w:val="28"/>
          <w:szCs w:val="28"/>
        </w:rPr>
        <w:t xml:space="preserve"> </w:t>
      </w:r>
      <w:r w:rsidR="0095713B" w:rsidRPr="00880703">
        <w:rPr>
          <w:i/>
          <w:iCs/>
          <w:sz w:val="28"/>
          <w:szCs w:val="28"/>
        </w:rPr>
        <w:t>by…brand</w:t>
      </w:r>
      <w:r w:rsidR="0095713B" w:rsidRPr="001B3C12">
        <w:rPr>
          <w:sz w:val="28"/>
          <w:szCs w:val="28"/>
        </w:rPr>
        <w:t>”, o “</w:t>
      </w:r>
      <w:r w:rsidR="0095713B" w:rsidRPr="00880703">
        <w:rPr>
          <w:i/>
          <w:iCs/>
          <w:sz w:val="28"/>
          <w:szCs w:val="28"/>
        </w:rPr>
        <w:t>in collaborazione con…brand/In partnership with…brand</w:t>
      </w:r>
      <w:r w:rsidR="0095713B" w:rsidRPr="001B3C12">
        <w:rPr>
          <w:sz w:val="28"/>
          <w:szCs w:val="28"/>
        </w:rPr>
        <w:t>”;</w:t>
      </w:r>
      <w:r w:rsidR="0095713B" w:rsidRPr="0095713B">
        <w:rPr>
          <w:sz w:val="28"/>
          <w:szCs w:val="28"/>
        </w:rPr>
        <w:t xml:space="preserve"> e/o nel caso di un post entro i primi tre </w:t>
      </w:r>
      <w:proofErr w:type="spellStart"/>
      <w:r w:rsidR="0095713B" w:rsidRPr="00880703">
        <w:rPr>
          <w:i/>
          <w:iCs/>
          <w:sz w:val="28"/>
          <w:szCs w:val="28"/>
        </w:rPr>
        <w:t>hashtag</w:t>
      </w:r>
      <w:proofErr w:type="spellEnd"/>
      <w:r w:rsidR="0095713B" w:rsidRPr="0095713B">
        <w:rPr>
          <w:sz w:val="28"/>
          <w:szCs w:val="28"/>
        </w:rPr>
        <w:t xml:space="preserve">, purché di immediata percezione, una delle seguenti diciture: </w:t>
      </w:r>
      <w:r w:rsidR="0095713B" w:rsidRPr="001B3C12">
        <w:rPr>
          <w:sz w:val="28"/>
          <w:szCs w:val="28"/>
        </w:rPr>
        <w:t>“</w:t>
      </w:r>
      <w:r w:rsidR="0095713B" w:rsidRPr="00880703">
        <w:rPr>
          <w:i/>
          <w:iCs/>
          <w:sz w:val="28"/>
          <w:szCs w:val="28"/>
        </w:rPr>
        <w:t>#Pubblicità/#Advertising</w:t>
      </w:r>
      <w:r w:rsidR="0095713B" w:rsidRPr="001B3C12">
        <w:rPr>
          <w:sz w:val="28"/>
          <w:szCs w:val="28"/>
        </w:rPr>
        <w:t>”, o “</w:t>
      </w:r>
      <w:r w:rsidR="0095713B" w:rsidRPr="00880703">
        <w:rPr>
          <w:i/>
          <w:iCs/>
          <w:sz w:val="28"/>
          <w:szCs w:val="28"/>
        </w:rPr>
        <w:t>#Sponsorizzato da…brand/#Sponsored by…brand</w:t>
      </w:r>
      <w:r w:rsidR="0095713B" w:rsidRPr="001B3C12">
        <w:rPr>
          <w:sz w:val="28"/>
          <w:szCs w:val="28"/>
        </w:rPr>
        <w:t>”, o “</w:t>
      </w:r>
      <w:r w:rsidR="0095713B" w:rsidRPr="00880703">
        <w:rPr>
          <w:i/>
          <w:iCs/>
          <w:sz w:val="28"/>
          <w:szCs w:val="28"/>
        </w:rPr>
        <w:t>#ad</w:t>
      </w:r>
      <w:r w:rsidR="0095713B" w:rsidRPr="001B3C12">
        <w:rPr>
          <w:sz w:val="28"/>
          <w:szCs w:val="28"/>
        </w:rPr>
        <w:t>” unitamente a “</w:t>
      </w:r>
      <w:r w:rsidR="0095713B" w:rsidRPr="00880703">
        <w:rPr>
          <w:i/>
          <w:iCs/>
          <w:sz w:val="28"/>
          <w:szCs w:val="28"/>
        </w:rPr>
        <w:t>#brand</w:t>
      </w:r>
      <w:r w:rsidR="0095713B" w:rsidRPr="001B3C12">
        <w:rPr>
          <w:sz w:val="28"/>
          <w:szCs w:val="28"/>
        </w:rPr>
        <w:t>”.</w:t>
      </w:r>
    </w:p>
    <w:p w14:paraId="43A6222B" w14:textId="3B57BDCF" w:rsidR="00BF0E9E" w:rsidRDefault="00BF0E9E" w:rsidP="00880703">
      <w:pPr>
        <w:pStyle w:val="NormaleWeb"/>
        <w:spacing w:before="0" w:beforeAutospacing="0" w:after="0" w:afterAutospacing="0"/>
        <w:jc w:val="both"/>
        <w:rPr>
          <w:sz w:val="28"/>
          <w:szCs w:val="28"/>
        </w:rPr>
      </w:pPr>
      <w:r>
        <w:rPr>
          <w:sz w:val="28"/>
          <w:szCs w:val="28"/>
        </w:rPr>
        <w:t xml:space="preserve">Se il rapporto tra il </w:t>
      </w:r>
      <w:proofErr w:type="gramStart"/>
      <w:r w:rsidRPr="00BF0E9E">
        <w:rPr>
          <w:i/>
          <w:iCs/>
          <w:sz w:val="28"/>
          <w:szCs w:val="28"/>
        </w:rPr>
        <w:t>brand</w:t>
      </w:r>
      <w:proofErr w:type="gramEnd"/>
      <w:r>
        <w:rPr>
          <w:sz w:val="28"/>
          <w:szCs w:val="28"/>
        </w:rPr>
        <w:t xml:space="preserve"> e l’</w:t>
      </w:r>
      <w:proofErr w:type="spellStart"/>
      <w:r w:rsidRPr="00BF0E9E">
        <w:rPr>
          <w:i/>
          <w:iCs/>
          <w:sz w:val="28"/>
          <w:szCs w:val="28"/>
        </w:rPr>
        <w:t>influencer</w:t>
      </w:r>
      <w:proofErr w:type="spellEnd"/>
      <w:r w:rsidRPr="00BF0E9E">
        <w:rPr>
          <w:i/>
          <w:iCs/>
          <w:sz w:val="28"/>
          <w:szCs w:val="28"/>
        </w:rPr>
        <w:t xml:space="preserve"> </w:t>
      </w:r>
      <w:r>
        <w:rPr>
          <w:sz w:val="28"/>
          <w:szCs w:val="28"/>
        </w:rPr>
        <w:t>ha natura meramente occasionale, invece,</w:t>
      </w:r>
      <w:r w:rsidR="0095713B" w:rsidRPr="001B3C12">
        <w:rPr>
          <w:sz w:val="28"/>
          <w:szCs w:val="28"/>
        </w:rPr>
        <w:t xml:space="preserve"> </w:t>
      </w:r>
      <w:r>
        <w:rPr>
          <w:sz w:val="28"/>
          <w:szCs w:val="28"/>
        </w:rPr>
        <w:t>è</w:t>
      </w:r>
      <w:r w:rsidR="0095713B" w:rsidRPr="001B3C12">
        <w:rPr>
          <w:sz w:val="28"/>
          <w:szCs w:val="28"/>
        </w:rPr>
        <w:t xml:space="preserve"> sufficiente che l’</w:t>
      </w:r>
      <w:proofErr w:type="spellStart"/>
      <w:r w:rsidR="0095713B" w:rsidRPr="00BF0E9E">
        <w:rPr>
          <w:i/>
          <w:iCs/>
          <w:sz w:val="28"/>
          <w:szCs w:val="28"/>
        </w:rPr>
        <w:t>influencer</w:t>
      </w:r>
      <w:proofErr w:type="spellEnd"/>
      <w:r w:rsidR="0095713B" w:rsidRPr="001B3C12">
        <w:rPr>
          <w:sz w:val="28"/>
          <w:szCs w:val="28"/>
        </w:rPr>
        <w:t xml:space="preserve"> inserisca un </w:t>
      </w:r>
      <w:proofErr w:type="spellStart"/>
      <w:r w:rsidR="0095713B" w:rsidRPr="00BF0E9E">
        <w:rPr>
          <w:i/>
          <w:iCs/>
          <w:sz w:val="28"/>
          <w:szCs w:val="28"/>
        </w:rPr>
        <w:t>disclaimer</w:t>
      </w:r>
      <w:proofErr w:type="spellEnd"/>
      <w:r w:rsidR="0095713B" w:rsidRPr="001B3C12">
        <w:rPr>
          <w:sz w:val="28"/>
          <w:szCs w:val="28"/>
        </w:rPr>
        <w:t xml:space="preserve"> del tenore di “</w:t>
      </w:r>
      <w:r w:rsidR="0095713B" w:rsidRPr="00BF0E9E">
        <w:rPr>
          <w:i/>
          <w:iCs/>
          <w:sz w:val="28"/>
          <w:szCs w:val="28"/>
        </w:rPr>
        <w:t>prodotto inviato da…brand</w:t>
      </w:r>
      <w:r w:rsidR="0095713B" w:rsidRPr="001B3C12">
        <w:rPr>
          <w:sz w:val="28"/>
          <w:szCs w:val="28"/>
        </w:rPr>
        <w:t>”, o equivalente. L</w:t>
      </w:r>
      <w:r>
        <w:rPr>
          <w:sz w:val="28"/>
          <w:szCs w:val="28"/>
        </w:rPr>
        <w:t>a particolarità, qui, è che l</w:t>
      </w:r>
      <w:r w:rsidR="0095713B" w:rsidRPr="001B3C12">
        <w:rPr>
          <w:sz w:val="28"/>
          <w:szCs w:val="28"/>
        </w:rPr>
        <w:t>’inserzionista è in ogni caso tenuto, al momento dell’invio del prodotto</w:t>
      </w:r>
      <w:r w:rsidR="0095713B" w:rsidRPr="0095713B">
        <w:rPr>
          <w:sz w:val="28"/>
          <w:szCs w:val="28"/>
        </w:rPr>
        <w:t>, ad informare l’</w:t>
      </w:r>
      <w:proofErr w:type="spellStart"/>
      <w:r w:rsidR="0095713B" w:rsidRPr="00BF0E9E">
        <w:rPr>
          <w:i/>
          <w:iCs/>
          <w:sz w:val="28"/>
          <w:szCs w:val="28"/>
        </w:rPr>
        <w:t>influencer</w:t>
      </w:r>
      <w:proofErr w:type="spellEnd"/>
      <w:r w:rsidR="0095713B" w:rsidRPr="0095713B">
        <w:rPr>
          <w:sz w:val="28"/>
          <w:szCs w:val="28"/>
        </w:rPr>
        <w:t xml:space="preserve"> riguardo </w:t>
      </w:r>
      <w:r>
        <w:rPr>
          <w:sz w:val="28"/>
          <w:szCs w:val="28"/>
        </w:rPr>
        <w:t xml:space="preserve">quest’ultimo </w:t>
      </w:r>
      <w:r w:rsidR="0095713B" w:rsidRPr="001B3C12">
        <w:rPr>
          <w:sz w:val="28"/>
          <w:szCs w:val="28"/>
        </w:rPr>
        <w:t>obbligo.</w:t>
      </w:r>
    </w:p>
    <w:p w14:paraId="301970D0" w14:textId="77777777" w:rsidR="009D2B44" w:rsidRPr="001B3C12" w:rsidRDefault="009D2B44" w:rsidP="00880703">
      <w:pPr>
        <w:pStyle w:val="NormaleWeb"/>
        <w:spacing w:before="0" w:beforeAutospacing="0" w:after="0" w:afterAutospacing="0"/>
        <w:jc w:val="both"/>
        <w:rPr>
          <w:sz w:val="28"/>
          <w:szCs w:val="28"/>
        </w:rPr>
      </w:pPr>
    </w:p>
    <w:p w14:paraId="6C1718D1" w14:textId="6A1A05D7" w:rsidR="00BF0E9E" w:rsidRDefault="00BF0E9E" w:rsidP="00BF0E9E">
      <w:pPr>
        <w:pStyle w:val="NormaleWeb"/>
        <w:spacing w:before="0" w:beforeAutospacing="0" w:after="0" w:afterAutospacing="0"/>
        <w:jc w:val="both"/>
        <w:rPr>
          <w:sz w:val="28"/>
          <w:szCs w:val="28"/>
        </w:rPr>
      </w:pPr>
      <w:r>
        <w:rPr>
          <w:sz w:val="28"/>
          <w:szCs w:val="28"/>
        </w:rPr>
        <w:t>Allo stesso modo, anche</w:t>
      </w:r>
      <w:r w:rsidR="0095713B" w:rsidRPr="001B3C12">
        <w:rPr>
          <w:sz w:val="28"/>
          <w:szCs w:val="28"/>
        </w:rPr>
        <w:t xml:space="preserve"> nel</w:t>
      </w:r>
      <w:r w:rsidR="00F76934">
        <w:rPr>
          <w:sz w:val="28"/>
          <w:szCs w:val="28"/>
        </w:rPr>
        <w:t xml:space="preserve">la </w:t>
      </w:r>
      <w:r w:rsidR="00F76934" w:rsidRPr="00EF1E58">
        <w:rPr>
          <w:i/>
          <w:iCs/>
          <w:sz w:val="28"/>
          <w:szCs w:val="28"/>
        </w:rPr>
        <w:t>seconda ipotesi</w:t>
      </w:r>
      <w:r w:rsidR="00F76934">
        <w:rPr>
          <w:sz w:val="28"/>
          <w:szCs w:val="28"/>
        </w:rPr>
        <w:t xml:space="preserve">, ossia nel </w:t>
      </w:r>
      <w:r w:rsidR="0095713B" w:rsidRPr="001B3C12">
        <w:rPr>
          <w:sz w:val="28"/>
          <w:szCs w:val="28"/>
        </w:rPr>
        <w:t xml:space="preserve">caso in cui la comunicazione commerciale sia </w:t>
      </w:r>
      <w:r>
        <w:rPr>
          <w:sz w:val="28"/>
          <w:szCs w:val="28"/>
        </w:rPr>
        <w:t>diffusa sul web</w:t>
      </w:r>
      <w:r w:rsidR="0095713B" w:rsidRPr="001B3C12">
        <w:rPr>
          <w:sz w:val="28"/>
          <w:szCs w:val="28"/>
        </w:rPr>
        <w:t xml:space="preserve"> mediante un video</w:t>
      </w:r>
      <w:r w:rsidR="000B541F">
        <w:rPr>
          <w:rStyle w:val="Rimandonotaapidipagina"/>
          <w:sz w:val="28"/>
          <w:szCs w:val="28"/>
        </w:rPr>
        <w:footnoteReference w:id="185"/>
      </w:r>
      <w:r w:rsidR="0095713B" w:rsidRPr="001B3C12">
        <w:rPr>
          <w:sz w:val="28"/>
          <w:szCs w:val="28"/>
        </w:rPr>
        <w:t xml:space="preserve">, </w:t>
      </w:r>
      <w:r>
        <w:rPr>
          <w:sz w:val="28"/>
          <w:szCs w:val="28"/>
        </w:rPr>
        <w:t>bisogna</w:t>
      </w:r>
      <w:r w:rsidR="0095713B" w:rsidRPr="001B3C12">
        <w:rPr>
          <w:sz w:val="28"/>
          <w:szCs w:val="28"/>
        </w:rPr>
        <w:t xml:space="preserve"> distinguere a seconda della natura del rapporto giuridico </w:t>
      </w:r>
      <w:r>
        <w:rPr>
          <w:sz w:val="28"/>
          <w:szCs w:val="28"/>
        </w:rPr>
        <w:t xml:space="preserve">esistente </w:t>
      </w:r>
      <w:r w:rsidR="0095713B" w:rsidRPr="001B3C12">
        <w:rPr>
          <w:sz w:val="28"/>
          <w:szCs w:val="28"/>
        </w:rPr>
        <w:t xml:space="preserve">fra le parti. </w:t>
      </w:r>
      <w:r>
        <w:rPr>
          <w:sz w:val="28"/>
          <w:szCs w:val="28"/>
        </w:rPr>
        <w:t>Se</w:t>
      </w:r>
      <w:r w:rsidR="0095713B" w:rsidRPr="001B3C12">
        <w:rPr>
          <w:sz w:val="28"/>
          <w:szCs w:val="28"/>
        </w:rPr>
        <w:t xml:space="preserve"> fra inserzionista e </w:t>
      </w:r>
      <w:proofErr w:type="spellStart"/>
      <w:r w:rsidR="0095713B" w:rsidRPr="00BF0E9E">
        <w:rPr>
          <w:i/>
          <w:iCs/>
          <w:sz w:val="28"/>
          <w:szCs w:val="28"/>
        </w:rPr>
        <w:t>influencer</w:t>
      </w:r>
      <w:proofErr w:type="spellEnd"/>
      <w:r w:rsidR="0095713B" w:rsidRPr="001B3C12">
        <w:rPr>
          <w:sz w:val="28"/>
          <w:szCs w:val="28"/>
        </w:rPr>
        <w:t xml:space="preserve"> esiste un rapporto di committenza, la </w:t>
      </w:r>
      <w:r w:rsidR="0095713B" w:rsidRPr="00BF0E9E">
        <w:rPr>
          <w:i/>
          <w:iCs/>
          <w:sz w:val="28"/>
          <w:szCs w:val="28"/>
        </w:rPr>
        <w:t>Digital Chart</w:t>
      </w:r>
      <w:r w:rsidR="0095713B" w:rsidRPr="001B3C12">
        <w:rPr>
          <w:sz w:val="28"/>
          <w:szCs w:val="28"/>
        </w:rPr>
        <w:t xml:space="preserve"> richiede che sia la descrizione del video che le scene iniziali dello stesso debbano riportare </w:t>
      </w:r>
      <w:r>
        <w:rPr>
          <w:sz w:val="28"/>
          <w:szCs w:val="28"/>
        </w:rPr>
        <w:t xml:space="preserve">delle </w:t>
      </w:r>
      <w:r w:rsidR="0095713B" w:rsidRPr="001B3C12">
        <w:rPr>
          <w:sz w:val="28"/>
          <w:szCs w:val="28"/>
        </w:rPr>
        <w:t xml:space="preserve">avvertenze scritte che ne rendano </w:t>
      </w:r>
      <w:r>
        <w:rPr>
          <w:sz w:val="28"/>
          <w:szCs w:val="28"/>
        </w:rPr>
        <w:t xml:space="preserve">chiara ed </w:t>
      </w:r>
      <w:r w:rsidR="0095713B" w:rsidRPr="001B3C12">
        <w:rPr>
          <w:sz w:val="28"/>
          <w:szCs w:val="28"/>
        </w:rPr>
        <w:t>esplicita la natura commerciale</w:t>
      </w:r>
      <w:r>
        <w:rPr>
          <w:sz w:val="28"/>
          <w:szCs w:val="28"/>
        </w:rPr>
        <w:t>;</w:t>
      </w:r>
      <w:r w:rsidR="0095713B" w:rsidRPr="001B3C12">
        <w:rPr>
          <w:sz w:val="28"/>
          <w:szCs w:val="28"/>
        </w:rPr>
        <w:t xml:space="preserve"> </w:t>
      </w:r>
      <w:r>
        <w:rPr>
          <w:sz w:val="28"/>
          <w:szCs w:val="28"/>
        </w:rPr>
        <w:t>si precisa</w:t>
      </w:r>
      <w:r w:rsidR="0095713B" w:rsidRPr="001B3C12">
        <w:rPr>
          <w:sz w:val="28"/>
          <w:szCs w:val="28"/>
        </w:rPr>
        <w:t xml:space="preserve"> che, nei video in </w:t>
      </w:r>
      <w:r w:rsidR="0095713B" w:rsidRPr="00BF0E9E">
        <w:rPr>
          <w:i/>
          <w:iCs/>
          <w:sz w:val="28"/>
          <w:szCs w:val="28"/>
        </w:rPr>
        <w:t>streaming</w:t>
      </w:r>
      <w:r w:rsidR="0095713B" w:rsidRPr="001B3C12">
        <w:rPr>
          <w:sz w:val="28"/>
          <w:szCs w:val="28"/>
        </w:rPr>
        <w:t xml:space="preserve">, </w:t>
      </w:r>
      <w:r>
        <w:rPr>
          <w:sz w:val="28"/>
          <w:szCs w:val="28"/>
        </w:rPr>
        <w:t>queste</w:t>
      </w:r>
      <w:r w:rsidR="0095713B" w:rsidRPr="001B3C12">
        <w:rPr>
          <w:sz w:val="28"/>
          <w:szCs w:val="28"/>
        </w:rPr>
        <w:t xml:space="preserve"> avvertenze devono essere ribadite nel corso della trasmissione. I </w:t>
      </w:r>
      <w:proofErr w:type="spellStart"/>
      <w:r w:rsidR="0095713B" w:rsidRPr="00BF0E9E">
        <w:rPr>
          <w:i/>
          <w:iCs/>
          <w:sz w:val="28"/>
          <w:szCs w:val="28"/>
        </w:rPr>
        <w:t>disclaimer</w:t>
      </w:r>
      <w:proofErr w:type="spellEnd"/>
      <w:r w:rsidR="0095713B" w:rsidRPr="001B3C12">
        <w:rPr>
          <w:sz w:val="28"/>
          <w:szCs w:val="28"/>
        </w:rPr>
        <w:t xml:space="preserve"> </w:t>
      </w:r>
      <w:r>
        <w:rPr>
          <w:sz w:val="28"/>
          <w:szCs w:val="28"/>
        </w:rPr>
        <w:t>devono</w:t>
      </w:r>
      <w:r w:rsidR="0095713B" w:rsidRPr="001B3C12">
        <w:rPr>
          <w:sz w:val="28"/>
          <w:szCs w:val="28"/>
        </w:rPr>
        <w:t xml:space="preserve"> altresì comparire al</w:t>
      </w:r>
      <w:r>
        <w:rPr>
          <w:sz w:val="28"/>
          <w:szCs w:val="28"/>
        </w:rPr>
        <w:t xml:space="preserve">la fine </w:t>
      </w:r>
      <w:r w:rsidR="0095713B" w:rsidRPr="001B3C12">
        <w:rPr>
          <w:sz w:val="28"/>
          <w:szCs w:val="28"/>
        </w:rPr>
        <w:t>del video, nonché ogni volta che siano inquadrati</w:t>
      </w:r>
      <w:r>
        <w:rPr>
          <w:sz w:val="28"/>
          <w:szCs w:val="28"/>
        </w:rPr>
        <w:t xml:space="preserve"> in maniera specifica</w:t>
      </w:r>
      <w:r w:rsidR="0095713B" w:rsidRPr="001B3C12">
        <w:rPr>
          <w:sz w:val="28"/>
          <w:szCs w:val="28"/>
        </w:rPr>
        <w:t xml:space="preserve"> i prodotti inseriti a fini commerciali.</w:t>
      </w:r>
      <w:r>
        <w:rPr>
          <w:sz w:val="28"/>
          <w:szCs w:val="28"/>
        </w:rPr>
        <w:t xml:space="preserve"> </w:t>
      </w:r>
    </w:p>
    <w:p w14:paraId="3D6DE8B2" w14:textId="2FC70D6A" w:rsidR="0095713B" w:rsidRPr="001B3C12" w:rsidRDefault="00BF0E9E" w:rsidP="00BF0E9E">
      <w:pPr>
        <w:pStyle w:val="NormaleWeb"/>
        <w:spacing w:before="0" w:beforeAutospacing="0" w:after="0" w:afterAutospacing="0"/>
        <w:jc w:val="both"/>
        <w:rPr>
          <w:sz w:val="28"/>
          <w:szCs w:val="28"/>
        </w:rPr>
      </w:pPr>
      <w:r>
        <w:rPr>
          <w:sz w:val="28"/>
          <w:szCs w:val="28"/>
        </w:rPr>
        <w:t>Nel caso in cui, invece,</w:t>
      </w:r>
      <w:r w:rsidR="0095713B" w:rsidRPr="001B3C12">
        <w:rPr>
          <w:sz w:val="28"/>
          <w:szCs w:val="28"/>
        </w:rPr>
        <w:t xml:space="preserve"> le parti </w:t>
      </w:r>
      <w:r>
        <w:rPr>
          <w:sz w:val="28"/>
          <w:szCs w:val="28"/>
        </w:rPr>
        <w:t>siano</w:t>
      </w:r>
      <w:r w:rsidR="0095713B" w:rsidRPr="001B3C12">
        <w:rPr>
          <w:sz w:val="28"/>
          <w:szCs w:val="28"/>
        </w:rPr>
        <w:t xml:space="preserve"> legate da un rapporto </w:t>
      </w:r>
      <w:r>
        <w:rPr>
          <w:sz w:val="28"/>
          <w:szCs w:val="28"/>
        </w:rPr>
        <w:t>meramente</w:t>
      </w:r>
      <w:r w:rsidR="0095713B" w:rsidRPr="001B3C12">
        <w:rPr>
          <w:sz w:val="28"/>
          <w:szCs w:val="28"/>
        </w:rPr>
        <w:t xml:space="preserve"> occasionale, l’</w:t>
      </w:r>
      <w:proofErr w:type="spellStart"/>
      <w:r w:rsidR="0095713B" w:rsidRPr="00BF0E9E">
        <w:rPr>
          <w:i/>
          <w:iCs/>
          <w:sz w:val="28"/>
          <w:szCs w:val="28"/>
        </w:rPr>
        <w:t>influencer</w:t>
      </w:r>
      <w:proofErr w:type="spellEnd"/>
      <w:r w:rsidR="0095713B" w:rsidRPr="001B3C12">
        <w:rPr>
          <w:sz w:val="28"/>
          <w:szCs w:val="28"/>
        </w:rPr>
        <w:t xml:space="preserve"> </w:t>
      </w:r>
      <w:r>
        <w:rPr>
          <w:sz w:val="28"/>
          <w:szCs w:val="28"/>
        </w:rPr>
        <w:t>può</w:t>
      </w:r>
      <w:r w:rsidR="0095713B" w:rsidRPr="001B3C12">
        <w:rPr>
          <w:sz w:val="28"/>
          <w:szCs w:val="28"/>
        </w:rPr>
        <w:t xml:space="preserve"> limitarsi ad inserire in apertura del video un </w:t>
      </w:r>
      <w:proofErr w:type="spellStart"/>
      <w:r w:rsidR="0095713B" w:rsidRPr="00BF0E9E">
        <w:rPr>
          <w:i/>
          <w:iCs/>
          <w:sz w:val="28"/>
          <w:szCs w:val="28"/>
        </w:rPr>
        <w:t>disclaimer</w:t>
      </w:r>
      <w:proofErr w:type="spellEnd"/>
      <w:r w:rsidR="0095713B" w:rsidRPr="001B3C12">
        <w:rPr>
          <w:sz w:val="28"/>
          <w:szCs w:val="28"/>
        </w:rPr>
        <w:t xml:space="preserve">, </w:t>
      </w:r>
      <w:r>
        <w:rPr>
          <w:sz w:val="28"/>
          <w:szCs w:val="28"/>
        </w:rPr>
        <w:t>che può essere sia</w:t>
      </w:r>
      <w:r w:rsidR="0095713B" w:rsidRPr="001B3C12">
        <w:rPr>
          <w:sz w:val="28"/>
          <w:szCs w:val="28"/>
        </w:rPr>
        <w:t xml:space="preserve"> in forma verbale </w:t>
      </w:r>
      <w:r>
        <w:rPr>
          <w:sz w:val="28"/>
          <w:szCs w:val="28"/>
        </w:rPr>
        <w:t>che in forma</w:t>
      </w:r>
      <w:r w:rsidR="0095713B" w:rsidRPr="001B3C12">
        <w:rPr>
          <w:sz w:val="28"/>
          <w:szCs w:val="28"/>
        </w:rPr>
        <w:t xml:space="preserve"> scritta, del tenore di “</w:t>
      </w:r>
      <w:r w:rsidR="0095713B" w:rsidRPr="00BF0E9E">
        <w:rPr>
          <w:i/>
          <w:iCs/>
          <w:sz w:val="28"/>
          <w:szCs w:val="28"/>
        </w:rPr>
        <w:t>questo prodotto mi è stato inviato da…</w:t>
      </w:r>
      <w:r w:rsidR="0095713B" w:rsidRPr="001B3C12">
        <w:rPr>
          <w:sz w:val="28"/>
          <w:szCs w:val="28"/>
        </w:rPr>
        <w:t>”</w:t>
      </w:r>
      <w:r>
        <w:rPr>
          <w:sz w:val="28"/>
          <w:szCs w:val="28"/>
        </w:rPr>
        <w:t>; in questo caso</w:t>
      </w:r>
      <w:r w:rsidR="00BD79F6">
        <w:rPr>
          <w:sz w:val="28"/>
          <w:szCs w:val="28"/>
        </w:rPr>
        <w:t>,</w:t>
      </w:r>
      <w:r>
        <w:rPr>
          <w:sz w:val="28"/>
          <w:szCs w:val="28"/>
        </w:rPr>
        <w:t xml:space="preserve"> resta</w:t>
      </w:r>
      <w:r w:rsidR="0095713B" w:rsidRPr="001B3C12">
        <w:rPr>
          <w:sz w:val="28"/>
          <w:szCs w:val="28"/>
        </w:rPr>
        <w:t xml:space="preserve"> ferma la responsabilità dell’inserzionista di informare l’</w:t>
      </w:r>
      <w:proofErr w:type="spellStart"/>
      <w:r w:rsidR="0095713B" w:rsidRPr="00BF0E9E">
        <w:rPr>
          <w:i/>
          <w:iCs/>
          <w:sz w:val="28"/>
          <w:szCs w:val="28"/>
        </w:rPr>
        <w:t>influencer</w:t>
      </w:r>
      <w:proofErr w:type="spellEnd"/>
      <w:r w:rsidR="0095713B" w:rsidRPr="001B3C12">
        <w:rPr>
          <w:sz w:val="28"/>
          <w:szCs w:val="28"/>
        </w:rPr>
        <w:t xml:space="preserve"> </w:t>
      </w:r>
      <w:r>
        <w:rPr>
          <w:sz w:val="28"/>
          <w:szCs w:val="28"/>
        </w:rPr>
        <w:t>sul</w:t>
      </w:r>
      <w:r w:rsidR="0095713B" w:rsidRPr="001B3C12">
        <w:rPr>
          <w:sz w:val="28"/>
          <w:szCs w:val="28"/>
        </w:rPr>
        <w:t>l’esistenza di tale obbligo.</w:t>
      </w:r>
    </w:p>
    <w:p w14:paraId="596B67A8" w14:textId="77777777" w:rsidR="00847411" w:rsidRDefault="00BF0E9E" w:rsidP="00BF0E9E">
      <w:pPr>
        <w:pStyle w:val="NormaleWeb"/>
        <w:spacing w:before="0" w:beforeAutospacing="0" w:after="0" w:afterAutospacing="0"/>
        <w:jc w:val="both"/>
        <w:rPr>
          <w:sz w:val="28"/>
          <w:szCs w:val="28"/>
        </w:rPr>
      </w:pPr>
      <w:r>
        <w:rPr>
          <w:sz w:val="28"/>
          <w:szCs w:val="28"/>
        </w:rPr>
        <w:t>A causa della violazione</w:t>
      </w:r>
      <w:r w:rsidR="0095713B" w:rsidRPr="0095713B">
        <w:rPr>
          <w:sz w:val="28"/>
          <w:szCs w:val="28"/>
        </w:rPr>
        <w:t xml:space="preserve"> di queste </w:t>
      </w:r>
      <w:r>
        <w:rPr>
          <w:sz w:val="28"/>
          <w:szCs w:val="28"/>
        </w:rPr>
        <w:t xml:space="preserve">ultime regole, </w:t>
      </w:r>
      <w:r w:rsidR="0095713B" w:rsidRPr="0095713B">
        <w:rPr>
          <w:sz w:val="28"/>
          <w:szCs w:val="28"/>
        </w:rPr>
        <w:t xml:space="preserve">l’AGCM </w:t>
      </w:r>
      <w:r w:rsidR="0045344E">
        <w:rPr>
          <w:sz w:val="28"/>
          <w:szCs w:val="28"/>
        </w:rPr>
        <w:t xml:space="preserve">potrebbe irrogare una sanzione </w:t>
      </w:r>
      <w:r w:rsidR="0095713B" w:rsidRPr="0095713B">
        <w:rPr>
          <w:sz w:val="28"/>
          <w:szCs w:val="28"/>
        </w:rPr>
        <w:t xml:space="preserve">nei confronti dei cantanti </w:t>
      </w:r>
      <w:proofErr w:type="spellStart"/>
      <w:r w:rsidR="0095713B" w:rsidRPr="0095713B">
        <w:rPr>
          <w:sz w:val="28"/>
          <w:szCs w:val="28"/>
        </w:rPr>
        <w:t>Fedez</w:t>
      </w:r>
      <w:proofErr w:type="spellEnd"/>
      <w:r w:rsidR="0095713B" w:rsidRPr="0095713B">
        <w:rPr>
          <w:sz w:val="28"/>
          <w:szCs w:val="28"/>
        </w:rPr>
        <w:t xml:space="preserve">, Orietta Berti e Achille Lauro per il </w:t>
      </w:r>
      <w:r w:rsidR="0095713B" w:rsidRPr="001B3C12">
        <w:rPr>
          <w:sz w:val="28"/>
          <w:szCs w:val="28"/>
        </w:rPr>
        <w:t>videoclip</w:t>
      </w:r>
      <w:r w:rsidR="0045344E">
        <w:rPr>
          <w:sz w:val="28"/>
          <w:szCs w:val="28"/>
        </w:rPr>
        <w:t xml:space="preserve"> caricato su </w:t>
      </w:r>
      <w:proofErr w:type="spellStart"/>
      <w:r w:rsidR="0045344E" w:rsidRPr="00EF1E58">
        <w:rPr>
          <w:i/>
          <w:iCs/>
          <w:sz w:val="28"/>
          <w:szCs w:val="28"/>
        </w:rPr>
        <w:t>Youtube</w:t>
      </w:r>
      <w:proofErr w:type="spellEnd"/>
      <w:r w:rsidR="0095713B" w:rsidRPr="001B3C12">
        <w:rPr>
          <w:sz w:val="28"/>
          <w:szCs w:val="28"/>
        </w:rPr>
        <w:t xml:space="preserve"> del brano musicale “</w:t>
      </w:r>
      <w:r w:rsidR="0095713B" w:rsidRPr="0045344E">
        <w:rPr>
          <w:i/>
          <w:iCs/>
          <w:sz w:val="28"/>
          <w:szCs w:val="28"/>
        </w:rPr>
        <w:t>Mille</w:t>
      </w:r>
      <w:r w:rsidR="0095713B" w:rsidRPr="001B3C12">
        <w:rPr>
          <w:sz w:val="28"/>
          <w:szCs w:val="28"/>
        </w:rPr>
        <w:t>”</w:t>
      </w:r>
      <w:r w:rsidR="00BB37C5" w:rsidRPr="001B3C12">
        <w:rPr>
          <w:rStyle w:val="Rimandonotaapidipagina"/>
          <w:sz w:val="28"/>
          <w:szCs w:val="28"/>
        </w:rPr>
        <w:footnoteReference w:id="186"/>
      </w:r>
      <w:r w:rsidR="0095713B" w:rsidRPr="001B3C12">
        <w:rPr>
          <w:sz w:val="28"/>
          <w:szCs w:val="28"/>
        </w:rPr>
        <w:t xml:space="preserve">. </w:t>
      </w:r>
    </w:p>
    <w:p w14:paraId="5006C49C" w14:textId="3B837758" w:rsidR="0095713B" w:rsidRPr="001B3C12" w:rsidRDefault="00F76934" w:rsidP="00BF0E9E">
      <w:pPr>
        <w:pStyle w:val="NormaleWeb"/>
        <w:spacing w:before="0" w:beforeAutospacing="0" w:after="0" w:afterAutospacing="0"/>
        <w:jc w:val="both"/>
        <w:rPr>
          <w:sz w:val="28"/>
          <w:szCs w:val="28"/>
        </w:rPr>
      </w:pPr>
      <w:r>
        <w:rPr>
          <w:sz w:val="28"/>
          <w:szCs w:val="28"/>
        </w:rPr>
        <w:t>Lo scorso settembre, infatti, è pervenuta una</w:t>
      </w:r>
      <w:r w:rsidR="0095713B" w:rsidRPr="001B3C12">
        <w:rPr>
          <w:sz w:val="28"/>
          <w:szCs w:val="28"/>
        </w:rPr>
        <w:t xml:space="preserve"> segnalazione del Codacons, </w:t>
      </w:r>
      <w:r>
        <w:rPr>
          <w:sz w:val="28"/>
          <w:szCs w:val="28"/>
        </w:rPr>
        <w:t xml:space="preserve">e </w:t>
      </w:r>
      <w:r w:rsidR="0095713B" w:rsidRPr="001B3C12">
        <w:rPr>
          <w:sz w:val="28"/>
          <w:szCs w:val="28"/>
        </w:rPr>
        <w:t xml:space="preserve">l’Autorità ha aperto un’indagine istruttoria </w:t>
      </w:r>
      <w:r w:rsidR="0045344E">
        <w:rPr>
          <w:sz w:val="28"/>
          <w:szCs w:val="28"/>
        </w:rPr>
        <w:t>per</w:t>
      </w:r>
      <w:r w:rsidR="0095713B" w:rsidRPr="001B3C12">
        <w:rPr>
          <w:sz w:val="28"/>
          <w:szCs w:val="28"/>
        </w:rPr>
        <w:t xml:space="preserve"> verificare la configurabilità di pubblicità occulta in favore del marchio Coca-cola. </w:t>
      </w:r>
      <w:r>
        <w:rPr>
          <w:sz w:val="28"/>
          <w:szCs w:val="28"/>
        </w:rPr>
        <w:t>Secondo il comunicato</w:t>
      </w:r>
      <w:r w:rsidR="0095713B" w:rsidRPr="001B3C12">
        <w:rPr>
          <w:sz w:val="28"/>
          <w:szCs w:val="28"/>
        </w:rPr>
        <w:t xml:space="preserve"> stampa diffuso dal Codacons</w:t>
      </w:r>
      <w:r w:rsidR="00EF1E58">
        <w:rPr>
          <w:sz w:val="28"/>
          <w:szCs w:val="28"/>
        </w:rPr>
        <w:t>,</w:t>
      </w:r>
      <w:r>
        <w:rPr>
          <w:sz w:val="28"/>
          <w:szCs w:val="28"/>
        </w:rPr>
        <w:t xml:space="preserve"> </w:t>
      </w:r>
      <w:r w:rsidR="0045344E">
        <w:rPr>
          <w:sz w:val="28"/>
          <w:szCs w:val="28"/>
        </w:rPr>
        <w:lastRenderedPageBreak/>
        <w:t xml:space="preserve">il </w:t>
      </w:r>
      <w:r w:rsidR="0095713B" w:rsidRPr="001B3C12">
        <w:rPr>
          <w:sz w:val="28"/>
          <w:szCs w:val="28"/>
        </w:rPr>
        <w:t xml:space="preserve">motivo della contestazione non </w:t>
      </w:r>
      <w:r>
        <w:rPr>
          <w:sz w:val="28"/>
          <w:szCs w:val="28"/>
        </w:rPr>
        <w:t>sarebbe</w:t>
      </w:r>
      <w:r w:rsidR="0095713B" w:rsidRPr="001B3C12">
        <w:rPr>
          <w:sz w:val="28"/>
          <w:szCs w:val="28"/>
        </w:rPr>
        <w:t xml:space="preserve"> tanto il testo del brano</w:t>
      </w:r>
      <w:r w:rsidR="0045344E">
        <w:rPr>
          <w:sz w:val="28"/>
          <w:szCs w:val="28"/>
        </w:rPr>
        <w:t xml:space="preserve"> musicale</w:t>
      </w:r>
      <w:r w:rsidR="00EF1E58">
        <w:rPr>
          <w:sz w:val="28"/>
          <w:szCs w:val="28"/>
        </w:rPr>
        <w:t xml:space="preserve">, libera </w:t>
      </w:r>
      <w:r w:rsidR="0095713B" w:rsidRPr="001B3C12">
        <w:rPr>
          <w:sz w:val="28"/>
          <w:szCs w:val="28"/>
        </w:rPr>
        <w:t>espressione dell’artista</w:t>
      </w:r>
      <w:r w:rsidR="00EF1E58">
        <w:rPr>
          <w:sz w:val="28"/>
          <w:szCs w:val="28"/>
        </w:rPr>
        <w:t xml:space="preserve">, </w:t>
      </w:r>
      <w:r w:rsidR="0095713B" w:rsidRPr="001B3C12">
        <w:rPr>
          <w:sz w:val="28"/>
          <w:szCs w:val="28"/>
        </w:rPr>
        <w:t xml:space="preserve">quanto il video promozionale </w:t>
      </w:r>
      <w:r w:rsidR="0045344E">
        <w:rPr>
          <w:sz w:val="28"/>
          <w:szCs w:val="28"/>
        </w:rPr>
        <w:t xml:space="preserve">dello stesso, che </w:t>
      </w:r>
      <w:r w:rsidR="0045344E" w:rsidRPr="001B3C12">
        <w:rPr>
          <w:sz w:val="28"/>
          <w:szCs w:val="28"/>
        </w:rPr>
        <w:t xml:space="preserve">non </w:t>
      </w:r>
      <w:r w:rsidR="0045344E">
        <w:rPr>
          <w:sz w:val="28"/>
          <w:szCs w:val="28"/>
        </w:rPr>
        <w:t>reca</w:t>
      </w:r>
      <w:r w:rsidR="0045344E" w:rsidRPr="001B3C12">
        <w:rPr>
          <w:sz w:val="28"/>
          <w:szCs w:val="28"/>
        </w:rPr>
        <w:t xml:space="preserve"> indicazioni sufficienti a chiarire la natura commerciale della comunicazione</w:t>
      </w:r>
      <w:r w:rsidR="0045344E">
        <w:rPr>
          <w:sz w:val="28"/>
          <w:szCs w:val="28"/>
        </w:rPr>
        <w:t xml:space="preserve">, </w:t>
      </w:r>
      <w:r w:rsidR="0095713B" w:rsidRPr="001B3C12">
        <w:rPr>
          <w:sz w:val="28"/>
          <w:szCs w:val="28"/>
        </w:rPr>
        <w:t xml:space="preserve">mostrando </w:t>
      </w:r>
      <w:r w:rsidR="0045344E">
        <w:rPr>
          <w:sz w:val="28"/>
          <w:szCs w:val="28"/>
        </w:rPr>
        <w:t>durante l’intero video</w:t>
      </w:r>
      <w:r w:rsidR="00EF1E58">
        <w:rPr>
          <w:sz w:val="28"/>
          <w:szCs w:val="28"/>
        </w:rPr>
        <w:t>,</w:t>
      </w:r>
      <w:r w:rsidR="0045344E">
        <w:rPr>
          <w:sz w:val="28"/>
          <w:szCs w:val="28"/>
        </w:rPr>
        <w:t xml:space="preserve"> in più occasioni</w:t>
      </w:r>
      <w:r w:rsidR="00EF1E58">
        <w:rPr>
          <w:sz w:val="28"/>
          <w:szCs w:val="28"/>
        </w:rPr>
        <w:t>,</w:t>
      </w:r>
      <w:r w:rsidR="0095713B" w:rsidRPr="001B3C12">
        <w:rPr>
          <w:sz w:val="28"/>
          <w:szCs w:val="28"/>
        </w:rPr>
        <w:t xml:space="preserve"> il marchio della nota bevanda</w:t>
      </w:r>
      <w:r w:rsidR="0045344E">
        <w:rPr>
          <w:sz w:val="28"/>
          <w:szCs w:val="28"/>
        </w:rPr>
        <w:t>.</w:t>
      </w:r>
    </w:p>
    <w:p w14:paraId="2EB172EF" w14:textId="09F9F54D" w:rsidR="0095713B" w:rsidRPr="0095713B" w:rsidRDefault="00F76934" w:rsidP="0095713B">
      <w:pPr>
        <w:pStyle w:val="NormaleWeb"/>
        <w:jc w:val="both"/>
        <w:rPr>
          <w:sz w:val="28"/>
          <w:szCs w:val="28"/>
        </w:rPr>
      </w:pPr>
      <w:r>
        <w:rPr>
          <w:sz w:val="28"/>
          <w:szCs w:val="28"/>
        </w:rPr>
        <w:t>Per quanto riguarda l</w:t>
      </w:r>
      <w:r w:rsidR="0095713B" w:rsidRPr="001B3C12">
        <w:rPr>
          <w:sz w:val="28"/>
          <w:szCs w:val="28"/>
        </w:rPr>
        <w:t xml:space="preserve">a </w:t>
      </w:r>
      <w:r w:rsidR="0095713B" w:rsidRPr="00EF1E58">
        <w:rPr>
          <w:i/>
          <w:iCs/>
          <w:sz w:val="28"/>
          <w:szCs w:val="28"/>
        </w:rPr>
        <w:t>terza ipotesi</w:t>
      </w:r>
      <w:r>
        <w:rPr>
          <w:sz w:val="28"/>
          <w:szCs w:val="28"/>
        </w:rPr>
        <w:t>,</w:t>
      </w:r>
      <w:r w:rsidR="0095713B" w:rsidRPr="001B3C12">
        <w:rPr>
          <w:sz w:val="28"/>
          <w:szCs w:val="28"/>
        </w:rPr>
        <w:t xml:space="preserve"> </w:t>
      </w:r>
      <w:r>
        <w:rPr>
          <w:sz w:val="28"/>
          <w:szCs w:val="28"/>
        </w:rPr>
        <w:t>si tratta della fattispecie</w:t>
      </w:r>
      <w:r w:rsidR="0095713B" w:rsidRPr="001B3C12">
        <w:rPr>
          <w:sz w:val="28"/>
          <w:szCs w:val="28"/>
        </w:rPr>
        <w:t xml:space="preserve"> </w:t>
      </w:r>
      <w:r>
        <w:rPr>
          <w:sz w:val="28"/>
          <w:szCs w:val="28"/>
        </w:rPr>
        <w:t>in</w:t>
      </w:r>
      <w:r w:rsidR="0095713B" w:rsidRPr="001B3C12">
        <w:rPr>
          <w:sz w:val="28"/>
          <w:szCs w:val="28"/>
        </w:rPr>
        <w:t xml:space="preserve"> cui la promozione del prodotto avvenga esclusivamente</w:t>
      </w:r>
      <w:r>
        <w:rPr>
          <w:sz w:val="28"/>
          <w:szCs w:val="28"/>
        </w:rPr>
        <w:t xml:space="preserve"> mediante l’</w:t>
      </w:r>
      <w:r w:rsidR="0095713B" w:rsidRPr="001B3C12">
        <w:rPr>
          <w:sz w:val="28"/>
          <w:szCs w:val="28"/>
        </w:rPr>
        <w:t>invito dell’</w:t>
      </w:r>
      <w:proofErr w:type="spellStart"/>
      <w:r w:rsidR="0095713B" w:rsidRPr="00F76934">
        <w:rPr>
          <w:i/>
          <w:iCs/>
          <w:sz w:val="28"/>
          <w:szCs w:val="28"/>
        </w:rPr>
        <w:t>influencer</w:t>
      </w:r>
      <w:proofErr w:type="spellEnd"/>
      <w:r w:rsidR="0095713B" w:rsidRPr="001B3C12">
        <w:rPr>
          <w:sz w:val="28"/>
          <w:szCs w:val="28"/>
        </w:rPr>
        <w:t xml:space="preserve"> a partecipare ad un </w:t>
      </w:r>
      <w:r w:rsidR="00EC12BD">
        <w:rPr>
          <w:sz w:val="28"/>
          <w:szCs w:val="28"/>
        </w:rPr>
        <w:t>determinato</w:t>
      </w:r>
      <w:r w:rsidR="0095713B" w:rsidRPr="001B3C12">
        <w:rPr>
          <w:sz w:val="28"/>
          <w:szCs w:val="28"/>
        </w:rPr>
        <w:t xml:space="preserve"> evento. </w:t>
      </w:r>
      <w:r w:rsidR="00EC12BD">
        <w:rPr>
          <w:sz w:val="28"/>
          <w:szCs w:val="28"/>
        </w:rPr>
        <w:t>Poiché la fattispecie dà luogo ad un</w:t>
      </w:r>
      <w:r w:rsidR="0095713B" w:rsidRPr="001B3C12">
        <w:rPr>
          <w:sz w:val="28"/>
          <w:szCs w:val="28"/>
        </w:rPr>
        <w:t xml:space="preserve"> rapporto occasionale, </w:t>
      </w:r>
      <w:r>
        <w:rPr>
          <w:sz w:val="28"/>
          <w:szCs w:val="28"/>
        </w:rPr>
        <w:t xml:space="preserve">secondo la disciplina </w:t>
      </w:r>
      <w:r w:rsidR="00EF1E58">
        <w:rPr>
          <w:sz w:val="28"/>
          <w:szCs w:val="28"/>
        </w:rPr>
        <w:t xml:space="preserve">della </w:t>
      </w:r>
      <w:r w:rsidR="00EF1E58" w:rsidRPr="00EF1E58">
        <w:rPr>
          <w:i/>
          <w:iCs/>
          <w:sz w:val="28"/>
          <w:szCs w:val="28"/>
        </w:rPr>
        <w:t>Digital Chart</w:t>
      </w:r>
      <w:r w:rsidR="00EF1E58">
        <w:rPr>
          <w:sz w:val="28"/>
          <w:szCs w:val="28"/>
        </w:rPr>
        <w:t xml:space="preserve"> </w:t>
      </w:r>
      <w:r>
        <w:rPr>
          <w:sz w:val="28"/>
          <w:szCs w:val="28"/>
        </w:rPr>
        <w:t>l</w:t>
      </w:r>
      <w:r w:rsidR="0095713B" w:rsidRPr="001B3C12">
        <w:rPr>
          <w:sz w:val="28"/>
          <w:szCs w:val="28"/>
        </w:rPr>
        <w:t>’</w:t>
      </w:r>
      <w:proofErr w:type="spellStart"/>
      <w:r w:rsidR="0095713B" w:rsidRPr="00F76934">
        <w:rPr>
          <w:i/>
          <w:iCs/>
          <w:sz w:val="28"/>
          <w:szCs w:val="28"/>
        </w:rPr>
        <w:t>influencer</w:t>
      </w:r>
      <w:proofErr w:type="spellEnd"/>
      <w:r w:rsidR="0095713B" w:rsidRPr="001B3C12">
        <w:rPr>
          <w:sz w:val="28"/>
          <w:szCs w:val="28"/>
        </w:rPr>
        <w:t xml:space="preserve"> </w:t>
      </w:r>
      <w:r>
        <w:rPr>
          <w:sz w:val="28"/>
          <w:szCs w:val="28"/>
        </w:rPr>
        <w:t>deve</w:t>
      </w:r>
      <w:r w:rsidR="0095713B" w:rsidRPr="001B3C12">
        <w:rPr>
          <w:sz w:val="28"/>
          <w:szCs w:val="28"/>
        </w:rPr>
        <w:t xml:space="preserve"> </w:t>
      </w:r>
      <w:r w:rsidR="00EC12BD">
        <w:rPr>
          <w:sz w:val="28"/>
          <w:szCs w:val="28"/>
        </w:rPr>
        <w:t>solamente</w:t>
      </w:r>
      <w:r w:rsidR="0095713B" w:rsidRPr="001B3C12">
        <w:rPr>
          <w:sz w:val="28"/>
          <w:szCs w:val="28"/>
        </w:rPr>
        <w:t xml:space="preserve"> informare il pubblico, </w:t>
      </w:r>
      <w:r>
        <w:rPr>
          <w:sz w:val="28"/>
          <w:szCs w:val="28"/>
        </w:rPr>
        <w:t xml:space="preserve">dal momento in cui </w:t>
      </w:r>
      <w:r w:rsidR="00EC12BD">
        <w:rPr>
          <w:sz w:val="28"/>
          <w:szCs w:val="28"/>
        </w:rPr>
        <w:t>fa pubblicità dei</w:t>
      </w:r>
      <w:r w:rsidR="0095713B" w:rsidRPr="001B3C12">
        <w:rPr>
          <w:sz w:val="28"/>
          <w:szCs w:val="28"/>
        </w:rPr>
        <w:t xml:space="preserve"> contenuti riguardanti l’evento, che la propria partecipazione è </w:t>
      </w:r>
      <w:r w:rsidR="00626C60">
        <w:rPr>
          <w:sz w:val="28"/>
          <w:szCs w:val="28"/>
        </w:rPr>
        <w:t>legata</w:t>
      </w:r>
      <w:r w:rsidR="0095713B" w:rsidRPr="001B3C12">
        <w:rPr>
          <w:sz w:val="28"/>
          <w:szCs w:val="28"/>
        </w:rPr>
        <w:t xml:space="preserve"> ad invito da parte del professionista (</w:t>
      </w:r>
      <w:r w:rsidR="00626C60">
        <w:rPr>
          <w:sz w:val="28"/>
          <w:szCs w:val="28"/>
        </w:rPr>
        <w:t xml:space="preserve">il quale comunque rimane obbligato ad informare </w:t>
      </w:r>
      <w:r w:rsidR="0095713B" w:rsidRPr="0095713B">
        <w:rPr>
          <w:sz w:val="28"/>
          <w:szCs w:val="28"/>
        </w:rPr>
        <w:t>in tal senso).</w:t>
      </w:r>
    </w:p>
    <w:p w14:paraId="37FCB574" w14:textId="025A708E" w:rsidR="00390F14" w:rsidRDefault="00626C60" w:rsidP="00390F14">
      <w:pPr>
        <w:pStyle w:val="NormaleWeb"/>
        <w:spacing w:before="0" w:beforeAutospacing="0" w:after="0" w:afterAutospacing="0"/>
        <w:jc w:val="both"/>
        <w:rPr>
          <w:sz w:val="28"/>
          <w:szCs w:val="28"/>
        </w:rPr>
      </w:pPr>
      <w:r>
        <w:rPr>
          <w:sz w:val="28"/>
          <w:szCs w:val="28"/>
        </w:rPr>
        <w:t xml:space="preserve">Per quanto concerne </w:t>
      </w:r>
      <w:r w:rsidR="0095713B" w:rsidRPr="001B3C12">
        <w:rPr>
          <w:sz w:val="28"/>
          <w:szCs w:val="28"/>
        </w:rPr>
        <w:t>i contenuti generati dagli utenti</w:t>
      </w:r>
      <w:r w:rsidRPr="00626C60">
        <w:rPr>
          <w:sz w:val="28"/>
          <w:szCs w:val="28"/>
        </w:rPr>
        <w:t xml:space="preserve"> </w:t>
      </w:r>
      <w:r>
        <w:rPr>
          <w:sz w:val="28"/>
          <w:szCs w:val="28"/>
        </w:rPr>
        <w:t>(</w:t>
      </w:r>
      <w:r w:rsidRPr="001B3C12">
        <w:rPr>
          <w:sz w:val="28"/>
          <w:szCs w:val="28"/>
        </w:rPr>
        <w:t>c.d. “</w:t>
      </w:r>
      <w:proofErr w:type="spellStart"/>
      <w:r w:rsidRPr="00626C60">
        <w:rPr>
          <w:i/>
          <w:iCs/>
          <w:sz w:val="28"/>
          <w:szCs w:val="28"/>
        </w:rPr>
        <w:t>user</w:t>
      </w:r>
      <w:proofErr w:type="spellEnd"/>
      <w:r w:rsidRPr="00626C60">
        <w:rPr>
          <w:i/>
          <w:iCs/>
          <w:sz w:val="28"/>
          <w:szCs w:val="28"/>
        </w:rPr>
        <w:t xml:space="preserve"> </w:t>
      </w:r>
      <w:proofErr w:type="spellStart"/>
      <w:r w:rsidRPr="00626C60">
        <w:rPr>
          <w:i/>
          <w:iCs/>
          <w:sz w:val="28"/>
          <w:szCs w:val="28"/>
        </w:rPr>
        <w:t>generated</w:t>
      </w:r>
      <w:proofErr w:type="spellEnd"/>
      <w:r w:rsidRPr="00626C60">
        <w:rPr>
          <w:i/>
          <w:iCs/>
          <w:sz w:val="28"/>
          <w:szCs w:val="28"/>
        </w:rPr>
        <w:t xml:space="preserve"> </w:t>
      </w:r>
      <w:proofErr w:type="spellStart"/>
      <w:r w:rsidRPr="00626C60">
        <w:rPr>
          <w:i/>
          <w:iCs/>
          <w:sz w:val="28"/>
          <w:szCs w:val="28"/>
        </w:rPr>
        <w:t>content</w:t>
      </w:r>
      <w:proofErr w:type="spellEnd"/>
      <w:r w:rsidRPr="001B3C12">
        <w:rPr>
          <w:sz w:val="28"/>
          <w:szCs w:val="28"/>
        </w:rPr>
        <w:t>”</w:t>
      </w:r>
      <w:r>
        <w:rPr>
          <w:sz w:val="28"/>
          <w:szCs w:val="28"/>
        </w:rPr>
        <w:t xml:space="preserve">), </w:t>
      </w:r>
      <w:r w:rsidR="0095713B" w:rsidRPr="001B3C12">
        <w:rPr>
          <w:sz w:val="28"/>
          <w:szCs w:val="28"/>
        </w:rPr>
        <w:t>è parimenti richiesta</w:t>
      </w:r>
      <w:r w:rsidR="00BB37C5" w:rsidRPr="001B3C12">
        <w:rPr>
          <w:sz w:val="28"/>
          <w:szCs w:val="28"/>
        </w:rPr>
        <w:t xml:space="preserve"> </w:t>
      </w:r>
      <w:r w:rsidR="0095713B" w:rsidRPr="001B3C12">
        <w:rPr>
          <w:sz w:val="28"/>
          <w:szCs w:val="28"/>
        </w:rPr>
        <w:t xml:space="preserve">l’adozione di una </w:t>
      </w:r>
      <w:r>
        <w:rPr>
          <w:sz w:val="28"/>
          <w:szCs w:val="28"/>
        </w:rPr>
        <w:t>delle</w:t>
      </w:r>
      <w:r w:rsidR="0095713B" w:rsidRPr="001B3C12">
        <w:rPr>
          <w:sz w:val="28"/>
          <w:szCs w:val="28"/>
        </w:rPr>
        <w:t xml:space="preserve"> misure </w:t>
      </w:r>
      <w:r>
        <w:rPr>
          <w:sz w:val="28"/>
          <w:szCs w:val="28"/>
        </w:rPr>
        <w:t>su</w:t>
      </w:r>
      <w:r w:rsidR="0095713B" w:rsidRPr="001B3C12">
        <w:rPr>
          <w:sz w:val="28"/>
          <w:szCs w:val="28"/>
        </w:rPr>
        <w:t xml:space="preserve"> indicate</w:t>
      </w:r>
      <w:r>
        <w:rPr>
          <w:sz w:val="28"/>
          <w:szCs w:val="28"/>
        </w:rPr>
        <w:t xml:space="preserve"> per precisare</w:t>
      </w:r>
      <w:r w:rsidR="0095713B" w:rsidRPr="001B3C12">
        <w:rPr>
          <w:sz w:val="28"/>
          <w:szCs w:val="28"/>
        </w:rPr>
        <w:t xml:space="preserve"> la natura della comunicazione.</w:t>
      </w:r>
      <w:r w:rsidR="00EC12BD">
        <w:rPr>
          <w:sz w:val="28"/>
          <w:szCs w:val="28"/>
        </w:rPr>
        <w:t xml:space="preserve"> A tal proposito, si segnala che l</w:t>
      </w:r>
      <w:r w:rsidR="0095713B" w:rsidRPr="0095713B">
        <w:rPr>
          <w:sz w:val="28"/>
          <w:szCs w:val="28"/>
        </w:rPr>
        <w:t>’</w:t>
      </w:r>
      <w:r w:rsidR="00EC12BD">
        <w:rPr>
          <w:sz w:val="28"/>
          <w:szCs w:val="28"/>
        </w:rPr>
        <w:t>Autorità Garante</w:t>
      </w:r>
      <w:r w:rsidR="0095713B" w:rsidRPr="0095713B">
        <w:rPr>
          <w:sz w:val="28"/>
          <w:szCs w:val="28"/>
        </w:rPr>
        <w:t xml:space="preserve"> ha </w:t>
      </w:r>
      <w:r w:rsidR="00EC12BD">
        <w:rPr>
          <w:sz w:val="28"/>
          <w:szCs w:val="28"/>
        </w:rPr>
        <w:t xml:space="preserve">recentemente </w:t>
      </w:r>
      <w:r w:rsidR="0095713B" w:rsidRPr="0095713B">
        <w:rPr>
          <w:sz w:val="28"/>
          <w:szCs w:val="28"/>
        </w:rPr>
        <w:t>avviato un’indagine istruttoria</w:t>
      </w:r>
      <w:r w:rsidR="00BB37C5">
        <w:rPr>
          <w:rStyle w:val="Rimandonotaapidipagina"/>
          <w:sz w:val="28"/>
          <w:szCs w:val="28"/>
        </w:rPr>
        <w:footnoteReference w:id="187"/>
      </w:r>
      <w:r w:rsidR="0095713B" w:rsidRPr="0095713B">
        <w:rPr>
          <w:sz w:val="28"/>
          <w:szCs w:val="28"/>
        </w:rPr>
        <w:t xml:space="preserve"> </w:t>
      </w:r>
      <w:r w:rsidR="00EC12BD">
        <w:rPr>
          <w:sz w:val="28"/>
          <w:szCs w:val="28"/>
        </w:rPr>
        <w:t xml:space="preserve">dopo che </w:t>
      </w:r>
      <w:r w:rsidR="0095713B" w:rsidRPr="0095713B">
        <w:rPr>
          <w:sz w:val="28"/>
          <w:szCs w:val="28"/>
        </w:rPr>
        <w:t xml:space="preserve">alcuni noti </w:t>
      </w:r>
      <w:proofErr w:type="spellStart"/>
      <w:r w:rsidR="0095713B" w:rsidRPr="00626C60">
        <w:rPr>
          <w:i/>
          <w:iCs/>
          <w:sz w:val="28"/>
          <w:szCs w:val="28"/>
        </w:rPr>
        <w:t>influencer</w:t>
      </w:r>
      <w:proofErr w:type="spellEnd"/>
      <w:r w:rsidR="00EC12BD">
        <w:rPr>
          <w:i/>
          <w:iCs/>
          <w:sz w:val="28"/>
          <w:szCs w:val="28"/>
        </w:rPr>
        <w:t xml:space="preserve"> </w:t>
      </w:r>
      <w:r w:rsidR="00EC12BD">
        <w:rPr>
          <w:sz w:val="28"/>
          <w:szCs w:val="28"/>
        </w:rPr>
        <w:t xml:space="preserve">avevano pubblicato </w:t>
      </w:r>
      <w:r w:rsidR="0095713B" w:rsidRPr="00BD79F6">
        <w:rPr>
          <w:i/>
          <w:iCs/>
          <w:sz w:val="28"/>
          <w:szCs w:val="28"/>
        </w:rPr>
        <w:t>post</w:t>
      </w:r>
      <w:r w:rsidR="0095713B" w:rsidRPr="0095713B">
        <w:rPr>
          <w:sz w:val="28"/>
          <w:szCs w:val="28"/>
        </w:rPr>
        <w:t xml:space="preserve"> e </w:t>
      </w:r>
      <w:r w:rsidR="0095713B" w:rsidRPr="00BD79F6">
        <w:rPr>
          <w:i/>
          <w:iCs/>
          <w:sz w:val="28"/>
          <w:szCs w:val="28"/>
        </w:rPr>
        <w:t>storie</w:t>
      </w:r>
      <w:r w:rsidR="00BD79F6" w:rsidRPr="00BD79F6">
        <w:rPr>
          <w:i/>
          <w:iCs/>
          <w:sz w:val="28"/>
          <w:szCs w:val="28"/>
        </w:rPr>
        <w:t>s</w:t>
      </w:r>
      <w:r w:rsidR="0095713B" w:rsidRPr="0095713B">
        <w:rPr>
          <w:sz w:val="28"/>
          <w:szCs w:val="28"/>
        </w:rPr>
        <w:t xml:space="preserve"> </w:t>
      </w:r>
      <w:r w:rsidR="00390F14">
        <w:rPr>
          <w:sz w:val="28"/>
          <w:szCs w:val="28"/>
        </w:rPr>
        <w:t>chiedendo a</w:t>
      </w:r>
      <w:r w:rsidR="0095713B" w:rsidRPr="0095713B">
        <w:rPr>
          <w:sz w:val="28"/>
          <w:szCs w:val="28"/>
        </w:rPr>
        <w:t>i</w:t>
      </w:r>
      <w:r w:rsidR="00390F14">
        <w:rPr>
          <w:sz w:val="28"/>
          <w:szCs w:val="28"/>
        </w:rPr>
        <w:t xml:space="preserve"> propri</w:t>
      </w:r>
      <w:r w:rsidR="0095713B" w:rsidRPr="0095713B">
        <w:rPr>
          <w:sz w:val="28"/>
          <w:szCs w:val="28"/>
        </w:rPr>
        <w:t xml:space="preserve"> </w:t>
      </w:r>
      <w:proofErr w:type="spellStart"/>
      <w:r w:rsidR="0095713B" w:rsidRPr="00EC12BD">
        <w:rPr>
          <w:i/>
          <w:iCs/>
          <w:sz w:val="28"/>
          <w:szCs w:val="28"/>
        </w:rPr>
        <w:t>followers</w:t>
      </w:r>
      <w:proofErr w:type="spellEnd"/>
      <w:r w:rsidR="0095713B" w:rsidRPr="0095713B">
        <w:rPr>
          <w:sz w:val="28"/>
          <w:szCs w:val="28"/>
        </w:rPr>
        <w:t xml:space="preserve"> </w:t>
      </w:r>
      <w:r w:rsidR="00390F14">
        <w:rPr>
          <w:sz w:val="28"/>
          <w:szCs w:val="28"/>
        </w:rPr>
        <w:t>di</w:t>
      </w:r>
      <w:r w:rsidR="0095713B" w:rsidRPr="0095713B">
        <w:rPr>
          <w:sz w:val="28"/>
          <w:szCs w:val="28"/>
        </w:rPr>
        <w:t xml:space="preserve"> </w:t>
      </w:r>
      <w:r w:rsidR="00390F14">
        <w:rPr>
          <w:sz w:val="28"/>
          <w:szCs w:val="28"/>
        </w:rPr>
        <w:t>ri</w:t>
      </w:r>
      <w:r w:rsidR="0095713B" w:rsidRPr="0095713B">
        <w:rPr>
          <w:sz w:val="28"/>
          <w:szCs w:val="28"/>
        </w:rPr>
        <w:t xml:space="preserve">pubblicare </w:t>
      </w:r>
      <w:r w:rsidR="00390F14">
        <w:rPr>
          <w:sz w:val="28"/>
          <w:szCs w:val="28"/>
        </w:rPr>
        <w:t xml:space="preserve">(c.d. </w:t>
      </w:r>
      <w:proofErr w:type="spellStart"/>
      <w:r w:rsidR="00390F14" w:rsidRPr="00390F14">
        <w:rPr>
          <w:i/>
          <w:iCs/>
          <w:sz w:val="28"/>
          <w:szCs w:val="28"/>
        </w:rPr>
        <w:t>repost</w:t>
      </w:r>
      <w:proofErr w:type="spellEnd"/>
      <w:r w:rsidR="00390F14">
        <w:rPr>
          <w:sz w:val="28"/>
          <w:szCs w:val="28"/>
        </w:rPr>
        <w:t xml:space="preserve">) loro </w:t>
      </w:r>
      <w:r w:rsidR="0095713B" w:rsidRPr="0095713B">
        <w:rPr>
          <w:sz w:val="28"/>
          <w:szCs w:val="28"/>
        </w:rPr>
        <w:t xml:space="preserve">contenuti con l’utilizzo di specifici </w:t>
      </w:r>
      <w:proofErr w:type="spellStart"/>
      <w:r w:rsidR="0095713B" w:rsidRPr="00EC12BD">
        <w:rPr>
          <w:i/>
          <w:iCs/>
          <w:sz w:val="28"/>
          <w:szCs w:val="28"/>
        </w:rPr>
        <w:t>tag</w:t>
      </w:r>
      <w:proofErr w:type="spellEnd"/>
      <w:r w:rsidR="0095713B" w:rsidRPr="001B3C12">
        <w:rPr>
          <w:sz w:val="28"/>
          <w:szCs w:val="28"/>
        </w:rPr>
        <w:t xml:space="preserve"> e </w:t>
      </w:r>
      <w:proofErr w:type="spellStart"/>
      <w:r w:rsidR="0095713B" w:rsidRPr="00EC12BD">
        <w:rPr>
          <w:i/>
          <w:iCs/>
          <w:sz w:val="28"/>
          <w:szCs w:val="28"/>
        </w:rPr>
        <w:t>hashtag</w:t>
      </w:r>
      <w:proofErr w:type="spellEnd"/>
      <w:r w:rsidR="0095713B" w:rsidRPr="001B3C12">
        <w:rPr>
          <w:sz w:val="28"/>
          <w:szCs w:val="28"/>
        </w:rPr>
        <w:t xml:space="preserve"> riconducibili alla promozione del prodotto </w:t>
      </w:r>
      <w:proofErr w:type="spellStart"/>
      <w:r w:rsidR="0095713B" w:rsidRPr="00626C60">
        <w:rPr>
          <w:i/>
          <w:iCs/>
          <w:sz w:val="28"/>
          <w:szCs w:val="28"/>
        </w:rPr>
        <w:t>Glo</w:t>
      </w:r>
      <w:proofErr w:type="spellEnd"/>
      <w:r w:rsidR="0095713B" w:rsidRPr="00626C60">
        <w:rPr>
          <w:i/>
          <w:iCs/>
          <w:sz w:val="28"/>
          <w:szCs w:val="28"/>
        </w:rPr>
        <w:t xml:space="preserve"> </w:t>
      </w:r>
      <w:proofErr w:type="spellStart"/>
      <w:r w:rsidR="0095713B" w:rsidRPr="00626C60">
        <w:rPr>
          <w:i/>
          <w:iCs/>
          <w:sz w:val="28"/>
          <w:szCs w:val="28"/>
        </w:rPr>
        <w:t>Hyper</w:t>
      </w:r>
      <w:proofErr w:type="spellEnd"/>
      <w:r w:rsidR="0095713B" w:rsidRPr="001B3C12">
        <w:rPr>
          <w:sz w:val="28"/>
          <w:szCs w:val="28"/>
        </w:rPr>
        <w:t>.</w:t>
      </w:r>
    </w:p>
    <w:p w14:paraId="3049EBC1" w14:textId="77777777" w:rsidR="00BD79F6" w:rsidRDefault="00390F14" w:rsidP="00D5355C">
      <w:pPr>
        <w:pStyle w:val="NormaleWeb"/>
        <w:spacing w:before="0" w:beforeAutospacing="0" w:after="0" w:afterAutospacing="0"/>
        <w:jc w:val="both"/>
        <w:rPr>
          <w:sz w:val="28"/>
          <w:szCs w:val="28"/>
        </w:rPr>
      </w:pPr>
      <w:r>
        <w:rPr>
          <w:sz w:val="28"/>
          <w:szCs w:val="28"/>
        </w:rPr>
        <w:t>In questo caso viene in rilievo, più che altro, il problema relativo al</w:t>
      </w:r>
      <w:r w:rsidR="0095713B" w:rsidRPr="001B3C12">
        <w:rPr>
          <w:sz w:val="28"/>
          <w:szCs w:val="28"/>
        </w:rPr>
        <w:t xml:space="preserve">l’attività pubblicitaria posta in essere </w:t>
      </w:r>
      <w:r w:rsidRPr="00390F14">
        <w:rPr>
          <w:i/>
          <w:iCs/>
          <w:sz w:val="28"/>
          <w:szCs w:val="28"/>
        </w:rPr>
        <w:t>in</w:t>
      </w:r>
      <w:r w:rsidR="0095713B" w:rsidRPr="00390F14">
        <w:rPr>
          <w:i/>
          <w:iCs/>
          <w:sz w:val="28"/>
          <w:szCs w:val="28"/>
        </w:rPr>
        <w:t>direttamente</w:t>
      </w:r>
      <w:r w:rsidR="0095713B" w:rsidRPr="001B3C12">
        <w:rPr>
          <w:sz w:val="28"/>
          <w:szCs w:val="28"/>
        </w:rPr>
        <w:t xml:space="preserve"> dagli </w:t>
      </w:r>
      <w:r>
        <w:rPr>
          <w:sz w:val="28"/>
          <w:szCs w:val="28"/>
        </w:rPr>
        <w:t>utenti</w:t>
      </w:r>
      <w:r w:rsidR="0095713B" w:rsidRPr="001B3C12">
        <w:rPr>
          <w:sz w:val="28"/>
          <w:szCs w:val="28"/>
        </w:rPr>
        <w:t xml:space="preserve">, </w:t>
      </w:r>
      <w:r>
        <w:rPr>
          <w:sz w:val="28"/>
          <w:szCs w:val="28"/>
        </w:rPr>
        <w:t xml:space="preserve">e i quesiti che ci poniamo sono i seguenti: </w:t>
      </w:r>
      <w:r w:rsidR="0095713B" w:rsidRPr="001B3C12">
        <w:rPr>
          <w:sz w:val="28"/>
          <w:szCs w:val="28"/>
        </w:rPr>
        <w:t>qua</w:t>
      </w:r>
      <w:r>
        <w:rPr>
          <w:sz w:val="28"/>
          <w:szCs w:val="28"/>
        </w:rPr>
        <w:t xml:space="preserve">l è </w:t>
      </w:r>
      <w:r w:rsidR="0095713B" w:rsidRPr="001B3C12">
        <w:rPr>
          <w:sz w:val="28"/>
          <w:szCs w:val="28"/>
        </w:rPr>
        <w:t xml:space="preserve">la natura </w:t>
      </w:r>
      <w:r w:rsidRPr="001B3C12">
        <w:rPr>
          <w:sz w:val="28"/>
          <w:szCs w:val="28"/>
        </w:rPr>
        <w:t xml:space="preserve">degli ulteriori </w:t>
      </w:r>
      <w:r w:rsidRPr="00BD79F6">
        <w:rPr>
          <w:i/>
          <w:iCs/>
          <w:sz w:val="28"/>
          <w:szCs w:val="28"/>
        </w:rPr>
        <w:t>post</w:t>
      </w:r>
      <w:r w:rsidRPr="001B3C12">
        <w:rPr>
          <w:sz w:val="28"/>
          <w:szCs w:val="28"/>
        </w:rPr>
        <w:t xml:space="preserve"> pubblicati dagli utenti</w:t>
      </w:r>
      <w:r>
        <w:rPr>
          <w:sz w:val="28"/>
          <w:szCs w:val="28"/>
        </w:rPr>
        <w:t xml:space="preserve">? </w:t>
      </w:r>
      <w:r w:rsidR="002C2AB3">
        <w:rPr>
          <w:sz w:val="28"/>
          <w:szCs w:val="28"/>
        </w:rPr>
        <w:t>Q</w:t>
      </w:r>
      <w:r>
        <w:rPr>
          <w:sz w:val="28"/>
          <w:szCs w:val="28"/>
        </w:rPr>
        <w:t>ual</w:t>
      </w:r>
      <w:r w:rsidR="002C2AB3">
        <w:rPr>
          <w:sz w:val="28"/>
          <w:szCs w:val="28"/>
        </w:rPr>
        <w:t xml:space="preserve"> è, inoltre, </w:t>
      </w:r>
      <w:r w:rsidR="0095713B" w:rsidRPr="001B3C12">
        <w:rPr>
          <w:sz w:val="28"/>
          <w:szCs w:val="28"/>
        </w:rPr>
        <w:t>l’impatto</w:t>
      </w:r>
      <w:r w:rsidR="002C2AB3">
        <w:rPr>
          <w:sz w:val="28"/>
          <w:szCs w:val="28"/>
        </w:rPr>
        <w:t xml:space="preserve"> che ne deriva sugli altri utenti</w:t>
      </w:r>
      <w:r>
        <w:rPr>
          <w:sz w:val="28"/>
          <w:szCs w:val="28"/>
        </w:rPr>
        <w:t>?</w:t>
      </w:r>
      <w:r w:rsidR="002C2AB3">
        <w:rPr>
          <w:sz w:val="28"/>
          <w:szCs w:val="28"/>
        </w:rPr>
        <w:t xml:space="preserve"> </w:t>
      </w:r>
    </w:p>
    <w:p w14:paraId="7894BC72" w14:textId="77777777" w:rsidR="00BD79F6" w:rsidRDefault="00390F14" w:rsidP="00D5355C">
      <w:pPr>
        <w:pStyle w:val="NormaleWeb"/>
        <w:spacing w:before="0" w:beforeAutospacing="0" w:after="0" w:afterAutospacing="0"/>
        <w:jc w:val="both"/>
        <w:rPr>
          <w:sz w:val="28"/>
          <w:szCs w:val="28"/>
        </w:rPr>
      </w:pPr>
      <w:r>
        <w:rPr>
          <w:sz w:val="28"/>
          <w:szCs w:val="28"/>
        </w:rPr>
        <w:t xml:space="preserve">È normale che sia molto </w:t>
      </w:r>
      <w:r w:rsidR="0095713B" w:rsidRPr="001B3C12">
        <w:rPr>
          <w:sz w:val="28"/>
          <w:szCs w:val="28"/>
        </w:rPr>
        <w:t xml:space="preserve">più </w:t>
      </w:r>
      <w:r w:rsidR="002C2AB3">
        <w:rPr>
          <w:sz w:val="28"/>
          <w:szCs w:val="28"/>
        </w:rPr>
        <w:t>complicato, in questo caso,</w:t>
      </w:r>
      <w:r w:rsidR="0095713B" w:rsidRPr="001B3C12">
        <w:rPr>
          <w:sz w:val="28"/>
          <w:szCs w:val="28"/>
        </w:rPr>
        <w:t xml:space="preserve"> riconoscere in </w:t>
      </w:r>
      <w:r w:rsidR="002C2AB3">
        <w:rPr>
          <w:sz w:val="28"/>
          <w:szCs w:val="28"/>
        </w:rPr>
        <w:t>maniera</w:t>
      </w:r>
      <w:r w:rsidR="0095713B" w:rsidRPr="001B3C12">
        <w:rPr>
          <w:sz w:val="28"/>
          <w:szCs w:val="28"/>
        </w:rPr>
        <w:t xml:space="preserve"> </w:t>
      </w:r>
      <w:r w:rsidR="002C2AB3">
        <w:rPr>
          <w:sz w:val="28"/>
          <w:szCs w:val="28"/>
        </w:rPr>
        <w:t>lampante</w:t>
      </w:r>
      <w:r w:rsidR="0095713B" w:rsidRPr="001B3C12">
        <w:rPr>
          <w:sz w:val="28"/>
          <w:szCs w:val="28"/>
        </w:rPr>
        <w:t xml:space="preserve"> la natura commerciale</w:t>
      </w:r>
      <w:r>
        <w:rPr>
          <w:sz w:val="28"/>
          <w:szCs w:val="28"/>
        </w:rPr>
        <w:t xml:space="preserve"> delle comunicazion</w:t>
      </w:r>
      <w:r w:rsidR="002C2AB3">
        <w:rPr>
          <w:sz w:val="28"/>
          <w:szCs w:val="28"/>
        </w:rPr>
        <w:t>i</w:t>
      </w:r>
      <w:r w:rsidR="0095713B" w:rsidRPr="001B3C12">
        <w:rPr>
          <w:sz w:val="28"/>
          <w:szCs w:val="28"/>
        </w:rPr>
        <w:t xml:space="preserve">. </w:t>
      </w:r>
      <w:r w:rsidR="002C2AB3">
        <w:rPr>
          <w:sz w:val="28"/>
          <w:szCs w:val="28"/>
        </w:rPr>
        <w:t>Non a caso, nel</w:t>
      </w:r>
      <w:r w:rsidR="0095713B" w:rsidRPr="001B3C12">
        <w:rPr>
          <w:sz w:val="28"/>
          <w:szCs w:val="28"/>
        </w:rPr>
        <w:t xml:space="preserve"> comunicato stampa divulgato dall’AGCM il 21 maggio 2021,</w:t>
      </w:r>
      <w:r w:rsidR="002C2AB3">
        <w:rPr>
          <w:sz w:val="28"/>
          <w:szCs w:val="28"/>
        </w:rPr>
        <w:t xml:space="preserve"> si legge:</w:t>
      </w:r>
      <w:r w:rsidR="0095713B" w:rsidRPr="001B3C12">
        <w:rPr>
          <w:sz w:val="28"/>
          <w:szCs w:val="28"/>
        </w:rPr>
        <w:t xml:space="preserve"> “</w:t>
      </w:r>
      <w:r w:rsidR="0095713B" w:rsidRPr="002C2AB3">
        <w:rPr>
          <w:i/>
          <w:iCs/>
          <w:sz w:val="28"/>
          <w:szCs w:val="28"/>
        </w:rPr>
        <w:t>L’intervento si inserisce nell’ambito di un filone di indagine che, seguendo le evoluzioni delle tecniche di marketing adottate sui social media, punta a colpire le comunicazioni apparentemente neutrali e disinteressate ma in realtà strumentali a promuovere un prodotto e, come tali, in grado di influenzare le scelte del consumatore</w:t>
      </w:r>
      <w:r w:rsidR="0095713B" w:rsidRPr="0095713B">
        <w:rPr>
          <w:sz w:val="28"/>
          <w:szCs w:val="28"/>
        </w:rPr>
        <w:t>”.</w:t>
      </w:r>
    </w:p>
    <w:p w14:paraId="116285AF" w14:textId="14EE8D25" w:rsidR="00D5355C" w:rsidRDefault="00D5355C" w:rsidP="00D5355C">
      <w:pPr>
        <w:pStyle w:val="NormaleWeb"/>
        <w:spacing w:before="0" w:beforeAutospacing="0" w:after="0" w:afterAutospacing="0"/>
        <w:jc w:val="both"/>
        <w:rPr>
          <w:sz w:val="28"/>
          <w:szCs w:val="28"/>
        </w:rPr>
      </w:pPr>
      <w:r>
        <w:rPr>
          <w:sz w:val="28"/>
          <w:szCs w:val="28"/>
        </w:rPr>
        <w:t>Secondo la nuova disciplina, occorre inserire</w:t>
      </w:r>
      <w:r w:rsidR="0095713B" w:rsidRPr="0095713B">
        <w:rPr>
          <w:sz w:val="28"/>
          <w:szCs w:val="28"/>
        </w:rPr>
        <w:t xml:space="preserve"> </w:t>
      </w:r>
      <w:proofErr w:type="spellStart"/>
      <w:r w:rsidR="0095713B" w:rsidRPr="00D5355C">
        <w:rPr>
          <w:i/>
          <w:iCs/>
          <w:sz w:val="28"/>
          <w:szCs w:val="28"/>
        </w:rPr>
        <w:t>disclaimer</w:t>
      </w:r>
      <w:proofErr w:type="spellEnd"/>
      <w:r w:rsidR="0095713B" w:rsidRPr="0095713B">
        <w:rPr>
          <w:sz w:val="28"/>
          <w:szCs w:val="28"/>
        </w:rPr>
        <w:t xml:space="preserve"> anche </w:t>
      </w:r>
      <w:r>
        <w:rPr>
          <w:sz w:val="28"/>
          <w:szCs w:val="28"/>
        </w:rPr>
        <w:t>in altri casi riconducibili alle seguenti ipotesi:</w:t>
      </w:r>
      <w:r w:rsidR="0095713B" w:rsidRPr="0095713B">
        <w:rPr>
          <w:sz w:val="28"/>
          <w:szCs w:val="28"/>
        </w:rPr>
        <w:t xml:space="preserve"> “</w:t>
      </w:r>
      <w:r w:rsidR="0095713B" w:rsidRPr="002C2AB3">
        <w:rPr>
          <w:i/>
          <w:iCs/>
          <w:sz w:val="28"/>
          <w:szCs w:val="28"/>
        </w:rPr>
        <w:t>In-</w:t>
      </w:r>
      <w:proofErr w:type="spellStart"/>
      <w:r w:rsidR="0095713B" w:rsidRPr="002C2AB3">
        <w:rPr>
          <w:i/>
          <w:iCs/>
          <w:sz w:val="28"/>
          <w:szCs w:val="28"/>
        </w:rPr>
        <w:t>feed</w:t>
      </w:r>
      <w:proofErr w:type="spellEnd"/>
      <w:r w:rsidR="0095713B" w:rsidRPr="002C2AB3">
        <w:rPr>
          <w:i/>
          <w:iCs/>
          <w:sz w:val="28"/>
          <w:szCs w:val="28"/>
        </w:rPr>
        <w:t xml:space="preserve"> </w:t>
      </w:r>
      <w:proofErr w:type="spellStart"/>
      <w:r w:rsidR="0095713B" w:rsidRPr="002C2AB3">
        <w:rPr>
          <w:i/>
          <w:iCs/>
          <w:sz w:val="28"/>
          <w:szCs w:val="28"/>
        </w:rPr>
        <w:t>units</w:t>
      </w:r>
      <w:proofErr w:type="spellEnd"/>
      <w:r w:rsidR="0095713B" w:rsidRPr="0095713B">
        <w:rPr>
          <w:sz w:val="28"/>
          <w:szCs w:val="28"/>
        </w:rPr>
        <w:t>” (ossia contenuti redazionali), “</w:t>
      </w:r>
      <w:proofErr w:type="spellStart"/>
      <w:r w:rsidR="0095713B" w:rsidRPr="002C2AB3">
        <w:rPr>
          <w:i/>
          <w:iCs/>
          <w:sz w:val="28"/>
          <w:szCs w:val="28"/>
        </w:rPr>
        <w:t>paid</w:t>
      </w:r>
      <w:proofErr w:type="spellEnd"/>
      <w:r w:rsidR="0095713B" w:rsidRPr="002C2AB3">
        <w:rPr>
          <w:i/>
          <w:iCs/>
          <w:sz w:val="28"/>
          <w:szCs w:val="28"/>
        </w:rPr>
        <w:t xml:space="preserve"> </w:t>
      </w:r>
      <w:proofErr w:type="spellStart"/>
      <w:r w:rsidR="0095713B" w:rsidRPr="002C2AB3">
        <w:rPr>
          <w:i/>
          <w:iCs/>
          <w:sz w:val="28"/>
          <w:szCs w:val="28"/>
        </w:rPr>
        <w:t>search</w:t>
      </w:r>
      <w:proofErr w:type="spellEnd"/>
      <w:r w:rsidR="0095713B" w:rsidRPr="002C2AB3">
        <w:rPr>
          <w:i/>
          <w:iCs/>
          <w:sz w:val="28"/>
          <w:szCs w:val="28"/>
        </w:rPr>
        <w:t xml:space="preserve"> </w:t>
      </w:r>
      <w:proofErr w:type="spellStart"/>
      <w:r w:rsidR="0095713B" w:rsidRPr="002C2AB3">
        <w:rPr>
          <w:i/>
          <w:iCs/>
          <w:sz w:val="28"/>
          <w:szCs w:val="28"/>
        </w:rPr>
        <w:t>units</w:t>
      </w:r>
      <w:proofErr w:type="spellEnd"/>
      <w:r w:rsidR="0095713B" w:rsidRPr="0095713B">
        <w:rPr>
          <w:sz w:val="28"/>
          <w:szCs w:val="28"/>
        </w:rPr>
        <w:t>” (risultati di ricerca sponsorizzati), “</w:t>
      </w:r>
      <w:r w:rsidR="0095713B" w:rsidRPr="002C2AB3">
        <w:rPr>
          <w:i/>
          <w:iCs/>
          <w:sz w:val="28"/>
          <w:szCs w:val="28"/>
        </w:rPr>
        <w:t xml:space="preserve">in </w:t>
      </w:r>
      <w:proofErr w:type="spellStart"/>
      <w:r w:rsidR="0095713B" w:rsidRPr="002C2AB3">
        <w:rPr>
          <w:i/>
          <w:iCs/>
          <w:sz w:val="28"/>
          <w:szCs w:val="28"/>
        </w:rPr>
        <w:t>App</w:t>
      </w:r>
      <w:proofErr w:type="spellEnd"/>
      <w:r w:rsidR="0095713B" w:rsidRPr="002C2AB3">
        <w:rPr>
          <w:i/>
          <w:iCs/>
          <w:sz w:val="28"/>
          <w:szCs w:val="28"/>
        </w:rPr>
        <w:t xml:space="preserve"> advertising</w:t>
      </w:r>
      <w:r w:rsidR="0095713B" w:rsidRPr="0095713B">
        <w:rPr>
          <w:sz w:val="28"/>
          <w:szCs w:val="28"/>
        </w:rPr>
        <w:t>” (</w:t>
      </w:r>
      <w:proofErr w:type="spellStart"/>
      <w:r w:rsidR="0095713B" w:rsidRPr="0095713B">
        <w:rPr>
          <w:sz w:val="28"/>
          <w:szCs w:val="28"/>
        </w:rPr>
        <w:t>app</w:t>
      </w:r>
      <w:proofErr w:type="spellEnd"/>
      <w:r w:rsidR="0095713B" w:rsidRPr="0095713B">
        <w:rPr>
          <w:sz w:val="28"/>
          <w:szCs w:val="28"/>
        </w:rPr>
        <w:t xml:space="preserve"> con contenuto pubblicitario), “</w:t>
      </w:r>
      <w:proofErr w:type="spellStart"/>
      <w:r w:rsidR="0095713B" w:rsidRPr="002C2AB3">
        <w:rPr>
          <w:i/>
          <w:iCs/>
          <w:sz w:val="28"/>
          <w:szCs w:val="28"/>
        </w:rPr>
        <w:t>recommendation</w:t>
      </w:r>
      <w:proofErr w:type="spellEnd"/>
      <w:r w:rsidR="0095713B" w:rsidRPr="002C2AB3">
        <w:rPr>
          <w:i/>
          <w:iCs/>
          <w:sz w:val="28"/>
          <w:szCs w:val="28"/>
        </w:rPr>
        <w:t xml:space="preserve"> </w:t>
      </w:r>
      <w:proofErr w:type="spellStart"/>
      <w:r w:rsidR="0095713B" w:rsidRPr="002C2AB3">
        <w:rPr>
          <w:i/>
          <w:iCs/>
          <w:sz w:val="28"/>
          <w:szCs w:val="28"/>
        </w:rPr>
        <w:t>widgets</w:t>
      </w:r>
      <w:proofErr w:type="spellEnd"/>
      <w:r w:rsidR="0095713B" w:rsidRPr="0095713B">
        <w:rPr>
          <w:sz w:val="28"/>
          <w:szCs w:val="28"/>
        </w:rPr>
        <w:t>” (contenuti raccomandati) e “</w:t>
      </w:r>
      <w:proofErr w:type="spellStart"/>
      <w:r w:rsidR="0095713B" w:rsidRPr="002C2AB3">
        <w:rPr>
          <w:i/>
          <w:iCs/>
          <w:sz w:val="28"/>
          <w:szCs w:val="28"/>
        </w:rPr>
        <w:t>advergame</w:t>
      </w:r>
      <w:proofErr w:type="spellEnd"/>
      <w:r w:rsidR="0095713B" w:rsidRPr="0095713B">
        <w:rPr>
          <w:sz w:val="28"/>
          <w:szCs w:val="28"/>
        </w:rPr>
        <w:t>” (giochi promozionali).</w:t>
      </w:r>
      <w:r>
        <w:rPr>
          <w:sz w:val="28"/>
          <w:szCs w:val="28"/>
        </w:rPr>
        <w:t xml:space="preserve"> </w:t>
      </w:r>
    </w:p>
    <w:p w14:paraId="1EA97EBE" w14:textId="77777777" w:rsidR="00BD79F6" w:rsidRDefault="00BD79F6" w:rsidP="00D5355C">
      <w:pPr>
        <w:pStyle w:val="NormaleWeb"/>
        <w:spacing w:before="0" w:beforeAutospacing="0" w:after="0" w:afterAutospacing="0"/>
        <w:jc w:val="both"/>
        <w:rPr>
          <w:sz w:val="28"/>
          <w:szCs w:val="28"/>
        </w:rPr>
      </w:pPr>
    </w:p>
    <w:p w14:paraId="2C2297CE" w14:textId="77777777" w:rsidR="00BD79F6" w:rsidRDefault="00D5355C" w:rsidP="00BD79F6">
      <w:pPr>
        <w:pStyle w:val="NormaleWeb"/>
        <w:spacing w:before="0" w:beforeAutospacing="0" w:after="0" w:afterAutospacing="0"/>
        <w:jc w:val="both"/>
        <w:rPr>
          <w:sz w:val="28"/>
          <w:szCs w:val="28"/>
        </w:rPr>
      </w:pPr>
      <w:r>
        <w:rPr>
          <w:sz w:val="28"/>
          <w:szCs w:val="28"/>
        </w:rPr>
        <w:t>Bisogna ora porre l’attenzione sul</w:t>
      </w:r>
      <w:r w:rsidR="0094468B">
        <w:rPr>
          <w:sz w:val="28"/>
          <w:szCs w:val="28"/>
        </w:rPr>
        <w:t xml:space="preserve">l’evoluzione che l’approccio adottato nei confronti degli </w:t>
      </w:r>
      <w:proofErr w:type="spellStart"/>
      <w:r w:rsidR="0094468B" w:rsidRPr="0094468B">
        <w:rPr>
          <w:i/>
          <w:iCs/>
          <w:sz w:val="28"/>
          <w:szCs w:val="28"/>
        </w:rPr>
        <w:t>influencer</w:t>
      </w:r>
      <w:proofErr w:type="spellEnd"/>
      <w:r w:rsidR="0094468B">
        <w:rPr>
          <w:sz w:val="28"/>
          <w:szCs w:val="28"/>
        </w:rPr>
        <w:t xml:space="preserve"> dall’Autorità Garante della Concorrenza e del Mercato ha avuto negli ultimi anni. </w:t>
      </w:r>
    </w:p>
    <w:p w14:paraId="090D16D9" w14:textId="4F7F8A83" w:rsidR="00BD79F6" w:rsidRDefault="0094468B" w:rsidP="00BD79F6">
      <w:pPr>
        <w:pStyle w:val="NormaleWeb"/>
        <w:spacing w:before="0" w:beforeAutospacing="0" w:after="0" w:afterAutospacing="0"/>
        <w:jc w:val="both"/>
        <w:rPr>
          <w:sz w:val="28"/>
          <w:szCs w:val="28"/>
        </w:rPr>
      </w:pPr>
      <w:r>
        <w:rPr>
          <w:sz w:val="28"/>
          <w:szCs w:val="28"/>
        </w:rPr>
        <w:lastRenderedPageBreak/>
        <w:t xml:space="preserve">In passato, </w:t>
      </w:r>
      <w:r w:rsidR="0095713B" w:rsidRPr="001B3C12">
        <w:rPr>
          <w:sz w:val="28"/>
          <w:szCs w:val="28"/>
        </w:rPr>
        <w:t>l</w:t>
      </w:r>
      <w:r>
        <w:rPr>
          <w:sz w:val="28"/>
          <w:szCs w:val="28"/>
        </w:rPr>
        <w:t>’approccio dell</w:t>
      </w:r>
      <w:r w:rsidR="0095713B" w:rsidRPr="001B3C12">
        <w:rPr>
          <w:sz w:val="28"/>
          <w:szCs w:val="28"/>
        </w:rPr>
        <w:t>’A</w:t>
      </w:r>
      <w:r w:rsidR="00BD79F6">
        <w:rPr>
          <w:sz w:val="28"/>
          <w:szCs w:val="28"/>
        </w:rPr>
        <w:t>ntitrust</w:t>
      </w:r>
      <w:r w:rsidR="0095713B" w:rsidRPr="001B3C12">
        <w:rPr>
          <w:sz w:val="28"/>
          <w:szCs w:val="28"/>
        </w:rPr>
        <w:t xml:space="preserve"> </w:t>
      </w:r>
      <w:r>
        <w:rPr>
          <w:sz w:val="28"/>
          <w:szCs w:val="28"/>
        </w:rPr>
        <w:t xml:space="preserve">si è sempre limitato </w:t>
      </w:r>
      <w:r w:rsidR="0095713B" w:rsidRPr="001B3C12">
        <w:rPr>
          <w:sz w:val="28"/>
          <w:szCs w:val="28"/>
        </w:rPr>
        <w:t xml:space="preserve">all’adozione di decisioni di </w:t>
      </w:r>
      <w:r w:rsidR="0095713B" w:rsidRPr="00E07F4A">
        <w:rPr>
          <w:i/>
          <w:iCs/>
          <w:sz w:val="28"/>
          <w:szCs w:val="28"/>
        </w:rPr>
        <w:t>moral suasion</w:t>
      </w:r>
      <w:r w:rsidR="00E07F4A">
        <w:rPr>
          <w:sz w:val="28"/>
          <w:szCs w:val="28"/>
        </w:rPr>
        <w:t xml:space="preserve">: si trattava di </w:t>
      </w:r>
      <w:r w:rsidR="00437D03">
        <w:rPr>
          <w:sz w:val="28"/>
          <w:szCs w:val="28"/>
        </w:rPr>
        <w:t xml:space="preserve">strumenti di </w:t>
      </w:r>
      <w:r w:rsidR="00437D03" w:rsidRPr="00437D03">
        <w:rPr>
          <w:i/>
          <w:iCs/>
          <w:sz w:val="28"/>
          <w:szCs w:val="28"/>
        </w:rPr>
        <w:t>soft law</w:t>
      </w:r>
      <w:r w:rsidR="00437D03">
        <w:rPr>
          <w:sz w:val="28"/>
          <w:szCs w:val="28"/>
        </w:rPr>
        <w:t xml:space="preserve">, di </w:t>
      </w:r>
      <w:r w:rsidR="00E07F4A">
        <w:rPr>
          <w:sz w:val="28"/>
          <w:szCs w:val="28"/>
        </w:rPr>
        <w:t xml:space="preserve">meri inviti, diretti alle </w:t>
      </w:r>
      <w:r w:rsidR="0095713B" w:rsidRPr="001B3C12">
        <w:rPr>
          <w:sz w:val="28"/>
          <w:szCs w:val="28"/>
        </w:rPr>
        <w:t xml:space="preserve">imprese </w:t>
      </w:r>
      <w:r w:rsidR="00E07F4A">
        <w:rPr>
          <w:sz w:val="28"/>
          <w:szCs w:val="28"/>
        </w:rPr>
        <w:t xml:space="preserve">digitali, volti a far </w:t>
      </w:r>
      <w:r w:rsidR="0095713B" w:rsidRPr="001B3C12">
        <w:rPr>
          <w:sz w:val="28"/>
          <w:szCs w:val="28"/>
        </w:rPr>
        <w:t>adeguar</w:t>
      </w:r>
      <w:r w:rsidR="00E07F4A">
        <w:rPr>
          <w:sz w:val="28"/>
          <w:szCs w:val="28"/>
        </w:rPr>
        <w:t xml:space="preserve">e gli </w:t>
      </w:r>
      <w:proofErr w:type="spellStart"/>
      <w:r w:rsidR="00E07F4A" w:rsidRPr="00E07F4A">
        <w:rPr>
          <w:i/>
          <w:iCs/>
          <w:sz w:val="28"/>
          <w:szCs w:val="28"/>
        </w:rPr>
        <w:t>influencer</w:t>
      </w:r>
      <w:proofErr w:type="spellEnd"/>
      <w:r w:rsidR="00E07F4A">
        <w:rPr>
          <w:sz w:val="28"/>
          <w:szCs w:val="28"/>
        </w:rPr>
        <w:t xml:space="preserve"> </w:t>
      </w:r>
      <w:r w:rsidR="0095713B" w:rsidRPr="001B3C12">
        <w:rPr>
          <w:sz w:val="28"/>
          <w:szCs w:val="28"/>
        </w:rPr>
        <w:t xml:space="preserve">alle disposizioni </w:t>
      </w:r>
      <w:r w:rsidR="00E07F4A">
        <w:rPr>
          <w:sz w:val="28"/>
          <w:szCs w:val="28"/>
        </w:rPr>
        <w:t>della</w:t>
      </w:r>
      <w:r w:rsidR="0095713B" w:rsidRPr="001B3C12">
        <w:rPr>
          <w:sz w:val="28"/>
          <w:szCs w:val="28"/>
        </w:rPr>
        <w:t xml:space="preserve"> </w:t>
      </w:r>
      <w:r w:rsidR="0095713B" w:rsidRPr="00E07F4A">
        <w:rPr>
          <w:i/>
          <w:iCs/>
          <w:sz w:val="28"/>
          <w:szCs w:val="28"/>
        </w:rPr>
        <w:t>Digital Chart</w:t>
      </w:r>
      <w:r w:rsidR="0095713B" w:rsidRPr="001B3C12">
        <w:rPr>
          <w:sz w:val="28"/>
          <w:szCs w:val="28"/>
        </w:rPr>
        <w:t xml:space="preserve"> e </w:t>
      </w:r>
      <w:r w:rsidR="00E07F4A">
        <w:rPr>
          <w:sz w:val="28"/>
          <w:szCs w:val="28"/>
        </w:rPr>
        <w:t>del</w:t>
      </w:r>
      <w:r w:rsidR="0095713B" w:rsidRPr="001B3C12">
        <w:rPr>
          <w:sz w:val="28"/>
          <w:szCs w:val="28"/>
        </w:rPr>
        <w:t xml:space="preserve"> Codice di autodisciplina dell’IAP. </w:t>
      </w:r>
    </w:p>
    <w:p w14:paraId="428E650F" w14:textId="538AA5F2" w:rsidR="0095713B" w:rsidRPr="001B3C12" w:rsidRDefault="00E07F4A" w:rsidP="00BD79F6">
      <w:pPr>
        <w:pStyle w:val="NormaleWeb"/>
        <w:spacing w:before="0" w:beforeAutospacing="0" w:after="0" w:afterAutospacing="0"/>
        <w:jc w:val="both"/>
        <w:rPr>
          <w:sz w:val="28"/>
          <w:szCs w:val="28"/>
        </w:rPr>
      </w:pPr>
      <w:r>
        <w:rPr>
          <w:sz w:val="28"/>
          <w:szCs w:val="28"/>
        </w:rPr>
        <w:t>Ultimamente</w:t>
      </w:r>
      <w:r w:rsidR="0095713B" w:rsidRPr="001B3C12">
        <w:rPr>
          <w:sz w:val="28"/>
          <w:szCs w:val="28"/>
        </w:rPr>
        <w:t xml:space="preserve">, invece, </w:t>
      </w:r>
      <w:r>
        <w:rPr>
          <w:sz w:val="28"/>
          <w:szCs w:val="28"/>
        </w:rPr>
        <w:t xml:space="preserve">l’Autorità ha avviato </w:t>
      </w:r>
      <w:r w:rsidR="0095713B" w:rsidRPr="001B3C12">
        <w:rPr>
          <w:sz w:val="28"/>
          <w:szCs w:val="28"/>
        </w:rPr>
        <w:t xml:space="preserve">diverse indagini per pubblicità occulta, a </w:t>
      </w:r>
      <w:r>
        <w:rPr>
          <w:sz w:val="28"/>
          <w:szCs w:val="28"/>
        </w:rPr>
        <w:t>causa dell’</w:t>
      </w:r>
      <w:r w:rsidR="0095713B" w:rsidRPr="001B3C12">
        <w:rPr>
          <w:sz w:val="28"/>
          <w:szCs w:val="28"/>
        </w:rPr>
        <w:t xml:space="preserve">importanza </w:t>
      </w:r>
      <w:r>
        <w:rPr>
          <w:sz w:val="28"/>
          <w:szCs w:val="28"/>
        </w:rPr>
        <w:t>assunta</w:t>
      </w:r>
      <w:r w:rsidR="0095713B" w:rsidRPr="001B3C12">
        <w:rPr>
          <w:sz w:val="28"/>
          <w:szCs w:val="28"/>
        </w:rPr>
        <w:t xml:space="preserve"> da questo fenomeno</w:t>
      </w:r>
      <w:r>
        <w:rPr>
          <w:sz w:val="28"/>
          <w:szCs w:val="28"/>
        </w:rPr>
        <w:t xml:space="preserve"> sul mercato e sulla concorrenza</w:t>
      </w:r>
      <w:r w:rsidR="0095713B" w:rsidRPr="001B3C12">
        <w:rPr>
          <w:sz w:val="28"/>
          <w:szCs w:val="28"/>
        </w:rPr>
        <w:t>.</w:t>
      </w:r>
      <w:r>
        <w:rPr>
          <w:sz w:val="28"/>
          <w:szCs w:val="28"/>
        </w:rPr>
        <w:t xml:space="preserve"> E proprio tramite varie pronunce adottate dall’Autorità nell’ambito di questi procedimenti, sono state</w:t>
      </w:r>
      <w:r w:rsidR="0095713B" w:rsidRPr="001B3C12">
        <w:rPr>
          <w:sz w:val="28"/>
          <w:szCs w:val="28"/>
        </w:rPr>
        <w:t xml:space="preserve"> elaborat</w:t>
      </w:r>
      <w:r>
        <w:rPr>
          <w:sz w:val="28"/>
          <w:szCs w:val="28"/>
        </w:rPr>
        <w:t>e</w:t>
      </w:r>
      <w:r w:rsidR="0095713B" w:rsidRPr="001B3C12">
        <w:rPr>
          <w:sz w:val="28"/>
          <w:szCs w:val="28"/>
        </w:rPr>
        <w:t xml:space="preserve"> vere e proprie linee-guida, </w:t>
      </w:r>
      <w:r w:rsidR="00A84320">
        <w:rPr>
          <w:sz w:val="28"/>
          <w:szCs w:val="28"/>
        </w:rPr>
        <w:t xml:space="preserve">che permettono </w:t>
      </w:r>
      <w:r w:rsidR="0095713B" w:rsidRPr="001B3C12">
        <w:rPr>
          <w:sz w:val="28"/>
          <w:szCs w:val="28"/>
        </w:rPr>
        <w:t xml:space="preserve">ad aziende e </w:t>
      </w:r>
      <w:proofErr w:type="spellStart"/>
      <w:r w:rsidR="0095713B" w:rsidRPr="00A84320">
        <w:rPr>
          <w:i/>
          <w:iCs/>
          <w:sz w:val="28"/>
          <w:szCs w:val="28"/>
        </w:rPr>
        <w:t>influencer</w:t>
      </w:r>
      <w:proofErr w:type="spellEnd"/>
      <w:r w:rsidR="0095713B" w:rsidRPr="001B3C12">
        <w:rPr>
          <w:sz w:val="28"/>
          <w:szCs w:val="28"/>
        </w:rPr>
        <w:t xml:space="preserve"> </w:t>
      </w:r>
      <w:r w:rsidR="00A84320">
        <w:rPr>
          <w:sz w:val="28"/>
          <w:szCs w:val="28"/>
        </w:rPr>
        <w:t xml:space="preserve">di avere </w:t>
      </w:r>
      <w:r w:rsidR="0095713B" w:rsidRPr="001B3C12">
        <w:rPr>
          <w:sz w:val="28"/>
          <w:szCs w:val="28"/>
        </w:rPr>
        <w:t xml:space="preserve">un punto di riferimento </w:t>
      </w:r>
      <w:r w:rsidR="00A84320">
        <w:rPr>
          <w:sz w:val="28"/>
          <w:szCs w:val="28"/>
        </w:rPr>
        <w:t>per adeguarsi</w:t>
      </w:r>
      <w:r w:rsidR="0095713B" w:rsidRPr="001B3C12">
        <w:rPr>
          <w:sz w:val="28"/>
          <w:szCs w:val="28"/>
        </w:rPr>
        <w:t xml:space="preserve"> </w:t>
      </w:r>
      <w:r w:rsidR="00A84320">
        <w:rPr>
          <w:sz w:val="28"/>
          <w:szCs w:val="28"/>
        </w:rPr>
        <w:t>al</w:t>
      </w:r>
      <w:r w:rsidR="0095713B" w:rsidRPr="001B3C12">
        <w:rPr>
          <w:sz w:val="28"/>
          <w:szCs w:val="28"/>
        </w:rPr>
        <w:t xml:space="preserve">le misure </w:t>
      </w:r>
      <w:r w:rsidR="00A84320">
        <w:rPr>
          <w:sz w:val="28"/>
          <w:szCs w:val="28"/>
        </w:rPr>
        <w:t>e per adottare i giusti</w:t>
      </w:r>
      <w:r w:rsidR="0095713B" w:rsidRPr="001B3C12">
        <w:rPr>
          <w:sz w:val="28"/>
          <w:szCs w:val="28"/>
        </w:rPr>
        <w:t xml:space="preserve"> accorgimenti</w:t>
      </w:r>
      <w:r w:rsidR="00A84320">
        <w:rPr>
          <w:sz w:val="28"/>
          <w:szCs w:val="28"/>
        </w:rPr>
        <w:t>, al fine di</w:t>
      </w:r>
      <w:r w:rsidR="0095713B" w:rsidRPr="001B3C12">
        <w:rPr>
          <w:sz w:val="28"/>
          <w:szCs w:val="28"/>
        </w:rPr>
        <w:t xml:space="preserve"> evitare </w:t>
      </w:r>
      <w:r w:rsidR="00A84320">
        <w:rPr>
          <w:sz w:val="28"/>
          <w:szCs w:val="28"/>
        </w:rPr>
        <w:t>l’insorgenza di violazioni e l’irrogazione di sanzioni.</w:t>
      </w:r>
    </w:p>
    <w:p w14:paraId="00A2B05D" w14:textId="35BB27F5" w:rsidR="00063B40" w:rsidRDefault="0095713B" w:rsidP="00BD79F6">
      <w:pPr>
        <w:pStyle w:val="NormaleWeb"/>
        <w:spacing w:before="0" w:beforeAutospacing="0" w:after="0" w:afterAutospacing="0"/>
        <w:jc w:val="both"/>
        <w:rPr>
          <w:sz w:val="28"/>
          <w:szCs w:val="28"/>
        </w:rPr>
      </w:pPr>
      <w:r w:rsidRPr="0095713B">
        <w:rPr>
          <w:sz w:val="28"/>
          <w:szCs w:val="28"/>
        </w:rPr>
        <w:t>Un</w:t>
      </w:r>
      <w:r w:rsidR="00A84320">
        <w:rPr>
          <w:sz w:val="28"/>
          <w:szCs w:val="28"/>
        </w:rPr>
        <w:t>o dei primi casi</w:t>
      </w:r>
      <w:r w:rsidRPr="0095713B">
        <w:rPr>
          <w:sz w:val="28"/>
          <w:szCs w:val="28"/>
        </w:rPr>
        <w:t xml:space="preserve"> </w:t>
      </w:r>
      <w:r w:rsidR="00CE7173">
        <w:rPr>
          <w:sz w:val="28"/>
          <w:szCs w:val="28"/>
        </w:rPr>
        <w:t xml:space="preserve">in cui si è pronunciata l’Autorità </w:t>
      </w:r>
      <w:r w:rsidRPr="0095713B">
        <w:rPr>
          <w:sz w:val="28"/>
          <w:szCs w:val="28"/>
        </w:rPr>
        <w:t xml:space="preserve">è </w:t>
      </w:r>
      <w:r w:rsidR="00CE7173">
        <w:rPr>
          <w:sz w:val="28"/>
          <w:szCs w:val="28"/>
        </w:rPr>
        <w:t xml:space="preserve">quello relativo all’indagine per </w:t>
      </w:r>
      <w:r w:rsidR="00CE7173" w:rsidRPr="0095713B">
        <w:rPr>
          <w:sz w:val="28"/>
          <w:szCs w:val="28"/>
        </w:rPr>
        <w:t xml:space="preserve">pubblicità occulta scaturita dalla </w:t>
      </w:r>
      <w:r w:rsidR="00CE7173" w:rsidRPr="001B3C12">
        <w:rPr>
          <w:sz w:val="28"/>
          <w:szCs w:val="28"/>
        </w:rPr>
        <w:t>pubblicazione</w:t>
      </w:r>
      <w:r w:rsidR="00063B40">
        <w:rPr>
          <w:sz w:val="28"/>
          <w:szCs w:val="28"/>
        </w:rPr>
        <w:t>,</w:t>
      </w:r>
      <w:r w:rsidR="00CE7173" w:rsidRPr="001B3C12">
        <w:rPr>
          <w:sz w:val="28"/>
          <w:szCs w:val="28"/>
        </w:rPr>
        <w:t xml:space="preserve"> sui profili Instagram di diversi </w:t>
      </w:r>
      <w:proofErr w:type="spellStart"/>
      <w:r w:rsidR="00CE7173" w:rsidRPr="00CE7173">
        <w:rPr>
          <w:i/>
          <w:iCs/>
          <w:sz w:val="28"/>
          <w:szCs w:val="28"/>
        </w:rPr>
        <w:t>influencer</w:t>
      </w:r>
      <w:proofErr w:type="spellEnd"/>
      <w:r w:rsidR="00063B40">
        <w:rPr>
          <w:i/>
          <w:iCs/>
          <w:sz w:val="28"/>
          <w:szCs w:val="28"/>
        </w:rPr>
        <w:t>,</w:t>
      </w:r>
      <w:r w:rsidR="00CE7173" w:rsidRPr="001B3C12">
        <w:rPr>
          <w:sz w:val="28"/>
          <w:szCs w:val="28"/>
        </w:rPr>
        <w:t xml:space="preserve"> di post raffiguranti immagini di capi firmati da Alberta Ferretti in cui appariva inquadrato il logo di Alitalia</w:t>
      </w:r>
      <w:r w:rsidR="00CE7173">
        <w:rPr>
          <w:sz w:val="28"/>
          <w:szCs w:val="28"/>
        </w:rPr>
        <w:t xml:space="preserve">, indagine conclusasi con l’importante </w:t>
      </w:r>
      <w:r w:rsidRPr="0095713B">
        <w:rPr>
          <w:sz w:val="28"/>
          <w:szCs w:val="28"/>
        </w:rPr>
        <w:t xml:space="preserve">Provvedimento </w:t>
      </w:r>
      <w:r w:rsidR="002A33E8">
        <w:rPr>
          <w:sz w:val="28"/>
          <w:szCs w:val="28"/>
        </w:rPr>
        <w:t xml:space="preserve">n. </w:t>
      </w:r>
      <w:r w:rsidRPr="0095713B">
        <w:rPr>
          <w:sz w:val="28"/>
          <w:szCs w:val="28"/>
        </w:rPr>
        <w:t>27787/19</w:t>
      </w:r>
      <w:r w:rsidR="00BB37C5">
        <w:rPr>
          <w:rStyle w:val="Rimandonotaapidipagina"/>
          <w:sz w:val="28"/>
          <w:szCs w:val="28"/>
        </w:rPr>
        <w:footnoteReference w:id="188"/>
      </w:r>
      <w:r w:rsidR="00CE7173">
        <w:rPr>
          <w:sz w:val="28"/>
          <w:szCs w:val="28"/>
        </w:rPr>
        <w:t xml:space="preserve">. </w:t>
      </w:r>
      <w:r w:rsidR="00AC0967">
        <w:rPr>
          <w:sz w:val="28"/>
          <w:szCs w:val="28"/>
        </w:rPr>
        <w:t>Si è configurata, nel caso di specie, una possibile</w:t>
      </w:r>
      <w:r w:rsidRPr="001B3C12">
        <w:rPr>
          <w:sz w:val="28"/>
          <w:szCs w:val="28"/>
        </w:rPr>
        <w:t xml:space="preserve"> violazione degli artt. 22 e 23, comma 1, </w:t>
      </w:r>
      <w:proofErr w:type="spellStart"/>
      <w:r w:rsidRPr="001B3C12">
        <w:rPr>
          <w:sz w:val="28"/>
          <w:szCs w:val="28"/>
        </w:rPr>
        <w:t>lett</w:t>
      </w:r>
      <w:proofErr w:type="spellEnd"/>
      <w:r w:rsidRPr="001B3C12">
        <w:rPr>
          <w:sz w:val="28"/>
          <w:szCs w:val="28"/>
        </w:rPr>
        <w:t>. m</w:t>
      </w:r>
      <w:r w:rsidR="00063B40">
        <w:rPr>
          <w:sz w:val="28"/>
          <w:szCs w:val="28"/>
        </w:rPr>
        <w:t>)</w:t>
      </w:r>
      <w:r w:rsidRPr="001B3C12">
        <w:rPr>
          <w:sz w:val="28"/>
          <w:szCs w:val="28"/>
        </w:rPr>
        <w:t xml:space="preserve"> del Codice del Consumo</w:t>
      </w:r>
      <w:r w:rsidR="00AC0967">
        <w:rPr>
          <w:sz w:val="28"/>
          <w:szCs w:val="28"/>
        </w:rPr>
        <w:t xml:space="preserve">, in quanto nella pubblicazione dei </w:t>
      </w:r>
      <w:r w:rsidR="00AC0967" w:rsidRPr="00063B40">
        <w:rPr>
          <w:i/>
          <w:iCs/>
          <w:sz w:val="28"/>
          <w:szCs w:val="28"/>
        </w:rPr>
        <w:t>post</w:t>
      </w:r>
      <w:r w:rsidR="00AC0967">
        <w:rPr>
          <w:sz w:val="28"/>
          <w:szCs w:val="28"/>
        </w:rPr>
        <w:t xml:space="preserve"> suddetti sembrava chiaro l’intento promozionale, sia considerando la </w:t>
      </w:r>
      <w:r w:rsidRPr="001B3C12">
        <w:rPr>
          <w:sz w:val="28"/>
          <w:szCs w:val="28"/>
        </w:rPr>
        <w:t xml:space="preserve">proporzionalità della citazione dei marchi, sia </w:t>
      </w:r>
      <w:r w:rsidR="00AC0967">
        <w:rPr>
          <w:sz w:val="28"/>
          <w:szCs w:val="28"/>
        </w:rPr>
        <w:t>valutando il</w:t>
      </w:r>
      <w:r w:rsidRPr="001B3C12">
        <w:rPr>
          <w:sz w:val="28"/>
          <w:szCs w:val="28"/>
        </w:rPr>
        <w:t xml:space="preserve"> contesto in cui erano inseriti i </w:t>
      </w:r>
      <w:r w:rsidRPr="00063B40">
        <w:rPr>
          <w:i/>
          <w:iCs/>
          <w:sz w:val="28"/>
          <w:szCs w:val="28"/>
        </w:rPr>
        <w:t>post</w:t>
      </w:r>
      <w:r w:rsidRPr="001B3C12">
        <w:rPr>
          <w:sz w:val="28"/>
          <w:szCs w:val="28"/>
        </w:rPr>
        <w:t xml:space="preserve">. </w:t>
      </w:r>
      <w:r w:rsidR="00AC0967">
        <w:rPr>
          <w:sz w:val="28"/>
          <w:szCs w:val="28"/>
        </w:rPr>
        <w:t xml:space="preserve">Nonostante ciò, non era possibile, per l’utente consumatore che avesse visionato detti </w:t>
      </w:r>
      <w:r w:rsidR="00AC0967" w:rsidRPr="00063B40">
        <w:rPr>
          <w:i/>
          <w:iCs/>
          <w:sz w:val="28"/>
          <w:szCs w:val="28"/>
        </w:rPr>
        <w:t>post</w:t>
      </w:r>
      <w:r w:rsidR="00AC0967">
        <w:rPr>
          <w:sz w:val="28"/>
          <w:szCs w:val="28"/>
        </w:rPr>
        <w:t xml:space="preserve">, </w:t>
      </w:r>
      <w:r w:rsidRPr="001B3C12">
        <w:rPr>
          <w:sz w:val="28"/>
          <w:szCs w:val="28"/>
        </w:rPr>
        <w:t>identificare chiaramente la natura commerciale della</w:t>
      </w:r>
      <w:r w:rsidRPr="0095713B">
        <w:rPr>
          <w:sz w:val="28"/>
          <w:szCs w:val="28"/>
        </w:rPr>
        <w:t xml:space="preserve"> comunicazione.</w:t>
      </w:r>
      <w:r w:rsidR="00AC0967">
        <w:rPr>
          <w:sz w:val="28"/>
          <w:szCs w:val="28"/>
        </w:rPr>
        <w:t xml:space="preserve"> </w:t>
      </w:r>
    </w:p>
    <w:p w14:paraId="268EC444" w14:textId="5E1C5982" w:rsidR="0095713B" w:rsidRPr="0095713B" w:rsidRDefault="00A81B02" w:rsidP="00BD79F6">
      <w:pPr>
        <w:pStyle w:val="NormaleWeb"/>
        <w:spacing w:before="0" w:beforeAutospacing="0" w:after="0" w:afterAutospacing="0"/>
        <w:jc w:val="both"/>
        <w:rPr>
          <w:sz w:val="28"/>
          <w:szCs w:val="28"/>
        </w:rPr>
      </w:pPr>
      <w:r>
        <w:rPr>
          <w:sz w:val="28"/>
          <w:szCs w:val="28"/>
        </w:rPr>
        <w:t>A seguito dell’apertura delle indagini istruttorie,</w:t>
      </w:r>
      <w:r w:rsidR="0095713B" w:rsidRPr="0095713B">
        <w:rPr>
          <w:sz w:val="28"/>
          <w:szCs w:val="28"/>
        </w:rPr>
        <w:t xml:space="preserve"> Alitalia </w:t>
      </w:r>
      <w:r>
        <w:rPr>
          <w:sz w:val="28"/>
          <w:szCs w:val="28"/>
        </w:rPr>
        <w:t xml:space="preserve">ha inoltrato alle imprese digitali coinvolte la raccomandazione </w:t>
      </w:r>
      <w:proofErr w:type="gramStart"/>
      <w:r w:rsidR="0095713B" w:rsidRPr="0095713B">
        <w:rPr>
          <w:sz w:val="28"/>
          <w:szCs w:val="28"/>
        </w:rPr>
        <w:t>ad</w:t>
      </w:r>
      <w:proofErr w:type="gramEnd"/>
      <w:r w:rsidR="0095713B" w:rsidRPr="0095713B">
        <w:rPr>
          <w:sz w:val="28"/>
          <w:szCs w:val="28"/>
        </w:rPr>
        <w:t xml:space="preserve"> adeguarsi alla normativa sulle pratiche commerciali scorrette. A </w:t>
      </w:r>
      <w:r>
        <w:rPr>
          <w:sz w:val="28"/>
          <w:szCs w:val="28"/>
        </w:rPr>
        <w:t>ciò</w:t>
      </w:r>
      <w:r w:rsidR="0095713B" w:rsidRPr="0095713B">
        <w:rPr>
          <w:sz w:val="28"/>
          <w:szCs w:val="28"/>
        </w:rPr>
        <w:t xml:space="preserve"> si </w:t>
      </w:r>
      <w:r>
        <w:rPr>
          <w:sz w:val="28"/>
          <w:szCs w:val="28"/>
        </w:rPr>
        <w:t>è aggiunto</w:t>
      </w:r>
      <w:r w:rsidR="0018101E">
        <w:rPr>
          <w:sz w:val="28"/>
          <w:szCs w:val="28"/>
        </w:rPr>
        <w:t xml:space="preserve">, da un lato, </w:t>
      </w:r>
      <w:r>
        <w:rPr>
          <w:sz w:val="28"/>
          <w:szCs w:val="28"/>
        </w:rPr>
        <w:t>l’impegno</w:t>
      </w:r>
      <w:r w:rsidR="0095713B" w:rsidRPr="0095713B">
        <w:rPr>
          <w:sz w:val="28"/>
          <w:szCs w:val="28"/>
        </w:rPr>
        <w:t xml:space="preserve"> </w:t>
      </w:r>
      <w:r>
        <w:rPr>
          <w:sz w:val="28"/>
          <w:szCs w:val="28"/>
        </w:rPr>
        <w:t>ad</w:t>
      </w:r>
      <w:r w:rsidR="0095713B" w:rsidRPr="0095713B">
        <w:rPr>
          <w:sz w:val="28"/>
          <w:szCs w:val="28"/>
        </w:rPr>
        <w:t xml:space="preserve"> adottare specifiche linee-guida </w:t>
      </w:r>
      <w:r>
        <w:rPr>
          <w:sz w:val="28"/>
          <w:szCs w:val="28"/>
        </w:rPr>
        <w:t>per definire</w:t>
      </w:r>
      <w:r w:rsidR="0095713B" w:rsidRPr="0095713B">
        <w:rPr>
          <w:sz w:val="28"/>
          <w:szCs w:val="28"/>
        </w:rPr>
        <w:t xml:space="preserve"> le regole di condotta che gli </w:t>
      </w:r>
      <w:proofErr w:type="spellStart"/>
      <w:r w:rsidR="0095713B" w:rsidRPr="00A81B02">
        <w:rPr>
          <w:i/>
          <w:iCs/>
          <w:sz w:val="28"/>
          <w:szCs w:val="28"/>
        </w:rPr>
        <w:t>influencer</w:t>
      </w:r>
      <w:proofErr w:type="spellEnd"/>
      <w:r w:rsidR="0095713B" w:rsidRPr="0095713B">
        <w:rPr>
          <w:sz w:val="28"/>
          <w:szCs w:val="28"/>
        </w:rPr>
        <w:t xml:space="preserve"> </w:t>
      </w:r>
      <w:r>
        <w:rPr>
          <w:sz w:val="28"/>
          <w:szCs w:val="28"/>
        </w:rPr>
        <w:t>devono</w:t>
      </w:r>
      <w:r w:rsidR="0095713B" w:rsidRPr="0095713B">
        <w:rPr>
          <w:sz w:val="28"/>
          <w:szCs w:val="28"/>
        </w:rPr>
        <w:t xml:space="preserve"> seguire, </w:t>
      </w:r>
      <w:r>
        <w:rPr>
          <w:sz w:val="28"/>
          <w:szCs w:val="28"/>
        </w:rPr>
        <w:t>poiché</w:t>
      </w:r>
      <w:r w:rsidR="0095713B" w:rsidRPr="0095713B">
        <w:rPr>
          <w:sz w:val="28"/>
          <w:szCs w:val="28"/>
        </w:rPr>
        <w:t xml:space="preserve"> parte dell’accordo di collaborazione commerciale stipulato con la società, e</w:t>
      </w:r>
      <w:r w:rsidR="0018101E">
        <w:rPr>
          <w:sz w:val="28"/>
          <w:szCs w:val="28"/>
        </w:rPr>
        <w:t xml:space="preserve"> dall’altro,</w:t>
      </w:r>
      <w:r w:rsidR="0095713B" w:rsidRPr="0095713B">
        <w:rPr>
          <w:sz w:val="28"/>
          <w:szCs w:val="28"/>
        </w:rPr>
        <w:t xml:space="preserve"> l’introduzione </w:t>
      </w:r>
      <w:r w:rsidR="0018101E">
        <w:rPr>
          <w:sz w:val="28"/>
          <w:szCs w:val="28"/>
        </w:rPr>
        <w:t xml:space="preserve">– </w:t>
      </w:r>
      <w:r w:rsidR="0095713B" w:rsidRPr="0095713B">
        <w:rPr>
          <w:sz w:val="28"/>
          <w:szCs w:val="28"/>
        </w:rPr>
        <w:t xml:space="preserve">nei contratti di </w:t>
      </w:r>
      <w:r w:rsidR="0095713B" w:rsidRPr="00A81B02">
        <w:rPr>
          <w:i/>
          <w:iCs/>
          <w:sz w:val="28"/>
          <w:szCs w:val="28"/>
        </w:rPr>
        <w:t>co-marketing</w:t>
      </w:r>
      <w:r w:rsidR="0095713B" w:rsidRPr="0095713B">
        <w:rPr>
          <w:sz w:val="28"/>
          <w:szCs w:val="28"/>
        </w:rPr>
        <w:t xml:space="preserve"> per la concessione della licenza del marchio Alitalia e nei contratti di licenza del marchio a fini promozionali</w:t>
      </w:r>
      <w:r w:rsidR="0018101E">
        <w:rPr>
          <w:sz w:val="28"/>
          <w:szCs w:val="28"/>
        </w:rPr>
        <w:t xml:space="preserve"> – </w:t>
      </w:r>
      <w:r w:rsidR="0095713B" w:rsidRPr="0095713B">
        <w:rPr>
          <w:sz w:val="28"/>
          <w:szCs w:val="28"/>
        </w:rPr>
        <w:t xml:space="preserve">dell’obbligo per i </w:t>
      </w:r>
      <w:r w:rsidR="0095713B" w:rsidRPr="0018101E">
        <w:rPr>
          <w:i/>
          <w:iCs/>
          <w:sz w:val="28"/>
          <w:szCs w:val="28"/>
        </w:rPr>
        <w:t>partner</w:t>
      </w:r>
      <w:r w:rsidR="0095713B" w:rsidRPr="0095713B">
        <w:rPr>
          <w:sz w:val="28"/>
          <w:szCs w:val="28"/>
        </w:rPr>
        <w:t xml:space="preserve"> commerciali di adottare </w:t>
      </w:r>
      <w:r w:rsidR="0018101E">
        <w:rPr>
          <w:sz w:val="28"/>
          <w:szCs w:val="28"/>
        </w:rPr>
        <w:t xml:space="preserve">tutte le </w:t>
      </w:r>
      <w:r w:rsidR="0095713B" w:rsidRPr="0095713B">
        <w:rPr>
          <w:sz w:val="28"/>
          <w:szCs w:val="28"/>
        </w:rPr>
        <w:t xml:space="preserve">misure e </w:t>
      </w:r>
      <w:r w:rsidR="0018101E">
        <w:rPr>
          <w:sz w:val="28"/>
          <w:szCs w:val="28"/>
        </w:rPr>
        <w:t xml:space="preserve">le </w:t>
      </w:r>
      <w:r w:rsidR="0095713B" w:rsidRPr="0095713B">
        <w:rPr>
          <w:sz w:val="28"/>
          <w:szCs w:val="28"/>
        </w:rPr>
        <w:t xml:space="preserve">cautele necessarie </w:t>
      </w:r>
      <w:r w:rsidR="0018101E">
        <w:rPr>
          <w:sz w:val="28"/>
          <w:szCs w:val="28"/>
        </w:rPr>
        <w:t>per evitare che</w:t>
      </w:r>
      <w:r w:rsidR="0095713B" w:rsidRPr="0095713B">
        <w:rPr>
          <w:sz w:val="28"/>
          <w:szCs w:val="28"/>
        </w:rPr>
        <w:t xml:space="preserve"> si verifichino fenomeni di</w:t>
      </w:r>
      <w:r w:rsidR="00BB37C5">
        <w:rPr>
          <w:sz w:val="28"/>
          <w:szCs w:val="28"/>
        </w:rPr>
        <w:t xml:space="preserve"> </w:t>
      </w:r>
      <w:r w:rsidR="0095713B" w:rsidRPr="0095713B">
        <w:rPr>
          <w:sz w:val="28"/>
          <w:szCs w:val="28"/>
        </w:rPr>
        <w:t xml:space="preserve">pubblicità occulta. </w:t>
      </w:r>
      <w:r w:rsidR="0018101E">
        <w:rPr>
          <w:sz w:val="28"/>
          <w:szCs w:val="28"/>
        </w:rPr>
        <w:t xml:space="preserve">Se </w:t>
      </w:r>
      <w:r w:rsidR="0095713B" w:rsidRPr="0095713B">
        <w:rPr>
          <w:sz w:val="28"/>
          <w:szCs w:val="28"/>
        </w:rPr>
        <w:t>suddetto obbligo</w:t>
      </w:r>
      <w:r w:rsidR="0018101E">
        <w:rPr>
          <w:sz w:val="28"/>
          <w:szCs w:val="28"/>
        </w:rPr>
        <w:t xml:space="preserve"> viene violato</w:t>
      </w:r>
      <w:r w:rsidR="0095713B" w:rsidRPr="0095713B">
        <w:rPr>
          <w:sz w:val="28"/>
          <w:szCs w:val="28"/>
        </w:rPr>
        <w:t xml:space="preserve">, </w:t>
      </w:r>
      <w:r w:rsidR="0018101E">
        <w:rPr>
          <w:sz w:val="28"/>
          <w:szCs w:val="28"/>
        </w:rPr>
        <w:t>si attiva una</w:t>
      </w:r>
      <w:r w:rsidR="0095713B" w:rsidRPr="0095713B">
        <w:rPr>
          <w:sz w:val="28"/>
          <w:szCs w:val="28"/>
        </w:rPr>
        <w:t xml:space="preserve"> specifica procedura di avvertimento, che </w:t>
      </w:r>
      <w:r w:rsidR="0018101E">
        <w:rPr>
          <w:sz w:val="28"/>
          <w:szCs w:val="28"/>
        </w:rPr>
        <w:t>potrebbe</w:t>
      </w:r>
      <w:r w:rsidR="0095713B" w:rsidRPr="0095713B">
        <w:rPr>
          <w:sz w:val="28"/>
          <w:szCs w:val="28"/>
        </w:rPr>
        <w:t xml:space="preserve"> </w:t>
      </w:r>
      <w:r w:rsidR="0018101E">
        <w:rPr>
          <w:sz w:val="28"/>
          <w:szCs w:val="28"/>
        </w:rPr>
        <w:t xml:space="preserve">anche </w:t>
      </w:r>
      <w:r w:rsidR="0095713B" w:rsidRPr="0095713B">
        <w:rPr>
          <w:sz w:val="28"/>
          <w:szCs w:val="28"/>
        </w:rPr>
        <w:t xml:space="preserve">concludersi con l’irrogazione di una penale. </w:t>
      </w:r>
      <w:r w:rsidR="0018101E">
        <w:rPr>
          <w:sz w:val="28"/>
          <w:szCs w:val="28"/>
        </w:rPr>
        <w:t xml:space="preserve">Anche la società di </w:t>
      </w:r>
      <w:r w:rsidR="0018101E" w:rsidRPr="0095713B">
        <w:rPr>
          <w:sz w:val="28"/>
          <w:szCs w:val="28"/>
        </w:rPr>
        <w:t>riferimento del marchio di Alberta Ferretti</w:t>
      </w:r>
      <w:r w:rsidR="0018101E">
        <w:rPr>
          <w:sz w:val="28"/>
          <w:szCs w:val="28"/>
        </w:rPr>
        <w:t xml:space="preserve">, </w:t>
      </w:r>
      <w:proofErr w:type="spellStart"/>
      <w:r w:rsidR="0018101E" w:rsidRPr="0018101E">
        <w:rPr>
          <w:i/>
          <w:iCs/>
          <w:sz w:val="28"/>
          <w:szCs w:val="28"/>
        </w:rPr>
        <w:t>Aeffe</w:t>
      </w:r>
      <w:proofErr w:type="spellEnd"/>
      <w:r w:rsidR="0018101E" w:rsidRPr="0095713B">
        <w:rPr>
          <w:sz w:val="28"/>
          <w:szCs w:val="28"/>
        </w:rPr>
        <w:t xml:space="preserve">, </w:t>
      </w:r>
      <w:r w:rsidR="0018101E">
        <w:rPr>
          <w:sz w:val="28"/>
          <w:szCs w:val="28"/>
        </w:rPr>
        <w:t>ha assunto</w:t>
      </w:r>
      <w:r w:rsidR="0018101E" w:rsidRPr="0095713B">
        <w:rPr>
          <w:sz w:val="28"/>
          <w:szCs w:val="28"/>
        </w:rPr>
        <w:t xml:space="preserve"> </w:t>
      </w:r>
      <w:r w:rsidR="0018101E">
        <w:rPr>
          <w:sz w:val="28"/>
          <w:szCs w:val="28"/>
        </w:rPr>
        <w:t>i</w:t>
      </w:r>
      <w:r w:rsidR="0095713B" w:rsidRPr="0095713B">
        <w:rPr>
          <w:sz w:val="28"/>
          <w:szCs w:val="28"/>
        </w:rPr>
        <w:t>mpegni simil</w:t>
      </w:r>
      <w:r w:rsidR="0018101E">
        <w:rPr>
          <w:sz w:val="28"/>
          <w:szCs w:val="28"/>
        </w:rPr>
        <w:t>i.</w:t>
      </w:r>
    </w:p>
    <w:p w14:paraId="27FF1748" w14:textId="77777777" w:rsidR="00D61FAE" w:rsidRDefault="0018101E" w:rsidP="00D61FAE">
      <w:pPr>
        <w:pStyle w:val="NormaleWeb"/>
        <w:spacing w:before="0" w:beforeAutospacing="0" w:after="0" w:afterAutospacing="0"/>
        <w:jc w:val="both"/>
        <w:rPr>
          <w:i/>
          <w:iCs/>
          <w:sz w:val="28"/>
          <w:szCs w:val="28"/>
        </w:rPr>
      </w:pPr>
      <w:r>
        <w:rPr>
          <w:sz w:val="28"/>
          <w:szCs w:val="28"/>
        </w:rPr>
        <w:t xml:space="preserve">Per quanto riguarda gli </w:t>
      </w:r>
      <w:proofErr w:type="spellStart"/>
      <w:r w:rsidR="0095713B" w:rsidRPr="0018101E">
        <w:rPr>
          <w:i/>
          <w:iCs/>
          <w:sz w:val="28"/>
          <w:szCs w:val="28"/>
        </w:rPr>
        <w:t>influencer</w:t>
      </w:r>
      <w:proofErr w:type="spellEnd"/>
      <w:r w:rsidR="0095713B" w:rsidRPr="0095713B">
        <w:rPr>
          <w:sz w:val="28"/>
          <w:szCs w:val="28"/>
        </w:rPr>
        <w:t xml:space="preserve"> coinvolti</w:t>
      </w:r>
      <w:r>
        <w:rPr>
          <w:sz w:val="28"/>
          <w:szCs w:val="28"/>
        </w:rPr>
        <w:t xml:space="preserve">, essi si sono specificatamente </w:t>
      </w:r>
      <w:r w:rsidR="00D61FAE">
        <w:rPr>
          <w:sz w:val="28"/>
          <w:szCs w:val="28"/>
        </w:rPr>
        <w:t xml:space="preserve">impegnati </w:t>
      </w:r>
      <w:r w:rsidR="00D61FAE" w:rsidRPr="0095713B">
        <w:rPr>
          <w:sz w:val="28"/>
          <w:szCs w:val="28"/>
        </w:rPr>
        <w:t>a</w:t>
      </w:r>
      <w:r>
        <w:rPr>
          <w:sz w:val="28"/>
          <w:szCs w:val="28"/>
        </w:rPr>
        <w:t xml:space="preserve"> rispettare quanto previsto sul</w:t>
      </w:r>
      <w:r w:rsidR="0095713B" w:rsidRPr="0095713B">
        <w:rPr>
          <w:sz w:val="28"/>
          <w:szCs w:val="28"/>
        </w:rPr>
        <w:t xml:space="preserve">l’utilizzo di </w:t>
      </w:r>
      <w:proofErr w:type="spellStart"/>
      <w:r w:rsidR="0095713B" w:rsidRPr="0018101E">
        <w:rPr>
          <w:i/>
          <w:iCs/>
          <w:sz w:val="28"/>
          <w:szCs w:val="28"/>
        </w:rPr>
        <w:t>hashtag</w:t>
      </w:r>
      <w:proofErr w:type="spellEnd"/>
      <w:r w:rsidR="0095713B" w:rsidRPr="0095713B">
        <w:rPr>
          <w:sz w:val="28"/>
          <w:szCs w:val="28"/>
        </w:rPr>
        <w:t xml:space="preserve"> e diciture </w:t>
      </w:r>
      <w:r>
        <w:rPr>
          <w:sz w:val="28"/>
          <w:szCs w:val="28"/>
        </w:rPr>
        <w:t>varie</w:t>
      </w:r>
      <w:r w:rsidR="0095713B" w:rsidRPr="0095713B">
        <w:rPr>
          <w:sz w:val="28"/>
          <w:szCs w:val="28"/>
        </w:rPr>
        <w:t xml:space="preserve"> nella pubblicazione dei </w:t>
      </w:r>
      <w:r w:rsidR="0095713B" w:rsidRPr="00063B40">
        <w:rPr>
          <w:i/>
          <w:iCs/>
          <w:sz w:val="28"/>
          <w:szCs w:val="28"/>
        </w:rPr>
        <w:t>post</w:t>
      </w:r>
      <w:r w:rsidR="0095713B" w:rsidRPr="0095713B">
        <w:rPr>
          <w:sz w:val="28"/>
          <w:szCs w:val="28"/>
        </w:rPr>
        <w:t xml:space="preserve">, </w:t>
      </w:r>
      <w:r w:rsidR="00D61FAE">
        <w:rPr>
          <w:sz w:val="28"/>
          <w:szCs w:val="28"/>
        </w:rPr>
        <w:t xml:space="preserve">al fine di rispettare la disciplina contenuta nella </w:t>
      </w:r>
      <w:r w:rsidR="00D61FAE" w:rsidRPr="00D61FAE">
        <w:rPr>
          <w:i/>
          <w:iCs/>
          <w:sz w:val="28"/>
          <w:szCs w:val="28"/>
        </w:rPr>
        <w:t>Digital Chart</w:t>
      </w:r>
      <w:r w:rsidR="00D61FAE">
        <w:rPr>
          <w:i/>
          <w:iCs/>
          <w:sz w:val="28"/>
          <w:szCs w:val="28"/>
        </w:rPr>
        <w:t>.</w:t>
      </w:r>
    </w:p>
    <w:p w14:paraId="42B4BB1D" w14:textId="5AB3877F" w:rsidR="0095713B" w:rsidRDefault="00D61FAE" w:rsidP="00D61FAE">
      <w:pPr>
        <w:pStyle w:val="NormaleWeb"/>
        <w:spacing w:before="0" w:beforeAutospacing="0" w:after="0" w:afterAutospacing="0"/>
        <w:jc w:val="both"/>
        <w:rPr>
          <w:sz w:val="28"/>
          <w:szCs w:val="28"/>
        </w:rPr>
      </w:pPr>
      <w:r>
        <w:rPr>
          <w:sz w:val="28"/>
          <w:szCs w:val="28"/>
        </w:rPr>
        <w:lastRenderedPageBreak/>
        <w:t>Dal momento che gli</w:t>
      </w:r>
      <w:r w:rsidR="0095713B" w:rsidRPr="0095713B">
        <w:rPr>
          <w:sz w:val="28"/>
          <w:szCs w:val="28"/>
        </w:rPr>
        <w:t xml:space="preserve"> impegni assunti </w:t>
      </w:r>
      <w:r>
        <w:rPr>
          <w:sz w:val="28"/>
          <w:szCs w:val="28"/>
        </w:rPr>
        <w:t>dalle</w:t>
      </w:r>
      <w:r w:rsidR="0095713B" w:rsidRPr="0095713B">
        <w:rPr>
          <w:sz w:val="28"/>
          <w:szCs w:val="28"/>
        </w:rPr>
        <w:t xml:space="preserve"> parti coinvolte </w:t>
      </w:r>
      <w:r>
        <w:rPr>
          <w:sz w:val="28"/>
          <w:szCs w:val="28"/>
        </w:rPr>
        <w:t xml:space="preserve">sono stati ritenuti idonei, </w:t>
      </w:r>
      <w:r w:rsidR="0095713B" w:rsidRPr="0095713B">
        <w:rPr>
          <w:sz w:val="28"/>
          <w:szCs w:val="28"/>
        </w:rPr>
        <w:t xml:space="preserve">l’istruttoria </w:t>
      </w:r>
      <w:r>
        <w:rPr>
          <w:sz w:val="28"/>
          <w:szCs w:val="28"/>
        </w:rPr>
        <w:t xml:space="preserve">si è conclusa </w:t>
      </w:r>
      <w:r w:rsidR="0095713B" w:rsidRPr="0095713B">
        <w:rPr>
          <w:sz w:val="28"/>
          <w:szCs w:val="28"/>
        </w:rPr>
        <w:t>senza accertamento di infrazione</w:t>
      </w:r>
      <w:r>
        <w:rPr>
          <w:sz w:val="28"/>
          <w:szCs w:val="28"/>
        </w:rPr>
        <w:t xml:space="preserve">; tuttavia, l’Autorità ha ritenuto di ordinare alle parti suddette di </w:t>
      </w:r>
      <w:r w:rsidR="0095713B" w:rsidRPr="0095713B">
        <w:rPr>
          <w:sz w:val="28"/>
          <w:szCs w:val="28"/>
        </w:rPr>
        <w:t>dare attuazione alle misure proposte</w:t>
      </w:r>
      <w:r>
        <w:rPr>
          <w:sz w:val="28"/>
          <w:szCs w:val="28"/>
        </w:rPr>
        <w:t>, avvertendo che,</w:t>
      </w:r>
      <w:r w:rsidR="0095713B" w:rsidRPr="0095713B">
        <w:rPr>
          <w:sz w:val="28"/>
          <w:szCs w:val="28"/>
        </w:rPr>
        <w:t xml:space="preserve"> in caso di mancata ottemperanza, </w:t>
      </w:r>
      <w:r>
        <w:rPr>
          <w:sz w:val="28"/>
          <w:szCs w:val="28"/>
        </w:rPr>
        <w:t>sarà</w:t>
      </w:r>
      <w:r w:rsidR="0095713B" w:rsidRPr="0095713B">
        <w:rPr>
          <w:sz w:val="28"/>
          <w:szCs w:val="28"/>
        </w:rPr>
        <w:t xml:space="preserve"> applicata una sanzione amministrativa pecuniaria da 10.000 a 5.000.000</w:t>
      </w:r>
      <w:r w:rsidR="00063B40">
        <w:rPr>
          <w:sz w:val="28"/>
          <w:szCs w:val="28"/>
        </w:rPr>
        <w:t xml:space="preserve"> euro</w:t>
      </w:r>
      <w:r w:rsidR="0095713B" w:rsidRPr="0095713B">
        <w:rPr>
          <w:sz w:val="28"/>
          <w:szCs w:val="28"/>
        </w:rPr>
        <w:t xml:space="preserve">, nonché la sospensione dell’attività per un periodo non superiore a trenta giorni se l’inottemperanza </w:t>
      </w:r>
      <w:r>
        <w:rPr>
          <w:sz w:val="28"/>
          <w:szCs w:val="28"/>
        </w:rPr>
        <w:t>sarà reiterata.</w:t>
      </w:r>
    </w:p>
    <w:p w14:paraId="40520C05" w14:textId="77777777" w:rsidR="002A33E8" w:rsidRPr="00D61FAE" w:rsidRDefault="002A33E8" w:rsidP="00D61FAE">
      <w:pPr>
        <w:pStyle w:val="NormaleWeb"/>
        <w:spacing w:before="0" w:beforeAutospacing="0" w:after="0" w:afterAutospacing="0"/>
        <w:jc w:val="both"/>
        <w:rPr>
          <w:i/>
          <w:iCs/>
          <w:sz w:val="28"/>
          <w:szCs w:val="28"/>
        </w:rPr>
      </w:pPr>
    </w:p>
    <w:p w14:paraId="2BBEA524" w14:textId="77777777" w:rsidR="00063B40" w:rsidRDefault="007A7E37" w:rsidP="009E5235">
      <w:pPr>
        <w:pStyle w:val="NormaleWeb"/>
        <w:spacing w:before="0" w:beforeAutospacing="0" w:after="0" w:afterAutospacing="0"/>
        <w:jc w:val="both"/>
        <w:rPr>
          <w:sz w:val="28"/>
          <w:szCs w:val="28"/>
        </w:rPr>
      </w:pPr>
      <w:r>
        <w:rPr>
          <w:sz w:val="28"/>
          <w:szCs w:val="28"/>
        </w:rPr>
        <w:t xml:space="preserve">Il secondo caso interessante da prendere in considerazione è quello relativo alla </w:t>
      </w:r>
      <w:r w:rsidRPr="0095713B">
        <w:rPr>
          <w:sz w:val="28"/>
          <w:szCs w:val="28"/>
        </w:rPr>
        <w:t>pubblicizzazione de</w:t>
      </w:r>
      <w:r>
        <w:rPr>
          <w:sz w:val="28"/>
          <w:szCs w:val="28"/>
        </w:rPr>
        <w:t>gli</w:t>
      </w:r>
      <w:r w:rsidRPr="0095713B">
        <w:rPr>
          <w:sz w:val="28"/>
          <w:szCs w:val="28"/>
        </w:rPr>
        <w:t xml:space="preserve"> integratori alimentari prodotti </w:t>
      </w:r>
      <w:r>
        <w:rPr>
          <w:sz w:val="28"/>
          <w:szCs w:val="28"/>
        </w:rPr>
        <w:t xml:space="preserve">da </w:t>
      </w:r>
      <w:proofErr w:type="spellStart"/>
      <w:r w:rsidRPr="007A7E37">
        <w:rPr>
          <w:i/>
          <w:iCs/>
          <w:sz w:val="28"/>
          <w:szCs w:val="28"/>
        </w:rPr>
        <w:t>JuicePlus</w:t>
      </w:r>
      <w:proofErr w:type="spellEnd"/>
      <w:r w:rsidRPr="007A7E37">
        <w:rPr>
          <w:i/>
          <w:iCs/>
          <w:sz w:val="28"/>
          <w:szCs w:val="28"/>
        </w:rPr>
        <w:t>+</w:t>
      </w:r>
      <w:r>
        <w:rPr>
          <w:i/>
          <w:iCs/>
          <w:sz w:val="28"/>
          <w:szCs w:val="28"/>
        </w:rPr>
        <w:t xml:space="preserve">. </w:t>
      </w:r>
      <w:r>
        <w:rPr>
          <w:sz w:val="28"/>
          <w:szCs w:val="28"/>
        </w:rPr>
        <w:t xml:space="preserve">Il procedimento istruttorio – che si è concluso con </w:t>
      </w:r>
      <w:r w:rsidR="0095713B" w:rsidRPr="0095713B">
        <w:rPr>
          <w:sz w:val="28"/>
          <w:szCs w:val="28"/>
        </w:rPr>
        <w:t xml:space="preserve">il </w:t>
      </w:r>
      <w:r w:rsidR="002A33E8">
        <w:rPr>
          <w:sz w:val="28"/>
          <w:szCs w:val="28"/>
        </w:rPr>
        <w:t>P</w:t>
      </w:r>
      <w:r w:rsidR="0095713B" w:rsidRPr="0095713B">
        <w:rPr>
          <w:sz w:val="28"/>
          <w:szCs w:val="28"/>
        </w:rPr>
        <w:t xml:space="preserve">rovvedimento </w:t>
      </w:r>
      <w:r w:rsidR="002A33E8">
        <w:rPr>
          <w:sz w:val="28"/>
          <w:szCs w:val="28"/>
        </w:rPr>
        <w:t xml:space="preserve">n. </w:t>
      </w:r>
      <w:r w:rsidR="0095713B" w:rsidRPr="0095713B">
        <w:rPr>
          <w:sz w:val="28"/>
          <w:szCs w:val="28"/>
        </w:rPr>
        <w:t>27612/2019</w:t>
      </w:r>
      <w:r w:rsidR="00BB37C5">
        <w:rPr>
          <w:rStyle w:val="Rimandonotaapidipagina"/>
          <w:sz w:val="28"/>
          <w:szCs w:val="28"/>
        </w:rPr>
        <w:footnoteReference w:id="189"/>
      </w:r>
      <w:r>
        <w:rPr>
          <w:sz w:val="28"/>
          <w:szCs w:val="28"/>
        </w:rPr>
        <w:t xml:space="preserve"> – ha visto l’azienda protagonista </w:t>
      </w:r>
      <w:proofErr w:type="gramStart"/>
      <w:r>
        <w:rPr>
          <w:sz w:val="28"/>
          <w:szCs w:val="28"/>
        </w:rPr>
        <w:t>porre in essere</w:t>
      </w:r>
      <w:proofErr w:type="gramEnd"/>
      <w:r>
        <w:rPr>
          <w:sz w:val="28"/>
          <w:szCs w:val="28"/>
        </w:rPr>
        <w:t xml:space="preserve"> </w:t>
      </w:r>
      <w:r w:rsidR="0095713B" w:rsidRPr="0095713B">
        <w:rPr>
          <w:sz w:val="28"/>
          <w:szCs w:val="28"/>
        </w:rPr>
        <w:t xml:space="preserve">attività di divulgazione di informazioni </w:t>
      </w:r>
      <w:r w:rsidR="0095713B" w:rsidRPr="001B3C12">
        <w:rPr>
          <w:sz w:val="28"/>
          <w:szCs w:val="28"/>
        </w:rPr>
        <w:t xml:space="preserve">sulle caratteristiche e la natura dei prodotti </w:t>
      </w:r>
      <w:r>
        <w:rPr>
          <w:sz w:val="28"/>
          <w:szCs w:val="28"/>
        </w:rPr>
        <w:t>tramite</w:t>
      </w:r>
      <w:r w:rsidR="0095713B" w:rsidRPr="001B3C12">
        <w:rPr>
          <w:sz w:val="28"/>
          <w:szCs w:val="28"/>
        </w:rPr>
        <w:t xml:space="preserve"> gruppi segreti di </w:t>
      </w:r>
      <w:proofErr w:type="spellStart"/>
      <w:r w:rsidR="0095713B" w:rsidRPr="001B3C12">
        <w:rPr>
          <w:sz w:val="28"/>
          <w:szCs w:val="28"/>
        </w:rPr>
        <w:t>Facebook</w:t>
      </w:r>
      <w:proofErr w:type="spellEnd"/>
      <w:r>
        <w:rPr>
          <w:sz w:val="28"/>
          <w:szCs w:val="28"/>
        </w:rPr>
        <w:t xml:space="preserve">; </w:t>
      </w:r>
      <w:r w:rsidRPr="001B3C12">
        <w:rPr>
          <w:sz w:val="28"/>
          <w:szCs w:val="28"/>
        </w:rPr>
        <w:t xml:space="preserve">alcuni rivenditori dell’azienda </w:t>
      </w:r>
      <w:r>
        <w:rPr>
          <w:sz w:val="28"/>
          <w:szCs w:val="28"/>
        </w:rPr>
        <w:t xml:space="preserve">portavano i </w:t>
      </w:r>
      <w:r w:rsidR="0095713B" w:rsidRPr="001B3C12">
        <w:rPr>
          <w:sz w:val="28"/>
          <w:szCs w:val="28"/>
        </w:rPr>
        <w:t xml:space="preserve">consumatori </w:t>
      </w:r>
      <w:r>
        <w:rPr>
          <w:sz w:val="28"/>
          <w:szCs w:val="28"/>
        </w:rPr>
        <w:t>ad entrare nei gruppi a fini promozionali</w:t>
      </w:r>
      <w:r w:rsidR="0095713B" w:rsidRPr="001B3C12">
        <w:rPr>
          <w:sz w:val="28"/>
          <w:szCs w:val="28"/>
        </w:rPr>
        <w:t xml:space="preserve">. </w:t>
      </w:r>
      <w:r>
        <w:rPr>
          <w:sz w:val="28"/>
          <w:szCs w:val="28"/>
        </w:rPr>
        <w:t xml:space="preserve">I </w:t>
      </w:r>
      <w:r w:rsidRPr="00063B40">
        <w:rPr>
          <w:i/>
          <w:iCs/>
          <w:sz w:val="28"/>
          <w:szCs w:val="28"/>
        </w:rPr>
        <w:t>post</w:t>
      </w:r>
      <w:r>
        <w:rPr>
          <w:sz w:val="28"/>
          <w:szCs w:val="28"/>
        </w:rPr>
        <w:t xml:space="preserve"> contestati dall’Autorità </w:t>
      </w:r>
      <w:r w:rsidR="00CD67C7">
        <w:rPr>
          <w:sz w:val="28"/>
          <w:szCs w:val="28"/>
        </w:rPr>
        <w:t>narravano</w:t>
      </w:r>
      <w:r w:rsidR="0095713B" w:rsidRPr="001B3C12">
        <w:rPr>
          <w:sz w:val="28"/>
          <w:szCs w:val="28"/>
        </w:rPr>
        <w:t xml:space="preserve"> </w:t>
      </w:r>
      <w:r w:rsidR="00CD67C7">
        <w:rPr>
          <w:sz w:val="28"/>
          <w:szCs w:val="28"/>
        </w:rPr>
        <w:t>l</w:t>
      </w:r>
      <w:r w:rsidR="0095713B" w:rsidRPr="001B3C12">
        <w:rPr>
          <w:sz w:val="28"/>
          <w:szCs w:val="28"/>
        </w:rPr>
        <w:t xml:space="preserve">’esperienza personale di alcuni consumatori, mentre in </w:t>
      </w:r>
      <w:r w:rsidR="00CD67C7">
        <w:rPr>
          <w:sz w:val="28"/>
          <w:szCs w:val="28"/>
        </w:rPr>
        <w:t>alcuni</w:t>
      </w:r>
      <w:r w:rsidR="0095713B" w:rsidRPr="001B3C12">
        <w:rPr>
          <w:sz w:val="28"/>
          <w:szCs w:val="28"/>
        </w:rPr>
        <w:t xml:space="preserve"> casi l’amministratore della pagina </w:t>
      </w:r>
      <w:proofErr w:type="spellStart"/>
      <w:r w:rsidR="00CD67C7">
        <w:rPr>
          <w:sz w:val="28"/>
          <w:szCs w:val="28"/>
        </w:rPr>
        <w:t>Facebook</w:t>
      </w:r>
      <w:proofErr w:type="spellEnd"/>
      <w:r w:rsidR="00CD67C7">
        <w:rPr>
          <w:sz w:val="28"/>
          <w:szCs w:val="28"/>
        </w:rPr>
        <w:t xml:space="preserve"> condivideva</w:t>
      </w:r>
      <w:r w:rsidR="0095713B" w:rsidRPr="001B3C12">
        <w:rPr>
          <w:sz w:val="28"/>
          <w:szCs w:val="28"/>
        </w:rPr>
        <w:t xml:space="preserve"> esperienze di consumo personale o </w:t>
      </w:r>
      <w:r w:rsidR="00CD67C7">
        <w:rPr>
          <w:sz w:val="28"/>
          <w:szCs w:val="28"/>
        </w:rPr>
        <w:t xml:space="preserve">esperienze di terzi. </w:t>
      </w:r>
    </w:p>
    <w:p w14:paraId="56CA9B78" w14:textId="77777777" w:rsidR="00063B40" w:rsidRDefault="00CD67C7" w:rsidP="009E5235">
      <w:pPr>
        <w:pStyle w:val="NormaleWeb"/>
        <w:spacing w:before="0" w:beforeAutospacing="0" w:after="0" w:afterAutospacing="0"/>
        <w:jc w:val="both"/>
        <w:rPr>
          <w:sz w:val="28"/>
          <w:szCs w:val="28"/>
        </w:rPr>
      </w:pPr>
      <w:r>
        <w:rPr>
          <w:sz w:val="28"/>
          <w:szCs w:val="28"/>
        </w:rPr>
        <w:t>I contenuti della pagina</w:t>
      </w:r>
      <w:r w:rsidR="0095713B" w:rsidRPr="001B3C12">
        <w:rPr>
          <w:sz w:val="28"/>
          <w:szCs w:val="28"/>
        </w:rPr>
        <w:t xml:space="preserve"> erano accomunati da una forte enfatizzazione delle proprietà degli integratori e dei risultati ottenuti. </w:t>
      </w:r>
      <w:r>
        <w:rPr>
          <w:sz w:val="28"/>
          <w:szCs w:val="28"/>
        </w:rPr>
        <w:t>Nell’indagine condotta dall’Autorità è emerso che</w:t>
      </w:r>
      <w:r w:rsidR="0095713B" w:rsidRPr="001B3C12">
        <w:rPr>
          <w:sz w:val="28"/>
          <w:szCs w:val="28"/>
        </w:rPr>
        <w:t xml:space="preserve"> alcuni dei soggetti che si presentavano come consumatori erano</w:t>
      </w:r>
      <w:r>
        <w:rPr>
          <w:sz w:val="28"/>
          <w:szCs w:val="28"/>
        </w:rPr>
        <w:t>,</w:t>
      </w:r>
      <w:r w:rsidR="0095713B" w:rsidRPr="001B3C12">
        <w:rPr>
          <w:sz w:val="28"/>
          <w:szCs w:val="28"/>
        </w:rPr>
        <w:t xml:space="preserve"> in realtà</w:t>
      </w:r>
      <w:r>
        <w:rPr>
          <w:sz w:val="28"/>
          <w:szCs w:val="28"/>
        </w:rPr>
        <w:t>,</w:t>
      </w:r>
      <w:r w:rsidR="0095713B" w:rsidRPr="001B3C12">
        <w:rPr>
          <w:sz w:val="28"/>
          <w:szCs w:val="28"/>
        </w:rPr>
        <w:t xml:space="preserve"> </w:t>
      </w:r>
      <w:r>
        <w:rPr>
          <w:sz w:val="28"/>
          <w:szCs w:val="28"/>
        </w:rPr>
        <w:t xml:space="preserve">i </w:t>
      </w:r>
      <w:r w:rsidR="0095713B" w:rsidRPr="001B3C12">
        <w:rPr>
          <w:sz w:val="28"/>
          <w:szCs w:val="28"/>
        </w:rPr>
        <w:t>rivenditori del prodotto</w:t>
      </w:r>
      <w:r>
        <w:rPr>
          <w:sz w:val="28"/>
          <w:szCs w:val="28"/>
        </w:rPr>
        <w:t xml:space="preserve">. Ciò avveniva </w:t>
      </w:r>
      <w:r w:rsidR="0095713B" w:rsidRPr="001B3C12">
        <w:rPr>
          <w:sz w:val="28"/>
          <w:szCs w:val="28"/>
        </w:rPr>
        <w:t xml:space="preserve">anche attraverso i profili </w:t>
      </w:r>
      <w:r>
        <w:rPr>
          <w:sz w:val="28"/>
          <w:szCs w:val="28"/>
        </w:rPr>
        <w:t>privati</w:t>
      </w:r>
      <w:r w:rsidR="0095713B" w:rsidRPr="001B3C12">
        <w:rPr>
          <w:sz w:val="28"/>
          <w:szCs w:val="28"/>
        </w:rPr>
        <w:t xml:space="preserve"> degli stessi o all’interno di chat private su </w:t>
      </w:r>
      <w:proofErr w:type="spellStart"/>
      <w:r w:rsidR="0095713B" w:rsidRPr="002F5EFF">
        <w:rPr>
          <w:i/>
          <w:iCs/>
          <w:sz w:val="28"/>
          <w:szCs w:val="28"/>
        </w:rPr>
        <w:t>Whatsapp</w:t>
      </w:r>
      <w:proofErr w:type="spellEnd"/>
      <w:r w:rsidR="0095713B" w:rsidRPr="001B3C12">
        <w:rPr>
          <w:sz w:val="28"/>
          <w:szCs w:val="28"/>
        </w:rPr>
        <w:t xml:space="preserve">. </w:t>
      </w:r>
    </w:p>
    <w:p w14:paraId="5E9F9B10" w14:textId="4BD21DB6" w:rsidR="009E5235" w:rsidRDefault="00CD67C7" w:rsidP="009E5235">
      <w:pPr>
        <w:pStyle w:val="NormaleWeb"/>
        <w:spacing w:before="0" w:beforeAutospacing="0" w:after="0" w:afterAutospacing="0"/>
        <w:jc w:val="both"/>
        <w:rPr>
          <w:sz w:val="28"/>
          <w:szCs w:val="28"/>
        </w:rPr>
      </w:pPr>
      <w:r>
        <w:rPr>
          <w:sz w:val="28"/>
          <w:szCs w:val="28"/>
        </w:rPr>
        <w:t xml:space="preserve">Non solo, è emerso anche che le informazioni divulgate erano </w:t>
      </w:r>
      <w:r w:rsidR="0095713B" w:rsidRPr="001B3C12">
        <w:rPr>
          <w:sz w:val="28"/>
          <w:szCs w:val="28"/>
        </w:rPr>
        <w:t>fuorvianti e inesatte</w:t>
      </w:r>
      <w:r w:rsidR="007D7E7F">
        <w:rPr>
          <w:sz w:val="28"/>
          <w:szCs w:val="28"/>
        </w:rPr>
        <w:t>, sia</w:t>
      </w:r>
      <w:r w:rsidR="0095713B" w:rsidRPr="001B3C12">
        <w:rPr>
          <w:sz w:val="28"/>
          <w:szCs w:val="28"/>
        </w:rPr>
        <w:t xml:space="preserve"> </w:t>
      </w:r>
      <w:r w:rsidR="007D7E7F">
        <w:rPr>
          <w:sz w:val="28"/>
          <w:szCs w:val="28"/>
        </w:rPr>
        <w:t>sotto il profilo del</w:t>
      </w:r>
      <w:r>
        <w:rPr>
          <w:sz w:val="28"/>
          <w:szCs w:val="28"/>
        </w:rPr>
        <w:t>l</w:t>
      </w:r>
      <w:r w:rsidR="007D7E7F">
        <w:rPr>
          <w:sz w:val="28"/>
          <w:szCs w:val="28"/>
        </w:rPr>
        <w:t>a</w:t>
      </w:r>
      <w:r w:rsidR="0095713B" w:rsidRPr="001B3C12">
        <w:rPr>
          <w:sz w:val="28"/>
          <w:szCs w:val="28"/>
        </w:rPr>
        <w:t xml:space="preserve"> qualità</w:t>
      </w:r>
      <w:r w:rsidR="007D7E7F">
        <w:rPr>
          <w:sz w:val="28"/>
          <w:szCs w:val="28"/>
        </w:rPr>
        <w:t xml:space="preserve"> e del</w:t>
      </w:r>
      <w:r w:rsidR="0095713B" w:rsidRPr="001B3C12">
        <w:rPr>
          <w:sz w:val="28"/>
          <w:szCs w:val="28"/>
        </w:rPr>
        <w:t>le proprietà dei prodotti</w:t>
      </w:r>
      <w:r w:rsidR="007D7E7F">
        <w:rPr>
          <w:sz w:val="28"/>
          <w:szCs w:val="28"/>
        </w:rPr>
        <w:t xml:space="preserve"> venduti</w:t>
      </w:r>
      <w:r w:rsidR="0095713B" w:rsidRPr="001B3C12">
        <w:rPr>
          <w:sz w:val="28"/>
          <w:szCs w:val="28"/>
        </w:rPr>
        <w:t xml:space="preserve">, </w:t>
      </w:r>
      <w:r w:rsidR="007D7E7F">
        <w:rPr>
          <w:sz w:val="28"/>
          <w:szCs w:val="28"/>
        </w:rPr>
        <w:t xml:space="preserve">sia sotto quello della </w:t>
      </w:r>
      <w:r w:rsidR="0095713B" w:rsidRPr="001B3C12">
        <w:rPr>
          <w:sz w:val="28"/>
          <w:szCs w:val="28"/>
        </w:rPr>
        <w:t>modalità di utilizzo degli stessi.</w:t>
      </w:r>
    </w:p>
    <w:p w14:paraId="79A09BD3" w14:textId="3249944B" w:rsidR="0095713B" w:rsidRPr="0095713B" w:rsidRDefault="002F5EFF" w:rsidP="002A33E8">
      <w:pPr>
        <w:pStyle w:val="NormaleWeb"/>
        <w:spacing w:before="0" w:beforeAutospacing="0" w:after="0" w:afterAutospacing="0"/>
        <w:jc w:val="both"/>
        <w:rPr>
          <w:sz w:val="28"/>
          <w:szCs w:val="28"/>
        </w:rPr>
      </w:pPr>
      <w:r>
        <w:rPr>
          <w:sz w:val="28"/>
          <w:szCs w:val="28"/>
        </w:rPr>
        <w:t>L’istruttoria ha evidenziato, inoltre, che era stata</w:t>
      </w:r>
      <w:r w:rsidR="0095713B" w:rsidRPr="0095713B">
        <w:rPr>
          <w:sz w:val="28"/>
          <w:szCs w:val="28"/>
        </w:rPr>
        <w:t xml:space="preserve"> la stessa azienda ad invitare i venditori a diventare “</w:t>
      </w:r>
      <w:r w:rsidR="0095713B" w:rsidRPr="002F5EFF">
        <w:rPr>
          <w:i/>
          <w:iCs/>
          <w:sz w:val="28"/>
          <w:szCs w:val="28"/>
        </w:rPr>
        <w:t xml:space="preserve">brand di </w:t>
      </w:r>
      <w:proofErr w:type="gramStart"/>
      <w:r w:rsidRPr="002F5EFF">
        <w:rPr>
          <w:i/>
          <w:iCs/>
          <w:sz w:val="28"/>
          <w:szCs w:val="28"/>
        </w:rPr>
        <w:t>s</w:t>
      </w:r>
      <w:r>
        <w:rPr>
          <w:i/>
          <w:iCs/>
          <w:sz w:val="28"/>
          <w:szCs w:val="28"/>
        </w:rPr>
        <w:t>e</w:t>
      </w:r>
      <w:proofErr w:type="gramEnd"/>
      <w:r w:rsidR="0095713B" w:rsidRPr="002F5EFF">
        <w:rPr>
          <w:i/>
          <w:iCs/>
          <w:sz w:val="28"/>
          <w:szCs w:val="28"/>
        </w:rPr>
        <w:t xml:space="preserve"> stessi</w:t>
      </w:r>
      <w:r w:rsidR="0095713B" w:rsidRPr="0095713B">
        <w:rPr>
          <w:sz w:val="28"/>
          <w:szCs w:val="28"/>
        </w:rPr>
        <w:t xml:space="preserve">”, promuovendo </w:t>
      </w:r>
      <w:r>
        <w:rPr>
          <w:sz w:val="28"/>
          <w:szCs w:val="28"/>
        </w:rPr>
        <w:t>l’uso</w:t>
      </w:r>
      <w:r w:rsidR="0095713B" w:rsidRPr="0095713B">
        <w:rPr>
          <w:sz w:val="28"/>
          <w:szCs w:val="28"/>
        </w:rPr>
        <w:t xml:space="preserve"> dei prodotti attraverso i propri profili</w:t>
      </w:r>
      <w:r>
        <w:rPr>
          <w:sz w:val="28"/>
          <w:szCs w:val="28"/>
        </w:rPr>
        <w:t xml:space="preserve"> sui</w:t>
      </w:r>
      <w:r w:rsidR="0095713B" w:rsidRPr="0095713B">
        <w:rPr>
          <w:sz w:val="28"/>
          <w:szCs w:val="28"/>
        </w:rPr>
        <w:t xml:space="preserve"> </w:t>
      </w:r>
      <w:r w:rsidR="0095713B" w:rsidRPr="002F5EFF">
        <w:rPr>
          <w:i/>
          <w:iCs/>
          <w:sz w:val="28"/>
          <w:szCs w:val="28"/>
        </w:rPr>
        <w:t>social</w:t>
      </w:r>
      <w:r>
        <w:rPr>
          <w:sz w:val="28"/>
          <w:szCs w:val="28"/>
        </w:rPr>
        <w:t xml:space="preserve"> </w:t>
      </w:r>
      <w:r w:rsidRPr="002F5EFF">
        <w:rPr>
          <w:i/>
          <w:iCs/>
          <w:sz w:val="28"/>
          <w:szCs w:val="28"/>
        </w:rPr>
        <w:t>network</w:t>
      </w:r>
      <w:r>
        <w:rPr>
          <w:sz w:val="28"/>
          <w:szCs w:val="28"/>
        </w:rPr>
        <w:t xml:space="preserve"> </w:t>
      </w:r>
      <w:r w:rsidR="0095713B" w:rsidRPr="0095713B">
        <w:rPr>
          <w:sz w:val="28"/>
          <w:szCs w:val="28"/>
        </w:rPr>
        <w:t xml:space="preserve">e proponendosi come esempi da seguire nel proprio stile di vita. </w:t>
      </w:r>
      <w:r>
        <w:rPr>
          <w:sz w:val="28"/>
          <w:szCs w:val="28"/>
        </w:rPr>
        <w:t xml:space="preserve">Il problema è che nelle operazioni e indicazioni dell’azienda </w:t>
      </w:r>
      <w:r w:rsidR="0095713B" w:rsidRPr="002F5EFF">
        <w:rPr>
          <w:sz w:val="28"/>
          <w:szCs w:val="28"/>
        </w:rPr>
        <w:t>non vi era alcun riferimento alla necessità di identificarsi chiaramente dinnanzi a</w:t>
      </w:r>
      <w:r>
        <w:rPr>
          <w:sz w:val="28"/>
          <w:szCs w:val="28"/>
        </w:rPr>
        <w:t>gli utenti-</w:t>
      </w:r>
      <w:r w:rsidR="0095713B" w:rsidRPr="002F5EFF">
        <w:rPr>
          <w:sz w:val="28"/>
          <w:szCs w:val="28"/>
        </w:rPr>
        <w:t xml:space="preserve">consumatori come venditori </w:t>
      </w:r>
      <w:r>
        <w:rPr>
          <w:sz w:val="28"/>
          <w:szCs w:val="28"/>
        </w:rPr>
        <w:t>della stessa.</w:t>
      </w:r>
      <w:r w:rsidR="002A33E8">
        <w:rPr>
          <w:sz w:val="28"/>
          <w:szCs w:val="28"/>
        </w:rPr>
        <w:t xml:space="preserve"> Poiché, dunque, </w:t>
      </w:r>
      <w:r w:rsidR="0095713B" w:rsidRPr="0095713B">
        <w:rPr>
          <w:sz w:val="28"/>
          <w:szCs w:val="28"/>
        </w:rPr>
        <w:t xml:space="preserve">la condotta tenuta dalla società </w:t>
      </w:r>
      <w:r w:rsidR="002A33E8">
        <w:rPr>
          <w:sz w:val="28"/>
          <w:szCs w:val="28"/>
        </w:rPr>
        <w:t>integra</w:t>
      </w:r>
      <w:r w:rsidR="0095713B" w:rsidRPr="0095713B">
        <w:rPr>
          <w:sz w:val="28"/>
          <w:szCs w:val="28"/>
        </w:rPr>
        <w:t xml:space="preserve"> una pratica commerciale scorretta ai sensi degli artt. 20,</w:t>
      </w:r>
      <w:r w:rsidR="002A33E8">
        <w:rPr>
          <w:sz w:val="28"/>
          <w:szCs w:val="28"/>
        </w:rPr>
        <w:t xml:space="preserve"> </w:t>
      </w:r>
      <w:r w:rsidR="0095713B" w:rsidRPr="0095713B">
        <w:rPr>
          <w:sz w:val="28"/>
          <w:szCs w:val="28"/>
        </w:rPr>
        <w:t>21,</w:t>
      </w:r>
      <w:r w:rsidR="002A33E8">
        <w:rPr>
          <w:sz w:val="28"/>
          <w:szCs w:val="28"/>
        </w:rPr>
        <w:t xml:space="preserve"> </w:t>
      </w:r>
      <w:r w:rsidR="0095713B" w:rsidRPr="0095713B">
        <w:rPr>
          <w:sz w:val="28"/>
          <w:szCs w:val="28"/>
        </w:rPr>
        <w:t xml:space="preserve">22, comma 2 e 23, comma 1, </w:t>
      </w:r>
      <w:proofErr w:type="spellStart"/>
      <w:r w:rsidR="0095713B" w:rsidRPr="0095713B">
        <w:rPr>
          <w:sz w:val="28"/>
          <w:szCs w:val="28"/>
        </w:rPr>
        <w:t>lett</w:t>
      </w:r>
      <w:proofErr w:type="spellEnd"/>
      <w:r w:rsidR="0095713B" w:rsidRPr="0095713B">
        <w:rPr>
          <w:sz w:val="28"/>
          <w:szCs w:val="28"/>
        </w:rPr>
        <w:t xml:space="preserve"> aa) del Codice del consumo</w:t>
      </w:r>
      <w:r w:rsidR="002A33E8">
        <w:rPr>
          <w:sz w:val="28"/>
          <w:szCs w:val="28"/>
        </w:rPr>
        <w:t>, l’Autorità ha accertato la violazione</w:t>
      </w:r>
      <w:r w:rsidR="0095713B" w:rsidRPr="0095713B">
        <w:rPr>
          <w:sz w:val="28"/>
          <w:szCs w:val="28"/>
        </w:rPr>
        <w:t xml:space="preserve"> ed </w:t>
      </w:r>
      <w:r w:rsidR="002A33E8">
        <w:rPr>
          <w:sz w:val="28"/>
          <w:szCs w:val="28"/>
        </w:rPr>
        <w:t>ha irrogato</w:t>
      </w:r>
      <w:r w:rsidR="0095713B" w:rsidRPr="0095713B">
        <w:rPr>
          <w:sz w:val="28"/>
          <w:szCs w:val="28"/>
        </w:rPr>
        <w:t xml:space="preserve"> una sanzione amministrativa pecuniaria </w:t>
      </w:r>
      <w:r w:rsidR="002A33E8">
        <w:rPr>
          <w:sz w:val="28"/>
          <w:szCs w:val="28"/>
        </w:rPr>
        <w:t>di</w:t>
      </w:r>
      <w:r w:rsidR="0095713B" w:rsidRPr="0095713B">
        <w:rPr>
          <w:sz w:val="28"/>
          <w:szCs w:val="28"/>
        </w:rPr>
        <w:t xml:space="preserve"> 1.000.000 di euro.</w:t>
      </w:r>
    </w:p>
    <w:p w14:paraId="621BB2B6" w14:textId="4748B3DB" w:rsidR="00D213AE" w:rsidRDefault="002A33E8" w:rsidP="0095713B">
      <w:pPr>
        <w:pStyle w:val="NormaleWeb"/>
        <w:jc w:val="both"/>
        <w:rPr>
          <w:sz w:val="28"/>
          <w:szCs w:val="28"/>
        </w:rPr>
      </w:pPr>
      <w:r>
        <w:rPr>
          <w:sz w:val="28"/>
          <w:szCs w:val="28"/>
        </w:rPr>
        <w:t>Il terzo caso da prendere in considerazione è quello relativo alla</w:t>
      </w:r>
      <w:r w:rsidR="0095713B" w:rsidRPr="0095713B">
        <w:rPr>
          <w:sz w:val="28"/>
          <w:szCs w:val="28"/>
        </w:rPr>
        <w:t xml:space="preserve"> società Barilla (Provvedimento </w:t>
      </w:r>
      <w:r>
        <w:rPr>
          <w:sz w:val="28"/>
          <w:szCs w:val="28"/>
        </w:rPr>
        <w:t xml:space="preserve">n. </w:t>
      </w:r>
      <w:r w:rsidR="0095713B" w:rsidRPr="002F5EFF">
        <w:rPr>
          <w:sz w:val="28"/>
          <w:szCs w:val="28"/>
        </w:rPr>
        <w:t>28167/2020</w:t>
      </w:r>
      <w:r w:rsidR="00BB37C5" w:rsidRPr="002F5EFF">
        <w:rPr>
          <w:rStyle w:val="Rimandonotaapidipagina"/>
          <w:sz w:val="28"/>
          <w:szCs w:val="28"/>
        </w:rPr>
        <w:footnoteReference w:id="190"/>
      </w:r>
      <w:r w:rsidR="0095713B" w:rsidRPr="002F5EFF">
        <w:rPr>
          <w:sz w:val="28"/>
          <w:szCs w:val="28"/>
        </w:rPr>
        <w:t>)</w:t>
      </w:r>
      <w:r>
        <w:rPr>
          <w:sz w:val="28"/>
          <w:szCs w:val="28"/>
        </w:rPr>
        <w:t>, la cui vicenda pone in luce l’evoluzione del fenomeno dell’</w:t>
      </w:r>
      <w:proofErr w:type="spellStart"/>
      <w:r w:rsidRPr="002A33E8">
        <w:rPr>
          <w:i/>
          <w:iCs/>
          <w:sz w:val="28"/>
          <w:szCs w:val="28"/>
        </w:rPr>
        <w:t>influencer</w:t>
      </w:r>
      <w:proofErr w:type="spellEnd"/>
      <w:r w:rsidRPr="002A33E8">
        <w:rPr>
          <w:i/>
          <w:iCs/>
          <w:sz w:val="28"/>
          <w:szCs w:val="28"/>
        </w:rPr>
        <w:t xml:space="preserve"> marketing</w:t>
      </w:r>
      <w:r>
        <w:rPr>
          <w:sz w:val="28"/>
          <w:szCs w:val="28"/>
        </w:rPr>
        <w:t>, facendo venire in rilievo</w:t>
      </w:r>
      <w:r w:rsidR="0095713B" w:rsidRPr="002F5EFF">
        <w:rPr>
          <w:sz w:val="28"/>
          <w:szCs w:val="28"/>
        </w:rPr>
        <w:t xml:space="preserve"> il coinvolgimento dei c.d. </w:t>
      </w:r>
      <w:proofErr w:type="spellStart"/>
      <w:r w:rsidR="0095713B" w:rsidRPr="002A33E8">
        <w:rPr>
          <w:i/>
          <w:iCs/>
          <w:sz w:val="28"/>
          <w:szCs w:val="28"/>
        </w:rPr>
        <w:t>microinfluencer</w:t>
      </w:r>
      <w:proofErr w:type="spellEnd"/>
      <w:r w:rsidR="00D213AE">
        <w:rPr>
          <w:sz w:val="28"/>
          <w:szCs w:val="28"/>
        </w:rPr>
        <w:t>.</w:t>
      </w:r>
      <w:r w:rsidR="002F5EFF">
        <w:rPr>
          <w:sz w:val="28"/>
          <w:szCs w:val="28"/>
        </w:rPr>
        <w:t xml:space="preserve"> </w:t>
      </w:r>
      <w:r w:rsidR="00D213AE" w:rsidRPr="0095713B">
        <w:rPr>
          <w:sz w:val="28"/>
          <w:szCs w:val="28"/>
        </w:rPr>
        <w:t>Anche in questo caso</w:t>
      </w:r>
      <w:r w:rsidR="00D213AE">
        <w:rPr>
          <w:sz w:val="28"/>
          <w:szCs w:val="28"/>
        </w:rPr>
        <w:t xml:space="preserve"> – relativo alla </w:t>
      </w:r>
      <w:r w:rsidR="00D213AE" w:rsidRPr="0095713B">
        <w:rPr>
          <w:sz w:val="28"/>
          <w:szCs w:val="28"/>
        </w:rPr>
        <w:t xml:space="preserve">pubblicazione di </w:t>
      </w:r>
      <w:r w:rsidR="00D213AE" w:rsidRPr="00063B40">
        <w:rPr>
          <w:i/>
          <w:iCs/>
          <w:sz w:val="28"/>
          <w:szCs w:val="28"/>
        </w:rPr>
        <w:t>post</w:t>
      </w:r>
      <w:r w:rsidR="00D213AE" w:rsidRPr="0095713B">
        <w:rPr>
          <w:sz w:val="28"/>
          <w:szCs w:val="28"/>
        </w:rPr>
        <w:t xml:space="preserve"> </w:t>
      </w:r>
      <w:r w:rsidR="00D213AE">
        <w:rPr>
          <w:sz w:val="28"/>
          <w:szCs w:val="28"/>
        </w:rPr>
        <w:t>della</w:t>
      </w:r>
      <w:r w:rsidR="00D213AE" w:rsidRPr="0095713B">
        <w:rPr>
          <w:sz w:val="28"/>
          <w:szCs w:val="28"/>
        </w:rPr>
        <w:t xml:space="preserve"> </w:t>
      </w:r>
      <w:r w:rsidR="00D213AE" w:rsidRPr="0095713B">
        <w:rPr>
          <w:sz w:val="28"/>
          <w:szCs w:val="28"/>
        </w:rPr>
        <w:lastRenderedPageBreak/>
        <w:t>linea di prodotti “</w:t>
      </w:r>
      <w:r w:rsidR="00D213AE" w:rsidRPr="00D213AE">
        <w:rPr>
          <w:i/>
          <w:iCs/>
          <w:sz w:val="28"/>
          <w:szCs w:val="28"/>
        </w:rPr>
        <w:t>Pan di Stelle</w:t>
      </w:r>
      <w:r w:rsidR="00D213AE" w:rsidRPr="0095713B">
        <w:rPr>
          <w:sz w:val="28"/>
          <w:szCs w:val="28"/>
        </w:rPr>
        <w:t>”</w:t>
      </w:r>
      <w:r w:rsidR="00D213AE">
        <w:rPr>
          <w:sz w:val="28"/>
          <w:szCs w:val="28"/>
        </w:rPr>
        <w:t xml:space="preserve"> – </w:t>
      </w:r>
      <w:r w:rsidR="00D213AE" w:rsidRPr="0095713B">
        <w:rPr>
          <w:sz w:val="28"/>
          <w:szCs w:val="28"/>
        </w:rPr>
        <w:t xml:space="preserve">la contestazione </w:t>
      </w:r>
      <w:r w:rsidR="00D213AE">
        <w:rPr>
          <w:sz w:val="28"/>
          <w:szCs w:val="28"/>
        </w:rPr>
        <w:t xml:space="preserve">dell’Autorità </w:t>
      </w:r>
      <w:r w:rsidR="00D213AE" w:rsidRPr="0095713B">
        <w:rPr>
          <w:sz w:val="28"/>
          <w:szCs w:val="28"/>
        </w:rPr>
        <w:t>riguardava la violazione delle norme dettate dal Codice del Consumo in materia di pubblicità occulta</w:t>
      </w:r>
      <w:r w:rsidR="006D197F">
        <w:rPr>
          <w:rStyle w:val="Rimandonotaapidipagina"/>
          <w:sz w:val="28"/>
          <w:szCs w:val="28"/>
        </w:rPr>
        <w:footnoteReference w:id="191"/>
      </w:r>
      <w:r w:rsidR="00D213AE">
        <w:rPr>
          <w:sz w:val="28"/>
          <w:szCs w:val="28"/>
        </w:rPr>
        <w:t>. Ebbene, poiché t</w:t>
      </w:r>
      <w:r w:rsidR="00D213AE" w:rsidRPr="0095713B">
        <w:rPr>
          <w:sz w:val="28"/>
          <w:szCs w:val="28"/>
        </w:rPr>
        <w:t>utte le parti coinvolte hanno formulato delle proposte di impegni concernenti l’adozione di misure volte a garantire maggiore trasparenza nella divulgazione dei contenuti di natura commerciale</w:t>
      </w:r>
      <w:r w:rsidR="00D213AE">
        <w:rPr>
          <w:sz w:val="28"/>
          <w:szCs w:val="28"/>
        </w:rPr>
        <w:t>,</w:t>
      </w:r>
      <w:r w:rsidR="00D213AE" w:rsidRPr="00D213AE">
        <w:rPr>
          <w:sz w:val="28"/>
          <w:szCs w:val="28"/>
        </w:rPr>
        <w:t xml:space="preserve"> </w:t>
      </w:r>
      <w:r w:rsidR="00D213AE" w:rsidRPr="0095713B">
        <w:rPr>
          <w:sz w:val="28"/>
          <w:szCs w:val="28"/>
        </w:rPr>
        <w:t xml:space="preserve">l’istruttoria si è conclusa </w:t>
      </w:r>
      <w:r w:rsidR="00D213AE">
        <w:rPr>
          <w:sz w:val="28"/>
          <w:szCs w:val="28"/>
        </w:rPr>
        <w:t xml:space="preserve">solamente </w:t>
      </w:r>
      <w:r w:rsidR="00D213AE" w:rsidRPr="0095713B">
        <w:rPr>
          <w:sz w:val="28"/>
          <w:szCs w:val="28"/>
        </w:rPr>
        <w:t>con la disposizione dell’obbligo di dare attuazione agli impegni formulati</w:t>
      </w:r>
      <w:r w:rsidR="00D213AE">
        <w:rPr>
          <w:sz w:val="28"/>
          <w:szCs w:val="28"/>
        </w:rPr>
        <w:t xml:space="preserve">, senza alcuna irrogazione di sanzione. </w:t>
      </w:r>
      <w:r w:rsidR="00B76595">
        <w:rPr>
          <w:sz w:val="28"/>
          <w:szCs w:val="28"/>
        </w:rPr>
        <w:t>P</w:t>
      </w:r>
      <w:r w:rsidR="00D213AE">
        <w:rPr>
          <w:sz w:val="28"/>
          <w:szCs w:val="28"/>
        </w:rPr>
        <w:t>oiché in questo caso peculiare ad essere coinvolti sono stati i</w:t>
      </w:r>
      <w:r w:rsidR="0095713B" w:rsidRPr="0095713B">
        <w:rPr>
          <w:sz w:val="28"/>
          <w:szCs w:val="28"/>
        </w:rPr>
        <w:t xml:space="preserve"> </w:t>
      </w:r>
      <w:r w:rsidR="00D213AE">
        <w:rPr>
          <w:sz w:val="28"/>
          <w:szCs w:val="28"/>
        </w:rPr>
        <w:t>c.d.</w:t>
      </w:r>
      <w:r w:rsidR="0095713B" w:rsidRPr="0095713B">
        <w:rPr>
          <w:sz w:val="28"/>
          <w:szCs w:val="28"/>
        </w:rPr>
        <w:t xml:space="preserve"> </w:t>
      </w:r>
      <w:proofErr w:type="spellStart"/>
      <w:r w:rsidR="0095713B" w:rsidRPr="00B76595">
        <w:rPr>
          <w:i/>
          <w:iCs/>
          <w:sz w:val="28"/>
          <w:szCs w:val="28"/>
        </w:rPr>
        <w:t>microinfluencer</w:t>
      </w:r>
      <w:proofErr w:type="spellEnd"/>
      <w:r w:rsidR="00B76595">
        <w:rPr>
          <w:sz w:val="28"/>
          <w:szCs w:val="28"/>
        </w:rPr>
        <w:t xml:space="preserve">, </w:t>
      </w:r>
      <w:r w:rsidR="0095713B" w:rsidRPr="0095713B">
        <w:rPr>
          <w:sz w:val="28"/>
          <w:szCs w:val="28"/>
        </w:rPr>
        <w:t xml:space="preserve">le misure di cui si è proposta l’adozione differiscono leggermente da quelle oggetto del provvedimento di Alitalia, ma rispondono alla medesima </w:t>
      </w:r>
      <w:r w:rsidR="0095713B" w:rsidRPr="00B76595">
        <w:rPr>
          <w:i/>
          <w:iCs/>
          <w:sz w:val="28"/>
          <w:szCs w:val="28"/>
        </w:rPr>
        <w:t>ratio</w:t>
      </w:r>
      <w:r w:rsidR="0095713B" w:rsidRPr="0095713B">
        <w:rPr>
          <w:sz w:val="28"/>
          <w:szCs w:val="28"/>
        </w:rPr>
        <w:t xml:space="preserve"> e alla necessità di trasparenza e tutela del consumatore</w:t>
      </w:r>
      <w:r w:rsidR="00B76595">
        <w:rPr>
          <w:sz w:val="28"/>
          <w:szCs w:val="28"/>
        </w:rPr>
        <w:t>.</w:t>
      </w:r>
      <w:r w:rsidR="0095713B" w:rsidRPr="0095713B">
        <w:rPr>
          <w:sz w:val="28"/>
          <w:szCs w:val="28"/>
        </w:rPr>
        <w:t xml:space="preserve"> </w:t>
      </w:r>
    </w:p>
    <w:p w14:paraId="1E6511B3" w14:textId="310543DB" w:rsidR="0095713B" w:rsidRPr="0095713B" w:rsidRDefault="00B76595" w:rsidP="00A271F3">
      <w:pPr>
        <w:pStyle w:val="NormaleWeb"/>
        <w:spacing w:before="0" w:beforeAutospacing="0" w:after="0" w:afterAutospacing="0"/>
        <w:jc w:val="both"/>
        <w:rPr>
          <w:sz w:val="28"/>
          <w:szCs w:val="28"/>
        </w:rPr>
      </w:pPr>
      <w:r>
        <w:rPr>
          <w:sz w:val="28"/>
          <w:szCs w:val="28"/>
        </w:rPr>
        <w:t>Nell’analisi delle problematiche relative al nuovo</w:t>
      </w:r>
      <w:r w:rsidR="0095713B" w:rsidRPr="0095713B">
        <w:rPr>
          <w:sz w:val="28"/>
          <w:szCs w:val="28"/>
        </w:rPr>
        <w:t xml:space="preserve"> mondo digitale</w:t>
      </w:r>
      <w:r>
        <w:rPr>
          <w:sz w:val="28"/>
          <w:szCs w:val="28"/>
        </w:rPr>
        <w:t xml:space="preserve">, quella relativa al </w:t>
      </w:r>
      <w:r w:rsidR="0095713B" w:rsidRPr="0095713B">
        <w:rPr>
          <w:sz w:val="28"/>
          <w:szCs w:val="28"/>
        </w:rPr>
        <w:t>reparto di competenze fra le diverse autorità garanti che operano nel nostro Paese</w:t>
      </w:r>
      <w:r>
        <w:rPr>
          <w:sz w:val="28"/>
          <w:szCs w:val="28"/>
        </w:rPr>
        <w:t xml:space="preserve"> è sicuramente di grande rilievo</w:t>
      </w:r>
      <w:r w:rsidR="0095713B" w:rsidRPr="0095713B">
        <w:rPr>
          <w:sz w:val="28"/>
          <w:szCs w:val="28"/>
        </w:rPr>
        <w:t xml:space="preserve">. </w:t>
      </w:r>
      <w:r>
        <w:rPr>
          <w:sz w:val="28"/>
          <w:szCs w:val="28"/>
        </w:rPr>
        <w:t>Complice la</w:t>
      </w:r>
      <w:r w:rsidR="0095713B" w:rsidRPr="0095713B">
        <w:rPr>
          <w:sz w:val="28"/>
          <w:szCs w:val="28"/>
        </w:rPr>
        <w:t xml:space="preserve"> natura intrinsecamente trasversale dei problemi affrontat</w:t>
      </w:r>
      <w:r>
        <w:rPr>
          <w:sz w:val="28"/>
          <w:szCs w:val="28"/>
        </w:rPr>
        <w:t>i, urge</w:t>
      </w:r>
      <w:r w:rsidR="0095713B" w:rsidRPr="0095713B">
        <w:rPr>
          <w:sz w:val="28"/>
          <w:szCs w:val="28"/>
        </w:rPr>
        <w:t xml:space="preserve"> un approccio sempre più sinergico</w:t>
      </w:r>
      <w:r>
        <w:rPr>
          <w:sz w:val="28"/>
          <w:szCs w:val="28"/>
        </w:rPr>
        <w:t xml:space="preserve"> tra le </w:t>
      </w:r>
      <w:r w:rsidR="00A271F3">
        <w:rPr>
          <w:sz w:val="28"/>
          <w:szCs w:val="28"/>
        </w:rPr>
        <w:t>autorità</w:t>
      </w:r>
      <w:r w:rsidR="0095713B" w:rsidRPr="0095713B">
        <w:rPr>
          <w:sz w:val="28"/>
          <w:szCs w:val="28"/>
        </w:rPr>
        <w:t xml:space="preserve">, </w:t>
      </w:r>
      <w:r>
        <w:rPr>
          <w:sz w:val="28"/>
          <w:szCs w:val="28"/>
        </w:rPr>
        <w:t>anche a causa del</w:t>
      </w:r>
      <w:r w:rsidR="0095713B" w:rsidRPr="0095713B">
        <w:rPr>
          <w:sz w:val="28"/>
          <w:szCs w:val="28"/>
        </w:rPr>
        <w:t>la difficoltà</w:t>
      </w:r>
      <w:r w:rsidR="00A271F3">
        <w:rPr>
          <w:sz w:val="28"/>
          <w:szCs w:val="28"/>
        </w:rPr>
        <w:t xml:space="preserve">, </w:t>
      </w:r>
      <w:r w:rsidR="0095713B" w:rsidRPr="0095713B">
        <w:rPr>
          <w:sz w:val="28"/>
          <w:szCs w:val="28"/>
        </w:rPr>
        <w:t>se non l’impossibilità</w:t>
      </w:r>
      <w:r w:rsidR="00A271F3">
        <w:rPr>
          <w:sz w:val="28"/>
          <w:szCs w:val="28"/>
        </w:rPr>
        <w:t xml:space="preserve">, </w:t>
      </w:r>
      <w:r w:rsidR="0095713B" w:rsidRPr="0095713B">
        <w:rPr>
          <w:sz w:val="28"/>
          <w:szCs w:val="28"/>
        </w:rPr>
        <w:t>di distinguere nettamente fra le competenze attribuite all’una o all’altra istituzione.</w:t>
      </w:r>
      <w:r w:rsidR="00D213AE">
        <w:rPr>
          <w:sz w:val="28"/>
          <w:szCs w:val="28"/>
        </w:rPr>
        <w:t xml:space="preserve"> </w:t>
      </w:r>
      <w:r>
        <w:rPr>
          <w:sz w:val="28"/>
          <w:szCs w:val="28"/>
        </w:rPr>
        <w:t>Per quanto riguarda, dunque,</w:t>
      </w:r>
      <w:r w:rsidR="0095713B" w:rsidRPr="0095713B">
        <w:rPr>
          <w:sz w:val="28"/>
          <w:szCs w:val="28"/>
        </w:rPr>
        <w:t xml:space="preserve"> </w:t>
      </w:r>
      <w:r>
        <w:rPr>
          <w:sz w:val="28"/>
          <w:szCs w:val="28"/>
        </w:rPr>
        <w:t>il</w:t>
      </w:r>
      <w:r w:rsidR="0095713B" w:rsidRPr="0095713B">
        <w:rPr>
          <w:sz w:val="28"/>
          <w:szCs w:val="28"/>
        </w:rPr>
        <w:t xml:space="preserve"> fenomeno dell’</w:t>
      </w:r>
      <w:proofErr w:type="spellStart"/>
      <w:r w:rsidR="0095713B" w:rsidRPr="00B76595">
        <w:rPr>
          <w:i/>
          <w:iCs/>
          <w:sz w:val="28"/>
          <w:szCs w:val="28"/>
        </w:rPr>
        <w:t>influencer</w:t>
      </w:r>
      <w:proofErr w:type="spellEnd"/>
      <w:r w:rsidR="0095713B" w:rsidRPr="00B76595">
        <w:rPr>
          <w:i/>
          <w:iCs/>
          <w:sz w:val="28"/>
          <w:szCs w:val="28"/>
        </w:rPr>
        <w:t xml:space="preserve"> marketing</w:t>
      </w:r>
      <w:r w:rsidR="00603F76" w:rsidRPr="006D197F">
        <w:rPr>
          <w:rStyle w:val="Rimandonotaapidipagina"/>
          <w:sz w:val="28"/>
          <w:szCs w:val="28"/>
        </w:rPr>
        <w:footnoteReference w:id="192"/>
      </w:r>
      <w:r w:rsidRPr="006D197F">
        <w:rPr>
          <w:sz w:val="28"/>
          <w:szCs w:val="28"/>
        </w:rPr>
        <w:t>,</w:t>
      </w:r>
      <w:r w:rsidR="0095713B" w:rsidRPr="00B76595">
        <w:rPr>
          <w:i/>
          <w:iCs/>
          <w:sz w:val="28"/>
          <w:szCs w:val="28"/>
        </w:rPr>
        <w:t xml:space="preserve"> </w:t>
      </w:r>
      <w:r w:rsidRPr="00B76595">
        <w:rPr>
          <w:sz w:val="28"/>
          <w:szCs w:val="28"/>
        </w:rPr>
        <w:t>si rileva che,</w:t>
      </w:r>
      <w:r>
        <w:rPr>
          <w:i/>
          <w:iCs/>
          <w:sz w:val="28"/>
          <w:szCs w:val="28"/>
        </w:rPr>
        <w:t xml:space="preserve"> </w:t>
      </w:r>
      <w:r w:rsidR="0095713B" w:rsidRPr="0095713B">
        <w:rPr>
          <w:sz w:val="28"/>
          <w:szCs w:val="28"/>
        </w:rPr>
        <w:t xml:space="preserve">pur riguardando prevalentemente il tema del consumo e ricadendo dunque entro l’ambito di competenza dell’AGCM, </w:t>
      </w:r>
      <w:r w:rsidR="00A271F3">
        <w:rPr>
          <w:sz w:val="28"/>
          <w:szCs w:val="28"/>
        </w:rPr>
        <w:t>ci sono</w:t>
      </w:r>
      <w:r w:rsidR="0095713B" w:rsidRPr="0095713B">
        <w:rPr>
          <w:sz w:val="28"/>
          <w:szCs w:val="28"/>
        </w:rPr>
        <w:t xml:space="preserve"> alcuni profili che rendono auspicabile</w:t>
      </w:r>
      <w:r w:rsidR="00A271F3">
        <w:rPr>
          <w:sz w:val="28"/>
          <w:szCs w:val="28"/>
        </w:rPr>
        <w:t xml:space="preserve"> – </w:t>
      </w:r>
      <w:r w:rsidR="0095713B" w:rsidRPr="0095713B">
        <w:rPr>
          <w:sz w:val="28"/>
          <w:szCs w:val="28"/>
        </w:rPr>
        <w:t>se non addirittura necessario</w:t>
      </w:r>
      <w:r w:rsidR="00A271F3">
        <w:rPr>
          <w:sz w:val="28"/>
          <w:szCs w:val="28"/>
        </w:rPr>
        <w:t xml:space="preserve"> – </w:t>
      </w:r>
      <w:r w:rsidR="0095713B" w:rsidRPr="0095713B">
        <w:rPr>
          <w:sz w:val="28"/>
          <w:szCs w:val="28"/>
        </w:rPr>
        <w:t>il coinvolgimento di altre autorità, prima fra tutte l’AGCOM.</w:t>
      </w:r>
    </w:p>
    <w:p w14:paraId="361B4B03" w14:textId="77777777" w:rsidR="00C43662" w:rsidRDefault="00A271F3" w:rsidP="00C07A30">
      <w:pPr>
        <w:pStyle w:val="NormaleWeb"/>
        <w:spacing w:before="0" w:beforeAutospacing="0" w:after="0" w:afterAutospacing="0"/>
        <w:jc w:val="both"/>
        <w:rPr>
          <w:sz w:val="28"/>
          <w:szCs w:val="28"/>
        </w:rPr>
      </w:pPr>
      <w:r>
        <w:rPr>
          <w:sz w:val="28"/>
          <w:szCs w:val="28"/>
        </w:rPr>
        <w:t>Il</w:t>
      </w:r>
      <w:r w:rsidR="0095713B" w:rsidRPr="0095713B">
        <w:rPr>
          <w:sz w:val="28"/>
          <w:szCs w:val="28"/>
        </w:rPr>
        <w:t xml:space="preserve"> commissario </w:t>
      </w:r>
      <w:r>
        <w:rPr>
          <w:sz w:val="28"/>
          <w:szCs w:val="28"/>
        </w:rPr>
        <w:t>dell’</w:t>
      </w:r>
      <w:r w:rsidR="0095713B" w:rsidRPr="0095713B">
        <w:rPr>
          <w:sz w:val="28"/>
          <w:szCs w:val="28"/>
        </w:rPr>
        <w:t>AGCOM</w:t>
      </w:r>
      <w:r>
        <w:rPr>
          <w:sz w:val="28"/>
          <w:szCs w:val="28"/>
        </w:rPr>
        <w:t>,</w:t>
      </w:r>
      <w:r w:rsidR="0095713B" w:rsidRPr="0095713B">
        <w:rPr>
          <w:sz w:val="28"/>
          <w:szCs w:val="28"/>
        </w:rPr>
        <w:t xml:space="preserve"> Laura Aria, </w:t>
      </w:r>
      <w:r>
        <w:rPr>
          <w:sz w:val="28"/>
          <w:szCs w:val="28"/>
        </w:rPr>
        <w:t>ha analizzato il tema, esaminando quale</w:t>
      </w:r>
      <w:r w:rsidR="0095713B" w:rsidRPr="0095713B">
        <w:rPr>
          <w:sz w:val="28"/>
          <w:szCs w:val="28"/>
        </w:rPr>
        <w:t xml:space="preserve"> potrebbe essere</w:t>
      </w:r>
      <w:r>
        <w:rPr>
          <w:sz w:val="28"/>
          <w:szCs w:val="28"/>
        </w:rPr>
        <w:t xml:space="preserve"> </w:t>
      </w:r>
      <w:r w:rsidR="0095713B" w:rsidRPr="0095713B">
        <w:rPr>
          <w:sz w:val="28"/>
          <w:szCs w:val="28"/>
        </w:rPr>
        <w:t xml:space="preserve">l’impatto della Direttiva SMAV (Servizi Media </w:t>
      </w:r>
      <w:proofErr w:type="spellStart"/>
      <w:r w:rsidR="0095713B" w:rsidRPr="0095713B">
        <w:rPr>
          <w:sz w:val="28"/>
          <w:szCs w:val="28"/>
        </w:rPr>
        <w:t>AudioVisivi</w:t>
      </w:r>
      <w:proofErr w:type="spellEnd"/>
      <w:r>
        <w:rPr>
          <w:sz w:val="28"/>
          <w:szCs w:val="28"/>
        </w:rPr>
        <w:t xml:space="preserve">) </w:t>
      </w:r>
      <w:r w:rsidR="0095713B" w:rsidRPr="0095713B">
        <w:rPr>
          <w:sz w:val="28"/>
          <w:szCs w:val="28"/>
        </w:rPr>
        <w:t xml:space="preserve">e delle proposte della Commissione Europea sui mercati digitali (DMA e DSA), </w:t>
      </w:r>
      <w:r>
        <w:rPr>
          <w:sz w:val="28"/>
          <w:szCs w:val="28"/>
        </w:rPr>
        <w:t>se le stesse</w:t>
      </w:r>
      <w:r w:rsidR="0095713B" w:rsidRPr="0095713B">
        <w:rPr>
          <w:sz w:val="28"/>
          <w:szCs w:val="28"/>
        </w:rPr>
        <w:t xml:space="preserve"> fossero approvate.</w:t>
      </w:r>
      <w:r w:rsidR="002A33E8">
        <w:rPr>
          <w:sz w:val="28"/>
          <w:szCs w:val="28"/>
        </w:rPr>
        <w:t xml:space="preserve"> </w:t>
      </w:r>
      <w:r>
        <w:rPr>
          <w:sz w:val="28"/>
          <w:szCs w:val="28"/>
        </w:rPr>
        <w:t>È noto che</w:t>
      </w:r>
      <w:r w:rsidR="0095713B" w:rsidRPr="0095713B">
        <w:rPr>
          <w:sz w:val="28"/>
          <w:szCs w:val="28"/>
        </w:rPr>
        <w:t xml:space="preserve"> la crescente importanza delle piattaforme </w:t>
      </w:r>
      <w:r w:rsidR="0095713B" w:rsidRPr="00A271F3">
        <w:rPr>
          <w:i/>
          <w:iCs/>
          <w:sz w:val="28"/>
          <w:szCs w:val="28"/>
        </w:rPr>
        <w:t>online</w:t>
      </w:r>
      <w:r w:rsidR="0095713B" w:rsidRPr="0095713B">
        <w:rPr>
          <w:sz w:val="28"/>
          <w:szCs w:val="28"/>
        </w:rPr>
        <w:t xml:space="preserve"> ha </w:t>
      </w:r>
      <w:r w:rsidR="00D71106">
        <w:rPr>
          <w:sz w:val="28"/>
          <w:szCs w:val="28"/>
        </w:rPr>
        <w:t>portato alla</w:t>
      </w:r>
      <w:r w:rsidR="0095713B" w:rsidRPr="0095713B">
        <w:rPr>
          <w:sz w:val="28"/>
          <w:szCs w:val="28"/>
        </w:rPr>
        <w:t xml:space="preserve"> necessità di regolamentare più compiutamente un settore che</w:t>
      </w:r>
      <w:r>
        <w:rPr>
          <w:sz w:val="28"/>
          <w:szCs w:val="28"/>
        </w:rPr>
        <w:t>,</w:t>
      </w:r>
      <w:r w:rsidR="0095713B" w:rsidRPr="0095713B">
        <w:rPr>
          <w:sz w:val="28"/>
          <w:szCs w:val="28"/>
        </w:rPr>
        <w:t xml:space="preserve"> fino a </w:t>
      </w:r>
      <w:r>
        <w:rPr>
          <w:sz w:val="28"/>
          <w:szCs w:val="28"/>
        </w:rPr>
        <w:t>poco tempo fa,</w:t>
      </w:r>
      <w:r w:rsidR="0095713B" w:rsidRPr="0095713B">
        <w:rPr>
          <w:sz w:val="28"/>
          <w:szCs w:val="28"/>
        </w:rPr>
        <w:t xml:space="preserve"> non era stato adeguatamente studiato nelle proprie peculiarità. </w:t>
      </w:r>
      <w:r w:rsidR="00D71106">
        <w:rPr>
          <w:sz w:val="28"/>
          <w:szCs w:val="28"/>
        </w:rPr>
        <w:t>Per quanto riguarda</w:t>
      </w:r>
      <w:r w:rsidR="0095713B" w:rsidRPr="0095713B">
        <w:rPr>
          <w:sz w:val="28"/>
          <w:szCs w:val="28"/>
        </w:rPr>
        <w:t xml:space="preserve"> la nuova Direttiva SMAV</w:t>
      </w:r>
      <w:r w:rsidR="00D71106">
        <w:rPr>
          <w:sz w:val="28"/>
          <w:szCs w:val="28"/>
        </w:rPr>
        <w:t>, essa</w:t>
      </w:r>
      <w:r w:rsidR="0095713B" w:rsidRPr="0095713B">
        <w:rPr>
          <w:sz w:val="28"/>
          <w:szCs w:val="28"/>
        </w:rPr>
        <w:t xml:space="preserve"> riconosce</w:t>
      </w:r>
      <w:r w:rsidR="00D71106">
        <w:rPr>
          <w:sz w:val="28"/>
          <w:szCs w:val="28"/>
        </w:rPr>
        <w:t>,</w:t>
      </w:r>
      <w:r w:rsidR="0095713B" w:rsidRPr="0095713B">
        <w:rPr>
          <w:sz w:val="28"/>
          <w:szCs w:val="28"/>
        </w:rPr>
        <w:t xml:space="preserve"> per la prima volta</w:t>
      </w:r>
      <w:r w:rsidR="00D71106">
        <w:rPr>
          <w:sz w:val="28"/>
          <w:szCs w:val="28"/>
        </w:rPr>
        <w:t>,</w:t>
      </w:r>
      <w:r w:rsidR="0095713B" w:rsidRPr="0095713B">
        <w:rPr>
          <w:sz w:val="28"/>
          <w:szCs w:val="28"/>
        </w:rPr>
        <w:t xml:space="preserve"> l’equiparabilità delle piattaforme di </w:t>
      </w:r>
      <w:r w:rsidR="0095713B" w:rsidRPr="00D71106">
        <w:rPr>
          <w:i/>
          <w:iCs/>
          <w:sz w:val="28"/>
          <w:szCs w:val="28"/>
        </w:rPr>
        <w:t xml:space="preserve">video </w:t>
      </w:r>
      <w:proofErr w:type="spellStart"/>
      <w:r w:rsidR="0095713B" w:rsidRPr="00D71106">
        <w:rPr>
          <w:i/>
          <w:iCs/>
          <w:sz w:val="28"/>
          <w:szCs w:val="28"/>
        </w:rPr>
        <w:t>sharing</w:t>
      </w:r>
      <w:proofErr w:type="spellEnd"/>
      <w:r w:rsidR="0095713B" w:rsidRPr="0095713B">
        <w:rPr>
          <w:sz w:val="28"/>
          <w:szCs w:val="28"/>
        </w:rPr>
        <w:t xml:space="preserve"> rispetto ai </w:t>
      </w:r>
      <w:r w:rsidR="0095713B" w:rsidRPr="00C43662">
        <w:rPr>
          <w:i/>
          <w:iCs/>
          <w:sz w:val="28"/>
          <w:szCs w:val="28"/>
        </w:rPr>
        <w:t>media</w:t>
      </w:r>
      <w:r w:rsidR="0095713B" w:rsidRPr="0095713B">
        <w:rPr>
          <w:sz w:val="28"/>
          <w:szCs w:val="28"/>
        </w:rPr>
        <w:t xml:space="preserve"> tradizionali, con tutte le conseguenze che ne derivano in termini di responsabilità</w:t>
      </w:r>
      <w:r w:rsidR="00D71106">
        <w:rPr>
          <w:sz w:val="28"/>
          <w:szCs w:val="28"/>
        </w:rPr>
        <w:t xml:space="preserve">. E non solo. </w:t>
      </w:r>
    </w:p>
    <w:p w14:paraId="7C3CFC1C" w14:textId="77777777" w:rsidR="00C43662" w:rsidRDefault="0095713B" w:rsidP="00C07A30">
      <w:pPr>
        <w:pStyle w:val="NormaleWeb"/>
        <w:spacing w:before="0" w:beforeAutospacing="0" w:after="0" w:afterAutospacing="0"/>
        <w:jc w:val="both"/>
        <w:rPr>
          <w:sz w:val="28"/>
          <w:szCs w:val="28"/>
        </w:rPr>
      </w:pPr>
      <w:r w:rsidRPr="0095713B">
        <w:rPr>
          <w:sz w:val="28"/>
          <w:szCs w:val="28"/>
        </w:rPr>
        <w:t xml:space="preserve">Da tale equiparazione </w:t>
      </w:r>
      <w:r w:rsidR="00D71106">
        <w:rPr>
          <w:sz w:val="28"/>
          <w:szCs w:val="28"/>
        </w:rPr>
        <w:t>deriva, infatti,</w:t>
      </w:r>
      <w:r w:rsidRPr="0095713B">
        <w:rPr>
          <w:sz w:val="28"/>
          <w:szCs w:val="28"/>
        </w:rPr>
        <w:t xml:space="preserve"> la legittimazione dell’AGCOM ad intervenire per svolgere la propria attività di controllo</w:t>
      </w:r>
      <w:r w:rsidR="00D71106">
        <w:rPr>
          <w:sz w:val="28"/>
          <w:szCs w:val="28"/>
        </w:rPr>
        <w:t xml:space="preserve">. </w:t>
      </w:r>
      <w:r w:rsidR="004D445D">
        <w:rPr>
          <w:sz w:val="28"/>
          <w:szCs w:val="28"/>
        </w:rPr>
        <w:t>Ma siccome</w:t>
      </w:r>
      <w:r w:rsidR="00D71106">
        <w:rPr>
          <w:sz w:val="28"/>
          <w:szCs w:val="28"/>
        </w:rPr>
        <w:t xml:space="preserve"> </w:t>
      </w:r>
      <w:r w:rsidRPr="0095713B">
        <w:rPr>
          <w:sz w:val="28"/>
          <w:szCs w:val="28"/>
        </w:rPr>
        <w:t xml:space="preserve">la Direttiva volge la propria attenzione anche ai pericoli in cui incorrono i consumatori nell’utilizzo delle piattaforme video, l’ambito di competenza dell’autorità </w:t>
      </w:r>
      <w:r w:rsidR="004D445D">
        <w:rPr>
          <w:sz w:val="28"/>
          <w:szCs w:val="28"/>
        </w:rPr>
        <w:t>deve</w:t>
      </w:r>
      <w:r w:rsidRPr="0095713B">
        <w:rPr>
          <w:sz w:val="28"/>
          <w:szCs w:val="28"/>
        </w:rPr>
        <w:t xml:space="preserve"> ritenersi esteso anche a questi profili</w:t>
      </w:r>
      <w:r w:rsidR="004D445D">
        <w:rPr>
          <w:sz w:val="28"/>
          <w:szCs w:val="28"/>
        </w:rPr>
        <w:t xml:space="preserve">, </w:t>
      </w:r>
      <w:r w:rsidRPr="0095713B">
        <w:rPr>
          <w:sz w:val="28"/>
          <w:szCs w:val="28"/>
        </w:rPr>
        <w:t>soggetti</w:t>
      </w:r>
      <w:r w:rsidR="004D445D">
        <w:rPr>
          <w:sz w:val="28"/>
          <w:szCs w:val="28"/>
        </w:rPr>
        <w:t>, come noto,</w:t>
      </w:r>
      <w:r w:rsidRPr="0095713B">
        <w:rPr>
          <w:sz w:val="28"/>
          <w:szCs w:val="28"/>
        </w:rPr>
        <w:t xml:space="preserve"> al controllo da parte dell’AGCM.</w:t>
      </w:r>
      <w:r w:rsidR="002A33E8">
        <w:rPr>
          <w:sz w:val="28"/>
          <w:szCs w:val="28"/>
        </w:rPr>
        <w:t xml:space="preserve"> </w:t>
      </w:r>
    </w:p>
    <w:p w14:paraId="1DAA9441" w14:textId="501978D2" w:rsidR="00C07A30" w:rsidRDefault="004D445D" w:rsidP="00C07A30">
      <w:pPr>
        <w:pStyle w:val="NormaleWeb"/>
        <w:spacing w:before="0" w:beforeAutospacing="0" w:after="0" w:afterAutospacing="0"/>
        <w:jc w:val="both"/>
        <w:rPr>
          <w:sz w:val="28"/>
          <w:szCs w:val="28"/>
        </w:rPr>
      </w:pPr>
      <w:r>
        <w:rPr>
          <w:sz w:val="28"/>
          <w:szCs w:val="28"/>
        </w:rPr>
        <w:t>È un</w:t>
      </w:r>
      <w:r w:rsidR="0095713B" w:rsidRPr="0095713B">
        <w:rPr>
          <w:sz w:val="28"/>
          <w:szCs w:val="28"/>
        </w:rPr>
        <w:t xml:space="preserve"> profilo </w:t>
      </w:r>
      <w:r>
        <w:rPr>
          <w:sz w:val="28"/>
          <w:szCs w:val="28"/>
        </w:rPr>
        <w:t xml:space="preserve">molto </w:t>
      </w:r>
      <w:r w:rsidR="0095713B" w:rsidRPr="0095713B">
        <w:rPr>
          <w:sz w:val="28"/>
          <w:szCs w:val="28"/>
        </w:rPr>
        <w:t>innovativo</w:t>
      </w:r>
      <w:r w:rsidR="00C07A30">
        <w:rPr>
          <w:sz w:val="28"/>
          <w:szCs w:val="28"/>
        </w:rPr>
        <w:t xml:space="preserve">; si pensi al fatto che </w:t>
      </w:r>
      <w:r w:rsidR="0095713B" w:rsidRPr="0095713B">
        <w:rPr>
          <w:sz w:val="28"/>
          <w:szCs w:val="28"/>
        </w:rPr>
        <w:t xml:space="preserve">la SMAV prevede </w:t>
      </w:r>
      <w:r w:rsidR="00C07A30">
        <w:rPr>
          <w:sz w:val="28"/>
          <w:szCs w:val="28"/>
        </w:rPr>
        <w:t xml:space="preserve">anche </w:t>
      </w:r>
      <w:r w:rsidR="0095713B" w:rsidRPr="0095713B">
        <w:rPr>
          <w:sz w:val="28"/>
          <w:szCs w:val="28"/>
        </w:rPr>
        <w:t xml:space="preserve">l’introduzione di meccanismi di risoluzione extragiudiziale delle controversie e di </w:t>
      </w:r>
      <w:r w:rsidR="0095713B" w:rsidRPr="0095713B">
        <w:rPr>
          <w:sz w:val="28"/>
          <w:szCs w:val="28"/>
        </w:rPr>
        <w:lastRenderedPageBreak/>
        <w:t>indennizzo nel caso di disservizi a scapito dei consumatori, la cui definizione procedurale potrebbe ragionevolmente spettare proprio all’AGCOM.</w:t>
      </w:r>
    </w:p>
    <w:p w14:paraId="102503B2" w14:textId="77777777" w:rsidR="00C43662" w:rsidRDefault="00C07A30" w:rsidP="003F37A0">
      <w:pPr>
        <w:pStyle w:val="NormaleWeb"/>
        <w:spacing w:before="0" w:beforeAutospacing="0" w:after="0" w:afterAutospacing="0"/>
        <w:jc w:val="both"/>
        <w:rPr>
          <w:sz w:val="28"/>
          <w:szCs w:val="28"/>
        </w:rPr>
      </w:pPr>
      <w:r>
        <w:rPr>
          <w:sz w:val="28"/>
          <w:szCs w:val="28"/>
        </w:rPr>
        <w:t>Si pensi anche alle</w:t>
      </w:r>
      <w:r w:rsidR="0095713B" w:rsidRPr="0095713B">
        <w:rPr>
          <w:sz w:val="28"/>
          <w:szCs w:val="28"/>
        </w:rPr>
        <w:t xml:space="preserve"> proposte della Commissione europea per la regolamentazione dei mercati digitali</w:t>
      </w:r>
      <w:r>
        <w:rPr>
          <w:sz w:val="28"/>
          <w:szCs w:val="28"/>
        </w:rPr>
        <w:t>: e</w:t>
      </w:r>
      <w:r w:rsidR="003F37A0">
        <w:rPr>
          <w:sz w:val="28"/>
          <w:szCs w:val="28"/>
        </w:rPr>
        <w:t xml:space="preserve">sse </w:t>
      </w:r>
      <w:r w:rsidR="0095713B" w:rsidRPr="0095713B">
        <w:rPr>
          <w:sz w:val="28"/>
          <w:szCs w:val="28"/>
        </w:rPr>
        <w:t>andrebbero</w:t>
      </w:r>
      <w:r w:rsidR="003F37A0">
        <w:rPr>
          <w:sz w:val="28"/>
          <w:szCs w:val="28"/>
        </w:rPr>
        <w:t xml:space="preserve"> senza dubbio</w:t>
      </w:r>
      <w:r w:rsidR="0095713B" w:rsidRPr="0095713B">
        <w:rPr>
          <w:sz w:val="28"/>
          <w:szCs w:val="28"/>
        </w:rPr>
        <w:t xml:space="preserve"> ad incidere su</w:t>
      </w:r>
      <w:r w:rsidR="003F37A0">
        <w:rPr>
          <w:sz w:val="28"/>
          <w:szCs w:val="28"/>
        </w:rPr>
        <w:t>l</w:t>
      </w:r>
      <w:r w:rsidR="0095713B" w:rsidRPr="0095713B">
        <w:rPr>
          <w:sz w:val="28"/>
          <w:szCs w:val="28"/>
        </w:rPr>
        <w:t xml:space="preserve"> </w:t>
      </w:r>
      <w:r w:rsidR="003F37A0">
        <w:rPr>
          <w:sz w:val="28"/>
          <w:szCs w:val="28"/>
        </w:rPr>
        <w:t>profilo suddetto.</w:t>
      </w:r>
      <w:r w:rsidR="0095713B" w:rsidRPr="0095713B">
        <w:rPr>
          <w:sz w:val="28"/>
          <w:szCs w:val="28"/>
        </w:rPr>
        <w:t xml:space="preserve"> </w:t>
      </w:r>
    </w:p>
    <w:p w14:paraId="103976FC" w14:textId="77777777" w:rsidR="00C43662" w:rsidRDefault="003F37A0" w:rsidP="003F37A0">
      <w:pPr>
        <w:pStyle w:val="NormaleWeb"/>
        <w:spacing w:before="0" w:beforeAutospacing="0" w:after="0" w:afterAutospacing="0"/>
        <w:jc w:val="both"/>
        <w:rPr>
          <w:sz w:val="28"/>
          <w:szCs w:val="28"/>
        </w:rPr>
      </w:pPr>
      <w:r>
        <w:rPr>
          <w:sz w:val="28"/>
          <w:szCs w:val="28"/>
        </w:rPr>
        <w:t xml:space="preserve">Il </w:t>
      </w:r>
      <w:r w:rsidR="0095713B" w:rsidRPr="00C07A30">
        <w:rPr>
          <w:i/>
          <w:iCs/>
          <w:sz w:val="28"/>
          <w:szCs w:val="28"/>
        </w:rPr>
        <w:t xml:space="preserve">Digital Services </w:t>
      </w:r>
      <w:proofErr w:type="spellStart"/>
      <w:r w:rsidR="0095713B" w:rsidRPr="00C07A30">
        <w:rPr>
          <w:i/>
          <w:iCs/>
          <w:sz w:val="28"/>
          <w:szCs w:val="28"/>
        </w:rPr>
        <w:t>Act</w:t>
      </w:r>
      <w:proofErr w:type="spellEnd"/>
      <w:r>
        <w:rPr>
          <w:sz w:val="28"/>
          <w:szCs w:val="28"/>
        </w:rPr>
        <w:t xml:space="preserve"> </w:t>
      </w:r>
      <w:r w:rsidR="0095713B" w:rsidRPr="0095713B">
        <w:rPr>
          <w:sz w:val="28"/>
          <w:szCs w:val="28"/>
        </w:rPr>
        <w:t>interviene</w:t>
      </w:r>
      <w:r>
        <w:rPr>
          <w:sz w:val="28"/>
          <w:szCs w:val="28"/>
        </w:rPr>
        <w:t>, infatti,</w:t>
      </w:r>
      <w:r w:rsidR="0095713B" w:rsidRPr="0095713B">
        <w:rPr>
          <w:sz w:val="28"/>
          <w:szCs w:val="28"/>
        </w:rPr>
        <w:t xml:space="preserve"> sul regime di responsabilità delle piattaforme </w:t>
      </w:r>
      <w:r w:rsidR="0095713B" w:rsidRPr="003F37A0">
        <w:rPr>
          <w:i/>
          <w:iCs/>
          <w:sz w:val="28"/>
          <w:szCs w:val="28"/>
        </w:rPr>
        <w:t>online</w:t>
      </w:r>
      <w:r w:rsidR="0095713B" w:rsidRPr="0095713B">
        <w:rPr>
          <w:sz w:val="28"/>
          <w:szCs w:val="28"/>
        </w:rPr>
        <w:t xml:space="preserve">, qualificate come servizi di </w:t>
      </w:r>
      <w:r w:rsidR="0095713B" w:rsidRPr="003F37A0">
        <w:rPr>
          <w:i/>
          <w:iCs/>
          <w:sz w:val="28"/>
          <w:szCs w:val="28"/>
        </w:rPr>
        <w:t>hosting provider</w:t>
      </w:r>
      <w:r>
        <w:rPr>
          <w:sz w:val="28"/>
          <w:szCs w:val="28"/>
        </w:rPr>
        <w:t xml:space="preserve">, </w:t>
      </w:r>
      <w:r w:rsidR="0095713B" w:rsidRPr="0095713B">
        <w:rPr>
          <w:sz w:val="28"/>
          <w:szCs w:val="28"/>
        </w:rPr>
        <w:t xml:space="preserve">alle quali verrebbe applicato un sistema che ricalca quello previsto </w:t>
      </w:r>
      <w:r w:rsidRPr="0095713B">
        <w:rPr>
          <w:sz w:val="28"/>
          <w:szCs w:val="28"/>
        </w:rPr>
        <w:t xml:space="preserve">attualmente </w:t>
      </w:r>
      <w:r w:rsidR="0095713B" w:rsidRPr="0095713B">
        <w:rPr>
          <w:sz w:val="28"/>
          <w:szCs w:val="28"/>
        </w:rPr>
        <w:t xml:space="preserve">dall’art. 17 della Direttiva </w:t>
      </w:r>
      <w:r w:rsidR="0095713B" w:rsidRPr="003F37A0">
        <w:rPr>
          <w:i/>
          <w:iCs/>
          <w:sz w:val="28"/>
          <w:szCs w:val="28"/>
        </w:rPr>
        <w:t>e-commerce</w:t>
      </w:r>
      <w:r>
        <w:rPr>
          <w:sz w:val="28"/>
          <w:szCs w:val="28"/>
        </w:rPr>
        <w:t xml:space="preserve">. Si </w:t>
      </w:r>
      <w:r w:rsidR="0095713B" w:rsidRPr="0095713B">
        <w:rPr>
          <w:sz w:val="28"/>
          <w:szCs w:val="28"/>
        </w:rPr>
        <w:t>prevede l’individuazione di una o</w:t>
      </w:r>
      <w:r w:rsidR="00BB37C5">
        <w:rPr>
          <w:sz w:val="28"/>
          <w:szCs w:val="28"/>
        </w:rPr>
        <w:t xml:space="preserve"> </w:t>
      </w:r>
      <w:r w:rsidR="0095713B" w:rsidRPr="0095713B">
        <w:rPr>
          <w:sz w:val="28"/>
          <w:szCs w:val="28"/>
        </w:rPr>
        <w:t xml:space="preserve">più autorità competenti all’interno di ciascun Stato Membro, </w:t>
      </w:r>
      <w:r>
        <w:rPr>
          <w:sz w:val="28"/>
          <w:szCs w:val="28"/>
        </w:rPr>
        <w:t>che</w:t>
      </w:r>
      <w:r w:rsidR="0095713B" w:rsidRPr="0095713B">
        <w:rPr>
          <w:sz w:val="28"/>
          <w:szCs w:val="28"/>
        </w:rPr>
        <w:t xml:space="preserve"> </w:t>
      </w:r>
      <w:r>
        <w:rPr>
          <w:sz w:val="28"/>
          <w:szCs w:val="28"/>
        </w:rPr>
        <w:t>garantiscano</w:t>
      </w:r>
      <w:r w:rsidR="0095713B" w:rsidRPr="0095713B">
        <w:rPr>
          <w:sz w:val="28"/>
          <w:szCs w:val="28"/>
        </w:rPr>
        <w:t xml:space="preserve"> l’effettiva applicazione </w:t>
      </w:r>
      <w:r>
        <w:rPr>
          <w:sz w:val="28"/>
          <w:szCs w:val="28"/>
        </w:rPr>
        <w:t xml:space="preserve">della disciplina e svolgano </w:t>
      </w:r>
      <w:r w:rsidR="0095713B" w:rsidRPr="0095713B">
        <w:rPr>
          <w:sz w:val="28"/>
          <w:szCs w:val="28"/>
        </w:rPr>
        <w:t>attività di controll</w:t>
      </w:r>
      <w:r>
        <w:rPr>
          <w:sz w:val="28"/>
          <w:szCs w:val="28"/>
        </w:rPr>
        <w:t>o: ebbene, una</w:t>
      </w:r>
      <w:r w:rsidR="0095713B" w:rsidRPr="0095713B">
        <w:rPr>
          <w:sz w:val="28"/>
          <w:szCs w:val="28"/>
        </w:rPr>
        <w:t xml:space="preserve"> delle possibilità sarebbe quella di attribuire tali poteri proprio all’AGCOM.</w:t>
      </w:r>
      <w:r>
        <w:rPr>
          <w:sz w:val="28"/>
          <w:szCs w:val="28"/>
        </w:rPr>
        <w:t xml:space="preserve"> </w:t>
      </w:r>
    </w:p>
    <w:p w14:paraId="2631E448" w14:textId="0962A855" w:rsidR="00EE48FF" w:rsidRDefault="003F37A0" w:rsidP="00EE48FF">
      <w:pPr>
        <w:pStyle w:val="NormaleWeb"/>
        <w:spacing w:before="0" w:beforeAutospacing="0" w:after="0" w:afterAutospacing="0"/>
        <w:jc w:val="both"/>
        <w:rPr>
          <w:sz w:val="28"/>
          <w:szCs w:val="28"/>
        </w:rPr>
      </w:pPr>
      <w:r>
        <w:rPr>
          <w:sz w:val="28"/>
          <w:szCs w:val="28"/>
        </w:rPr>
        <w:t>Dal canto suo,</w:t>
      </w:r>
      <w:r w:rsidR="0095713B" w:rsidRPr="0095713B">
        <w:rPr>
          <w:sz w:val="28"/>
          <w:szCs w:val="28"/>
        </w:rPr>
        <w:t xml:space="preserve"> il </w:t>
      </w:r>
      <w:r w:rsidR="0095713B" w:rsidRPr="003F37A0">
        <w:rPr>
          <w:i/>
          <w:iCs/>
          <w:sz w:val="28"/>
          <w:szCs w:val="28"/>
        </w:rPr>
        <w:t xml:space="preserve">Digital </w:t>
      </w:r>
      <w:proofErr w:type="spellStart"/>
      <w:r w:rsidR="0095713B" w:rsidRPr="003F37A0">
        <w:rPr>
          <w:i/>
          <w:iCs/>
          <w:sz w:val="28"/>
          <w:szCs w:val="28"/>
        </w:rPr>
        <w:t>Market</w:t>
      </w:r>
      <w:r w:rsidR="009211B4">
        <w:rPr>
          <w:i/>
          <w:iCs/>
          <w:sz w:val="28"/>
          <w:szCs w:val="28"/>
        </w:rPr>
        <w:t>s</w:t>
      </w:r>
      <w:proofErr w:type="spellEnd"/>
      <w:r w:rsidR="0095713B" w:rsidRPr="003F37A0">
        <w:rPr>
          <w:i/>
          <w:iCs/>
          <w:sz w:val="28"/>
          <w:szCs w:val="28"/>
        </w:rPr>
        <w:t xml:space="preserve"> </w:t>
      </w:r>
      <w:proofErr w:type="spellStart"/>
      <w:r w:rsidR="0095713B" w:rsidRPr="003F37A0">
        <w:rPr>
          <w:i/>
          <w:iCs/>
          <w:sz w:val="28"/>
          <w:szCs w:val="28"/>
        </w:rPr>
        <w:t>Act</w:t>
      </w:r>
      <w:proofErr w:type="spellEnd"/>
      <w:r w:rsidRPr="003F37A0">
        <w:rPr>
          <w:sz w:val="28"/>
          <w:szCs w:val="28"/>
        </w:rPr>
        <w:t xml:space="preserve"> </w:t>
      </w:r>
      <w:r w:rsidRPr="0095713B">
        <w:rPr>
          <w:sz w:val="28"/>
          <w:szCs w:val="28"/>
        </w:rPr>
        <w:t>pone</w:t>
      </w:r>
      <w:r>
        <w:rPr>
          <w:sz w:val="28"/>
          <w:szCs w:val="28"/>
        </w:rPr>
        <w:t>, invece,</w:t>
      </w:r>
      <w:r w:rsidRPr="0095713B">
        <w:rPr>
          <w:sz w:val="28"/>
          <w:szCs w:val="28"/>
        </w:rPr>
        <w:t xml:space="preserve"> il tema della potenziale concorrenza dell’AGCOM e dell’AGCM quali Garanti per l’applicazione del Regolamento</w:t>
      </w:r>
      <w:r>
        <w:rPr>
          <w:sz w:val="28"/>
          <w:szCs w:val="28"/>
        </w:rPr>
        <w:t xml:space="preserve">, dato che si includono </w:t>
      </w:r>
      <w:r w:rsidRPr="0095713B">
        <w:rPr>
          <w:sz w:val="28"/>
          <w:szCs w:val="28"/>
        </w:rPr>
        <w:t>anche le piattaforme video</w:t>
      </w:r>
      <w:r>
        <w:rPr>
          <w:sz w:val="28"/>
          <w:szCs w:val="28"/>
        </w:rPr>
        <w:t xml:space="preserve"> </w:t>
      </w:r>
      <w:r w:rsidR="0095713B" w:rsidRPr="0095713B">
        <w:rPr>
          <w:sz w:val="28"/>
          <w:szCs w:val="28"/>
        </w:rPr>
        <w:t>fra i soggetti potenzialmente qualificabili come “</w:t>
      </w:r>
      <w:proofErr w:type="spellStart"/>
      <w:r w:rsidR="0095713B" w:rsidRPr="002F5EFF">
        <w:rPr>
          <w:i/>
          <w:iCs/>
          <w:sz w:val="28"/>
          <w:szCs w:val="28"/>
        </w:rPr>
        <w:t>gatekeeper</w:t>
      </w:r>
      <w:proofErr w:type="spellEnd"/>
      <w:r w:rsidR="0095713B" w:rsidRPr="0095713B">
        <w:rPr>
          <w:sz w:val="28"/>
          <w:szCs w:val="28"/>
        </w:rPr>
        <w:t xml:space="preserve">” (ossia le piattaforme </w:t>
      </w:r>
      <w:r w:rsidR="0095713B" w:rsidRPr="003F37A0">
        <w:rPr>
          <w:i/>
          <w:iCs/>
          <w:sz w:val="28"/>
          <w:szCs w:val="28"/>
        </w:rPr>
        <w:t>online</w:t>
      </w:r>
      <w:r w:rsidR="0095713B" w:rsidRPr="0095713B">
        <w:rPr>
          <w:sz w:val="28"/>
          <w:szCs w:val="28"/>
        </w:rPr>
        <w:t xml:space="preserve"> che controllano gli accessi ai mercati)</w:t>
      </w:r>
      <w:r>
        <w:rPr>
          <w:sz w:val="28"/>
          <w:szCs w:val="28"/>
        </w:rPr>
        <w:t xml:space="preserve"> </w:t>
      </w:r>
      <w:r w:rsidR="0095713B" w:rsidRPr="0095713B">
        <w:rPr>
          <w:sz w:val="28"/>
          <w:szCs w:val="28"/>
        </w:rPr>
        <w:t>e quindi destinatari della disciplina ivi prevista</w:t>
      </w:r>
      <w:r>
        <w:rPr>
          <w:sz w:val="28"/>
          <w:szCs w:val="28"/>
        </w:rPr>
        <w:t>.</w:t>
      </w:r>
    </w:p>
    <w:p w14:paraId="28E0707D" w14:textId="77777777" w:rsidR="00B33AE4" w:rsidRDefault="00B33AE4" w:rsidP="00EE48FF">
      <w:pPr>
        <w:pStyle w:val="NormaleWeb"/>
        <w:spacing w:before="0" w:beforeAutospacing="0" w:after="0" w:afterAutospacing="0"/>
        <w:jc w:val="both"/>
        <w:rPr>
          <w:sz w:val="28"/>
          <w:szCs w:val="28"/>
        </w:rPr>
      </w:pPr>
    </w:p>
    <w:p w14:paraId="7663460B" w14:textId="09D75DB0" w:rsidR="00C07A30" w:rsidRPr="00EE48FF" w:rsidRDefault="00EA6845" w:rsidP="00EE48FF">
      <w:pPr>
        <w:pStyle w:val="NormaleWeb"/>
        <w:spacing w:before="0" w:beforeAutospacing="0" w:after="0" w:afterAutospacing="0"/>
        <w:jc w:val="both"/>
        <w:rPr>
          <w:sz w:val="28"/>
          <w:szCs w:val="28"/>
        </w:rPr>
      </w:pPr>
      <w:r>
        <w:rPr>
          <w:sz w:val="28"/>
          <w:szCs w:val="28"/>
        </w:rPr>
        <w:t>Oltre al profilo della pubblicità occulta, c’è un altro ambito in cui viene in rilievo l</w:t>
      </w:r>
      <w:r w:rsidR="0095713B" w:rsidRPr="0095713B">
        <w:rPr>
          <w:sz w:val="28"/>
          <w:szCs w:val="28"/>
        </w:rPr>
        <w:t xml:space="preserve">’attività degli </w:t>
      </w:r>
      <w:proofErr w:type="spellStart"/>
      <w:r w:rsidR="0095713B" w:rsidRPr="00EA6845">
        <w:rPr>
          <w:i/>
          <w:iCs/>
          <w:sz w:val="28"/>
          <w:szCs w:val="28"/>
        </w:rPr>
        <w:t>influencer</w:t>
      </w:r>
      <w:proofErr w:type="spellEnd"/>
      <w:r>
        <w:rPr>
          <w:sz w:val="28"/>
          <w:szCs w:val="28"/>
        </w:rPr>
        <w:t xml:space="preserve">, </w:t>
      </w:r>
      <w:r w:rsidR="0095713B" w:rsidRPr="0095713B">
        <w:rPr>
          <w:sz w:val="28"/>
          <w:szCs w:val="28"/>
        </w:rPr>
        <w:t xml:space="preserve">ossia </w:t>
      </w:r>
      <w:r>
        <w:rPr>
          <w:sz w:val="28"/>
          <w:szCs w:val="28"/>
        </w:rPr>
        <w:t>quello legato all</w:t>
      </w:r>
      <w:r w:rsidR="0095713B" w:rsidRPr="0095713B">
        <w:rPr>
          <w:sz w:val="28"/>
          <w:szCs w:val="28"/>
        </w:rPr>
        <w:t>’utilizzo dei marchi e alla</w:t>
      </w:r>
      <w:r w:rsidR="00BB37C5">
        <w:rPr>
          <w:sz w:val="28"/>
          <w:szCs w:val="28"/>
        </w:rPr>
        <w:t xml:space="preserve"> </w:t>
      </w:r>
      <w:r w:rsidR="0095713B" w:rsidRPr="0095713B">
        <w:rPr>
          <w:sz w:val="28"/>
          <w:szCs w:val="28"/>
        </w:rPr>
        <w:t>tutela dei diritti di soggetti terzi.</w:t>
      </w:r>
    </w:p>
    <w:p w14:paraId="2BDE6926" w14:textId="77777777" w:rsidR="00C43662" w:rsidRDefault="00EA6845" w:rsidP="00C07A30">
      <w:pPr>
        <w:pStyle w:val="NormaleWeb"/>
        <w:spacing w:before="0" w:beforeAutospacing="0" w:after="0" w:afterAutospacing="0"/>
        <w:jc w:val="both"/>
        <w:rPr>
          <w:sz w:val="28"/>
          <w:szCs w:val="28"/>
        </w:rPr>
      </w:pPr>
      <w:r>
        <w:rPr>
          <w:sz w:val="28"/>
          <w:szCs w:val="28"/>
        </w:rPr>
        <w:t xml:space="preserve">Si pensi, anzitutto, alla possibilità che </w:t>
      </w:r>
      <w:r w:rsidR="0095713B" w:rsidRPr="0095713B">
        <w:rPr>
          <w:sz w:val="28"/>
          <w:szCs w:val="28"/>
        </w:rPr>
        <w:t>la promozione dei prodotti mediante l’</w:t>
      </w:r>
      <w:proofErr w:type="spellStart"/>
      <w:r w:rsidR="0095713B" w:rsidRPr="00EA6845">
        <w:rPr>
          <w:i/>
          <w:iCs/>
          <w:sz w:val="28"/>
          <w:szCs w:val="28"/>
        </w:rPr>
        <w:t>influencer</w:t>
      </w:r>
      <w:proofErr w:type="spellEnd"/>
      <w:r w:rsidR="0095713B" w:rsidRPr="00EA6845">
        <w:rPr>
          <w:i/>
          <w:iCs/>
          <w:sz w:val="28"/>
          <w:szCs w:val="28"/>
        </w:rPr>
        <w:t xml:space="preserve"> marketing</w:t>
      </w:r>
      <w:r w:rsidRPr="00EA6845">
        <w:rPr>
          <w:i/>
          <w:iCs/>
          <w:sz w:val="28"/>
          <w:szCs w:val="28"/>
        </w:rPr>
        <w:t xml:space="preserve"> </w:t>
      </w:r>
      <w:r>
        <w:rPr>
          <w:sz w:val="28"/>
          <w:szCs w:val="28"/>
        </w:rPr>
        <w:t>contrasti</w:t>
      </w:r>
      <w:r w:rsidR="0095713B" w:rsidRPr="0095713B">
        <w:rPr>
          <w:sz w:val="28"/>
          <w:szCs w:val="28"/>
        </w:rPr>
        <w:t xml:space="preserve"> con il rispetto della disciplina </w:t>
      </w:r>
      <w:r>
        <w:rPr>
          <w:sz w:val="28"/>
          <w:szCs w:val="28"/>
        </w:rPr>
        <w:t>sulla tutela dei dati personali</w:t>
      </w:r>
      <w:r w:rsidR="0095713B" w:rsidRPr="0095713B">
        <w:rPr>
          <w:sz w:val="28"/>
          <w:szCs w:val="28"/>
        </w:rPr>
        <w:t xml:space="preserve">, dal momento che l’immagine di una persona, tale da consentirne l’identificazione, </w:t>
      </w:r>
      <w:r>
        <w:rPr>
          <w:sz w:val="28"/>
          <w:szCs w:val="28"/>
        </w:rPr>
        <w:t xml:space="preserve">viene considerata un </w:t>
      </w:r>
      <w:r w:rsidR="0095713B" w:rsidRPr="0095713B">
        <w:rPr>
          <w:sz w:val="28"/>
          <w:szCs w:val="28"/>
        </w:rPr>
        <w:t xml:space="preserve">dato personale e, </w:t>
      </w:r>
      <w:r>
        <w:rPr>
          <w:sz w:val="28"/>
          <w:szCs w:val="28"/>
        </w:rPr>
        <w:t>perciò</w:t>
      </w:r>
      <w:r w:rsidR="0095713B" w:rsidRPr="0095713B">
        <w:rPr>
          <w:sz w:val="28"/>
          <w:szCs w:val="28"/>
        </w:rPr>
        <w:t xml:space="preserve">, non </w:t>
      </w:r>
      <w:r>
        <w:rPr>
          <w:sz w:val="28"/>
          <w:szCs w:val="28"/>
        </w:rPr>
        <w:t>è ammissibile la sua</w:t>
      </w:r>
      <w:r w:rsidR="0095713B" w:rsidRPr="0095713B">
        <w:rPr>
          <w:sz w:val="28"/>
          <w:szCs w:val="28"/>
        </w:rPr>
        <w:t xml:space="preserve"> divulgazione se</w:t>
      </w:r>
      <w:r>
        <w:rPr>
          <w:sz w:val="28"/>
          <w:szCs w:val="28"/>
        </w:rPr>
        <w:t>nza il</w:t>
      </w:r>
      <w:r w:rsidR="0095713B" w:rsidRPr="0095713B">
        <w:rPr>
          <w:sz w:val="28"/>
          <w:szCs w:val="28"/>
        </w:rPr>
        <w:t xml:space="preserve"> consenso da parte dell’interessato. </w:t>
      </w:r>
    </w:p>
    <w:p w14:paraId="2AEC1B2C" w14:textId="77777777" w:rsidR="00C43662" w:rsidRDefault="00EA6845" w:rsidP="00C07A30">
      <w:pPr>
        <w:pStyle w:val="NormaleWeb"/>
        <w:spacing w:before="0" w:beforeAutospacing="0" w:after="0" w:afterAutospacing="0"/>
        <w:jc w:val="both"/>
        <w:rPr>
          <w:sz w:val="28"/>
          <w:szCs w:val="28"/>
        </w:rPr>
      </w:pPr>
      <w:r>
        <w:rPr>
          <w:sz w:val="28"/>
          <w:szCs w:val="28"/>
        </w:rPr>
        <w:t xml:space="preserve">È lecito affermare, dunque, che </w:t>
      </w:r>
      <w:r w:rsidRPr="0095713B">
        <w:rPr>
          <w:sz w:val="28"/>
          <w:szCs w:val="28"/>
        </w:rPr>
        <w:t>l’utilizzo</w:t>
      </w:r>
      <w:r>
        <w:rPr>
          <w:sz w:val="28"/>
          <w:szCs w:val="28"/>
        </w:rPr>
        <w:t xml:space="preserve"> di un’immagine di </w:t>
      </w:r>
      <w:r w:rsidR="0095713B" w:rsidRPr="0095713B">
        <w:rPr>
          <w:sz w:val="28"/>
          <w:szCs w:val="28"/>
        </w:rPr>
        <w:t xml:space="preserve">un </w:t>
      </w:r>
      <w:proofErr w:type="spellStart"/>
      <w:r w:rsidR="0095713B" w:rsidRPr="00EA6845">
        <w:rPr>
          <w:i/>
          <w:iCs/>
          <w:sz w:val="28"/>
          <w:szCs w:val="28"/>
        </w:rPr>
        <w:t>influencer</w:t>
      </w:r>
      <w:proofErr w:type="spellEnd"/>
      <w:r w:rsidR="0095713B" w:rsidRPr="0095713B">
        <w:rPr>
          <w:sz w:val="28"/>
          <w:szCs w:val="28"/>
        </w:rPr>
        <w:t xml:space="preserve"> a fini promozionali, </w:t>
      </w:r>
      <w:r>
        <w:rPr>
          <w:sz w:val="28"/>
          <w:szCs w:val="28"/>
        </w:rPr>
        <w:t xml:space="preserve">se manca </w:t>
      </w:r>
      <w:r w:rsidR="0095713B" w:rsidRPr="0095713B">
        <w:rPr>
          <w:sz w:val="28"/>
          <w:szCs w:val="28"/>
        </w:rPr>
        <w:t xml:space="preserve">uno specifico accordo in tal senso, può </w:t>
      </w:r>
      <w:r>
        <w:rPr>
          <w:sz w:val="28"/>
          <w:szCs w:val="28"/>
        </w:rPr>
        <w:t>integrare gli estremi di una</w:t>
      </w:r>
      <w:r w:rsidR="0095713B" w:rsidRPr="0095713B">
        <w:rPr>
          <w:sz w:val="28"/>
          <w:szCs w:val="28"/>
        </w:rPr>
        <w:t xml:space="preserve"> violazione della suddetta disciplina.</w:t>
      </w:r>
      <w:r w:rsidR="000779B0">
        <w:rPr>
          <w:sz w:val="28"/>
          <w:szCs w:val="28"/>
        </w:rPr>
        <w:t xml:space="preserve"> </w:t>
      </w:r>
    </w:p>
    <w:p w14:paraId="4AFFB840" w14:textId="0E749E5D" w:rsidR="0095713B" w:rsidRPr="0095713B" w:rsidRDefault="00EA6845" w:rsidP="00C07A30">
      <w:pPr>
        <w:pStyle w:val="NormaleWeb"/>
        <w:spacing w:before="0" w:beforeAutospacing="0" w:after="0" w:afterAutospacing="0"/>
        <w:jc w:val="both"/>
        <w:rPr>
          <w:sz w:val="28"/>
          <w:szCs w:val="28"/>
        </w:rPr>
      </w:pPr>
      <w:r>
        <w:rPr>
          <w:sz w:val="28"/>
          <w:szCs w:val="28"/>
        </w:rPr>
        <w:t>Si deve anche avere riguardo della</w:t>
      </w:r>
      <w:r w:rsidR="0095713B" w:rsidRPr="0095713B">
        <w:rPr>
          <w:sz w:val="28"/>
          <w:szCs w:val="28"/>
        </w:rPr>
        <w:t xml:space="preserve"> necessità di tutelare i diritti di paternità dell’opera e di natura patrimonial</w:t>
      </w:r>
      <w:r>
        <w:rPr>
          <w:sz w:val="28"/>
          <w:szCs w:val="28"/>
        </w:rPr>
        <w:t xml:space="preserve">e </w:t>
      </w:r>
      <w:r w:rsidR="0095713B" w:rsidRPr="0095713B">
        <w:rPr>
          <w:sz w:val="28"/>
          <w:szCs w:val="28"/>
        </w:rPr>
        <w:t>attribuibili al</w:t>
      </w:r>
      <w:r w:rsidR="00BB37C5">
        <w:rPr>
          <w:sz w:val="28"/>
          <w:szCs w:val="28"/>
        </w:rPr>
        <w:t xml:space="preserve"> </w:t>
      </w:r>
      <w:r w:rsidR="0095713B" w:rsidRPr="0095713B">
        <w:rPr>
          <w:sz w:val="28"/>
          <w:szCs w:val="28"/>
        </w:rPr>
        <w:t>fotografo che ha realizzato l’immagine.</w:t>
      </w:r>
    </w:p>
    <w:p w14:paraId="4F4C57C6" w14:textId="70C6008B" w:rsidR="0095713B" w:rsidRDefault="000779B0" w:rsidP="00C07A30">
      <w:pPr>
        <w:pStyle w:val="NormaleWeb"/>
        <w:spacing w:before="0" w:beforeAutospacing="0" w:after="0" w:afterAutospacing="0"/>
        <w:jc w:val="both"/>
        <w:rPr>
          <w:sz w:val="28"/>
          <w:szCs w:val="28"/>
        </w:rPr>
      </w:pPr>
      <w:r>
        <w:rPr>
          <w:sz w:val="28"/>
          <w:szCs w:val="28"/>
        </w:rPr>
        <w:t xml:space="preserve">Si devono considerare, inoltre, le </w:t>
      </w:r>
      <w:r w:rsidR="0095713B" w:rsidRPr="0095713B">
        <w:rPr>
          <w:sz w:val="28"/>
          <w:szCs w:val="28"/>
        </w:rPr>
        <w:t>ipotesi nelle quali l’immagi</w:t>
      </w:r>
      <w:r>
        <w:rPr>
          <w:sz w:val="28"/>
          <w:szCs w:val="28"/>
        </w:rPr>
        <w:t>ne, che</w:t>
      </w:r>
      <w:r w:rsidR="0095713B" w:rsidRPr="0095713B">
        <w:rPr>
          <w:sz w:val="28"/>
          <w:szCs w:val="28"/>
        </w:rPr>
        <w:t xml:space="preserve"> </w:t>
      </w:r>
      <w:r>
        <w:rPr>
          <w:sz w:val="28"/>
          <w:szCs w:val="28"/>
        </w:rPr>
        <w:t xml:space="preserve">si usa per </w:t>
      </w:r>
      <w:r w:rsidR="0095713B" w:rsidRPr="0095713B">
        <w:rPr>
          <w:sz w:val="28"/>
          <w:szCs w:val="28"/>
        </w:rPr>
        <w:t>sponsorizzare un</w:t>
      </w:r>
      <w:r>
        <w:rPr>
          <w:sz w:val="28"/>
          <w:szCs w:val="28"/>
        </w:rPr>
        <w:t xml:space="preserve"> dato</w:t>
      </w:r>
      <w:r w:rsidR="0095713B" w:rsidRPr="0095713B">
        <w:rPr>
          <w:sz w:val="28"/>
          <w:szCs w:val="28"/>
        </w:rPr>
        <w:t xml:space="preserve"> prodotto</w:t>
      </w:r>
      <w:r>
        <w:rPr>
          <w:sz w:val="28"/>
          <w:szCs w:val="28"/>
        </w:rPr>
        <w:t>,</w:t>
      </w:r>
      <w:r w:rsidR="0095713B" w:rsidRPr="0095713B">
        <w:rPr>
          <w:sz w:val="28"/>
          <w:szCs w:val="28"/>
        </w:rPr>
        <w:t xml:space="preserve"> </w:t>
      </w:r>
      <w:r>
        <w:rPr>
          <w:sz w:val="28"/>
          <w:szCs w:val="28"/>
        </w:rPr>
        <w:t>presenti anche</w:t>
      </w:r>
      <w:r w:rsidR="0095713B" w:rsidRPr="0095713B">
        <w:rPr>
          <w:sz w:val="28"/>
          <w:szCs w:val="28"/>
        </w:rPr>
        <w:t xml:space="preserve"> marchi ulteriori</w:t>
      </w:r>
      <w:r>
        <w:rPr>
          <w:sz w:val="28"/>
          <w:szCs w:val="28"/>
        </w:rPr>
        <w:t>; in tale circostanza</w:t>
      </w:r>
      <w:r w:rsidR="0095713B" w:rsidRPr="0095713B">
        <w:rPr>
          <w:sz w:val="28"/>
          <w:szCs w:val="28"/>
        </w:rPr>
        <w:t xml:space="preserve"> la condotta può </w:t>
      </w:r>
      <w:r>
        <w:rPr>
          <w:sz w:val="28"/>
          <w:szCs w:val="28"/>
        </w:rPr>
        <w:t>portare ad</w:t>
      </w:r>
      <w:r w:rsidR="0095713B" w:rsidRPr="0095713B">
        <w:rPr>
          <w:sz w:val="28"/>
          <w:szCs w:val="28"/>
        </w:rPr>
        <w:t xml:space="preserve"> una violazione dei diritti di esclusiva</w:t>
      </w:r>
      <w:r>
        <w:rPr>
          <w:sz w:val="28"/>
          <w:szCs w:val="28"/>
        </w:rPr>
        <w:t>, che sono</w:t>
      </w:r>
      <w:r w:rsidR="0095713B" w:rsidRPr="0095713B">
        <w:rPr>
          <w:sz w:val="28"/>
          <w:szCs w:val="28"/>
        </w:rPr>
        <w:t xml:space="preserve"> riservati al titolare del marchio, </w:t>
      </w:r>
      <w:r>
        <w:rPr>
          <w:sz w:val="28"/>
          <w:szCs w:val="28"/>
        </w:rPr>
        <w:t>potendo anche integrare</w:t>
      </w:r>
      <w:r w:rsidR="0095713B" w:rsidRPr="0095713B">
        <w:rPr>
          <w:sz w:val="28"/>
          <w:szCs w:val="28"/>
        </w:rPr>
        <w:t xml:space="preserve"> la fattispecie di concorrenza sleale.</w:t>
      </w:r>
    </w:p>
    <w:p w14:paraId="770FC1AA" w14:textId="77777777" w:rsidR="002542DE" w:rsidRPr="0095713B" w:rsidRDefault="002542DE" w:rsidP="00C07A30">
      <w:pPr>
        <w:pStyle w:val="NormaleWeb"/>
        <w:spacing w:before="0" w:beforeAutospacing="0" w:after="0" w:afterAutospacing="0"/>
        <w:jc w:val="both"/>
        <w:rPr>
          <w:sz w:val="28"/>
          <w:szCs w:val="28"/>
        </w:rPr>
      </w:pPr>
    </w:p>
    <w:p w14:paraId="33318CBB" w14:textId="3EDB221A" w:rsidR="002542DE" w:rsidRDefault="000779B0" w:rsidP="002542DE">
      <w:pPr>
        <w:pStyle w:val="NormaleWeb"/>
        <w:spacing w:before="0" w:beforeAutospacing="0" w:after="0" w:afterAutospacing="0"/>
        <w:jc w:val="both"/>
        <w:rPr>
          <w:sz w:val="28"/>
          <w:szCs w:val="28"/>
        </w:rPr>
      </w:pPr>
      <w:r>
        <w:rPr>
          <w:sz w:val="28"/>
          <w:szCs w:val="28"/>
        </w:rPr>
        <w:t xml:space="preserve">Un esempio di violazione della normativa che tutela il marchio da parte di attività di </w:t>
      </w:r>
      <w:proofErr w:type="spellStart"/>
      <w:r w:rsidRPr="002542DE">
        <w:rPr>
          <w:i/>
          <w:iCs/>
          <w:sz w:val="28"/>
          <w:szCs w:val="28"/>
        </w:rPr>
        <w:t>influencer</w:t>
      </w:r>
      <w:proofErr w:type="spellEnd"/>
      <w:r w:rsidRPr="002542DE">
        <w:rPr>
          <w:i/>
          <w:iCs/>
          <w:sz w:val="28"/>
          <w:szCs w:val="28"/>
        </w:rPr>
        <w:t xml:space="preserve"> marketing</w:t>
      </w:r>
      <w:r>
        <w:rPr>
          <w:sz w:val="28"/>
          <w:szCs w:val="28"/>
        </w:rPr>
        <w:t xml:space="preserve"> è il caso deciso dal</w:t>
      </w:r>
      <w:r w:rsidR="0095713B" w:rsidRPr="000779B0">
        <w:rPr>
          <w:sz w:val="28"/>
          <w:szCs w:val="28"/>
        </w:rPr>
        <w:t xml:space="preserve"> Trib</w:t>
      </w:r>
      <w:r>
        <w:rPr>
          <w:sz w:val="28"/>
          <w:szCs w:val="28"/>
        </w:rPr>
        <w:t>unale</w:t>
      </w:r>
      <w:r w:rsidR="0095713B" w:rsidRPr="000779B0">
        <w:rPr>
          <w:sz w:val="28"/>
          <w:szCs w:val="28"/>
        </w:rPr>
        <w:t xml:space="preserve"> </w:t>
      </w:r>
      <w:r w:rsidR="002542DE">
        <w:rPr>
          <w:sz w:val="28"/>
          <w:szCs w:val="28"/>
        </w:rPr>
        <w:t>d</w:t>
      </w:r>
      <w:r w:rsidR="0095713B" w:rsidRPr="000779B0">
        <w:rPr>
          <w:sz w:val="28"/>
          <w:szCs w:val="28"/>
        </w:rPr>
        <w:t xml:space="preserve">i Genova </w:t>
      </w:r>
      <w:r w:rsidR="002542DE">
        <w:rPr>
          <w:sz w:val="28"/>
          <w:szCs w:val="28"/>
        </w:rPr>
        <w:t xml:space="preserve">che, con l’ordinanza </w:t>
      </w:r>
      <w:r w:rsidR="0095713B" w:rsidRPr="000779B0">
        <w:rPr>
          <w:sz w:val="28"/>
          <w:szCs w:val="28"/>
        </w:rPr>
        <w:t>n. 15949</w:t>
      </w:r>
      <w:r w:rsidR="002542DE">
        <w:rPr>
          <w:sz w:val="28"/>
          <w:szCs w:val="28"/>
        </w:rPr>
        <w:t>/</w:t>
      </w:r>
      <w:r w:rsidR="0095713B" w:rsidRPr="000779B0">
        <w:rPr>
          <w:sz w:val="28"/>
          <w:szCs w:val="28"/>
        </w:rPr>
        <w:t>2020</w:t>
      </w:r>
      <w:r w:rsidR="00BB37C5" w:rsidRPr="000779B0">
        <w:rPr>
          <w:rStyle w:val="Rimandonotaapidipagina"/>
          <w:sz w:val="28"/>
          <w:szCs w:val="28"/>
        </w:rPr>
        <w:footnoteReference w:id="193"/>
      </w:r>
      <w:r w:rsidR="002542DE">
        <w:rPr>
          <w:sz w:val="28"/>
          <w:szCs w:val="28"/>
        </w:rPr>
        <w:t>,</w:t>
      </w:r>
      <w:r w:rsidR="00BB37C5" w:rsidRPr="000779B0">
        <w:rPr>
          <w:sz w:val="28"/>
          <w:szCs w:val="28"/>
        </w:rPr>
        <w:t xml:space="preserve"> </w:t>
      </w:r>
      <w:r w:rsidR="0095713B" w:rsidRPr="000779B0">
        <w:rPr>
          <w:sz w:val="28"/>
          <w:szCs w:val="28"/>
        </w:rPr>
        <w:t>ha applicato per la prima volta l’art. 20,</w:t>
      </w:r>
      <w:r w:rsidR="00BB37C5" w:rsidRPr="000779B0">
        <w:rPr>
          <w:sz w:val="28"/>
          <w:szCs w:val="28"/>
        </w:rPr>
        <w:t xml:space="preserve"> </w:t>
      </w:r>
      <w:r w:rsidR="0095713B" w:rsidRPr="000779B0">
        <w:rPr>
          <w:sz w:val="28"/>
          <w:szCs w:val="28"/>
        </w:rPr>
        <w:t xml:space="preserve">comma 1, </w:t>
      </w:r>
      <w:proofErr w:type="spellStart"/>
      <w:r w:rsidR="0095713B" w:rsidRPr="000779B0">
        <w:rPr>
          <w:sz w:val="28"/>
          <w:szCs w:val="28"/>
        </w:rPr>
        <w:t>lett</w:t>
      </w:r>
      <w:proofErr w:type="spellEnd"/>
      <w:r w:rsidR="0095713B" w:rsidRPr="000779B0">
        <w:rPr>
          <w:sz w:val="28"/>
          <w:szCs w:val="28"/>
        </w:rPr>
        <w:t>. c</w:t>
      </w:r>
      <w:r w:rsidR="00C43662">
        <w:rPr>
          <w:sz w:val="28"/>
          <w:szCs w:val="28"/>
        </w:rPr>
        <w:t>)</w:t>
      </w:r>
      <w:r w:rsidR="0095713B" w:rsidRPr="000779B0">
        <w:rPr>
          <w:sz w:val="28"/>
          <w:szCs w:val="28"/>
        </w:rPr>
        <w:t xml:space="preserve"> </w:t>
      </w:r>
      <w:r w:rsidR="002542DE">
        <w:rPr>
          <w:sz w:val="28"/>
          <w:szCs w:val="28"/>
        </w:rPr>
        <w:t xml:space="preserve">del </w:t>
      </w:r>
      <w:r w:rsidR="002542DE" w:rsidRPr="000779B0">
        <w:rPr>
          <w:sz w:val="28"/>
          <w:szCs w:val="28"/>
        </w:rPr>
        <w:t>C</w:t>
      </w:r>
      <w:r w:rsidR="002542DE">
        <w:rPr>
          <w:sz w:val="28"/>
          <w:szCs w:val="28"/>
        </w:rPr>
        <w:t xml:space="preserve">odice della </w:t>
      </w:r>
      <w:r w:rsidR="0095713B" w:rsidRPr="000779B0">
        <w:rPr>
          <w:sz w:val="28"/>
          <w:szCs w:val="28"/>
        </w:rPr>
        <w:t>P</w:t>
      </w:r>
      <w:r w:rsidR="002542DE">
        <w:rPr>
          <w:sz w:val="28"/>
          <w:szCs w:val="28"/>
        </w:rPr>
        <w:t xml:space="preserve">roprietà </w:t>
      </w:r>
      <w:r w:rsidR="002542DE" w:rsidRPr="000779B0">
        <w:rPr>
          <w:sz w:val="28"/>
          <w:szCs w:val="28"/>
        </w:rPr>
        <w:t>I</w:t>
      </w:r>
      <w:r w:rsidR="002542DE">
        <w:rPr>
          <w:sz w:val="28"/>
          <w:szCs w:val="28"/>
        </w:rPr>
        <w:t>ndustriale</w:t>
      </w:r>
      <w:r w:rsidR="0095713B" w:rsidRPr="000779B0">
        <w:rPr>
          <w:sz w:val="28"/>
          <w:szCs w:val="28"/>
        </w:rPr>
        <w:t xml:space="preserve"> allo specifico contesto dei </w:t>
      </w:r>
      <w:r w:rsidR="0095713B" w:rsidRPr="002542DE">
        <w:rPr>
          <w:i/>
          <w:iCs/>
          <w:sz w:val="28"/>
          <w:szCs w:val="28"/>
        </w:rPr>
        <w:t>social network</w:t>
      </w:r>
      <w:r w:rsidR="0095713B" w:rsidRPr="000779B0">
        <w:rPr>
          <w:sz w:val="28"/>
          <w:szCs w:val="28"/>
        </w:rPr>
        <w:t>.</w:t>
      </w:r>
    </w:p>
    <w:p w14:paraId="542708CA" w14:textId="22E8E405" w:rsidR="0095713B" w:rsidRPr="0095713B" w:rsidRDefault="00B44128" w:rsidP="002542DE">
      <w:pPr>
        <w:pStyle w:val="NormaleWeb"/>
        <w:spacing w:before="0" w:beforeAutospacing="0" w:after="0" w:afterAutospacing="0"/>
        <w:jc w:val="both"/>
        <w:rPr>
          <w:sz w:val="28"/>
          <w:szCs w:val="28"/>
        </w:rPr>
      </w:pPr>
      <w:r>
        <w:rPr>
          <w:sz w:val="28"/>
          <w:szCs w:val="28"/>
        </w:rPr>
        <w:lastRenderedPageBreak/>
        <w:t>Si tratta di un caso in cui a venire in rilievo è stato un marchio notorio, e dunque l</w:t>
      </w:r>
      <w:r w:rsidR="0095713B" w:rsidRPr="0095713B">
        <w:rPr>
          <w:sz w:val="28"/>
          <w:szCs w:val="28"/>
        </w:rPr>
        <w:t>’articolo</w:t>
      </w:r>
      <w:r>
        <w:rPr>
          <w:sz w:val="28"/>
          <w:szCs w:val="28"/>
        </w:rPr>
        <w:t>, in questi casi,</w:t>
      </w:r>
      <w:r w:rsidR="0095713B" w:rsidRPr="0095713B">
        <w:rPr>
          <w:sz w:val="28"/>
          <w:szCs w:val="28"/>
        </w:rPr>
        <w:t xml:space="preserve"> prevede che l’utilizzo di </w:t>
      </w:r>
      <w:r>
        <w:rPr>
          <w:sz w:val="28"/>
          <w:szCs w:val="28"/>
        </w:rPr>
        <w:t>tale marchio</w:t>
      </w:r>
      <w:r w:rsidR="0095713B" w:rsidRPr="0095713B">
        <w:rPr>
          <w:sz w:val="28"/>
          <w:szCs w:val="28"/>
        </w:rPr>
        <w:t xml:space="preserve"> è illecito</w:t>
      </w:r>
      <w:r>
        <w:rPr>
          <w:sz w:val="28"/>
          <w:szCs w:val="28"/>
        </w:rPr>
        <w:t>,</w:t>
      </w:r>
      <w:r w:rsidR="0095713B" w:rsidRPr="0095713B">
        <w:rPr>
          <w:sz w:val="28"/>
          <w:szCs w:val="28"/>
        </w:rPr>
        <w:t xml:space="preserve"> anche per fini diversi da quello di </w:t>
      </w:r>
      <w:r>
        <w:rPr>
          <w:sz w:val="28"/>
          <w:szCs w:val="28"/>
        </w:rPr>
        <w:t>distinzione di</w:t>
      </w:r>
      <w:r w:rsidR="0095713B" w:rsidRPr="0095713B">
        <w:rPr>
          <w:sz w:val="28"/>
          <w:szCs w:val="28"/>
        </w:rPr>
        <w:t xml:space="preserve"> prodotti e servizi</w:t>
      </w:r>
      <w:r>
        <w:rPr>
          <w:sz w:val="28"/>
          <w:szCs w:val="28"/>
        </w:rPr>
        <w:t>,</w:t>
      </w:r>
      <w:r w:rsidR="0095713B" w:rsidRPr="0095713B">
        <w:rPr>
          <w:sz w:val="28"/>
          <w:szCs w:val="28"/>
        </w:rPr>
        <w:t xml:space="preserve"> se “</w:t>
      </w:r>
      <w:r w:rsidR="0095713B" w:rsidRPr="00AE2EA3">
        <w:rPr>
          <w:i/>
          <w:iCs/>
          <w:sz w:val="28"/>
          <w:szCs w:val="28"/>
        </w:rPr>
        <w:t>senza giusto motivo consente di trarre indebitamente vantaggio dal carattere distintivo o dalla rinomanza del marchio stesso</w:t>
      </w:r>
      <w:r w:rsidR="0095713B" w:rsidRPr="0095713B">
        <w:rPr>
          <w:sz w:val="28"/>
          <w:szCs w:val="28"/>
        </w:rPr>
        <w:t xml:space="preserve">”. </w:t>
      </w:r>
      <w:r>
        <w:rPr>
          <w:sz w:val="28"/>
          <w:szCs w:val="28"/>
        </w:rPr>
        <w:t>Dunque</w:t>
      </w:r>
      <w:r w:rsidR="0095713B" w:rsidRPr="0095713B">
        <w:rPr>
          <w:sz w:val="28"/>
          <w:szCs w:val="28"/>
        </w:rPr>
        <w:t>, l’u</w:t>
      </w:r>
      <w:r>
        <w:rPr>
          <w:sz w:val="28"/>
          <w:szCs w:val="28"/>
        </w:rPr>
        <w:t>tilizzo</w:t>
      </w:r>
      <w:r w:rsidR="0095713B" w:rsidRPr="0095713B">
        <w:rPr>
          <w:sz w:val="28"/>
          <w:szCs w:val="28"/>
        </w:rPr>
        <w:t xml:space="preserve"> del marchio notorio sui </w:t>
      </w:r>
      <w:r w:rsidR="0095713B" w:rsidRPr="00B44128">
        <w:rPr>
          <w:i/>
          <w:iCs/>
          <w:sz w:val="28"/>
          <w:szCs w:val="28"/>
        </w:rPr>
        <w:t>social</w:t>
      </w:r>
      <w:r>
        <w:rPr>
          <w:i/>
          <w:iCs/>
          <w:sz w:val="28"/>
          <w:szCs w:val="28"/>
        </w:rPr>
        <w:t xml:space="preserve"> network</w:t>
      </w:r>
      <w:r w:rsidR="0095713B" w:rsidRPr="0095713B">
        <w:rPr>
          <w:sz w:val="28"/>
          <w:szCs w:val="28"/>
        </w:rPr>
        <w:t xml:space="preserve"> da parte di terzi è lecito </w:t>
      </w:r>
      <w:r>
        <w:rPr>
          <w:sz w:val="28"/>
          <w:szCs w:val="28"/>
        </w:rPr>
        <w:t>soltanto se non è effettuato</w:t>
      </w:r>
      <w:r w:rsidR="0095713B" w:rsidRPr="0095713B">
        <w:rPr>
          <w:sz w:val="28"/>
          <w:szCs w:val="28"/>
        </w:rPr>
        <w:t xml:space="preserve"> a fini commerciali o se </w:t>
      </w:r>
      <w:r>
        <w:rPr>
          <w:sz w:val="28"/>
          <w:szCs w:val="28"/>
        </w:rPr>
        <w:t xml:space="preserve">è </w:t>
      </w:r>
      <w:r w:rsidR="0095713B" w:rsidRPr="0095713B">
        <w:rPr>
          <w:sz w:val="28"/>
          <w:szCs w:val="28"/>
        </w:rPr>
        <w:t>espressamente autorizzato dal titolare del marchio</w:t>
      </w:r>
      <w:r>
        <w:rPr>
          <w:sz w:val="28"/>
          <w:szCs w:val="28"/>
        </w:rPr>
        <w:t xml:space="preserve"> stesso.</w:t>
      </w:r>
    </w:p>
    <w:p w14:paraId="6E7DA25E" w14:textId="77777777" w:rsidR="00C43662" w:rsidRDefault="00B44128" w:rsidP="002B23AB">
      <w:pPr>
        <w:pStyle w:val="NormaleWeb"/>
        <w:spacing w:before="0" w:beforeAutospacing="0" w:after="0" w:afterAutospacing="0"/>
        <w:jc w:val="both"/>
        <w:rPr>
          <w:sz w:val="28"/>
          <w:szCs w:val="28"/>
        </w:rPr>
      </w:pPr>
      <w:r>
        <w:rPr>
          <w:sz w:val="28"/>
          <w:szCs w:val="28"/>
        </w:rPr>
        <w:t xml:space="preserve">Nel </w:t>
      </w:r>
      <w:r w:rsidR="0095713B" w:rsidRPr="0095713B">
        <w:rPr>
          <w:sz w:val="28"/>
          <w:szCs w:val="28"/>
        </w:rPr>
        <w:t>caso di specie</w:t>
      </w:r>
      <w:r>
        <w:rPr>
          <w:sz w:val="28"/>
          <w:szCs w:val="28"/>
        </w:rPr>
        <w:t xml:space="preserve">, </w:t>
      </w:r>
      <w:r w:rsidR="0095713B" w:rsidRPr="0095713B">
        <w:rPr>
          <w:sz w:val="28"/>
          <w:szCs w:val="28"/>
        </w:rPr>
        <w:t>l’</w:t>
      </w:r>
      <w:proofErr w:type="spellStart"/>
      <w:r w:rsidR="0095713B" w:rsidRPr="00B44128">
        <w:rPr>
          <w:i/>
          <w:iCs/>
          <w:sz w:val="28"/>
          <w:szCs w:val="28"/>
        </w:rPr>
        <w:t>influencer</w:t>
      </w:r>
      <w:proofErr w:type="spellEnd"/>
      <w:r w:rsidR="0095713B" w:rsidRPr="0095713B">
        <w:rPr>
          <w:sz w:val="28"/>
          <w:szCs w:val="28"/>
        </w:rPr>
        <w:t xml:space="preserve"> tedesco </w:t>
      </w:r>
      <w:proofErr w:type="spellStart"/>
      <w:r w:rsidR="0095713B" w:rsidRPr="00B44128">
        <w:rPr>
          <w:sz w:val="28"/>
          <w:szCs w:val="28"/>
        </w:rPr>
        <w:t>Philipp</w:t>
      </w:r>
      <w:proofErr w:type="spellEnd"/>
      <w:r w:rsidR="0095713B" w:rsidRPr="00B44128">
        <w:rPr>
          <w:sz w:val="28"/>
          <w:szCs w:val="28"/>
        </w:rPr>
        <w:t xml:space="preserve"> Plein</w:t>
      </w:r>
      <w:r>
        <w:rPr>
          <w:sz w:val="28"/>
          <w:szCs w:val="28"/>
        </w:rPr>
        <w:t xml:space="preserve"> aveva</w:t>
      </w:r>
      <w:r w:rsidR="0095713B" w:rsidRPr="0095713B">
        <w:rPr>
          <w:sz w:val="28"/>
          <w:szCs w:val="28"/>
        </w:rPr>
        <w:t xml:space="preserve"> </w:t>
      </w:r>
      <w:r>
        <w:rPr>
          <w:sz w:val="28"/>
          <w:szCs w:val="28"/>
        </w:rPr>
        <w:t>pubblicato</w:t>
      </w:r>
      <w:r w:rsidR="0095713B" w:rsidRPr="0095713B">
        <w:rPr>
          <w:sz w:val="28"/>
          <w:szCs w:val="28"/>
        </w:rPr>
        <w:t xml:space="preserve"> </w:t>
      </w:r>
      <w:r>
        <w:rPr>
          <w:sz w:val="28"/>
          <w:szCs w:val="28"/>
        </w:rPr>
        <w:t>numerose</w:t>
      </w:r>
      <w:r w:rsidR="0095713B" w:rsidRPr="0095713B">
        <w:rPr>
          <w:sz w:val="28"/>
          <w:szCs w:val="28"/>
        </w:rPr>
        <w:t xml:space="preserve"> foto</w:t>
      </w:r>
      <w:r>
        <w:rPr>
          <w:sz w:val="28"/>
          <w:szCs w:val="28"/>
        </w:rPr>
        <w:t xml:space="preserve"> promozionali</w:t>
      </w:r>
      <w:r w:rsidR="0095713B" w:rsidRPr="0095713B">
        <w:rPr>
          <w:sz w:val="28"/>
          <w:szCs w:val="28"/>
        </w:rPr>
        <w:t xml:space="preserve"> di un paio di calzature</w:t>
      </w:r>
      <w:r>
        <w:rPr>
          <w:sz w:val="28"/>
          <w:szCs w:val="28"/>
        </w:rPr>
        <w:t xml:space="preserve"> </w:t>
      </w:r>
      <w:r w:rsidR="0095713B" w:rsidRPr="0095713B">
        <w:rPr>
          <w:sz w:val="28"/>
          <w:szCs w:val="28"/>
        </w:rPr>
        <w:t xml:space="preserve">sul cofano di una delle autovetture della </w:t>
      </w:r>
      <w:r>
        <w:rPr>
          <w:sz w:val="28"/>
          <w:szCs w:val="28"/>
        </w:rPr>
        <w:t xml:space="preserve">nota </w:t>
      </w:r>
      <w:r w:rsidR="0095713B" w:rsidRPr="0095713B">
        <w:rPr>
          <w:sz w:val="28"/>
          <w:szCs w:val="28"/>
        </w:rPr>
        <w:t>casa automobilistica</w:t>
      </w:r>
      <w:r w:rsidRPr="00B44128">
        <w:rPr>
          <w:sz w:val="28"/>
          <w:szCs w:val="28"/>
        </w:rPr>
        <w:t xml:space="preserve"> </w:t>
      </w:r>
      <w:r w:rsidRPr="0095713B">
        <w:rPr>
          <w:sz w:val="28"/>
          <w:szCs w:val="28"/>
        </w:rPr>
        <w:t>Ferrari</w:t>
      </w:r>
      <w:r w:rsidR="0095713B" w:rsidRPr="0095713B">
        <w:rPr>
          <w:sz w:val="28"/>
          <w:szCs w:val="28"/>
        </w:rPr>
        <w:t>, inquadrandone chiaramente il marchio, senza godere di alcuna autorizzazione in tal s</w:t>
      </w:r>
      <w:r w:rsidR="0095713B" w:rsidRPr="00AE2EA3">
        <w:rPr>
          <w:sz w:val="28"/>
          <w:szCs w:val="28"/>
        </w:rPr>
        <w:t xml:space="preserve">enso. </w:t>
      </w:r>
    </w:p>
    <w:p w14:paraId="78891FCC" w14:textId="323FD0D1" w:rsidR="0095713B" w:rsidRPr="0095713B" w:rsidRDefault="0095713B" w:rsidP="002B23AB">
      <w:pPr>
        <w:pStyle w:val="NormaleWeb"/>
        <w:spacing w:before="0" w:beforeAutospacing="0" w:after="0" w:afterAutospacing="0"/>
        <w:jc w:val="both"/>
        <w:rPr>
          <w:sz w:val="28"/>
          <w:szCs w:val="28"/>
        </w:rPr>
      </w:pPr>
      <w:r w:rsidRPr="00AE2EA3">
        <w:rPr>
          <w:sz w:val="28"/>
          <w:szCs w:val="28"/>
        </w:rPr>
        <w:t>Il Tribunale</w:t>
      </w:r>
      <w:r w:rsidR="00B44128">
        <w:rPr>
          <w:sz w:val="28"/>
          <w:szCs w:val="28"/>
        </w:rPr>
        <w:t xml:space="preserve">, con l’ordinanza </w:t>
      </w:r>
      <w:r w:rsidR="00B44128" w:rsidRPr="00B44128">
        <w:rPr>
          <w:sz w:val="28"/>
          <w:szCs w:val="28"/>
        </w:rPr>
        <w:t xml:space="preserve">del 30 gennaio 2020, pubblicata il </w:t>
      </w:r>
      <w:r w:rsidR="002B23AB">
        <w:rPr>
          <w:sz w:val="28"/>
          <w:szCs w:val="28"/>
        </w:rPr>
        <w:t xml:space="preserve">successivo </w:t>
      </w:r>
      <w:r w:rsidR="00B44128" w:rsidRPr="00B44128">
        <w:rPr>
          <w:sz w:val="28"/>
          <w:szCs w:val="28"/>
        </w:rPr>
        <w:t>4 febbraio</w:t>
      </w:r>
      <w:r w:rsidR="002B23AB">
        <w:rPr>
          <w:sz w:val="28"/>
          <w:szCs w:val="28"/>
        </w:rPr>
        <w:t>,</w:t>
      </w:r>
      <w:r w:rsidRPr="00AE2EA3">
        <w:rPr>
          <w:sz w:val="28"/>
          <w:szCs w:val="28"/>
        </w:rPr>
        <w:t xml:space="preserve"> ha evidenziato che </w:t>
      </w:r>
      <w:r w:rsidR="002B23AB">
        <w:rPr>
          <w:sz w:val="28"/>
          <w:szCs w:val="28"/>
        </w:rPr>
        <w:t xml:space="preserve">nel caso di specie </w:t>
      </w:r>
      <w:r w:rsidRPr="00AE2EA3">
        <w:rPr>
          <w:sz w:val="28"/>
          <w:szCs w:val="28"/>
        </w:rPr>
        <w:t xml:space="preserve">non fosse </w:t>
      </w:r>
      <w:r w:rsidR="002B23AB">
        <w:rPr>
          <w:sz w:val="28"/>
          <w:szCs w:val="28"/>
        </w:rPr>
        <w:t>riscontrabile</w:t>
      </w:r>
      <w:r w:rsidRPr="00AE2EA3">
        <w:rPr>
          <w:sz w:val="28"/>
          <w:szCs w:val="28"/>
        </w:rPr>
        <w:t xml:space="preserve"> alcun</w:t>
      </w:r>
      <w:r w:rsidR="002B23AB">
        <w:rPr>
          <w:sz w:val="28"/>
          <w:szCs w:val="28"/>
        </w:rPr>
        <w:t xml:space="preserve">o scopo </w:t>
      </w:r>
      <w:r w:rsidRPr="00AE2EA3">
        <w:rPr>
          <w:sz w:val="28"/>
          <w:szCs w:val="28"/>
        </w:rPr>
        <w:t>ad esclusione di quello di favorire la pubblicizzazione delle calzature</w:t>
      </w:r>
      <w:r w:rsidR="002B23AB">
        <w:rPr>
          <w:sz w:val="28"/>
          <w:szCs w:val="28"/>
        </w:rPr>
        <w:t xml:space="preserve">. I giudici hanno, pertanto, considerato illecita la </w:t>
      </w:r>
      <w:r w:rsidRPr="00AE2EA3">
        <w:rPr>
          <w:sz w:val="28"/>
          <w:szCs w:val="28"/>
        </w:rPr>
        <w:t>condotta tenuta da</w:t>
      </w:r>
      <w:r w:rsidR="002B23AB">
        <w:rPr>
          <w:sz w:val="28"/>
          <w:szCs w:val="28"/>
        </w:rPr>
        <w:t>ll’</w:t>
      </w:r>
      <w:proofErr w:type="spellStart"/>
      <w:r w:rsidR="002B23AB" w:rsidRPr="002B23AB">
        <w:rPr>
          <w:i/>
          <w:iCs/>
          <w:sz w:val="28"/>
          <w:szCs w:val="28"/>
        </w:rPr>
        <w:t>influencer</w:t>
      </w:r>
      <w:proofErr w:type="spellEnd"/>
      <w:r w:rsidR="002B23AB" w:rsidRPr="002B23AB">
        <w:rPr>
          <w:sz w:val="28"/>
          <w:szCs w:val="28"/>
        </w:rPr>
        <w:t>,</w:t>
      </w:r>
      <w:r w:rsidR="002B23AB">
        <w:rPr>
          <w:i/>
          <w:iCs/>
          <w:sz w:val="28"/>
          <w:szCs w:val="28"/>
        </w:rPr>
        <w:t xml:space="preserve"> </w:t>
      </w:r>
      <w:r w:rsidR="002B23AB">
        <w:rPr>
          <w:sz w:val="28"/>
          <w:szCs w:val="28"/>
        </w:rPr>
        <w:t xml:space="preserve">che è stato </w:t>
      </w:r>
      <w:r w:rsidRPr="0095713B">
        <w:rPr>
          <w:sz w:val="28"/>
          <w:szCs w:val="28"/>
        </w:rPr>
        <w:t>condanna</w:t>
      </w:r>
      <w:r w:rsidR="002B23AB">
        <w:rPr>
          <w:sz w:val="28"/>
          <w:szCs w:val="28"/>
        </w:rPr>
        <w:t>to</w:t>
      </w:r>
      <w:r w:rsidRPr="0095713B">
        <w:rPr>
          <w:sz w:val="28"/>
          <w:szCs w:val="28"/>
        </w:rPr>
        <w:t xml:space="preserve"> </w:t>
      </w:r>
      <w:r w:rsidR="002B23AB">
        <w:rPr>
          <w:sz w:val="28"/>
          <w:szCs w:val="28"/>
        </w:rPr>
        <w:t>a rimuovere</w:t>
      </w:r>
      <w:r w:rsidRPr="0095713B">
        <w:rPr>
          <w:sz w:val="28"/>
          <w:szCs w:val="28"/>
        </w:rPr>
        <w:t xml:space="preserve"> </w:t>
      </w:r>
      <w:r w:rsidR="002B23AB">
        <w:rPr>
          <w:sz w:val="28"/>
          <w:szCs w:val="28"/>
        </w:rPr>
        <w:t>i</w:t>
      </w:r>
      <w:r w:rsidRPr="0095713B">
        <w:rPr>
          <w:sz w:val="28"/>
          <w:szCs w:val="28"/>
        </w:rPr>
        <w:t xml:space="preserve"> </w:t>
      </w:r>
      <w:r w:rsidRPr="00C43662">
        <w:rPr>
          <w:i/>
          <w:iCs/>
          <w:sz w:val="28"/>
          <w:szCs w:val="28"/>
        </w:rPr>
        <w:t>post</w:t>
      </w:r>
      <w:r w:rsidRPr="0095713B">
        <w:rPr>
          <w:sz w:val="28"/>
          <w:szCs w:val="28"/>
        </w:rPr>
        <w:t xml:space="preserve"> oggetto del </w:t>
      </w:r>
      <w:r w:rsidR="002B23AB">
        <w:rPr>
          <w:sz w:val="28"/>
          <w:szCs w:val="28"/>
        </w:rPr>
        <w:t>contenzioso</w:t>
      </w:r>
      <w:r w:rsidRPr="0095713B">
        <w:rPr>
          <w:sz w:val="28"/>
          <w:szCs w:val="28"/>
        </w:rPr>
        <w:t xml:space="preserve"> </w:t>
      </w:r>
      <w:r w:rsidR="002B23AB" w:rsidRPr="0095713B">
        <w:rPr>
          <w:sz w:val="28"/>
          <w:szCs w:val="28"/>
        </w:rPr>
        <w:t>e</w:t>
      </w:r>
      <w:r w:rsidR="002B23AB">
        <w:rPr>
          <w:sz w:val="28"/>
          <w:szCs w:val="28"/>
        </w:rPr>
        <w:t>, inoltre, è stata imposta</w:t>
      </w:r>
      <w:r w:rsidRPr="0095713B">
        <w:rPr>
          <w:sz w:val="28"/>
          <w:szCs w:val="28"/>
        </w:rPr>
        <w:t xml:space="preserve"> l’inibizione a qualsiasi futuro utilizzo del marchio in questione</w:t>
      </w:r>
      <w:r w:rsidR="002B23AB">
        <w:rPr>
          <w:sz w:val="28"/>
          <w:szCs w:val="28"/>
        </w:rPr>
        <w:t xml:space="preserve"> (</w:t>
      </w:r>
      <w:r w:rsidRPr="0095713B">
        <w:rPr>
          <w:sz w:val="28"/>
          <w:szCs w:val="28"/>
        </w:rPr>
        <w:t xml:space="preserve">pena l’irrogazione di una sanzione pari a 20.000 </w:t>
      </w:r>
      <w:r w:rsidR="00C43662">
        <w:rPr>
          <w:sz w:val="28"/>
          <w:szCs w:val="28"/>
        </w:rPr>
        <w:t xml:space="preserve">euro </w:t>
      </w:r>
      <w:r w:rsidRPr="0095713B">
        <w:rPr>
          <w:sz w:val="28"/>
          <w:szCs w:val="28"/>
        </w:rPr>
        <w:t>per ogni violazione</w:t>
      </w:r>
      <w:r w:rsidR="002B23AB">
        <w:rPr>
          <w:sz w:val="28"/>
          <w:szCs w:val="28"/>
        </w:rPr>
        <w:t xml:space="preserve">). </w:t>
      </w:r>
    </w:p>
    <w:p w14:paraId="01A7DF4D" w14:textId="6B35065B" w:rsidR="00EE2A5C" w:rsidRDefault="002B23AB" w:rsidP="002B23AB">
      <w:pPr>
        <w:pStyle w:val="NormaleWeb"/>
        <w:spacing w:before="0" w:beforeAutospacing="0" w:after="0" w:afterAutospacing="0"/>
        <w:jc w:val="both"/>
        <w:rPr>
          <w:sz w:val="28"/>
          <w:szCs w:val="28"/>
        </w:rPr>
      </w:pPr>
      <w:r>
        <w:rPr>
          <w:sz w:val="28"/>
          <w:szCs w:val="28"/>
        </w:rPr>
        <w:t xml:space="preserve">Altro profilo che viene in rilievo </w:t>
      </w:r>
      <w:r w:rsidR="0095713B" w:rsidRPr="002B23AB">
        <w:rPr>
          <w:sz w:val="28"/>
          <w:szCs w:val="28"/>
        </w:rPr>
        <w:t xml:space="preserve">nel caso di specie è </w:t>
      </w:r>
      <w:r>
        <w:rPr>
          <w:sz w:val="28"/>
          <w:szCs w:val="28"/>
        </w:rPr>
        <w:t>quello</w:t>
      </w:r>
      <w:r w:rsidR="0095713B" w:rsidRPr="002B23AB">
        <w:rPr>
          <w:sz w:val="28"/>
          <w:szCs w:val="28"/>
        </w:rPr>
        <w:t xml:space="preserve"> </w:t>
      </w:r>
      <w:r>
        <w:rPr>
          <w:sz w:val="28"/>
          <w:szCs w:val="28"/>
        </w:rPr>
        <w:t>che concerne il</w:t>
      </w:r>
      <w:r w:rsidR="0095713B" w:rsidRPr="002B23AB">
        <w:rPr>
          <w:sz w:val="28"/>
          <w:szCs w:val="28"/>
        </w:rPr>
        <w:t xml:space="preserve"> c.d. offuscamento (o</w:t>
      </w:r>
      <w:r w:rsidR="00BB37C5" w:rsidRPr="002B23AB">
        <w:rPr>
          <w:sz w:val="28"/>
          <w:szCs w:val="28"/>
        </w:rPr>
        <w:t xml:space="preserve"> </w:t>
      </w:r>
      <w:proofErr w:type="spellStart"/>
      <w:r w:rsidR="0095713B" w:rsidRPr="002B23AB">
        <w:rPr>
          <w:i/>
          <w:iCs/>
          <w:sz w:val="28"/>
          <w:szCs w:val="28"/>
        </w:rPr>
        <w:t>diluition</w:t>
      </w:r>
      <w:proofErr w:type="spellEnd"/>
      <w:r w:rsidR="0095713B" w:rsidRPr="002B23AB">
        <w:rPr>
          <w:i/>
          <w:iCs/>
          <w:sz w:val="28"/>
          <w:szCs w:val="28"/>
        </w:rPr>
        <w:t xml:space="preserve"> by </w:t>
      </w:r>
      <w:proofErr w:type="spellStart"/>
      <w:r w:rsidR="0095713B" w:rsidRPr="002B23AB">
        <w:rPr>
          <w:i/>
          <w:iCs/>
          <w:sz w:val="28"/>
          <w:szCs w:val="28"/>
        </w:rPr>
        <w:t>tarnishment</w:t>
      </w:r>
      <w:proofErr w:type="spellEnd"/>
      <w:r w:rsidR="0095713B" w:rsidRPr="002B23AB">
        <w:rPr>
          <w:sz w:val="28"/>
          <w:szCs w:val="28"/>
        </w:rPr>
        <w:t>), ossia l’ipotesi in cui l’utilizzo</w:t>
      </w:r>
      <w:r w:rsidR="00677B0A">
        <w:rPr>
          <w:sz w:val="28"/>
          <w:szCs w:val="28"/>
        </w:rPr>
        <w:t xml:space="preserve"> da parte di terzi</w:t>
      </w:r>
      <w:r w:rsidR="0095713B" w:rsidRPr="002B23AB">
        <w:rPr>
          <w:sz w:val="28"/>
          <w:szCs w:val="28"/>
        </w:rPr>
        <w:t xml:space="preserve"> del segno</w:t>
      </w:r>
      <w:r>
        <w:rPr>
          <w:sz w:val="28"/>
          <w:szCs w:val="28"/>
        </w:rPr>
        <w:t>/marchio</w:t>
      </w:r>
      <w:r w:rsidR="0095713B" w:rsidRPr="002B23AB">
        <w:rPr>
          <w:sz w:val="28"/>
          <w:szCs w:val="28"/>
        </w:rPr>
        <w:t xml:space="preserve"> rec</w:t>
      </w:r>
      <w:r>
        <w:rPr>
          <w:sz w:val="28"/>
          <w:szCs w:val="28"/>
        </w:rPr>
        <w:t>hi</w:t>
      </w:r>
      <w:r w:rsidR="0095713B" w:rsidRPr="002B23AB">
        <w:rPr>
          <w:sz w:val="28"/>
          <w:szCs w:val="28"/>
        </w:rPr>
        <w:t xml:space="preserve"> pregiudizio al titolar</w:t>
      </w:r>
      <w:r>
        <w:rPr>
          <w:sz w:val="28"/>
          <w:szCs w:val="28"/>
        </w:rPr>
        <w:t>e</w:t>
      </w:r>
      <w:r w:rsidR="0095713B" w:rsidRPr="002B23AB">
        <w:rPr>
          <w:sz w:val="28"/>
          <w:szCs w:val="28"/>
        </w:rPr>
        <w:t>,</w:t>
      </w:r>
      <w:r w:rsidR="00BB37C5" w:rsidRPr="002B23AB">
        <w:rPr>
          <w:sz w:val="28"/>
          <w:szCs w:val="28"/>
        </w:rPr>
        <w:t xml:space="preserve"> </w:t>
      </w:r>
      <w:r w:rsidR="0095713B" w:rsidRPr="002B23AB">
        <w:rPr>
          <w:sz w:val="28"/>
          <w:szCs w:val="28"/>
        </w:rPr>
        <w:t xml:space="preserve">poiché </w:t>
      </w:r>
      <w:r w:rsidR="00677B0A">
        <w:rPr>
          <w:sz w:val="28"/>
          <w:szCs w:val="28"/>
        </w:rPr>
        <w:t xml:space="preserve">alternativamente </w:t>
      </w:r>
      <w:r w:rsidR="0095713B" w:rsidRPr="002B23AB">
        <w:rPr>
          <w:sz w:val="28"/>
          <w:szCs w:val="28"/>
        </w:rPr>
        <w:t>rovina l’immagine dello stesso agli occhi del pubblico o</w:t>
      </w:r>
      <w:r w:rsidR="00677B0A">
        <w:rPr>
          <w:sz w:val="28"/>
          <w:szCs w:val="28"/>
        </w:rPr>
        <w:t>ppure</w:t>
      </w:r>
      <w:r w:rsidR="0095713B" w:rsidRPr="002B23AB">
        <w:rPr>
          <w:sz w:val="28"/>
          <w:szCs w:val="28"/>
        </w:rPr>
        <w:t xml:space="preserve"> </w:t>
      </w:r>
      <w:r w:rsidR="00677B0A">
        <w:rPr>
          <w:sz w:val="28"/>
          <w:szCs w:val="28"/>
        </w:rPr>
        <w:t>viene</w:t>
      </w:r>
      <w:r w:rsidR="0095713B" w:rsidRPr="002B23AB">
        <w:rPr>
          <w:sz w:val="28"/>
          <w:szCs w:val="28"/>
        </w:rPr>
        <w:t xml:space="preserve"> inserito in un contesto che si pone in contrasto rispetto all’immagine promossa in precedenza, vanificando gli sforzi del titolare per promuoverla. </w:t>
      </w:r>
      <w:r w:rsidR="00677B0A">
        <w:rPr>
          <w:sz w:val="28"/>
          <w:szCs w:val="28"/>
        </w:rPr>
        <w:t>Ebbene</w:t>
      </w:r>
      <w:r w:rsidR="0095713B" w:rsidRPr="002B23AB">
        <w:rPr>
          <w:sz w:val="28"/>
          <w:szCs w:val="28"/>
        </w:rPr>
        <w:t xml:space="preserve">, </w:t>
      </w:r>
      <w:r w:rsidR="00677B0A">
        <w:rPr>
          <w:sz w:val="28"/>
          <w:szCs w:val="28"/>
        </w:rPr>
        <w:t xml:space="preserve">in questo caso </w:t>
      </w:r>
      <w:r w:rsidR="0095713B" w:rsidRPr="002B23AB">
        <w:rPr>
          <w:sz w:val="28"/>
          <w:szCs w:val="28"/>
        </w:rPr>
        <w:t>è stata contestata la pubblicazione su</w:t>
      </w:r>
      <w:r w:rsidR="00677B0A">
        <w:rPr>
          <w:sz w:val="28"/>
          <w:szCs w:val="28"/>
        </w:rPr>
        <w:t xml:space="preserve">l </w:t>
      </w:r>
      <w:r w:rsidR="00677B0A" w:rsidRPr="00677B0A">
        <w:rPr>
          <w:i/>
          <w:iCs/>
          <w:sz w:val="28"/>
          <w:szCs w:val="28"/>
        </w:rPr>
        <w:t>social network</w:t>
      </w:r>
      <w:r w:rsidR="00677B0A">
        <w:rPr>
          <w:sz w:val="28"/>
          <w:szCs w:val="28"/>
        </w:rPr>
        <w:t xml:space="preserve"> </w:t>
      </w:r>
      <w:r w:rsidR="0095713B" w:rsidRPr="002B23AB">
        <w:rPr>
          <w:sz w:val="28"/>
          <w:szCs w:val="28"/>
        </w:rPr>
        <w:t xml:space="preserve">di video ritraenti giovani donne in abiti succinti, intente nel lavaggio di un’autovettura della </w:t>
      </w:r>
      <w:r w:rsidR="00677B0A">
        <w:rPr>
          <w:sz w:val="28"/>
          <w:szCs w:val="28"/>
        </w:rPr>
        <w:t xml:space="preserve">nota </w:t>
      </w:r>
      <w:r w:rsidR="0095713B" w:rsidRPr="002B23AB">
        <w:rPr>
          <w:sz w:val="28"/>
          <w:szCs w:val="28"/>
        </w:rPr>
        <w:t xml:space="preserve">casa automobilistica, sul cofano della quale erano collocate le calzature </w:t>
      </w:r>
      <w:r w:rsidR="00677B0A">
        <w:rPr>
          <w:sz w:val="28"/>
          <w:szCs w:val="28"/>
        </w:rPr>
        <w:t>oggetto di promozione commerciale.</w:t>
      </w:r>
    </w:p>
    <w:p w14:paraId="6C41D348" w14:textId="77777777" w:rsidR="00677B0A" w:rsidRPr="002B23AB" w:rsidRDefault="00677B0A" w:rsidP="002B23AB">
      <w:pPr>
        <w:pStyle w:val="NormaleWeb"/>
        <w:spacing w:before="0" w:beforeAutospacing="0" w:after="0" w:afterAutospacing="0"/>
        <w:jc w:val="both"/>
        <w:rPr>
          <w:sz w:val="28"/>
          <w:szCs w:val="28"/>
        </w:rPr>
      </w:pPr>
    </w:p>
    <w:p w14:paraId="4570CBD9" w14:textId="77777777" w:rsidR="00C43662" w:rsidRDefault="008D44E4" w:rsidP="00677B0A">
      <w:pPr>
        <w:pStyle w:val="NormaleWeb"/>
        <w:spacing w:before="0" w:beforeAutospacing="0" w:after="0" w:afterAutospacing="0"/>
        <w:jc w:val="both"/>
        <w:rPr>
          <w:sz w:val="28"/>
          <w:szCs w:val="28"/>
        </w:rPr>
      </w:pPr>
      <w:r>
        <w:rPr>
          <w:sz w:val="28"/>
          <w:szCs w:val="28"/>
        </w:rPr>
        <w:t>È necessario anche analizzare il profilo relativo all’</w:t>
      </w:r>
      <w:r w:rsidR="0095713B" w:rsidRPr="0095713B">
        <w:rPr>
          <w:sz w:val="28"/>
          <w:szCs w:val="28"/>
        </w:rPr>
        <w:t xml:space="preserve">utilizzo degli </w:t>
      </w:r>
      <w:proofErr w:type="spellStart"/>
      <w:r w:rsidR="0095713B" w:rsidRPr="008D44E4">
        <w:rPr>
          <w:i/>
          <w:iCs/>
          <w:sz w:val="28"/>
          <w:szCs w:val="28"/>
        </w:rPr>
        <w:t>hashtag</w:t>
      </w:r>
      <w:proofErr w:type="spellEnd"/>
      <w:r>
        <w:rPr>
          <w:sz w:val="28"/>
          <w:szCs w:val="28"/>
        </w:rPr>
        <w:t xml:space="preserve">. </w:t>
      </w:r>
    </w:p>
    <w:p w14:paraId="33ABEC84" w14:textId="02BED88E" w:rsidR="00EF701F" w:rsidRDefault="008D44E4" w:rsidP="00677B0A">
      <w:pPr>
        <w:pStyle w:val="NormaleWeb"/>
        <w:spacing w:before="0" w:beforeAutospacing="0" w:after="0" w:afterAutospacing="0"/>
        <w:jc w:val="both"/>
        <w:rPr>
          <w:sz w:val="28"/>
          <w:szCs w:val="28"/>
        </w:rPr>
      </w:pPr>
      <w:r>
        <w:rPr>
          <w:sz w:val="28"/>
          <w:szCs w:val="28"/>
        </w:rPr>
        <w:t>Una domanda che ci si è posti è la seguente: è possibile</w:t>
      </w:r>
      <w:r w:rsidR="0095713B" w:rsidRPr="0095713B">
        <w:rPr>
          <w:sz w:val="28"/>
          <w:szCs w:val="28"/>
        </w:rPr>
        <w:t xml:space="preserve"> qualificar</w:t>
      </w:r>
      <w:r>
        <w:rPr>
          <w:sz w:val="28"/>
          <w:szCs w:val="28"/>
        </w:rPr>
        <w:t xml:space="preserve">li </w:t>
      </w:r>
      <w:r w:rsidR="0095713B" w:rsidRPr="0095713B">
        <w:rPr>
          <w:sz w:val="28"/>
          <w:szCs w:val="28"/>
        </w:rPr>
        <w:t>come marchi</w:t>
      </w:r>
      <w:r>
        <w:rPr>
          <w:sz w:val="28"/>
          <w:szCs w:val="28"/>
        </w:rPr>
        <w:t xml:space="preserve">, </w:t>
      </w:r>
      <w:r w:rsidR="0095713B" w:rsidRPr="0095713B">
        <w:rPr>
          <w:sz w:val="28"/>
          <w:szCs w:val="28"/>
        </w:rPr>
        <w:t>riconoscendone la funzione di segno distintivo</w:t>
      </w:r>
      <w:r>
        <w:rPr>
          <w:sz w:val="28"/>
          <w:szCs w:val="28"/>
        </w:rPr>
        <w:t>?</w:t>
      </w:r>
      <w:r w:rsidR="00B33AE4">
        <w:rPr>
          <w:rStyle w:val="Rimandonotaapidipagina"/>
          <w:sz w:val="28"/>
          <w:szCs w:val="28"/>
        </w:rPr>
        <w:footnoteReference w:id="194"/>
      </w:r>
    </w:p>
    <w:p w14:paraId="7435817C" w14:textId="77777777" w:rsidR="00C43662" w:rsidRDefault="008D44E4" w:rsidP="00677B0A">
      <w:pPr>
        <w:pStyle w:val="NormaleWeb"/>
        <w:spacing w:before="0" w:beforeAutospacing="0" w:after="0" w:afterAutospacing="0"/>
        <w:jc w:val="both"/>
        <w:rPr>
          <w:sz w:val="28"/>
          <w:szCs w:val="28"/>
        </w:rPr>
      </w:pPr>
      <w:r>
        <w:rPr>
          <w:sz w:val="28"/>
          <w:szCs w:val="28"/>
        </w:rPr>
        <w:t xml:space="preserve">Partiamo dal presupposto </w:t>
      </w:r>
      <w:r w:rsidR="00DD4305">
        <w:rPr>
          <w:sz w:val="28"/>
          <w:szCs w:val="28"/>
        </w:rPr>
        <w:t xml:space="preserve">che </w:t>
      </w:r>
      <w:r w:rsidR="0095713B" w:rsidRPr="0095713B">
        <w:rPr>
          <w:sz w:val="28"/>
          <w:szCs w:val="28"/>
        </w:rPr>
        <w:t xml:space="preserve">la funzione </w:t>
      </w:r>
      <w:r>
        <w:rPr>
          <w:sz w:val="28"/>
          <w:szCs w:val="28"/>
        </w:rPr>
        <w:t>deg</w:t>
      </w:r>
      <w:r w:rsidR="0095713B" w:rsidRPr="0095713B">
        <w:rPr>
          <w:sz w:val="28"/>
          <w:szCs w:val="28"/>
        </w:rPr>
        <w:t xml:space="preserve">li </w:t>
      </w:r>
      <w:proofErr w:type="spellStart"/>
      <w:r w:rsidR="0095713B" w:rsidRPr="00DD4305">
        <w:rPr>
          <w:i/>
          <w:iCs/>
          <w:sz w:val="28"/>
          <w:szCs w:val="28"/>
        </w:rPr>
        <w:t>hashtag</w:t>
      </w:r>
      <w:proofErr w:type="spellEnd"/>
      <w:r>
        <w:rPr>
          <w:sz w:val="28"/>
          <w:szCs w:val="28"/>
        </w:rPr>
        <w:t xml:space="preserve"> è </w:t>
      </w:r>
      <w:r w:rsidR="00DD4305">
        <w:rPr>
          <w:sz w:val="28"/>
          <w:szCs w:val="28"/>
        </w:rPr>
        <w:t xml:space="preserve">molto </w:t>
      </w:r>
      <w:r>
        <w:rPr>
          <w:sz w:val="28"/>
          <w:szCs w:val="28"/>
        </w:rPr>
        <w:t>diversa</w:t>
      </w:r>
      <w:r w:rsidR="00DD4305">
        <w:rPr>
          <w:sz w:val="28"/>
          <w:szCs w:val="28"/>
        </w:rPr>
        <w:t>:</w:t>
      </w:r>
      <w:r>
        <w:rPr>
          <w:sz w:val="28"/>
          <w:szCs w:val="28"/>
        </w:rPr>
        <w:t xml:space="preserve"> </w:t>
      </w:r>
      <w:r w:rsidRPr="0095713B">
        <w:rPr>
          <w:sz w:val="28"/>
          <w:szCs w:val="28"/>
        </w:rPr>
        <w:t>tratta</w:t>
      </w:r>
      <w:r w:rsidR="00DD4305">
        <w:rPr>
          <w:sz w:val="28"/>
          <w:szCs w:val="28"/>
        </w:rPr>
        <w:t>ndosi</w:t>
      </w:r>
      <w:r w:rsidRPr="0095713B">
        <w:rPr>
          <w:sz w:val="28"/>
          <w:szCs w:val="28"/>
        </w:rPr>
        <w:t xml:space="preserve"> di strumenti finalizzati a facilitare le ricerche da parte degli utenti, raggr</w:t>
      </w:r>
      <w:r w:rsidR="00DD4305">
        <w:rPr>
          <w:sz w:val="28"/>
          <w:szCs w:val="28"/>
        </w:rPr>
        <w:t>uppano</w:t>
      </w:r>
      <w:r w:rsidRPr="0095713B">
        <w:rPr>
          <w:sz w:val="28"/>
          <w:szCs w:val="28"/>
        </w:rPr>
        <w:t xml:space="preserve"> prodotti e servizi simili sotto una stessa dicitura</w:t>
      </w:r>
      <w:r w:rsidR="00DD4305">
        <w:rPr>
          <w:sz w:val="28"/>
          <w:szCs w:val="28"/>
        </w:rPr>
        <w:t>; dunque,</w:t>
      </w:r>
      <w:r>
        <w:rPr>
          <w:sz w:val="28"/>
          <w:szCs w:val="28"/>
        </w:rPr>
        <w:t xml:space="preserve"> gli stessi rispondono </w:t>
      </w:r>
      <w:r w:rsidR="0095713B" w:rsidRPr="0095713B">
        <w:rPr>
          <w:sz w:val="28"/>
          <w:szCs w:val="28"/>
        </w:rPr>
        <w:t xml:space="preserve">ad una </w:t>
      </w:r>
      <w:r w:rsidR="0095713B" w:rsidRPr="008D44E4">
        <w:rPr>
          <w:i/>
          <w:iCs/>
          <w:sz w:val="28"/>
          <w:szCs w:val="28"/>
        </w:rPr>
        <w:t>ratio</w:t>
      </w:r>
      <w:r w:rsidR="0095713B" w:rsidRPr="0095713B">
        <w:rPr>
          <w:sz w:val="28"/>
          <w:szCs w:val="28"/>
        </w:rPr>
        <w:t xml:space="preserve"> completamente diversa</w:t>
      </w:r>
      <w:r w:rsidR="00DD4305">
        <w:rPr>
          <w:sz w:val="28"/>
          <w:szCs w:val="28"/>
        </w:rPr>
        <w:t xml:space="preserve"> dai marchi. </w:t>
      </w:r>
    </w:p>
    <w:p w14:paraId="44283B4C" w14:textId="13490AF1" w:rsidR="0095713B" w:rsidRPr="0095713B" w:rsidRDefault="00DD4305" w:rsidP="00677B0A">
      <w:pPr>
        <w:pStyle w:val="NormaleWeb"/>
        <w:spacing w:before="0" w:beforeAutospacing="0" w:after="0" w:afterAutospacing="0"/>
        <w:jc w:val="both"/>
        <w:rPr>
          <w:sz w:val="28"/>
          <w:szCs w:val="28"/>
        </w:rPr>
      </w:pPr>
      <w:r>
        <w:rPr>
          <w:sz w:val="28"/>
          <w:szCs w:val="28"/>
        </w:rPr>
        <w:t>In più, bisogna considerare che a</w:t>
      </w:r>
      <w:r w:rsidR="0095713B" w:rsidRPr="0095713B">
        <w:rPr>
          <w:sz w:val="28"/>
          <w:szCs w:val="28"/>
        </w:rPr>
        <w:t>pplicar</w:t>
      </w:r>
      <w:r>
        <w:rPr>
          <w:sz w:val="28"/>
          <w:szCs w:val="28"/>
        </w:rPr>
        <w:t>gli</w:t>
      </w:r>
      <w:r w:rsidR="0095713B" w:rsidRPr="0095713B">
        <w:rPr>
          <w:sz w:val="28"/>
          <w:szCs w:val="28"/>
        </w:rPr>
        <w:t xml:space="preserve"> la disciplina della tutela dei marchi, limitandone di conseguenza l’utilizzo, </w:t>
      </w:r>
      <w:r>
        <w:rPr>
          <w:sz w:val="28"/>
          <w:szCs w:val="28"/>
        </w:rPr>
        <w:t>rischierebbe di limitare in maniera</w:t>
      </w:r>
      <w:r w:rsidR="0095713B" w:rsidRPr="0095713B">
        <w:rPr>
          <w:sz w:val="28"/>
          <w:szCs w:val="28"/>
        </w:rPr>
        <w:t xml:space="preserve"> </w:t>
      </w:r>
      <w:r>
        <w:rPr>
          <w:sz w:val="28"/>
          <w:szCs w:val="28"/>
        </w:rPr>
        <w:t>i</w:t>
      </w:r>
      <w:r w:rsidR="0095713B" w:rsidRPr="0095713B">
        <w:rPr>
          <w:sz w:val="28"/>
          <w:szCs w:val="28"/>
        </w:rPr>
        <w:t xml:space="preserve">ngiustificata </w:t>
      </w:r>
      <w:r>
        <w:rPr>
          <w:sz w:val="28"/>
          <w:szCs w:val="28"/>
        </w:rPr>
        <w:t>la</w:t>
      </w:r>
      <w:r w:rsidR="0095713B" w:rsidRPr="0095713B">
        <w:rPr>
          <w:sz w:val="28"/>
          <w:szCs w:val="28"/>
        </w:rPr>
        <w:t xml:space="preserve"> libertà di espressione degli utenti</w:t>
      </w:r>
      <w:r>
        <w:rPr>
          <w:sz w:val="28"/>
          <w:szCs w:val="28"/>
        </w:rPr>
        <w:t>.</w:t>
      </w:r>
      <w:r w:rsidR="0095713B" w:rsidRPr="0095713B">
        <w:rPr>
          <w:sz w:val="28"/>
          <w:szCs w:val="28"/>
        </w:rPr>
        <w:t xml:space="preserve"> </w:t>
      </w:r>
      <w:r>
        <w:rPr>
          <w:sz w:val="28"/>
          <w:szCs w:val="28"/>
        </w:rPr>
        <w:t>È anche vero</w:t>
      </w:r>
      <w:r w:rsidR="0095713B" w:rsidRPr="0095713B">
        <w:rPr>
          <w:sz w:val="28"/>
          <w:szCs w:val="28"/>
        </w:rPr>
        <w:t xml:space="preserve">, però, </w:t>
      </w:r>
      <w:r>
        <w:rPr>
          <w:sz w:val="28"/>
          <w:szCs w:val="28"/>
        </w:rPr>
        <w:t xml:space="preserve">che in maniera sempre più diffusa si verificano sui </w:t>
      </w:r>
      <w:r w:rsidRPr="00DD4305">
        <w:rPr>
          <w:i/>
          <w:iCs/>
          <w:sz w:val="28"/>
          <w:szCs w:val="28"/>
        </w:rPr>
        <w:t>social</w:t>
      </w:r>
      <w:r>
        <w:rPr>
          <w:sz w:val="28"/>
          <w:szCs w:val="28"/>
        </w:rPr>
        <w:t xml:space="preserve"> </w:t>
      </w:r>
      <w:r w:rsidR="0095713B" w:rsidRPr="0095713B">
        <w:rPr>
          <w:sz w:val="28"/>
          <w:szCs w:val="28"/>
        </w:rPr>
        <w:t xml:space="preserve">episodi di agganciamento a marchi noti, proprio </w:t>
      </w:r>
      <w:r>
        <w:rPr>
          <w:sz w:val="28"/>
          <w:szCs w:val="28"/>
        </w:rPr>
        <w:t>tramite lo strumento dell’</w:t>
      </w:r>
      <w:proofErr w:type="spellStart"/>
      <w:r w:rsidR="0095713B" w:rsidRPr="00DD4305">
        <w:rPr>
          <w:i/>
          <w:iCs/>
          <w:sz w:val="28"/>
          <w:szCs w:val="28"/>
        </w:rPr>
        <w:t>hashtag</w:t>
      </w:r>
      <w:proofErr w:type="spellEnd"/>
      <w:r>
        <w:rPr>
          <w:sz w:val="28"/>
          <w:szCs w:val="28"/>
        </w:rPr>
        <w:t xml:space="preserve">, </w:t>
      </w:r>
      <w:r w:rsidR="0095713B" w:rsidRPr="0095713B">
        <w:rPr>
          <w:sz w:val="28"/>
          <w:szCs w:val="28"/>
        </w:rPr>
        <w:t xml:space="preserve">che </w:t>
      </w:r>
      <w:r>
        <w:rPr>
          <w:sz w:val="28"/>
          <w:szCs w:val="28"/>
        </w:rPr>
        <w:t>ricollega</w:t>
      </w:r>
      <w:r w:rsidR="0095713B" w:rsidRPr="0095713B">
        <w:rPr>
          <w:sz w:val="28"/>
          <w:szCs w:val="28"/>
        </w:rPr>
        <w:t xml:space="preserve"> </w:t>
      </w:r>
      <w:r>
        <w:rPr>
          <w:sz w:val="28"/>
          <w:szCs w:val="28"/>
        </w:rPr>
        <w:t xml:space="preserve">tramite un click un </w:t>
      </w:r>
      <w:r w:rsidR="0095713B" w:rsidRPr="0095713B">
        <w:rPr>
          <w:sz w:val="28"/>
          <w:szCs w:val="28"/>
        </w:rPr>
        <w:t>determinato marchio.</w:t>
      </w:r>
    </w:p>
    <w:p w14:paraId="56779E96" w14:textId="49CB0BEA" w:rsidR="0095713B" w:rsidRPr="0095713B" w:rsidRDefault="006C24D7" w:rsidP="00677B0A">
      <w:pPr>
        <w:pStyle w:val="NormaleWeb"/>
        <w:spacing w:before="0" w:beforeAutospacing="0" w:after="0" w:afterAutospacing="0"/>
        <w:jc w:val="both"/>
        <w:rPr>
          <w:sz w:val="28"/>
          <w:szCs w:val="28"/>
        </w:rPr>
      </w:pPr>
      <w:r>
        <w:rPr>
          <w:sz w:val="28"/>
          <w:szCs w:val="28"/>
        </w:rPr>
        <w:lastRenderedPageBreak/>
        <w:t>Proprio per questo</w:t>
      </w:r>
      <w:r w:rsidR="0095713B" w:rsidRPr="0095713B">
        <w:rPr>
          <w:sz w:val="28"/>
          <w:szCs w:val="28"/>
        </w:rPr>
        <w:t>,</w:t>
      </w:r>
      <w:r>
        <w:rPr>
          <w:sz w:val="28"/>
          <w:szCs w:val="28"/>
        </w:rPr>
        <w:t xml:space="preserve"> è lecito chiedersi </w:t>
      </w:r>
      <w:r w:rsidR="0095713B" w:rsidRPr="0095713B">
        <w:rPr>
          <w:sz w:val="28"/>
          <w:szCs w:val="28"/>
        </w:rPr>
        <w:t xml:space="preserve">se un diritto di registrazione degli </w:t>
      </w:r>
      <w:proofErr w:type="spellStart"/>
      <w:r w:rsidR="0095713B" w:rsidRPr="006C24D7">
        <w:rPr>
          <w:i/>
          <w:iCs/>
          <w:sz w:val="28"/>
          <w:szCs w:val="28"/>
        </w:rPr>
        <w:t>hashtag</w:t>
      </w:r>
      <w:proofErr w:type="spellEnd"/>
      <w:r w:rsidR="0095713B" w:rsidRPr="0095713B">
        <w:rPr>
          <w:sz w:val="28"/>
          <w:szCs w:val="28"/>
        </w:rPr>
        <w:t xml:space="preserve"> come marchi </w:t>
      </w:r>
      <w:r>
        <w:rPr>
          <w:sz w:val="28"/>
          <w:szCs w:val="28"/>
        </w:rPr>
        <w:t>possa esistere,</w:t>
      </w:r>
      <w:r w:rsidR="0095713B" w:rsidRPr="0095713B">
        <w:rPr>
          <w:sz w:val="28"/>
          <w:szCs w:val="28"/>
        </w:rPr>
        <w:t xml:space="preserve"> e se questi </w:t>
      </w:r>
      <w:r>
        <w:rPr>
          <w:sz w:val="28"/>
          <w:szCs w:val="28"/>
        </w:rPr>
        <w:t>possano godere</w:t>
      </w:r>
      <w:r w:rsidR="0095713B" w:rsidRPr="0095713B">
        <w:rPr>
          <w:sz w:val="28"/>
          <w:szCs w:val="28"/>
        </w:rPr>
        <w:t xml:space="preserve"> o meno dei requisiti necessari per poter essere qualificati come tali, primo fra tutti la capacità distintiva.</w:t>
      </w:r>
    </w:p>
    <w:p w14:paraId="41A5734E" w14:textId="77777777" w:rsidR="00C20501" w:rsidRDefault="006C24D7" w:rsidP="00677B0A">
      <w:pPr>
        <w:pStyle w:val="NormaleWeb"/>
        <w:spacing w:before="0" w:beforeAutospacing="0" w:after="0" w:afterAutospacing="0"/>
        <w:jc w:val="both"/>
        <w:rPr>
          <w:sz w:val="28"/>
          <w:szCs w:val="28"/>
        </w:rPr>
      </w:pPr>
      <w:r>
        <w:rPr>
          <w:sz w:val="28"/>
          <w:szCs w:val="28"/>
        </w:rPr>
        <w:t>Purtroppo, la normativa italiana, come la disciplina europea, non è</w:t>
      </w:r>
      <w:r w:rsidR="0095713B" w:rsidRPr="0095713B">
        <w:rPr>
          <w:sz w:val="28"/>
          <w:szCs w:val="28"/>
        </w:rPr>
        <w:t xml:space="preserve"> chiara sul punto, </w:t>
      </w:r>
      <w:r>
        <w:rPr>
          <w:sz w:val="28"/>
          <w:szCs w:val="28"/>
        </w:rPr>
        <w:t>e</w:t>
      </w:r>
      <w:r w:rsidR="0095713B" w:rsidRPr="0095713B">
        <w:rPr>
          <w:sz w:val="28"/>
          <w:szCs w:val="28"/>
        </w:rPr>
        <w:t xml:space="preserve"> </w:t>
      </w:r>
      <w:r>
        <w:rPr>
          <w:sz w:val="28"/>
          <w:szCs w:val="28"/>
        </w:rPr>
        <w:t xml:space="preserve">neanche </w:t>
      </w:r>
      <w:r w:rsidR="0095713B" w:rsidRPr="0095713B">
        <w:rPr>
          <w:sz w:val="28"/>
          <w:szCs w:val="28"/>
        </w:rPr>
        <w:t xml:space="preserve">la giurisprudenza </w:t>
      </w:r>
      <w:r>
        <w:rPr>
          <w:sz w:val="28"/>
          <w:szCs w:val="28"/>
        </w:rPr>
        <w:t xml:space="preserve">è riuscita </w:t>
      </w:r>
      <w:r w:rsidR="0095713B" w:rsidRPr="0095713B">
        <w:rPr>
          <w:sz w:val="28"/>
          <w:szCs w:val="28"/>
        </w:rPr>
        <w:t xml:space="preserve">a dettare </w:t>
      </w:r>
      <w:r>
        <w:rPr>
          <w:sz w:val="28"/>
          <w:szCs w:val="28"/>
        </w:rPr>
        <w:t>direttive</w:t>
      </w:r>
      <w:r w:rsidR="0095713B" w:rsidRPr="0095713B">
        <w:rPr>
          <w:sz w:val="28"/>
          <w:szCs w:val="28"/>
        </w:rPr>
        <w:t xml:space="preserve"> da seguire, potendo </w:t>
      </w:r>
      <w:r>
        <w:rPr>
          <w:sz w:val="28"/>
          <w:szCs w:val="28"/>
        </w:rPr>
        <w:t>essere considerate rilevanti sul punto</w:t>
      </w:r>
      <w:r w:rsidR="0095713B" w:rsidRPr="0095713B">
        <w:rPr>
          <w:sz w:val="28"/>
          <w:szCs w:val="28"/>
        </w:rPr>
        <w:t xml:space="preserve"> soltanto le pronunce che sanciscono il divieto di utilizzo non autorizzato del marchio altrui come </w:t>
      </w:r>
      <w:proofErr w:type="spellStart"/>
      <w:r w:rsidR="0095713B" w:rsidRPr="006C24D7">
        <w:rPr>
          <w:i/>
          <w:iCs/>
          <w:sz w:val="28"/>
          <w:szCs w:val="28"/>
        </w:rPr>
        <w:t>AdWords</w:t>
      </w:r>
      <w:proofErr w:type="spellEnd"/>
      <w:r w:rsidR="0095713B" w:rsidRPr="0095713B">
        <w:rPr>
          <w:sz w:val="28"/>
          <w:szCs w:val="28"/>
        </w:rPr>
        <w:t xml:space="preserve"> o </w:t>
      </w:r>
      <w:r w:rsidR="0095713B" w:rsidRPr="006C24D7">
        <w:rPr>
          <w:i/>
          <w:iCs/>
          <w:sz w:val="28"/>
          <w:szCs w:val="28"/>
        </w:rPr>
        <w:t>keyword</w:t>
      </w:r>
      <w:r w:rsidR="0095713B" w:rsidRPr="0095713B">
        <w:rPr>
          <w:sz w:val="28"/>
          <w:szCs w:val="28"/>
        </w:rPr>
        <w:t xml:space="preserve">. </w:t>
      </w:r>
    </w:p>
    <w:p w14:paraId="12AA3B28" w14:textId="41F2992E" w:rsidR="00C20501" w:rsidRDefault="006C24D7" w:rsidP="00677B0A">
      <w:pPr>
        <w:pStyle w:val="NormaleWeb"/>
        <w:spacing w:before="0" w:beforeAutospacing="0" w:after="0" w:afterAutospacing="0"/>
        <w:jc w:val="both"/>
        <w:rPr>
          <w:sz w:val="28"/>
          <w:szCs w:val="28"/>
        </w:rPr>
      </w:pPr>
      <w:r>
        <w:rPr>
          <w:sz w:val="28"/>
          <w:szCs w:val="28"/>
        </w:rPr>
        <w:t>Ebbene, s</w:t>
      </w:r>
      <w:r w:rsidR="0095713B" w:rsidRPr="0095713B">
        <w:rPr>
          <w:sz w:val="28"/>
          <w:szCs w:val="28"/>
        </w:rPr>
        <w:t xml:space="preserve">u questo </w:t>
      </w:r>
      <w:r>
        <w:rPr>
          <w:sz w:val="28"/>
          <w:szCs w:val="28"/>
        </w:rPr>
        <w:t>elemento</w:t>
      </w:r>
      <w:r w:rsidR="0095713B" w:rsidRPr="0095713B">
        <w:rPr>
          <w:sz w:val="28"/>
          <w:szCs w:val="28"/>
        </w:rPr>
        <w:t xml:space="preserve"> si è espresso il Tribunale di Milano</w:t>
      </w:r>
      <w:r w:rsidR="0006510D">
        <w:rPr>
          <w:sz w:val="28"/>
          <w:szCs w:val="28"/>
        </w:rPr>
        <w:t xml:space="preserve"> nel 2018</w:t>
      </w:r>
      <w:r w:rsidR="00CC1C45">
        <w:rPr>
          <w:rStyle w:val="Rimandonotaapidipagina"/>
          <w:sz w:val="28"/>
          <w:szCs w:val="28"/>
        </w:rPr>
        <w:footnoteReference w:id="195"/>
      </w:r>
      <w:r w:rsidR="0006510D">
        <w:rPr>
          <w:sz w:val="28"/>
          <w:szCs w:val="28"/>
        </w:rPr>
        <w:t xml:space="preserve">: </w:t>
      </w:r>
      <w:r w:rsidR="00EF701F">
        <w:rPr>
          <w:sz w:val="28"/>
          <w:szCs w:val="28"/>
        </w:rPr>
        <w:t>i giudici hanno censurato</w:t>
      </w:r>
      <w:r w:rsidR="0095713B" w:rsidRPr="0095713B">
        <w:rPr>
          <w:sz w:val="28"/>
          <w:szCs w:val="28"/>
        </w:rPr>
        <w:t xml:space="preserve"> l’utilizzo del marchio </w:t>
      </w:r>
      <w:r w:rsidR="00EF701F">
        <w:rPr>
          <w:sz w:val="28"/>
          <w:szCs w:val="28"/>
        </w:rPr>
        <w:t>da parte di terzi</w:t>
      </w:r>
      <w:r w:rsidR="0095713B" w:rsidRPr="0095713B">
        <w:rPr>
          <w:sz w:val="28"/>
          <w:szCs w:val="28"/>
        </w:rPr>
        <w:t xml:space="preserve"> </w:t>
      </w:r>
      <w:r w:rsidR="00EF701F">
        <w:rPr>
          <w:sz w:val="28"/>
          <w:szCs w:val="28"/>
        </w:rPr>
        <w:t>al solo scopo parassitario,</w:t>
      </w:r>
      <w:r w:rsidR="0095713B" w:rsidRPr="0095713B">
        <w:rPr>
          <w:sz w:val="28"/>
          <w:szCs w:val="28"/>
        </w:rPr>
        <w:t xml:space="preserve"> </w:t>
      </w:r>
      <w:r w:rsidR="00EF701F">
        <w:rPr>
          <w:sz w:val="28"/>
          <w:szCs w:val="28"/>
        </w:rPr>
        <w:t xml:space="preserve">per sfruttare la </w:t>
      </w:r>
      <w:r w:rsidR="0095713B" w:rsidRPr="0095713B">
        <w:rPr>
          <w:sz w:val="28"/>
          <w:szCs w:val="28"/>
        </w:rPr>
        <w:t>rinomanza d</w:t>
      </w:r>
      <w:r w:rsidR="00EF701F">
        <w:rPr>
          <w:sz w:val="28"/>
          <w:szCs w:val="28"/>
        </w:rPr>
        <w:t xml:space="preserve">el nome del marchio </w:t>
      </w:r>
      <w:r w:rsidR="0095713B" w:rsidRPr="0095713B">
        <w:rPr>
          <w:sz w:val="28"/>
          <w:szCs w:val="28"/>
        </w:rPr>
        <w:t xml:space="preserve">per accreditare i propri prodotti. </w:t>
      </w:r>
    </w:p>
    <w:p w14:paraId="1B1EF745" w14:textId="03453FB8" w:rsidR="00EF701F" w:rsidRDefault="00EF701F" w:rsidP="00677B0A">
      <w:pPr>
        <w:pStyle w:val="NormaleWeb"/>
        <w:spacing w:before="0" w:beforeAutospacing="0" w:after="0" w:afterAutospacing="0"/>
        <w:jc w:val="both"/>
        <w:rPr>
          <w:sz w:val="28"/>
          <w:szCs w:val="28"/>
        </w:rPr>
      </w:pPr>
      <w:r>
        <w:rPr>
          <w:sz w:val="28"/>
          <w:szCs w:val="28"/>
        </w:rPr>
        <w:t>Bisogna</w:t>
      </w:r>
      <w:r w:rsidR="0095713B" w:rsidRPr="0095713B">
        <w:rPr>
          <w:sz w:val="28"/>
          <w:szCs w:val="28"/>
        </w:rPr>
        <w:t xml:space="preserve"> </w:t>
      </w:r>
      <w:r>
        <w:rPr>
          <w:sz w:val="28"/>
          <w:szCs w:val="28"/>
        </w:rPr>
        <w:t>ribadire</w:t>
      </w:r>
      <w:r w:rsidR="0095713B" w:rsidRPr="0095713B">
        <w:rPr>
          <w:sz w:val="28"/>
          <w:szCs w:val="28"/>
        </w:rPr>
        <w:t xml:space="preserve">, infatti, che </w:t>
      </w:r>
      <w:r>
        <w:rPr>
          <w:sz w:val="28"/>
          <w:szCs w:val="28"/>
        </w:rPr>
        <w:t>il fine</w:t>
      </w:r>
      <w:r w:rsidR="0095713B" w:rsidRPr="0095713B">
        <w:rPr>
          <w:sz w:val="28"/>
          <w:szCs w:val="28"/>
        </w:rPr>
        <w:t xml:space="preserve"> delle parole chiave è quello di fornire all’utente la possibilità </w:t>
      </w:r>
      <w:r w:rsidRPr="0095713B">
        <w:rPr>
          <w:sz w:val="28"/>
          <w:szCs w:val="28"/>
        </w:rPr>
        <w:t xml:space="preserve">concreta </w:t>
      </w:r>
      <w:r w:rsidR="0095713B" w:rsidRPr="0095713B">
        <w:rPr>
          <w:sz w:val="28"/>
          <w:szCs w:val="28"/>
        </w:rPr>
        <w:t xml:space="preserve">di </w:t>
      </w:r>
      <w:r>
        <w:rPr>
          <w:sz w:val="28"/>
          <w:szCs w:val="28"/>
        </w:rPr>
        <w:t>scegliere tra</w:t>
      </w:r>
      <w:r w:rsidR="0095713B" w:rsidRPr="0095713B">
        <w:rPr>
          <w:sz w:val="28"/>
          <w:szCs w:val="28"/>
        </w:rPr>
        <w:t xml:space="preserve"> le alternative commerciali presenti sul mercato.</w:t>
      </w:r>
    </w:p>
    <w:p w14:paraId="36F7DCCF" w14:textId="04B5BD4E" w:rsidR="00677B0A" w:rsidRPr="0095713B" w:rsidRDefault="00EF701F" w:rsidP="00677B0A">
      <w:pPr>
        <w:pStyle w:val="NormaleWeb"/>
        <w:spacing w:before="0" w:beforeAutospacing="0" w:after="0" w:afterAutospacing="0"/>
        <w:jc w:val="both"/>
        <w:rPr>
          <w:sz w:val="28"/>
          <w:szCs w:val="28"/>
        </w:rPr>
      </w:pPr>
      <w:r>
        <w:rPr>
          <w:sz w:val="28"/>
          <w:szCs w:val="28"/>
        </w:rPr>
        <w:t>Comunque, nel silenzio del legislatore sul punto, i</w:t>
      </w:r>
      <w:r w:rsidR="0095713B" w:rsidRPr="0095713B">
        <w:rPr>
          <w:sz w:val="28"/>
          <w:szCs w:val="28"/>
        </w:rPr>
        <w:t xml:space="preserve">n ragione della crescente importanza dell’utilizzo </w:t>
      </w:r>
      <w:r>
        <w:rPr>
          <w:sz w:val="28"/>
          <w:szCs w:val="28"/>
        </w:rPr>
        <w:t xml:space="preserve">degli </w:t>
      </w:r>
      <w:proofErr w:type="spellStart"/>
      <w:r w:rsidRPr="00EF701F">
        <w:rPr>
          <w:i/>
          <w:iCs/>
          <w:sz w:val="28"/>
          <w:szCs w:val="28"/>
        </w:rPr>
        <w:t>hashtag</w:t>
      </w:r>
      <w:proofErr w:type="spellEnd"/>
      <w:r w:rsidR="0095713B" w:rsidRPr="0095713B">
        <w:rPr>
          <w:sz w:val="28"/>
          <w:szCs w:val="28"/>
        </w:rPr>
        <w:t xml:space="preserve"> sul mercato,</w:t>
      </w:r>
      <w:r>
        <w:rPr>
          <w:sz w:val="28"/>
          <w:szCs w:val="28"/>
        </w:rPr>
        <w:t xml:space="preserve"> </w:t>
      </w:r>
      <w:r w:rsidR="0095713B" w:rsidRPr="0095713B">
        <w:rPr>
          <w:sz w:val="28"/>
          <w:szCs w:val="28"/>
        </w:rPr>
        <w:t>molti produttori hanno iniziato a registrar</w:t>
      </w:r>
      <w:r>
        <w:rPr>
          <w:sz w:val="28"/>
          <w:szCs w:val="28"/>
        </w:rPr>
        <w:t>li</w:t>
      </w:r>
      <w:r w:rsidR="0095713B" w:rsidRPr="0095713B">
        <w:rPr>
          <w:sz w:val="28"/>
          <w:szCs w:val="28"/>
        </w:rPr>
        <w:t xml:space="preserve"> </w:t>
      </w:r>
      <w:r>
        <w:rPr>
          <w:sz w:val="28"/>
          <w:szCs w:val="28"/>
        </w:rPr>
        <w:t xml:space="preserve">insieme </w:t>
      </w:r>
      <w:r w:rsidR="0095713B" w:rsidRPr="0095713B">
        <w:rPr>
          <w:sz w:val="28"/>
          <w:szCs w:val="28"/>
        </w:rPr>
        <w:t>ai marchi.</w:t>
      </w:r>
    </w:p>
    <w:p w14:paraId="524055B0" w14:textId="77777777" w:rsidR="00C20501" w:rsidRDefault="00C330D5" w:rsidP="00E211A3">
      <w:pPr>
        <w:pStyle w:val="NormaleWeb"/>
        <w:spacing w:before="0" w:beforeAutospacing="0" w:after="0" w:afterAutospacing="0"/>
        <w:jc w:val="both"/>
        <w:rPr>
          <w:sz w:val="28"/>
          <w:szCs w:val="28"/>
        </w:rPr>
      </w:pPr>
      <w:r>
        <w:rPr>
          <w:sz w:val="28"/>
          <w:szCs w:val="28"/>
        </w:rPr>
        <w:t>L’</w:t>
      </w:r>
      <w:r w:rsidRPr="0095713B">
        <w:rPr>
          <w:sz w:val="28"/>
          <w:szCs w:val="28"/>
        </w:rPr>
        <w:t>interesse verso i rischi legati alla tutela dei diritti di proprietà intellettuale</w:t>
      </w:r>
      <w:r w:rsidR="00C20501">
        <w:rPr>
          <w:sz w:val="28"/>
          <w:szCs w:val="28"/>
        </w:rPr>
        <w:t>,</w:t>
      </w:r>
      <w:r w:rsidRPr="0095713B">
        <w:rPr>
          <w:sz w:val="28"/>
          <w:szCs w:val="28"/>
        </w:rPr>
        <w:t xml:space="preserve"> nel contesto </w:t>
      </w:r>
      <w:r>
        <w:rPr>
          <w:sz w:val="28"/>
          <w:szCs w:val="28"/>
        </w:rPr>
        <w:t>emergente</w:t>
      </w:r>
      <w:r w:rsidRPr="0095713B">
        <w:rPr>
          <w:sz w:val="28"/>
          <w:szCs w:val="28"/>
        </w:rPr>
        <w:t xml:space="preserve"> dei </w:t>
      </w:r>
      <w:r w:rsidRPr="00C330D5">
        <w:rPr>
          <w:i/>
          <w:iCs/>
          <w:sz w:val="28"/>
          <w:szCs w:val="28"/>
        </w:rPr>
        <w:t xml:space="preserve">social </w:t>
      </w:r>
      <w:r>
        <w:rPr>
          <w:i/>
          <w:iCs/>
          <w:sz w:val="28"/>
          <w:szCs w:val="28"/>
        </w:rPr>
        <w:t>network</w:t>
      </w:r>
      <w:r w:rsidR="00C20501">
        <w:rPr>
          <w:i/>
          <w:iCs/>
          <w:sz w:val="28"/>
          <w:szCs w:val="28"/>
        </w:rPr>
        <w:t>,</w:t>
      </w:r>
      <w:r>
        <w:rPr>
          <w:sz w:val="28"/>
          <w:szCs w:val="28"/>
        </w:rPr>
        <w:t xml:space="preserve"> è cresciuto anche</w:t>
      </w:r>
      <w:r w:rsidR="0095713B" w:rsidRPr="0095713B">
        <w:rPr>
          <w:sz w:val="28"/>
          <w:szCs w:val="28"/>
        </w:rPr>
        <w:t xml:space="preserve"> </w:t>
      </w:r>
      <w:r>
        <w:rPr>
          <w:sz w:val="28"/>
          <w:szCs w:val="28"/>
        </w:rPr>
        <w:t xml:space="preserve">in ambito </w:t>
      </w:r>
      <w:r w:rsidR="0095713B" w:rsidRPr="0095713B">
        <w:rPr>
          <w:sz w:val="28"/>
          <w:szCs w:val="28"/>
        </w:rPr>
        <w:t>europeo</w:t>
      </w:r>
      <w:r>
        <w:rPr>
          <w:sz w:val="28"/>
          <w:szCs w:val="28"/>
        </w:rPr>
        <w:t>, dove</w:t>
      </w:r>
      <w:r w:rsidR="0095713B" w:rsidRPr="0095713B">
        <w:rPr>
          <w:sz w:val="28"/>
          <w:szCs w:val="28"/>
        </w:rPr>
        <w:t xml:space="preserve"> si assiste ad </w:t>
      </w:r>
      <w:r>
        <w:rPr>
          <w:sz w:val="28"/>
          <w:szCs w:val="28"/>
        </w:rPr>
        <w:t xml:space="preserve">una </w:t>
      </w:r>
      <w:r w:rsidRPr="0095713B">
        <w:rPr>
          <w:sz w:val="28"/>
          <w:szCs w:val="28"/>
        </w:rPr>
        <w:t xml:space="preserve">approfondita </w:t>
      </w:r>
      <w:r w:rsidR="0095713B" w:rsidRPr="0095713B">
        <w:rPr>
          <w:sz w:val="28"/>
          <w:szCs w:val="28"/>
        </w:rPr>
        <w:t xml:space="preserve">analisi </w:t>
      </w:r>
      <w:r>
        <w:rPr>
          <w:sz w:val="28"/>
          <w:szCs w:val="28"/>
        </w:rPr>
        <w:t xml:space="preserve">della questione </w:t>
      </w:r>
      <w:r w:rsidR="0095713B" w:rsidRPr="0095713B">
        <w:rPr>
          <w:sz w:val="28"/>
          <w:szCs w:val="28"/>
        </w:rPr>
        <w:t>da parte dell’EUIPO</w:t>
      </w:r>
      <w:r>
        <w:rPr>
          <w:sz w:val="28"/>
          <w:szCs w:val="28"/>
        </w:rPr>
        <w:t>, in particolare</w:t>
      </w:r>
      <w:r w:rsidR="0095713B" w:rsidRPr="0095713B">
        <w:rPr>
          <w:sz w:val="28"/>
          <w:szCs w:val="28"/>
        </w:rPr>
        <w:t xml:space="preserve"> nel documento </w:t>
      </w:r>
      <w:r w:rsidR="0095713B" w:rsidRPr="00677B0A">
        <w:rPr>
          <w:sz w:val="28"/>
          <w:szCs w:val="28"/>
        </w:rPr>
        <w:t>“</w:t>
      </w:r>
      <w:r w:rsidR="0095713B" w:rsidRPr="00C330D5">
        <w:rPr>
          <w:i/>
          <w:iCs/>
          <w:sz w:val="28"/>
          <w:szCs w:val="28"/>
        </w:rPr>
        <w:t xml:space="preserve">Social Media </w:t>
      </w:r>
      <w:proofErr w:type="spellStart"/>
      <w:r w:rsidR="0095713B" w:rsidRPr="00C330D5">
        <w:rPr>
          <w:i/>
          <w:iCs/>
          <w:sz w:val="28"/>
          <w:szCs w:val="28"/>
        </w:rPr>
        <w:t>Discussion</w:t>
      </w:r>
      <w:proofErr w:type="spellEnd"/>
      <w:r w:rsidR="0095713B" w:rsidRPr="00C330D5">
        <w:rPr>
          <w:i/>
          <w:iCs/>
          <w:sz w:val="28"/>
          <w:szCs w:val="28"/>
        </w:rPr>
        <w:t xml:space="preserve"> </w:t>
      </w:r>
      <w:proofErr w:type="spellStart"/>
      <w:r w:rsidR="0095713B" w:rsidRPr="00C330D5">
        <w:rPr>
          <w:i/>
          <w:iCs/>
          <w:sz w:val="28"/>
          <w:szCs w:val="28"/>
        </w:rPr>
        <w:t>Paper</w:t>
      </w:r>
      <w:proofErr w:type="spellEnd"/>
      <w:r w:rsidR="0095713B" w:rsidRPr="00677B0A">
        <w:rPr>
          <w:sz w:val="28"/>
          <w:szCs w:val="28"/>
        </w:rPr>
        <w:t>”</w:t>
      </w:r>
      <w:r w:rsidR="00EE2A5C" w:rsidRPr="00EE2A5C">
        <w:rPr>
          <w:rStyle w:val="Rimandonotaapidipagina"/>
          <w:sz w:val="28"/>
          <w:szCs w:val="28"/>
        </w:rPr>
        <w:footnoteReference w:id="196"/>
      </w:r>
      <w:r w:rsidR="0095713B" w:rsidRPr="00EE2A5C">
        <w:rPr>
          <w:sz w:val="28"/>
          <w:szCs w:val="28"/>
        </w:rPr>
        <w:t>,</w:t>
      </w:r>
      <w:r w:rsidR="0095713B" w:rsidRPr="0095713B">
        <w:rPr>
          <w:sz w:val="28"/>
          <w:szCs w:val="28"/>
        </w:rPr>
        <w:t xml:space="preserve"> </w:t>
      </w:r>
      <w:r w:rsidR="002C1F17">
        <w:rPr>
          <w:sz w:val="28"/>
          <w:szCs w:val="28"/>
        </w:rPr>
        <w:t xml:space="preserve">il cui intento è quello di evidenziare le violazioni </w:t>
      </w:r>
      <w:r w:rsidR="0095713B" w:rsidRPr="0095713B">
        <w:rPr>
          <w:sz w:val="28"/>
          <w:szCs w:val="28"/>
        </w:rPr>
        <w:t xml:space="preserve">che, </w:t>
      </w:r>
      <w:r w:rsidR="002C1F17">
        <w:rPr>
          <w:sz w:val="28"/>
          <w:szCs w:val="28"/>
        </w:rPr>
        <w:t>in particolare</w:t>
      </w:r>
      <w:r w:rsidR="00C20501">
        <w:rPr>
          <w:sz w:val="28"/>
          <w:szCs w:val="28"/>
        </w:rPr>
        <w:t>, avvengono</w:t>
      </w:r>
      <w:r w:rsidR="002C1F17">
        <w:rPr>
          <w:sz w:val="28"/>
          <w:szCs w:val="28"/>
        </w:rPr>
        <w:t xml:space="preserve"> </w:t>
      </w:r>
      <w:r w:rsidR="0095713B" w:rsidRPr="0095713B">
        <w:rPr>
          <w:sz w:val="28"/>
          <w:szCs w:val="28"/>
        </w:rPr>
        <w:t xml:space="preserve">attraverso i </w:t>
      </w:r>
      <w:r w:rsidR="0095713B" w:rsidRPr="002C1F17">
        <w:rPr>
          <w:i/>
          <w:iCs/>
          <w:sz w:val="28"/>
          <w:szCs w:val="28"/>
        </w:rPr>
        <w:t>social</w:t>
      </w:r>
      <w:r w:rsidR="002C1F17">
        <w:rPr>
          <w:sz w:val="28"/>
          <w:szCs w:val="28"/>
        </w:rPr>
        <w:t xml:space="preserve">, ma anche quelle violazioni </w:t>
      </w:r>
      <w:r w:rsidR="0095713B" w:rsidRPr="0095713B">
        <w:rPr>
          <w:sz w:val="28"/>
          <w:szCs w:val="28"/>
        </w:rPr>
        <w:t>riconducibili esclusivamente a</w:t>
      </w:r>
      <w:r w:rsidR="002C1F17">
        <w:rPr>
          <w:sz w:val="28"/>
          <w:szCs w:val="28"/>
        </w:rPr>
        <w:t>l</w:t>
      </w:r>
      <w:r w:rsidR="0095713B" w:rsidRPr="0095713B">
        <w:rPr>
          <w:sz w:val="28"/>
          <w:szCs w:val="28"/>
        </w:rPr>
        <w:t xml:space="preserve"> particolare contesto</w:t>
      </w:r>
      <w:r w:rsidR="002C1F17">
        <w:rPr>
          <w:sz w:val="28"/>
          <w:szCs w:val="28"/>
        </w:rPr>
        <w:t xml:space="preserve"> dei </w:t>
      </w:r>
      <w:r w:rsidR="002C1F17" w:rsidRPr="002C1F17">
        <w:rPr>
          <w:i/>
          <w:iCs/>
          <w:sz w:val="28"/>
          <w:szCs w:val="28"/>
        </w:rPr>
        <w:t>social media</w:t>
      </w:r>
      <w:r w:rsidR="0095713B" w:rsidRPr="0095713B">
        <w:rPr>
          <w:sz w:val="28"/>
          <w:szCs w:val="28"/>
        </w:rPr>
        <w:t xml:space="preserve">. </w:t>
      </w:r>
      <w:r w:rsidR="002C1F17">
        <w:rPr>
          <w:sz w:val="28"/>
          <w:szCs w:val="28"/>
        </w:rPr>
        <w:t xml:space="preserve">È anche riportato l’ambito concernente i </w:t>
      </w:r>
      <w:r w:rsidR="0095713B" w:rsidRPr="0095713B">
        <w:rPr>
          <w:sz w:val="28"/>
          <w:szCs w:val="28"/>
        </w:rPr>
        <w:t xml:space="preserve">casi in cui i </w:t>
      </w:r>
      <w:r w:rsidR="0095713B" w:rsidRPr="00414A7C">
        <w:rPr>
          <w:i/>
          <w:iCs/>
          <w:sz w:val="28"/>
          <w:szCs w:val="28"/>
        </w:rPr>
        <w:t xml:space="preserve">social </w:t>
      </w:r>
      <w:r w:rsidR="00414A7C">
        <w:rPr>
          <w:i/>
          <w:iCs/>
          <w:sz w:val="28"/>
          <w:szCs w:val="28"/>
        </w:rPr>
        <w:t>network</w:t>
      </w:r>
      <w:r w:rsidR="0095713B" w:rsidRPr="0095713B">
        <w:rPr>
          <w:sz w:val="28"/>
          <w:szCs w:val="28"/>
        </w:rPr>
        <w:t xml:space="preserve"> non costituiscono </w:t>
      </w:r>
      <w:r w:rsidR="00414A7C">
        <w:rPr>
          <w:sz w:val="28"/>
          <w:szCs w:val="28"/>
        </w:rPr>
        <w:t xml:space="preserve">di </w:t>
      </w:r>
      <w:r w:rsidR="0095713B" w:rsidRPr="0095713B">
        <w:rPr>
          <w:sz w:val="28"/>
          <w:szCs w:val="28"/>
        </w:rPr>
        <w:t xml:space="preserve">per </w:t>
      </w:r>
      <w:r w:rsidR="00414A7C">
        <w:rPr>
          <w:sz w:val="28"/>
          <w:szCs w:val="28"/>
        </w:rPr>
        <w:t>sé</w:t>
      </w:r>
      <w:r w:rsidR="0095713B" w:rsidRPr="0095713B">
        <w:rPr>
          <w:sz w:val="28"/>
          <w:szCs w:val="28"/>
        </w:rPr>
        <w:t xml:space="preserve"> il mezzo</w:t>
      </w:r>
      <w:r w:rsidR="00EE2A5C">
        <w:rPr>
          <w:sz w:val="28"/>
          <w:szCs w:val="28"/>
        </w:rPr>
        <w:t xml:space="preserve"> </w:t>
      </w:r>
      <w:r w:rsidR="00414A7C">
        <w:rPr>
          <w:sz w:val="28"/>
          <w:szCs w:val="28"/>
        </w:rPr>
        <w:t>con cui avvengono le violazioni dei</w:t>
      </w:r>
      <w:r w:rsidR="0095713B" w:rsidRPr="0095713B">
        <w:rPr>
          <w:sz w:val="28"/>
          <w:szCs w:val="28"/>
        </w:rPr>
        <w:t xml:space="preserve"> diritti IP, </w:t>
      </w:r>
      <w:r w:rsidR="00414A7C">
        <w:rPr>
          <w:sz w:val="28"/>
          <w:szCs w:val="28"/>
        </w:rPr>
        <w:t>ma</w:t>
      </w:r>
      <w:r w:rsidR="0095713B" w:rsidRPr="0095713B">
        <w:rPr>
          <w:sz w:val="28"/>
          <w:szCs w:val="28"/>
        </w:rPr>
        <w:t xml:space="preserve"> piuttosto </w:t>
      </w:r>
      <w:r w:rsidR="00414A7C">
        <w:rPr>
          <w:sz w:val="28"/>
          <w:szCs w:val="28"/>
        </w:rPr>
        <w:t>rappresentano lo</w:t>
      </w:r>
      <w:r w:rsidR="0095713B" w:rsidRPr="0095713B">
        <w:rPr>
          <w:sz w:val="28"/>
          <w:szCs w:val="28"/>
        </w:rPr>
        <w:t xml:space="preserve"> strumento di divulgazione di informazioni concernenti siti che ne sono responsabili.</w:t>
      </w:r>
    </w:p>
    <w:p w14:paraId="469BC1B5" w14:textId="0924298B" w:rsidR="00E211A3" w:rsidRDefault="00E211A3" w:rsidP="00E211A3">
      <w:pPr>
        <w:pStyle w:val="NormaleWeb"/>
        <w:spacing w:before="0" w:beforeAutospacing="0" w:after="0" w:afterAutospacing="0"/>
        <w:jc w:val="both"/>
        <w:rPr>
          <w:sz w:val="28"/>
          <w:szCs w:val="28"/>
        </w:rPr>
      </w:pPr>
      <w:r>
        <w:rPr>
          <w:sz w:val="28"/>
          <w:szCs w:val="28"/>
        </w:rPr>
        <w:br/>
      </w:r>
      <w:r w:rsidR="0095713B" w:rsidRPr="0095713B">
        <w:rPr>
          <w:sz w:val="28"/>
          <w:szCs w:val="28"/>
        </w:rPr>
        <w:t xml:space="preserve">Nella prima </w:t>
      </w:r>
      <w:r w:rsidR="00AF58B3">
        <w:rPr>
          <w:sz w:val="28"/>
          <w:szCs w:val="28"/>
        </w:rPr>
        <w:t>ipotesi</w:t>
      </w:r>
      <w:r w:rsidR="00C20501">
        <w:rPr>
          <w:sz w:val="28"/>
          <w:szCs w:val="28"/>
        </w:rPr>
        <w:t>,</w:t>
      </w:r>
      <w:r w:rsidR="00AF58B3">
        <w:rPr>
          <w:sz w:val="28"/>
          <w:szCs w:val="28"/>
        </w:rPr>
        <w:t xml:space="preserve"> sono ricompresi</w:t>
      </w:r>
      <w:r w:rsidR="0095713B" w:rsidRPr="0095713B">
        <w:rPr>
          <w:sz w:val="28"/>
          <w:szCs w:val="28"/>
        </w:rPr>
        <w:t xml:space="preserve"> </w:t>
      </w:r>
      <w:r w:rsidR="00AF58B3">
        <w:rPr>
          <w:sz w:val="28"/>
          <w:szCs w:val="28"/>
        </w:rPr>
        <w:t xml:space="preserve">i </w:t>
      </w:r>
      <w:r w:rsidR="0095713B" w:rsidRPr="0095713B">
        <w:rPr>
          <w:sz w:val="28"/>
          <w:szCs w:val="28"/>
        </w:rPr>
        <w:t xml:space="preserve">servizi </w:t>
      </w:r>
      <w:r w:rsidR="00AF58B3">
        <w:rPr>
          <w:sz w:val="28"/>
          <w:szCs w:val="28"/>
        </w:rPr>
        <w:t>come</w:t>
      </w:r>
      <w:r w:rsidR="0095713B" w:rsidRPr="0095713B">
        <w:rPr>
          <w:sz w:val="28"/>
          <w:szCs w:val="28"/>
        </w:rPr>
        <w:t xml:space="preserve"> l’</w:t>
      </w:r>
      <w:r w:rsidR="0095713B" w:rsidRPr="00AF58B3">
        <w:rPr>
          <w:i/>
          <w:iCs/>
          <w:sz w:val="28"/>
          <w:szCs w:val="28"/>
        </w:rPr>
        <w:t>hosting</w:t>
      </w:r>
      <w:r w:rsidR="0095713B" w:rsidRPr="0095713B">
        <w:rPr>
          <w:sz w:val="28"/>
          <w:szCs w:val="28"/>
        </w:rPr>
        <w:t xml:space="preserve">, lo </w:t>
      </w:r>
      <w:r w:rsidR="0095713B" w:rsidRPr="00AF58B3">
        <w:rPr>
          <w:i/>
          <w:iCs/>
          <w:sz w:val="28"/>
          <w:szCs w:val="28"/>
        </w:rPr>
        <w:t>streaming</w:t>
      </w:r>
      <w:r w:rsidR="0095713B" w:rsidRPr="0095713B">
        <w:rPr>
          <w:sz w:val="28"/>
          <w:szCs w:val="28"/>
        </w:rPr>
        <w:t xml:space="preserve"> e il </w:t>
      </w:r>
      <w:r w:rsidR="0095713B" w:rsidRPr="00AF58B3">
        <w:rPr>
          <w:i/>
          <w:iCs/>
          <w:sz w:val="28"/>
          <w:szCs w:val="28"/>
        </w:rPr>
        <w:t>live streaming</w:t>
      </w:r>
      <w:r w:rsidR="0095713B" w:rsidRPr="0095713B">
        <w:rPr>
          <w:sz w:val="28"/>
          <w:szCs w:val="28"/>
        </w:rPr>
        <w:t>.</w:t>
      </w:r>
      <w:r w:rsidR="00677B0A">
        <w:rPr>
          <w:sz w:val="28"/>
          <w:szCs w:val="28"/>
        </w:rPr>
        <w:t xml:space="preserve"> </w:t>
      </w:r>
      <w:r w:rsidR="00AF58B3">
        <w:rPr>
          <w:sz w:val="28"/>
          <w:szCs w:val="28"/>
        </w:rPr>
        <w:t>Inoltre, l’utilizzo dei</w:t>
      </w:r>
      <w:r w:rsidR="0095713B" w:rsidRPr="0095713B">
        <w:rPr>
          <w:sz w:val="28"/>
          <w:szCs w:val="28"/>
        </w:rPr>
        <w:t xml:space="preserve"> </w:t>
      </w:r>
      <w:r w:rsidR="0095713B" w:rsidRPr="00AF58B3">
        <w:rPr>
          <w:i/>
          <w:iCs/>
          <w:sz w:val="28"/>
          <w:szCs w:val="28"/>
        </w:rPr>
        <w:t>social media</w:t>
      </w:r>
      <w:r w:rsidR="0095713B" w:rsidRPr="0095713B">
        <w:rPr>
          <w:sz w:val="28"/>
          <w:szCs w:val="28"/>
        </w:rPr>
        <w:t xml:space="preserve"> </w:t>
      </w:r>
      <w:r w:rsidR="00AF58B3">
        <w:rPr>
          <w:sz w:val="28"/>
          <w:szCs w:val="28"/>
        </w:rPr>
        <w:t>può portare a sponsorizzare</w:t>
      </w:r>
      <w:r w:rsidR="0095713B" w:rsidRPr="0095713B">
        <w:rPr>
          <w:sz w:val="28"/>
          <w:szCs w:val="28"/>
        </w:rPr>
        <w:t xml:space="preserve"> contenuti che violano i diritti di proprietà intellettuale, </w:t>
      </w:r>
      <w:r w:rsidR="00AF58B3">
        <w:rPr>
          <w:sz w:val="28"/>
          <w:szCs w:val="28"/>
        </w:rPr>
        <w:t>tramite</w:t>
      </w:r>
      <w:r w:rsidR="0095713B" w:rsidRPr="0095713B">
        <w:rPr>
          <w:sz w:val="28"/>
          <w:szCs w:val="28"/>
        </w:rPr>
        <w:t xml:space="preserve"> sponsorizzazioni che rimandano gli utenti</w:t>
      </w:r>
      <w:r w:rsidR="00AF58B3">
        <w:rPr>
          <w:sz w:val="28"/>
          <w:szCs w:val="28"/>
        </w:rPr>
        <w:t>-consumatori</w:t>
      </w:r>
      <w:r w:rsidR="0095713B" w:rsidRPr="0095713B">
        <w:rPr>
          <w:sz w:val="28"/>
          <w:szCs w:val="28"/>
        </w:rPr>
        <w:t xml:space="preserve"> ad altri siti e pagine esterne</w:t>
      </w:r>
      <w:r>
        <w:rPr>
          <w:sz w:val="28"/>
          <w:szCs w:val="28"/>
        </w:rPr>
        <w:t>.</w:t>
      </w:r>
      <w:r w:rsidR="0095713B" w:rsidRPr="0095713B">
        <w:rPr>
          <w:sz w:val="28"/>
          <w:szCs w:val="28"/>
        </w:rPr>
        <w:t xml:space="preserve"> </w:t>
      </w:r>
    </w:p>
    <w:p w14:paraId="683D2275" w14:textId="4B5A737D" w:rsidR="00D724EF" w:rsidRDefault="00AF58B3" w:rsidP="00E211A3">
      <w:pPr>
        <w:pStyle w:val="NormaleWeb"/>
        <w:spacing w:before="0" w:beforeAutospacing="0" w:after="0" w:afterAutospacing="0"/>
        <w:jc w:val="both"/>
        <w:rPr>
          <w:sz w:val="28"/>
          <w:szCs w:val="28"/>
        </w:rPr>
      </w:pPr>
      <w:r>
        <w:rPr>
          <w:sz w:val="28"/>
          <w:szCs w:val="28"/>
        </w:rPr>
        <w:t>È importante la distinzione tra questa categoria e quella</w:t>
      </w:r>
      <w:r w:rsidR="00D724EF">
        <w:rPr>
          <w:sz w:val="28"/>
          <w:szCs w:val="28"/>
        </w:rPr>
        <w:t>,</w:t>
      </w:r>
      <w:r>
        <w:rPr>
          <w:sz w:val="28"/>
          <w:szCs w:val="28"/>
        </w:rPr>
        <w:t xml:space="preserve"> diversa</w:t>
      </w:r>
      <w:r w:rsidR="00D724EF">
        <w:rPr>
          <w:sz w:val="28"/>
          <w:szCs w:val="28"/>
        </w:rPr>
        <w:t>,</w:t>
      </w:r>
      <w:r w:rsidR="0095713B" w:rsidRPr="0095713B">
        <w:rPr>
          <w:sz w:val="28"/>
          <w:szCs w:val="28"/>
        </w:rPr>
        <w:t xml:space="preserve"> </w:t>
      </w:r>
      <w:r>
        <w:rPr>
          <w:sz w:val="28"/>
          <w:szCs w:val="28"/>
        </w:rPr>
        <w:t xml:space="preserve">che </w:t>
      </w:r>
      <w:r w:rsidR="0095713B" w:rsidRPr="0095713B">
        <w:rPr>
          <w:sz w:val="28"/>
          <w:szCs w:val="28"/>
        </w:rPr>
        <w:t xml:space="preserve">riguarda più nello specifico l’attività degli </w:t>
      </w:r>
      <w:proofErr w:type="spellStart"/>
      <w:r w:rsidR="0095713B" w:rsidRPr="00AF58B3">
        <w:rPr>
          <w:i/>
          <w:iCs/>
          <w:sz w:val="28"/>
          <w:szCs w:val="28"/>
        </w:rPr>
        <w:t>influencer</w:t>
      </w:r>
      <w:proofErr w:type="spellEnd"/>
      <w:r w:rsidR="00C20501">
        <w:rPr>
          <w:i/>
          <w:iCs/>
          <w:sz w:val="28"/>
          <w:szCs w:val="28"/>
        </w:rPr>
        <w:t>,</w:t>
      </w:r>
      <w:r w:rsidR="00D724EF">
        <w:rPr>
          <w:sz w:val="28"/>
          <w:szCs w:val="28"/>
        </w:rPr>
        <w:t xml:space="preserve"> che promuovono i </w:t>
      </w:r>
      <w:r w:rsidR="0095713B" w:rsidRPr="00677B0A">
        <w:rPr>
          <w:sz w:val="28"/>
          <w:szCs w:val="28"/>
        </w:rPr>
        <w:t xml:space="preserve">prodotti attraverso i propri </w:t>
      </w:r>
      <w:r w:rsidR="0095713B" w:rsidRPr="00AF58B3">
        <w:rPr>
          <w:i/>
          <w:iCs/>
          <w:sz w:val="28"/>
          <w:szCs w:val="28"/>
        </w:rPr>
        <w:t>account social</w:t>
      </w:r>
      <w:r w:rsidR="0095713B" w:rsidRPr="00677B0A">
        <w:rPr>
          <w:sz w:val="28"/>
          <w:szCs w:val="28"/>
        </w:rPr>
        <w:t>.</w:t>
      </w:r>
    </w:p>
    <w:p w14:paraId="1A124EE3" w14:textId="471444C6" w:rsidR="0095713B" w:rsidRDefault="00D724EF" w:rsidP="00E211A3">
      <w:pPr>
        <w:pStyle w:val="NormaleWeb"/>
        <w:spacing w:before="0" w:beforeAutospacing="0" w:after="0" w:afterAutospacing="0"/>
        <w:jc w:val="both"/>
        <w:rPr>
          <w:sz w:val="28"/>
          <w:szCs w:val="28"/>
        </w:rPr>
      </w:pPr>
      <w:r>
        <w:rPr>
          <w:sz w:val="28"/>
          <w:szCs w:val="28"/>
        </w:rPr>
        <w:t>L</w:t>
      </w:r>
      <w:r w:rsidR="0095713B" w:rsidRPr="00677B0A">
        <w:rPr>
          <w:sz w:val="28"/>
          <w:szCs w:val="28"/>
        </w:rPr>
        <w:t>’EUIPO</w:t>
      </w:r>
      <w:r>
        <w:rPr>
          <w:sz w:val="28"/>
          <w:szCs w:val="28"/>
        </w:rPr>
        <w:t xml:space="preserve"> ha approfondito il profilo</w:t>
      </w:r>
      <w:r w:rsidR="0095713B" w:rsidRPr="00677B0A">
        <w:rPr>
          <w:sz w:val="28"/>
          <w:szCs w:val="28"/>
        </w:rPr>
        <w:t xml:space="preserve"> </w:t>
      </w:r>
      <w:r>
        <w:rPr>
          <w:sz w:val="28"/>
          <w:szCs w:val="28"/>
        </w:rPr>
        <w:t>relativo ai</w:t>
      </w:r>
      <w:r w:rsidR="0095713B" w:rsidRPr="00677B0A">
        <w:rPr>
          <w:sz w:val="28"/>
          <w:szCs w:val="28"/>
        </w:rPr>
        <w:t xml:space="preserve"> possibili casi di contraffazione del marchio. </w:t>
      </w:r>
      <w:r>
        <w:rPr>
          <w:sz w:val="28"/>
          <w:szCs w:val="28"/>
        </w:rPr>
        <w:t>Si fa</w:t>
      </w:r>
      <w:r w:rsidR="0095713B" w:rsidRPr="00677B0A">
        <w:rPr>
          <w:sz w:val="28"/>
          <w:szCs w:val="28"/>
        </w:rPr>
        <w:t xml:space="preserve"> l’esempio di </w:t>
      </w:r>
      <w:proofErr w:type="spellStart"/>
      <w:r w:rsidR="0095713B" w:rsidRPr="00D724EF">
        <w:rPr>
          <w:i/>
          <w:iCs/>
          <w:sz w:val="28"/>
          <w:szCs w:val="28"/>
        </w:rPr>
        <w:t>influencer</w:t>
      </w:r>
      <w:proofErr w:type="spellEnd"/>
      <w:r w:rsidR="0095713B" w:rsidRPr="00677B0A">
        <w:rPr>
          <w:sz w:val="28"/>
          <w:szCs w:val="28"/>
        </w:rPr>
        <w:t xml:space="preserve"> che incoraggiavano i propri utenti</w:t>
      </w:r>
      <w:r>
        <w:rPr>
          <w:sz w:val="28"/>
          <w:szCs w:val="28"/>
        </w:rPr>
        <w:t>-</w:t>
      </w:r>
      <w:proofErr w:type="spellStart"/>
      <w:r w:rsidRPr="00D724EF">
        <w:rPr>
          <w:i/>
          <w:iCs/>
          <w:sz w:val="28"/>
          <w:szCs w:val="28"/>
        </w:rPr>
        <w:t>followers</w:t>
      </w:r>
      <w:proofErr w:type="spellEnd"/>
      <w:r w:rsidR="0095713B" w:rsidRPr="00677B0A">
        <w:rPr>
          <w:sz w:val="28"/>
          <w:szCs w:val="28"/>
        </w:rPr>
        <w:t xml:space="preserve"> ad acquistare la versione economica di prodotti noti.</w:t>
      </w:r>
    </w:p>
    <w:p w14:paraId="51A5C04E" w14:textId="77777777" w:rsidR="001E1F75" w:rsidRDefault="00D724EF" w:rsidP="00677B0A">
      <w:pPr>
        <w:pStyle w:val="NormaleWeb"/>
        <w:spacing w:before="0" w:beforeAutospacing="0" w:after="0" w:afterAutospacing="0"/>
        <w:jc w:val="both"/>
        <w:rPr>
          <w:sz w:val="28"/>
          <w:szCs w:val="28"/>
        </w:rPr>
      </w:pPr>
      <w:r>
        <w:rPr>
          <w:sz w:val="28"/>
          <w:szCs w:val="28"/>
        </w:rPr>
        <w:lastRenderedPageBreak/>
        <w:t>Un altro esempio interessante</w:t>
      </w:r>
      <w:r w:rsidR="0095713B" w:rsidRPr="00677B0A">
        <w:rPr>
          <w:sz w:val="28"/>
          <w:szCs w:val="28"/>
        </w:rPr>
        <w:t xml:space="preserve"> è quello dei c.d. “</w:t>
      </w:r>
      <w:proofErr w:type="spellStart"/>
      <w:r w:rsidR="0095713B" w:rsidRPr="00677B0A">
        <w:rPr>
          <w:i/>
          <w:iCs/>
          <w:sz w:val="28"/>
          <w:szCs w:val="28"/>
        </w:rPr>
        <w:t>burner</w:t>
      </w:r>
      <w:proofErr w:type="spellEnd"/>
      <w:r w:rsidR="0095713B" w:rsidRPr="00677B0A">
        <w:rPr>
          <w:i/>
          <w:iCs/>
          <w:sz w:val="28"/>
          <w:szCs w:val="28"/>
        </w:rPr>
        <w:t xml:space="preserve"> accounts</w:t>
      </w:r>
      <w:r w:rsidR="0095713B" w:rsidRPr="00677B0A">
        <w:rPr>
          <w:sz w:val="28"/>
          <w:szCs w:val="28"/>
        </w:rPr>
        <w:t>”,</w:t>
      </w:r>
      <w:r w:rsidR="0095713B" w:rsidRPr="0095713B">
        <w:rPr>
          <w:sz w:val="28"/>
          <w:szCs w:val="28"/>
        </w:rPr>
        <w:t xml:space="preserve"> </w:t>
      </w:r>
      <w:r w:rsidR="0095713B" w:rsidRPr="001E1F75">
        <w:rPr>
          <w:i/>
          <w:iCs/>
          <w:sz w:val="28"/>
          <w:szCs w:val="28"/>
        </w:rPr>
        <w:t>account</w:t>
      </w:r>
      <w:r w:rsidR="0095713B" w:rsidRPr="0095713B">
        <w:rPr>
          <w:sz w:val="28"/>
          <w:szCs w:val="28"/>
        </w:rPr>
        <w:t xml:space="preserve"> </w:t>
      </w:r>
      <w:r>
        <w:rPr>
          <w:sz w:val="28"/>
          <w:szCs w:val="28"/>
        </w:rPr>
        <w:t xml:space="preserve">che vengono </w:t>
      </w:r>
      <w:r w:rsidR="0095713B" w:rsidRPr="0095713B">
        <w:rPr>
          <w:sz w:val="28"/>
          <w:szCs w:val="28"/>
        </w:rPr>
        <w:t xml:space="preserve">utilizzati </w:t>
      </w:r>
      <w:r>
        <w:rPr>
          <w:sz w:val="28"/>
          <w:szCs w:val="28"/>
        </w:rPr>
        <w:t>al fine di</w:t>
      </w:r>
      <w:r w:rsidR="0095713B" w:rsidRPr="0095713B">
        <w:rPr>
          <w:sz w:val="28"/>
          <w:szCs w:val="28"/>
        </w:rPr>
        <w:t xml:space="preserve"> attirare gli utenti di siti riconducibili ai legittimi </w:t>
      </w:r>
      <w:r>
        <w:rPr>
          <w:sz w:val="28"/>
          <w:szCs w:val="28"/>
        </w:rPr>
        <w:t>titolari</w:t>
      </w:r>
      <w:r w:rsidR="0095713B" w:rsidRPr="0095713B">
        <w:rPr>
          <w:sz w:val="28"/>
          <w:szCs w:val="28"/>
        </w:rPr>
        <w:t xml:space="preserve"> del marchio verso altre pagine, che </w:t>
      </w:r>
      <w:r>
        <w:rPr>
          <w:sz w:val="28"/>
          <w:szCs w:val="28"/>
        </w:rPr>
        <w:t xml:space="preserve">invece </w:t>
      </w:r>
      <w:r w:rsidR="0095713B" w:rsidRPr="0095713B">
        <w:rPr>
          <w:sz w:val="28"/>
          <w:szCs w:val="28"/>
        </w:rPr>
        <w:t xml:space="preserve">divulgano contenuti illeciti. </w:t>
      </w:r>
    </w:p>
    <w:p w14:paraId="284B2449" w14:textId="7D44C0CF" w:rsidR="00E211A3" w:rsidRDefault="00D724EF" w:rsidP="00677B0A">
      <w:pPr>
        <w:pStyle w:val="NormaleWeb"/>
        <w:spacing w:before="0" w:beforeAutospacing="0" w:after="0" w:afterAutospacing="0"/>
        <w:jc w:val="both"/>
        <w:rPr>
          <w:sz w:val="28"/>
          <w:szCs w:val="28"/>
        </w:rPr>
      </w:pPr>
      <w:r>
        <w:rPr>
          <w:sz w:val="28"/>
          <w:szCs w:val="28"/>
        </w:rPr>
        <w:t>Quest’ultima fattispecie va tenuta distinta</w:t>
      </w:r>
      <w:r w:rsidR="0095713B" w:rsidRPr="0095713B">
        <w:rPr>
          <w:sz w:val="28"/>
          <w:szCs w:val="28"/>
        </w:rPr>
        <w:t xml:space="preserve"> da quella degli “</w:t>
      </w:r>
      <w:proofErr w:type="spellStart"/>
      <w:r w:rsidR="0095713B" w:rsidRPr="00D724EF">
        <w:rPr>
          <w:i/>
          <w:iCs/>
          <w:sz w:val="28"/>
          <w:szCs w:val="28"/>
        </w:rPr>
        <w:t>scam</w:t>
      </w:r>
      <w:proofErr w:type="spellEnd"/>
      <w:r w:rsidR="0095713B" w:rsidRPr="00D724EF">
        <w:rPr>
          <w:i/>
          <w:iCs/>
          <w:sz w:val="28"/>
          <w:szCs w:val="28"/>
        </w:rPr>
        <w:t xml:space="preserve"> accounts</w:t>
      </w:r>
      <w:r w:rsidR="0095713B" w:rsidRPr="0095713B">
        <w:rPr>
          <w:sz w:val="28"/>
          <w:szCs w:val="28"/>
        </w:rPr>
        <w:t xml:space="preserve">” </w:t>
      </w:r>
      <w:r>
        <w:rPr>
          <w:sz w:val="28"/>
          <w:szCs w:val="28"/>
        </w:rPr>
        <w:t>i quali</w:t>
      </w:r>
      <w:r w:rsidR="0095713B" w:rsidRPr="0095713B">
        <w:rPr>
          <w:sz w:val="28"/>
          <w:szCs w:val="28"/>
        </w:rPr>
        <w:t xml:space="preserve">, invece, sfruttano </w:t>
      </w:r>
      <w:r>
        <w:rPr>
          <w:sz w:val="28"/>
          <w:szCs w:val="28"/>
        </w:rPr>
        <w:t xml:space="preserve">i </w:t>
      </w:r>
      <w:r w:rsidR="0095713B" w:rsidRPr="0095713B">
        <w:rPr>
          <w:sz w:val="28"/>
          <w:szCs w:val="28"/>
        </w:rPr>
        <w:t xml:space="preserve">marchi noti </w:t>
      </w:r>
      <w:r>
        <w:rPr>
          <w:sz w:val="28"/>
          <w:szCs w:val="28"/>
        </w:rPr>
        <w:t>allo scopo di</w:t>
      </w:r>
      <w:r w:rsidR="0095713B" w:rsidRPr="0095713B">
        <w:rPr>
          <w:sz w:val="28"/>
          <w:szCs w:val="28"/>
        </w:rPr>
        <w:t xml:space="preserve"> ingannare gli utenti, indirizzand</w:t>
      </w:r>
      <w:r>
        <w:rPr>
          <w:sz w:val="28"/>
          <w:szCs w:val="28"/>
        </w:rPr>
        <w:t>o loro</w:t>
      </w:r>
      <w:r w:rsidR="0095713B" w:rsidRPr="0095713B">
        <w:rPr>
          <w:sz w:val="28"/>
          <w:szCs w:val="28"/>
        </w:rPr>
        <w:t xml:space="preserve"> verso siti illeciti o, addirittura, per sottrar</w:t>
      </w:r>
      <w:r w:rsidR="00E211A3">
        <w:rPr>
          <w:sz w:val="28"/>
          <w:szCs w:val="28"/>
        </w:rPr>
        <w:t xml:space="preserve">gli </w:t>
      </w:r>
      <w:r w:rsidR="0095713B" w:rsidRPr="0095713B">
        <w:rPr>
          <w:sz w:val="28"/>
          <w:szCs w:val="28"/>
        </w:rPr>
        <w:t>dati della carta di credito o simili.</w:t>
      </w:r>
    </w:p>
    <w:p w14:paraId="53E1550D" w14:textId="77777777" w:rsidR="001E1F75" w:rsidRDefault="00E211A3" w:rsidP="00677B0A">
      <w:pPr>
        <w:pStyle w:val="NormaleWeb"/>
        <w:spacing w:before="0" w:beforeAutospacing="0" w:after="0" w:afterAutospacing="0"/>
        <w:jc w:val="both"/>
        <w:rPr>
          <w:sz w:val="28"/>
          <w:szCs w:val="28"/>
        </w:rPr>
      </w:pPr>
      <w:r>
        <w:rPr>
          <w:sz w:val="28"/>
          <w:szCs w:val="28"/>
        </w:rPr>
        <w:t>Sul tema della</w:t>
      </w:r>
      <w:r w:rsidR="0095713B" w:rsidRPr="0095713B">
        <w:rPr>
          <w:sz w:val="28"/>
          <w:szCs w:val="28"/>
        </w:rPr>
        <w:t xml:space="preserve"> contraffazione del marchio sui </w:t>
      </w:r>
      <w:r w:rsidR="0095713B" w:rsidRPr="00E211A3">
        <w:rPr>
          <w:i/>
          <w:iCs/>
          <w:sz w:val="28"/>
          <w:szCs w:val="28"/>
        </w:rPr>
        <w:t>social network</w:t>
      </w:r>
      <w:r>
        <w:rPr>
          <w:i/>
          <w:iCs/>
          <w:sz w:val="28"/>
          <w:szCs w:val="28"/>
        </w:rPr>
        <w:t xml:space="preserve">, </w:t>
      </w:r>
      <w:r>
        <w:rPr>
          <w:sz w:val="28"/>
          <w:szCs w:val="28"/>
        </w:rPr>
        <w:t>anche se relativamente ad un profilo diverso,</w:t>
      </w:r>
      <w:r w:rsidR="0095713B" w:rsidRPr="0095713B">
        <w:rPr>
          <w:sz w:val="28"/>
          <w:szCs w:val="28"/>
        </w:rPr>
        <w:t xml:space="preserve"> si è espressa </w:t>
      </w:r>
      <w:r>
        <w:rPr>
          <w:sz w:val="28"/>
          <w:szCs w:val="28"/>
        </w:rPr>
        <w:t>pure</w:t>
      </w:r>
      <w:r w:rsidR="0095713B" w:rsidRPr="0095713B">
        <w:rPr>
          <w:sz w:val="28"/>
          <w:szCs w:val="28"/>
        </w:rPr>
        <w:t xml:space="preserve"> la giurisprudenza </w:t>
      </w:r>
      <w:r>
        <w:rPr>
          <w:sz w:val="28"/>
          <w:szCs w:val="28"/>
        </w:rPr>
        <w:t xml:space="preserve">italiana. </w:t>
      </w:r>
    </w:p>
    <w:p w14:paraId="19FD9491" w14:textId="638E0C92" w:rsidR="0095713B" w:rsidRDefault="0095713B" w:rsidP="00677B0A">
      <w:pPr>
        <w:pStyle w:val="NormaleWeb"/>
        <w:spacing w:before="0" w:beforeAutospacing="0" w:after="0" w:afterAutospacing="0"/>
        <w:jc w:val="both"/>
        <w:rPr>
          <w:sz w:val="28"/>
          <w:szCs w:val="28"/>
        </w:rPr>
      </w:pPr>
      <w:r w:rsidRPr="0095713B">
        <w:rPr>
          <w:sz w:val="28"/>
          <w:szCs w:val="28"/>
        </w:rPr>
        <w:t xml:space="preserve">Il </w:t>
      </w:r>
      <w:r w:rsidR="00E211A3" w:rsidRPr="0095713B">
        <w:rPr>
          <w:sz w:val="28"/>
          <w:szCs w:val="28"/>
        </w:rPr>
        <w:t>Trib</w:t>
      </w:r>
      <w:r w:rsidR="00E211A3">
        <w:rPr>
          <w:sz w:val="28"/>
          <w:szCs w:val="28"/>
        </w:rPr>
        <w:t>unale d</w:t>
      </w:r>
      <w:r w:rsidRPr="0095713B">
        <w:rPr>
          <w:sz w:val="28"/>
          <w:szCs w:val="28"/>
        </w:rPr>
        <w:t xml:space="preserve">i Milano, </w:t>
      </w:r>
      <w:r w:rsidR="00E211A3">
        <w:rPr>
          <w:sz w:val="28"/>
          <w:szCs w:val="28"/>
        </w:rPr>
        <w:t>nell’</w:t>
      </w:r>
      <w:r w:rsidRPr="0095713B">
        <w:rPr>
          <w:sz w:val="28"/>
          <w:szCs w:val="28"/>
        </w:rPr>
        <w:t>ordinanza pubblicata il 15</w:t>
      </w:r>
      <w:r w:rsidR="00E211A3">
        <w:rPr>
          <w:sz w:val="28"/>
          <w:szCs w:val="28"/>
        </w:rPr>
        <w:t xml:space="preserve"> ottobre </w:t>
      </w:r>
      <w:r w:rsidRPr="0095713B">
        <w:rPr>
          <w:sz w:val="28"/>
          <w:szCs w:val="28"/>
        </w:rPr>
        <w:t>2019</w:t>
      </w:r>
      <w:r w:rsidR="001E1F75">
        <w:rPr>
          <w:rStyle w:val="Rimandonotaapidipagina"/>
          <w:sz w:val="28"/>
          <w:szCs w:val="28"/>
        </w:rPr>
        <w:footnoteReference w:id="197"/>
      </w:r>
      <w:r w:rsidR="001E1F75">
        <w:rPr>
          <w:sz w:val="28"/>
          <w:szCs w:val="28"/>
        </w:rPr>
        <w:t>,</w:t>
      </w:r>
      <w:r w:rsidRPr="0095713B">
        <w:rPr>
          <w:sz w:val="28"/>
          <w:szCs w:val="28"/>
        </w:rPr>
        <w:t xml:space="preserve"> ha </w:t>
      </w:r>
      <w:r w:rsidR="00E211A3">
        <w:rPr>
          <w:sz w:val="28"/>
          <w:szCs w:val="28"/>
        </w:rPr>
        <w:t>statuito</w:t>
      </w:r>
      <w:r w:rsidRPr="0095713B">
        <w:rPr>
          <w:sz w:val="28"/>
          <w:szCs w:val="28"/>
        </w:rPr>
        <w:t xml:space="preserve"> che l’uso del marchio </w:t>
      </w:r>
      <w:r w:rsidR="00E211A3">
        <w:rPr>
          <w:sz w:val="28"/>
          <w:szCs w:val="28"/>
        </w:rPr>
        <w:t>da parte di terzi</w:t>
      </w:r>
      <w:r w:rsidRPr="0095713B">
        <w:rPr>
          <w:sz w:val="28"/>
          <w:szCs w:val="28"/>
        </w:rPr>
        <w:t xml:space="preserve"> sulle piattaforme </w:t>
      </w:r>
      <w:r w:rsidRPr="00E211A3">
        <w:rPr>
          <w:i/>
          <w:iCs/>
          <w:sz w:val="28"/>
          <w:szCs w:val="28"/>
        </w:rPr>
        <w:t>social</w:t>
      </w:r>
      <w:r w:rsidRPr="0095713B">
        <w:rPr>
          <w:sz w:val="28"/>
          <w:szCs w:val="28"/>
        </w:rPr>
        <w:t xml:space="preserve"> come Instagram e </w:t>
      </w:r>
      <w:proofErr w:type="spellStart"/>
      <w:r w:rsidRPr="0095713B">
        <w:rPr>
          <w:sz w:val="28"/>
          <w:szCs w:val="28"/>
        </w:rPr>
        <w:t>Facebook</w:t>
      </w:r>
      <w:proofErr w:type="spellEnd"/>
      <w:r w:rsidRPr="0095713B">
        <w:rPr>
          <w:sz w:val="28"/>
          <w:szCs w:val="28"/>
        </w:rPr>
        <w:t xml:space="preserve">, anche se non in funzione distintiva, </w:t>
      </w:r>
      <w:r w:rsidR="00E211A3">
        <w:rPr>
          <w:sz w:val="28"/>
          <w:szCs w:val="28"/>
        </w:rPr>
        <w:t>integri</w:t>
      </w:r>
      <w:r w:rsidRPr="0095713B">
        <w:rPr>
          <w:sz w:val="28"/>
          <w:szCs w:val="28"/>
        </w:rPr>
        <w:t xml:space="preserve"> </w:t>
      </w:r>
      <w:r w:rsidR="00E211A3">
        <w:rPr>
          <w:sz w:val="28"/>
          <w:szCs w:val="28"/>
        </w:rPr>
        <w:t xml:space="preserve">comunque </w:t>
      </w:r>
      <w:r w:rsidRPr="0095713B">
        <w:rPr>
          <w:sz w:val="28"/>
          <w:szCs w:val="28"/>
        </w:rPr>
        <w:t xml:space="preserve">la fattispecie di contraffazione del marchio, in quanto idoneo a </w:t>
      </w:r>
      <w:r w:rsidR="00E211A3">
        <w:rPr>
          <w:sz w:val="28"/>
          <w:szCs w:val="28"/>
        </w:rPr>
        <w:t>creare negli utenti</w:t>
      </w:r>
      <w:r w:rsidRPr="0095713B">
        <w:rPr>
          <w:sz w:val="28"/>
          <w:szCs w:val="28"/>
        </w:rPr>
        <w:t xml:space="preserve"> confusion</w:t>
      </w:r>
      <w:r w:rsidR="00E211A3">
        <w:rPr>
          <w:sz w:val="28"/>
          <w:szCs w:val="28"/>
        </w:rPr>
        <w:t>e</w:t>
      </w:r>
      <w:r w:rsidRPr="0095713B">
        <w:rPr>
          <w:sz w:val="28"/>
          <w:szCs w:val="28"/>
        </w:rPr>
        <w:t xml:space="preserve">, </w:t>
      </w:r>
      <w:r w:rsidR="00E211A3">
        <w:rPr>
          <w:sz w:val="28"/>
          <w:szCs w:val="28"/>
        </w:rPr>
        <w:t xml:space="preserve">anche </w:t>
      </w:r>
      <w:r w:rsidRPr="0095713B">
        <w:rPr>
          <w:sz w:val="28"/>
          <w:szCs w:val="28"/>
        </w:rPr>
        <w:t xml:space="preserve">tenuto conto del fatto che le due imprese coinvolte </w:t>
      </w:r>
      <w:r w:rsidR="00E211A3">
        <w:rPr>
          <w:sz w:val="28"/>
          <w:szCs w:val="28"/>
        </w:rPr>
        <w:t>operavano</w:t>
      </w:r>
      <w:r w:rsidRPr="0095713B">
        <w:rPr>
          <w:sz w:val="28"/>
          <w:szCs w:val="28"/>
        </w:rPr>
        <w:t xml:space="preserve"> nel medesimo settore merceologico. All’esito del procedimento</w:t>
      </w:r>
      <w:r w:rsidR="00E211A3">
        <w:rPr>
          <w:sz w:val="28"/>
          <w:szCs w:val="28"/>
        </w:rPr>
        <w:t>,</w:t>
      </w:r>
      <w:r w:rsidRPr="0095713B">
        <w:rPr>
          <w:sz w:val="28"/>
          <w:szCs w:val="28"/>
        </w:rPr>
        <w:t xml:space="preserve"> </w:t>
      </w:r>
      <w:r w:rsidR="00E211A3">
        <w:rPr>
          <w:sz w:val="28"/>
          <w:szCs w:val="28"/>
        </w:rPr>
        <w:t>l’organo giudicante</w:t>
      </w:r>
      <w:r w:rsidRPr="0095713B">
        <w:rPr>
          <w:sz w:val="28"/>
          <w:szCs w:val="28"/>
        </w:rPr>
        <w:t xml:space="preserve"> </w:t>
      </w:r>
      <w:r w:rsidR="00E211A3">
        <w:rPr>
          <w:sz w:val="28"/>
          <w:szCs w:val="28"/>
        </w:rPr>
        <w:t>ha ravvisato</w:t>
      </w:r>
      <w:r w:rsidRPr="0095713B">
        <w:rPr>
          <w:sz w:val="28"/>
          <w:szCs w:val="28"/>
        </w:rPr>
        <w:t xml:space="preserve"> la sussistenza del </w:t>
      </w:r>
      <w:proofErr w:type="spellStart"/>
      <w:r w:rsidRPr="00E211A3">
        <w:rPr>
          <w:i/>
          <w:iCs/>
          <w:sz w:val="28"/>
          <w:szCs w:val="28"/>
        </w:rPr>
        <w:t>fumus</w:t>
      </w:r>
      <w:proofErr w:type="spellEnd"/>
      <w:r w:rsidRPr="00E211A3">
        <w:rPr>
          <w:i/>
          <w:iCs/>
          <w:sz w:val="28"/>
          <w:szCs w:val="28"/>
        </w:rPr>
        <w:t xml:space="preserve"> boni </w:t>
      </w:r>
      <w:proofErr w:type="spellStart"/>
      <w:r w:rsidRPr="00E211A3">
        <w:rPr>
          <w:i/>
          <w:iCs/>
          <w:sz w:val="28"/>
          <w:szCs w:val="28"/>
        </w:rPr>
        <w:t>iuris</w:t>
      </w:r>
      <w:proofErr w:type="spellEnd"/>
      <w:r w:rsidR="00E211A3">
        <w:rPr>
          <w:sz w:val="28"/>
          <w:szCs w:val="28"/>
        </w:rPr>
        <w:t xml:space="preserve"> e del </w:t>
      </w:r>
      <w:proofErr w:type="spellStart"/>
      <w:r w:rsidRPr="00E211A3">
        <w:rPr>
          <w:i/>
          <w:iCs/>
          <w:sz w:val="28"/>
          <w:szCs w:val="28"/>
        </w:rPr>
        <w:t>periculum</w:t>
      </w:r>
      <w:proofErr w:type="spellEnd"/>
      <w:r w:rsidRPr="00E211A3">
        <w:rPr>
          <w:i/>
          <w:iCs/>
          <w:sz w:val="28"/>
          <w:szCs w:val="28"/>
        </w:rPr>
        <w:t xml:space="preserve"> in mora</w:t>
      </w:r>
      <w:r w:rsidRPr="0095713B">
        <w:rPr>
          <w:sz w:val="28"/>
          <w:szCs w:val="28"/>
        </w:rPr>
        <w:t xml:space="preserve">, </w:t>
      </w:r>
      <w:r w:rsidR="00E211A3">
        <w:rPr>
          <w:sz w:val="28"/>
          <w:szCs w:val="28"/>
        </w:rPr>
        <w:t>disponendo</w:t>
      </w:r>
      <w:r w:rsidRPr="0095713B">
        <w:rPr>
          <w:sz w:val="28"/>
          <w:szCs w:val="28"/>
        </w:rPr>
        <w:t xml:space="preserve"> nei confronti del resistente l’inibitoria all’utilizzo del marchio altrui su tutti i </w:t>
      </w:r>
      <w:r w:rsidRPr="00E211A3">
        <w:rPr>
          <w:i/>
          <w:iCs/>
          <w:sz w:val="28"/>
          <w:szCs w:val="28"/>
        </w:rPr>
        <w:t>social network</w:t>
      </w:r>
      <w:r w:rsidRPr="0095713B">
        <w:rPr>
          <w:sz w:val="28"/>
          <w:szCs w:val="28"/>
        </w:rPr>
        <w:t>.</w:t>
      </w:r>
    </w:p>
    <w:p w14:paraId="20EF569C" w14:textId="77777777" w:rsidR="00E211A3" w:rsidRPr="0095713B" w:rsidRDefault="00E211A3" w:rsidP="00677B0A">
      <w:pPr>
        <w:pStyle w:val="NormaleWeb"/>
        <w:spacing w:before="0" w:beforeAutospacing="0" w:after="0" w:afterAutospacing="0"/>
        <w:jc w:val="both"/>
        <w:rPr>
          <w:sz w:val="28"/>
          <w:szCs w:val="28"/>
        </w:rPr>
      </w:pPr>
    </w:p>
    <w:p w14:paraId="05B01475" w14:textId="77777777" w:rsidR="003C2113" w:rsidRDefault="00E211A3" w:rsidP="00677B0A">
      <w:pPr>
        <w:pStyle w:val="NormaleWeb"/>
        <w:spacing w:before="0" w:beforeAutospacing="0" w:after="0" w:afterAutospacing="0"/>
        <w:jc w:val="both"/>
        <w:rPr>
          <w:sz w:val="28"/>
          <w:szCs w:val="28"/>
        </w:rPr>
      </w:pPr>
      <w:r>
        <w:rPr>
          <w:sz w:val="28"/>
          <w:szCs w:val="28"/>
        </w:rPr>
        <w:t xml:space="preserve">Uno dei caratteri peculiari dei </w:t>
      </w:r>
      <w:r w:rsidRPr="00E211A3">
        <w:rPr>
          <w:i/>
          <w:iCs/>
          <w:sz w:val="28"/>
          <w:szCs w:val="28"/>
        </w:rPr>
        <w:t>social network</w:t>
      </w:r>
      <w:r>
        <w:rPr>
          <w:sz w:val="28"/>
          <w:szCs w:val="28"/>
        </w:rPr>
        <w:t xml:space="preserve"> è la</w:t>
      </w:r>
      <w:r w:rsidR="0095713B" w:rsidRPr="00677B0A">
        <w:rPr>
          <w:sz w:val="28"/>
          <w:szCs w:val="28"/>
        </w:rPr>
        <w:t xml:space="preserve"> possibilità per gli utenti di comunicare su </w:t>
      </w:r>
      <w:r>
        <w:rPr>
          <w:sz w:val="28"/>
          <w:szCs w:val="28"/>
        </w:rPr>
        <w:t>vari</w:t>
      </w:r>
      <w:r w:rsidR="0095713B" w:rsidRPr="00677B0A">
        <w:rPr>
          <w:sz w:val="28"/>
          <w:szCs w:val="28"/>
        </w:rPr>
        <w:t xml:space="preserve"> livelli, sia pubblicamente che attraverso gruppi chiusi e accessibili solo a specifici </w:t>
      </w:r>
      <w:r>
        <w:rPr>
          <w:sz w:val="28"/>
          <w:szCs w:val="28"/>
        </w:rPr>
        <w:t>iscritti</w:t>
      </w:r>
      <w:r w:rsidR="0095713B" w:rsidRPr="00677B0A">
        <w:rPr>
          <w:sz w:val="28"/>
          <w:szCs w:val="28"/>
        </w:rPr>
        <w:t xml:space="preserve">. </w:t>
      </w:r>
    </w:p>
    <w:p w14:paraId="30394B7B" w14:textId="0171CC1D" w:rsidR="0095713B" w:rsidRPr="0095713B" w:rsidRDefault="00E211A3" w:rsidP="00677B0A">
      <w:pPr>
        <w:pStyle w:val="NormaleWeb"/>
        <w:spacing w:before="0" w:beforeAutospacing="0" w:after="0" w:afterAutospacing="0"/>
        <w:jc w:val="both"/>
        <w:rPr>
          <w:sz w:val="28"/>
          <w:szCs w:val="28"/>
        </w:rPr>
      </w:pPr>
      <w:r>
        <w:rPr>
          <w:sz w:val="28"/>
          <w:szCs w:val="28"/>
        </w:rPr>
        <w:t>Ebbene,</w:t>
      </w:r>
      <w:r w:rsidR="0095713B" w:rsidRPr="00677B0A">
        <w:rPr>
          <w:sz w:val="28"/>
          <w:szCs w:val="28"/>
        </w:rPr>
        <w:t xml:space="preserve"> </w:t>
      </w:r>
      <w:r w:rsidR="00D903D5">
        <w:rPr>
          <w:sz w:val="28"/>
          <w:szCs w:val="28"/>
        </w:rPr>
        <w:t xml:space="preserve">secondo gli esperti, </w:t>
      </w:r>
      <w:r w:rsidR="0095713B" w:rsidRPr="00677B0A">
        <w:rPr>
          <w:sz w:val="28"/>
          <w:szCs w:val="28"/>
        </w:rPr>
        <w:t xml:space="preserve">questa seconda funzionalità </w:t>
      </w:r>
      <w:r w:rsidR="00D903D5">
        <w:rPr>
          <w:sz w:val="28"/>
          <w:szCs w:val="28"/>
        </w:rPr>
        <w:t>viene</w:t>
      </w:r>
      <w:r w:rsidR="0095713B" w:rsidRPr="00677B0A">
        <w:rPr>
          <w:sz w:val="28"/>
          <w:szCs w:val="28"/>
        </w:rPr>
        <w:t xml:space="preserve"> sfruttat</w:t>
      </w:r>
      <w:r w:rsidR="00D903D5">
        <w:rPr>
          <w:sz w:val="28"/>
          <w:szCs w:val="28"/>
        </w:rPr>
        <w:t>a allo scopo di</w:t>
      </w:r>
      <w:r w:rsidR="0095713B" w:rsidRPr="00677B0A">
        <w:rPr>
          <w:sz w:val="28"/>
          <w:szCs w:val="28"/>
        </w:rPr>
        <w:t xml:space="preserve"> eludere l’applicazione della disciplina sulla proprietà intellettuale. </w:t>
      </w:r>
      <w:r w:rsidR="00D903D5">
        <w:rPr>
          <w:sz w:val="28"/>
          <w:szCs w:val="28"/>
        </w:rPr>
        <w:t>I</w:t>
      </w:r>
      <w:r w:rsidR="0095713B" w:rsidRPr="00677B0A">
        <w:rPr>
          <w:sz w:val="28"/>
          <w:szCs w:val="28"/>
        </w:rPr>
        <w:t xml:space="preserve"> gruppi </w:t>
      </w:r>
      <w:r w:rsidR="00D903D5">
        <w:rPr>
          <w:sz w:val="28"/>
          <w:szCs w:val="28"/>
        </w:rPr>
        <w:t xml:space="preserve">chiusi creati sui </w:t>
      </w:r>
      <w:r w:rsidR="00D903D5" w:rsidRPr="00D903D5">
        <w:rPr>
          <w:i/>
          <w:iCs/>
          <w:sz w:val="28"/>
          <w:szCs w:val="28"/>
        </w:rPr>
        <w:t>social</w:t>
      </w:r>
      <w:r w:rsidR="00D903D5">
        <w:rPr>
          <w:sz w:val="28"/>
          <w:szCs w:val="28"/>
        </w:rPr>
        <w:t xml:space="preserve"> divengono, quindi, strumenti</w:t>
      </w:r>
      <w:r w:rsidR="0095713B" w:rsidRPr="00677B0A">
        <w:rPr>
          <w:sz w:val="28"/>
          <w:szCs w:val="28"/>
        </w:rPr>
        <w:t xml:space="preserve"> </w:t>
      </w:r>
      <w:r w:rsidR="00D903D5">
        <w:rPr>
          <w:sz w:val="28"/>
          <w:szCs w:val="28"/>
        </w:rPr>
        <w:t>finalizzati a</w:t>
      </w:r>
      <w:r w:rsidR="0095713B" w:rsidRPr="00677B0A">
        <w:rPr>
          <w:sz w:val="28"/>
          <w:szCs w:val="28"/>
        </w:rPr>
        <w:t xml:space="preserve"> condividere con gli utenti contenuti che</w:t>
      </w:r>
      <w:r w:rsidR="0095713B" w:rsidRPr="0095713B">
        <w:rPr>
          <w:sz w:val="28"/>
          <w:szCs w:val="28"/>
        </w:rPr>
        <w:t xml:space="preserve"> violano i diritti IP, o</w:t>
      </w:r>
      <w:r w:rsidR="00D903D5">
        <w:rPr>
          <w:sz w:val="28"/>
          <w:szCs w:val="28"/>
        </w:rPr>
        <w:t>ppure</w:t>
      </w:r>
      <w:r w:rsidR="0095713B" w:rsidRPr="0095713B">
        <w:rPr>
          <w:sz w:val="28"/>
          <w:szCs w:val="28"/>
        </w:rPr>
        <w:t xml:space="preserve"> link che li rimand</w:t>
      </w:r>
      <w:r w:rsidR="00D903D5">
        <w:rPr>
          <w:sz w:val="28"/>
          <w:szCs w:val="28"/>
        </w:rPr>
        <w:t>a</w:t>
      </w:r>
      <w:r w:rsidR="0095713B" w:rsidRPr="0095713B">
        <w:rPr>
          <w:sz w:val="28"/>
          <w:szCs w:val="28"/>
        </w:rPr>
        <w:t xml:space="preserve">no a siti parimenti illeciti, </w:t>
      </w:r>
      <w:r w:rsidR="00A649D8">
        <w:rPr>
          <w:sz w:val="28"/>
          <w:szCs w:val="28"/>
        </w:rPr>
        <w:t>nascosti</w:t>
      </w:r>
      <w:r w:rsidR="0095713B" w:rsidRPr="0095713B">
        <w:rPr>
          <w:sz w:val="28"/>
          <w:szCs w:val="28"/>
        </w:rPr>
        <w:t xml:space="preserve"> dall’occhio pubblico. In altri casi </w:t>
      </w:r>
      <w:r w:rsidR="00D903D5">
        <w:rPr>
          <w:sz w:val="28"/>
          <w:szCs w:val="28"/>
        </w:rPr>
        <w:t xml:space="preserve">ancora, invece, </w:t>
      </w:r>
      <w:r w:rsidR="0095713B" w:rsidRPr="0095713B">
        <w:rPr>
          <w:sz w:val="28"/>
          <w:szCs w:val="28"/>
        </w:rPr>
        <w:t>viene sfruttata la criptazione delle chat private, grazie alla quale</w:t>
      </w:r>
      <w:r w:rsidR="00D903D5">
        <w:rPr>
          <w:sz w:val="28"/>
          <w:szCs w:val="28"/>
        </w:rPr>
        <w:t xml:space="preserve">, per esempio, </w:t>
      </w:r>
      <w:r w:rsidR="0095713B" w:rsidRPr="0095713B">
        <w:rPr>
          <w:sz w:val="28"/>
          <w:szCs w:val="28"/>
        </w:rPr>
        <w:t>comunicazioni relative ai pagamenti dei prodotti sono protette.</w:t>
      </w:r>
    </w:p>
    <w:p w14:paraId="144CEF89" w14:textId="668E0AB9" w:rsidR="00CC5875" w:rsidRPr="00677B0A" w:rsidRDefault="00A649D8" w:rsidP="00677B0A">
      <w:pPr>
        <w:pStyle w:val="NormaleWeb"/>
        <w:spacing w:before="0" w:beforeAutospacing="0" w:after="0" w:afterAutospacing="0"/>
        <w:jc w:val="both"/>
        <w:rPr>
          <w:sz w:val="28"/>
          <w:szCs w:val="28"/>
        </w:rPr>
      </w:pPr>
      <w:r>
        <w:rPr>
          <w:sz w:val="28"/>
          <w:szCs w:val="28"/>
        </w:rPr>
        <w:t>I</w:t>
      </w:r>
      <w:r w:rsidRPr="0095713B">
        <w:rPr>
          <w:sz w:val="28"/>
          <w:szCs w:val="28"/>
        </w:rPr>
        <w:t xml:space="preserve">l </w:t>
      </w:r>
      <w:r w:rsidRPr="00C330D5">
        <w:rPr>
          <w:i/>
          <w:iCs/>
          <w:sz w:val="28"/>
          <w:szCs w:val="28"/>
        </w:rPr>
        <w:t xml:space="preserve">Social Media </w:t>
      </w:r>
      <w:proofErr w:type="spellStart"/>
      <w:r w:rsidRPr="00C330D5">
        <w:rPr>
          <w:i/>
          <w:iCs/>
          <w:sz w:val="28"/>
          <w:szCs w:val="28"/>
        </w:rPr>
        <w:t>Discussion</w:t>
      </w:r>
      <w:proofErr w:type="spellEnd"/>
      <w:r w:rsidRPr="00C330D5">
        <w:rPr>
          <w:i/>
          <w:iCs/>
          <w:sz w:val="28"/>
          <w:szCs w:val="28"/>
        </w:rPr>
        <w:t xml:space="preserve"> </w:t>
      </w:r>
      <w:proofErr w:type="spellStart"/>
      <w:r w:rsidRPr="00C330D5">
        <w:rPr>
          <w:i/>
          <w:iCs/>
          <w:sz w:val="28"/>
          <w:szCs w:val="28"/>
        </w:rPr>
        <w:t>Paper</w:t>
      </w:r>
      <w:proofErr w:type="spellEnd"/>
      <w:r>
        <w:rPr>
          <w:sz w:val="28"/>
          <w:szCs w:val="28"/>
        </w:rPr>
        <w:t>,</w:t>
      </w:r>
      <w:r w:rsidRPr="0095713B">
        <w:rPr>
          <w:sz w:val="28"/>
          <w:szCs w:val="28"/>
        </w:rPr>
        <w:t xml:space="preserve"> </w:t>
      </w:r>
      <w:r>
        <w:rPr>
          <w:sz w:val="28"/>
          <w:szCs w:val="28"/>
        </w:rPr>
        <w:t>nell’individuare</w:t>
      </w:r>
      <w:r w:rsidR="0095713B" w:rsidRPr="0095713B">
        <w:rPr>
          <w:sz w:val="28"/>
          <w:szCs w:val="28"/>
        </w:rPr>
        <w:t xml:space="preserve"> le maggiori problematiche </w:t>
      </w:r>
      <w:r>
        <w:rPr>
          <w:sz w:val="28"/>
          <w:szCs w:val="28"/>
        </w:rPr>
        <w:t>poste</w:t>
      </w:r>
      <w:r w:rsidR="0095713B" w:rsidRPr="0095713B">
        <w:rPr>
          <w:sz w:val="28"/>
          <w:szCs w:val="28"/>
        </w:rPr>
        <w:t xml:space="preserve"> </w:t>
      </w:r>
      <w:r>
        <w:rPr>
          <w:sz w:val="28"/>
          <w:szCs w:val="28"/>
        </w:rPr>
        <w:t>d</w:t>
      </w:r>
      <w:r w:rsidR="0095713B" w:rsidRPr="0095713B">
        <w:rPr>
          <w:sz w:val="28"/>
          <w:szCs w:val="28"/>
        </w:rPr>
        <w:t xml:space="preserve">alle violazioni dei diritti IP attraverso l’uso dei </w:t>
      </w:r>
      <w:r w:rsidR="0095713B" w:rsidRPr="00A649D8">
        <w:rPr>
          <w:i/>
          <w:iCs/>
          <w:sz w:val="28"/>
          <w:szCs w:val="28"/>
        </w:rPr>
        <w:t>social media</w:t>
      </w:r>
      <w:r w:rsidR="0095713B" w:rsidRPr="0095713B">
        <w:rPr>
          <w:sz w:val="28"/>
          <w:szCs w:val="28"/>
        </w:rPr>
        <w:t xml:space="preserve">, </w:t>
      </w:r>
      <w:r>
        <w:rPr>
          <w:sz w:val="28"/>
          <w:szCs w:val="28"/>
        </w:rPr>
        <w:t>esamina</w:t>
      </w:r>
      <w:r w:rsidR="0095713B" w:rsidRPr="0095713B">
        <w:rPr>
          <w:sz w:val="28"/>
          <w:szCs w:val="28"/>
        </w:rPr>
        <w:t xml:space="preserve"> la </w:t>
      </w:r>
      <w:r>
        <w:rPr>
          <w:sz w:val="28"/>
          <w:szCs w:val="28"/>
        </w:rPr>
        <w:t>disciplina</w:t>
      </w:r>
      <w:r w:rsidR="0095713B" w:rsidRPr="0095713B">
        <w:rPr>
          <w:sz w:val="28"/>
          <w:szCs w:val="28"/>
        </w:rPr>
        <w:t xml:space="preserve"> vigente a livello europeo, </w:t>
      </w:r>
      <w:r w:rsidR="005B08F8">
        <w:rPr>
          <w:sz w:val="28"/>
          <w:szCs w:val="28"/>
        </w:rPr>
        <w:t>ponendo in evidenza, fin da</w:t>
      </w:r>
      <w:r w:rsidR="0095713B" w:rsidRPr="0095713B">
        <w:rPr>
          <w:sz w:val="28"/>
          <w:szCs w:val="28"/>
        </w:rPr>
        <w:t xml:space="preserve"> subito</w:t>
      </w:r>
      <w:r w:rsidR="005B08F8">
        <w:rPr>
          <w:sz w:val="28"/>
          <w:szCs w:val="28"/>
        </w:rPr>
        <w:t>,</w:t>
      </w:r>
      <w:r w:rsidR="0095713B" w:rsidRPr="0095713B">
        <w:rPr>
          <w:sz w:val="28"/>
          <w:szCs w:val="28"/>
        </w:rPr>
        <w:t xml:space="preserve"> che uno degli elementi che ne limita maggiormente l’efficacia è </w:t>
      </w:r>
      <w:r w:rsidR="005B08F8">
        <w:rPr>
          <w:sz w:val="28"/>
          <w:szCs w:val="28"/>
        </w:rPr>
        <w:t>la circostanza che,</w:t>
      </w:r>
      <w:r w:rsidR="0095713B" w:rsidRPr="0095713B">
        <w:rPr>
          <w:sz w:val="28"/>
          <w:szCs w:val="28"/>
        </w:rPr>
        <w:t xml:space="preserve"> attraverso i </w:t>
      </w:r>
      <w:r w:rsidR="0095713B" w:rsidRPr="005B08F8">
        <w:rPr>
          <w:i/>
          <w:iCs/>
          <w:sz w:val="28"/>
          <w:szCs w:val="28"/>
        </w:rPr>
        <w:t xml:space="preserve">social </w:t>
      </w:r>
      <w:r w:rsidR="005B08F8" w:rsidRPr="005B08F8">
        <w:rPr>
          <w:i/>
          <w:iCs/>
          <w:sz w:val="28"/>
          <w:szCs w:val="28"/>
        </w:rPr>
        <w:t>network</w:t>
      </w:r>
      <w:r w:rsidR="005B08F8">
        <w:rPr>
          <w:i/>
          <w:iCs/>
          <w:sz w:val="28"/>
          <w:szCs w:val="28"/>
        </w:rPr>
        <w:t>,</w:t>
      </w:r>
      <w:r w:rsidR="0095713B" w:rsidRPr="0095713B">
        <w:rPr>
          <w:sz w:val="28"/>
          <w:szCs w:val="28"/>
        </w:rPr>
        <w:t xml:space="preserve"> </w:t>
      </w:r>
      <w:r w:rsidR="005B08F8">
        <w:rPr>
          <w:sz w:val="28"/>
          <w:szCs w:val="28"/>
        </w:rPr>
        <w:t>gli utenti hanno a</w:t>
      </w:r>
      <w:r w:rsidR="0095713B" w:rsidRPr="0095713B">
        <w:rPr>
          <w:sz w:val="28"/>
          <w:szCs w:val="28"/>
        </w:rPr>
        <w:t xml:space="preserve"> disposizione funzionalità molto diverse fra loro, </w:t>
      </w:r>
      <w:r w:rsidR="005B08F8">
        <w:rPr>
          <w:sz w:val="28"/>
          <w:szCs w:val="28"/>
        </w:rPr>
        <w:t>tra cui rientrano</w:t>
      </w:r>
      <w:r w:rsidR="0095713B" w:rsidRPr="0095713B">
        <w:rPr>
          <w:sz w:val="28"/>
          <w:szCs w:val="28"/>
        </w:rPr>
        <w:t xml:space="preserve"> la diffusione di </w:t>
      </w:r>
      <w:r w:rsidR="005B08F8" w:rsidRPr="0095713B">
        <w:rPr>
          <w:sz w:val="28"/>
          <w:szCs w:val="28"/>
        </w:rPr>
        <w:t xml:space="preserve">vari </w:t>
      </w:r>
      <w:r w:rsidR="0095713B" w:rsidRPr="0095713B">
        <w:rPr>
          <w:sz w:val="28"/>
          <w:szCs w:val="28"/>
        </w:rPr>
        <w:t xml:space="preserve">dati e contenuti. </w:t>
      </w:r>
      <w:r w:rsidR="005B08F8">
        <w:rPr>
          <w:sz w:val="28"/>
          <w:szCs w:val="28"/>
        </w:rPr>
        <w:t>Questo fa si che</w:t>
      </w:r>
      <w:r w:rsidR="0095713B" w:rsidRPr="0095713B">
        <w:rPr>
          <w:sz w:val="28"/>
          <w:szCs w:val="28"/>
        </w:rPr>
        <w:t xml:space="preserve"> le </w:t>
      </w:r>
      <w:r w:rsidR="005B08F8">
        <w:rPr>
          <w:sz w:val="28"/>
          <w:szCs w:val="28"/>
        </w:rPr>
        <w:t>regole</w:t>
      </w:r>
      <w:r w:rsidR="00EE2A5C">
        <w:rPr>
          <w:sz w:val="28"/>
          <w:szCs w:val="28"/>
        </w:rPr>
        <w:t xml:space="preserve"> </w:t>
      </w:r>
      <w:r w:rsidR="0095713B" w:rsidRPr="0095713B">
        <w:rPr>
          <w:sz w:val="28"/>
          <w:szCs w:val="28"/>
        </w:rPr>
        <w:t xml:space="preserve">applicabili </w:t>
      </w:r>
      <w:r w:rsidR="005B08F8">
        <w:rPr>
          <w:sz w:val="28"/>
          <w:szCs w:val="28"/>
        </w:rPr>
        <w:t>diveng</w:t>
      </w:r>
      <w:r w:rsidR="00CC5875">
        <w:rPr>
          <w:sz w:val="28"/>
          <w:szCs w:val="28"/>
        </w:rPr>
        <w:t>o</w:t>
      </w:r>
      <w:r w:rsidR="005B08F8">
        <w:rPr>
          <w:sz w:val="28"/>
          <w:szCs w:val="28"/>
        </w:rPr>
        <w:t>no</w:t>
      </w:r>
      <w:r w:rsidR="0095713B" w:rsidRPr="0095713B">
        <w:rPr>
          <w:sz w:val="28"/>
          <w:szCs w:val="28"/>
        </w:rPr>
        <w:t xml:space="preserve"> svariate, </w:t>
      </w:r>
      <w:r w:rsidR="00CC5875">
        <w:rPr>
          <w:sz w:val="28"/>
          <w:szCs w:val="28"/>
        </w:rPr>
        <w:t>e tale</w:t>
      </w:r>
      <w:r w:rsidR="0095713B" w:rsidRPr="0095713B">
        <w:rPr>
          <w:sz w:val="28"/>
          <w:szCs w:val="28"/>
        </w:rPr>
        <w:t xml:space="preserve"> frammentazione del quadro normativo </w:t>
      </w:r>
      <w:r w:rsidR="005B08F8">
        <w:rPr>
          <w:sz w:val="28"/>
          <w:szCs w:val="28"/>
        </w:rPr>
        <w:t>si pon</w:t>
      </w:r>
      <w:r w:rsidR="00B8295B">
        <w:rPr>
          <w:sz w:val="28"/>
          <w:szCs w:val="28"/>
        </w:rPr>
        <w:t>e</w:t>
      </w:r>
      <w:r w:rsidR="005B08F8">
        <w:rPr>
          <w:sz w:val="28"/>
          <w:szCs w:val="28"/>
        </w:rPr>
        <w:t xml:space="preserve"> in contrasto con</w:t>
      </w:r>
      <w:r w:rsidR="0095713B" w:rsidRPr="0095713B">
        <w:rPr>
          <w:sz w:val="28"/>
          <w:szCs w:val="28"/>
        </w:rPr>
        <w:t xml:space="preserve"> la garanzia di </w:t>
      </w:r>
      <w:r w:rsidR="0095713B" w:rsidRPr="00677B0A">
        <w:rPr>
          <w:sz w:val="28"/>
          <w:szCs w:val="28"/>
        </w:rPr>
        <w:t>un intervento efficace.</w:t>
      </w:r>
    </w:p>
    <w:p w14:paraId="1CA85A9C" w14:textId="77777777" w:rsidR="00D0160E" w:rsidRDefault="00CC5875" w:rsidP="00677B0A">
      <w:pPr>
        <w:pStyle w:val="NormaleWeb"/>
        <w:spacing w:before="0" w:beforeAutospacing="0" w:after="0" w:afterAutospacing="0"/>
        <w:jc w:val="both"/>
        <w:rPr>
          <w:sz w:val="28"/>
          <w:szCs w:val="28"/>
        </w:rPr>
      </w:pPr>
      <w:r>
        <w:rPr>
          <w:sz w:val="28"/>
          <w:szCs w:val="28"/>
        </w:rPr>
        <w:t>Nel documento, l</w:t>
      </w:r>
      <w:r w:rsidR="0095713B" w:rsidRPr="00677B0A">
        <w:rPr>
          <w:sz w:val="28"/>
          <w:szCs w:val="28"/>
        </w:rPr>
        <w:t xml:space="preserve">a prima grande distinzione </w:t>
      </w:r>
      <w:r>
        <w:rPr>
          <w:sz w:val="28"/>
          <w:szCs w:val="28"/>
        </w:rPr>
        <w:t xml:space="preserve">prevista </w:t>
      </w:r>
      <w:r w:rsidR="0095713B" w:rsidRPr="00677B0A">
        <w:rPr>
          <w:sz w:val="28"/>
          <w:szCs w:val="28"/>
        </w:rPr>
        <w:t xml:space="preserve">è </w:t>
      </w:r>
      <w:r>
        <w:rPr>
          <w:sz w:val="28"/>
          <w:szCs w:val="28"/>
        </w:rPr>
        <w:t>quella</w:t>
      </w:r>
      <w:r w:rsidR="0095713B" w:rsidRPr="00677B0A">
        <w:rPr>
          <w:sz w:val="28"/>
          <w:szCs w:val="28"/>
        </w:rPr>
        <w:t xml:space="preserve"> fra contenuti disponibili pubblicamente e contenuti di natura privata</w:t>
      </w:r>
      <w:r w:rsidR="00D0160E">
        <w:rPr>
          <w:sz w:val="28"/>
          <w:szCs w:val="28"/>
        </w:rPr>
        <w:t>.</w:t>
      </w:r>
    </w:p>
    <w:p w14:paraId="0F5412B5" w14:textId="348DC06A" w:rsidR="0095713B" w:rsidRPr="00677B0A" w:rsidRDefault="00D0160E" w:rsidP="00677B0A">
      <w:pPr>
        <w:pStyle w:val="NormaleWeb"/>
        <w:spacing w:before="0" w:beforeAutospacing="0" w:after="0" w:afterAutospacing="0"/>
        <w:jc w:val="both"/>
        <w:rPr>
          <w:sz w:val="28"/>
          <w:szCs w:val="28"/>
        </w:rPr>
      </w:pPr>
      <w:r>
        <w:rPr>
          <w:sz w:val="28"/>
          <w:szCs w:val="28"/>
        </w:rPr>
        <w:lastRenderedPageBreak/>
        <w:t xml:space="preserve">Nel caso di contenuti privati, </w:t>
      </w:r>
      <w:r w:rsidR="00CC5875">
        <w:rPr>
          <w:sz w:val="28"/>
          <w:szCs w:val="28"/>
        </w:rPr>
        <w:t>si pongono</w:t>
      </w:r>
      <w:r w:rsidR="0095713B" w:rsidRPr="00677B0A">
        <w:rPr>
          <w:sz w:val="28"/>
          <w:szCs w:val="28"/>
        </w:rPr>
        <w:t xml:space="preserve"> </w:t>
      </w:r>
      <w:r>
        <w:rPr>
          <w:sz w:val="28"/>
          <w:szCs w:val="28"/>
        </w:rPr>
        <w:t xml:space="preserve">le </w:t>
      </w:r>
      <w:r w:rsidR="0095713B" w:rsidRPr="00677B0A">
        <w:rPr>
          <w:sz w:val="28"/>
          <w:szCs w:val="28"/>
        </w:rPr>
        <w:t xml:space="preserve">questioni </w:t>
      </w:r>
      <w:r>
        <w:rPr>
          <w:sz w:val="28"/>
          <w:szCs w:val="28"/>
        </w:rPr>
        <w:t>relative</w:t>
      </w:r>
      <w:r w:rsidR="0095713B" w:rsidRPr="00677B0A">
        <w:rPr>
          <w:sz w:val="28"/>
          <w:szCs w:val="28"/>
        </w:rPr>
        <w:t xml:space="preserve"> </w:t>
      </w:r>
      <w:r w:rsidR="00CC5875">
        <w:rPr>
          <w:sz w:val="28"/>
          <w:szCs w:val="28"/>
        </w:rPr>
        <w:t>alla</w:t>
      </w:r>
      <w:r w:rsidR="0095713B" w:rsidRPr="00677B0A">
        <w:rPr>
          <w:sz w:val="28"/>
          <w:szCs w:val="28"/>
        </w:rPr>
        <w:t xml:space="preserve"> </w:t>
      </w:r>
      <w:r w:rsidR="00CC5875">
        <w:rPr>
          <w:sz w:val="28"/>
          <w:szCs w:val="28"/>
        </w:rPr>
        <w:t>normativa</w:t>
      </w:r>
      <w:r w:rsidR="00EE2A5C" w:rsidRPr="00677B0A">
        <w:rPr>
          <w:sz w:val="28"/>
          <w:szCs w:val="28"/>
        </w:rPr>
        <w:t xml:space="preserve"> </w:t>
      </w:r>
      <w:r w:rsidR="0095713B" w:rsidRPr="00677B0A">
        <w:rPr>
          <w:sz w:val="28"/>
          <w:szCs w:val="28"/>
        </w:rPr>
        <w:t>sulla protezione dei dati personali,</w:t>
      </w:r>
      <w:r w:rsidR="00CC5875">
        <w:rPr>
          <w:sz w:val="28"/>
          <w:szCs w:val="28"/>
        </w:rPr>
        <w:t xml:space="preserve"> </w:t>
      </w:r>
      <w:r w:rsidR="0095713B" w:rsidRPr="00677B0A">
        <w:rPr>
          <w:sz w:val="28"/>
          <w:szCs w:val="28"/>
        </w:rPr>
        <w:t>con riguardo</w:t>
      </w:r>
      <w:r w:rsidR="00CC5875">
        <w:rPr>
          <w:sz w:val="28"/>
          <w:szCs w:val="28"/>
        </w:rPr>
        <w:t>, da un lato,</w:t>
      </w:r>
      <w:r w:rsidR="0095713B" w:rsidRPr="00677B0A">
        <w:rPr>
          <w:sz w:val="28"/>
          <w:szCs w:val="28"/>
        </w:rPr>
        <w:t xml:space="preserve"> alla possibilità di divulgare i dati </w:t>
      </w:r>
      <w:r w:rsidR="00CC5875">
        <w:rPr>
          <w:sz w:val="28"/>
          <w:szCs w:val="28"/>
        </w:rPr>
        <w:t>privati</w:t>
      </w:r>
      <w:r w:rsidR="0095713B" w:rsidRPr="00677B0A">
        <w:rPr>
          <w:sz w:val="28"/>
          <w:szCs w:val="28"/>
        </w:rPr>
        <w:t xml:space="preserve"> dei soggetti responsabili delle violazioni e</w:t>
      </w:r>
      <w:r w:rsidR="00CC5875">
        <w:rPr>
          <w:sz w:val="28"/>
          <w:szCs w:val="28"/>
        </w:rPr>
        <w:t>, dall’altro,</w:t>
      </w:r>
      <w:r w:rsidR="0095713B" w:rsidRPr="00677B0A">
        <w:rPr>
          <w:sz w:val="28"/>
          <w:szCs w:val="28"/>
        </w:rPr>
        <w:t xml:space="preserve"> alla tutela della riservatezza delle comunicazioni.</w:t>
      </w:r>
    </w:p>
    <w:p w14:paraId="1BE7747D" w14:textId="181E5068" w:rsidR="00AD4439" w:rsidRDefault="0095713B" w:rsidP="00677B0A">
      <w:pPr>
        <w:pStyle w:val="NormaleWeb"/>
        <w:spacing w:before="0" w:beforeAutospacing="0" w:after="0" w:afterAutospacing="0"/>
        <w:jc w:val="both"/>
        <w:rPr>
          <w:sz w:val="28"/>
          <w:szCs w:val="28"/>
        </w:rPr>
      </w:pPr>
      <w:r w:rsidRPr="00677B0A">
        <w:rPr>
          <w:sz w:val="28"/>
          <w:szCs w:val="28"/>
        </w:rPr>
        <w:t>Nel caso di contenuti pubblici</w:t>
      </w:r>
      <w:r w:rsidRPr="0095713B">
        <w:rPr>
          <w:sz w:val="28"/>
          <w:szCs w:val="28"/>
        </w:rPr>
        <w:t xml:space="preserve">, </w:t>
      </w:r>
      <w:r w:rsidR="00D0160E">
        <w:rPr>
          <w:sz w:val="28"/>
          <w:szCs w:val="28"/>
        </w:rPr>
        <w:t xml:space="preserve">invece, </w:t>
      </w:r>
      <w:r w:rsidRPr="0095713B">
        <w:rPr>
          <w:sz w:val="28"/>
          <w:szCs w:val="28"/>
        </w:rPr>
        <w:t xml:space="preserve">trova applicazione la Direttiva </w:t>
      </w:r>
      <w:r w:rsidRPr="00D0160E">
        <w:rPr>
          <w:i/>
          <w:iCs/>
          <w:sz w:val="28"/>
          <w:szCs w:val="28"/>
        </w:rPr>
        <w:t>e-commerce</w:t>
      </w:r>
      <w:r w:rsidRPr="0095713B">
        <w:rPr>
          <w:sz w:val="28"/>
          <w:szCs w:val="28"/>
        </w:rPr>
        <w:t>, che limita, ai sensi dell’art. 14, la responsabilità dell’</w:t>
      </w:r>
      <w:r w:rsidRPr="00D0160E">
        <w:rPr>
          <w:i/>
          <w:iCs/>
          <w:sz w:val="28"/>
          <w:szCs w:val="28"/>
        </w:rPr>
        <w:t>hosting provider</w:t>
      </w:r>
      <w:r w:rsidRPr="0095713B">
        <w:rPr>
          <w:sz w:val="28"/>
          <w:szCs w:val="28"/>
        </w:rPr>
        <w:t xml:space="preserve">, </w:t>
      </w:r>
      <w:r w:rsidR="00D0160E">
        <w:rPr>
          <w:sz w:val="28"/>
          <w:szCs w:val="28"/>
        </w:rPr>
        <w:t>precisando</w:t>
      </w:r>
      <w:r w:rsidRPr="0095713B">
        <w:rPr>
          <w:sz w:val="28"/>
          <w:szCs w:val="28"/>
        </w:rPr>
        <w:t xml:space="preserve"> </w:t>
      </w:r>
      <w:r w:rsidR="00D0160E">
        <w:rPr>
          <w:sz w:val="28"/>
          <w:szCs w:val="28"/>
        </w:rPr>
        <w:t>che il suo obbligo</w:t>
      </w:r>
      <w:r w:rsidR="00AD4439">
        <w:rPr>
          <w:sz w:val="28"/>
          <w:szCs w:val="28"/>
        </w:rPr>
        <w:t>,</w:t>
      </w:r>
      <w:r w:rsidR="00D0160E">
        <w:rPr>
          <w:sz w:val="28"/>
          <w:szCs w:val="28"/>
        </w:rPr>
        <w:t xml:space="preserve"> </w:t>
      </w:r>
      <w:r w:rsidR="00AD4439">
        <w:rPr>
          <w:sz w:val="28"/>
          <w:szCs w:val="28"/>
        </w:rPr>
        <w:t>nel caso in cui</w:t>
      </w:r>
      <w:r w:rsidR="00AD4439" w:rsidRPr="0095713B">
        <w:rPr>
          <w:sz w:val="28"/>
          <w:szCs w:val="28"/>
        </w:rPr>
        <w:t xml:space="preserve"> </w:t>
      </w:r>
      <w:r w:rsidR="00AD4439">
        <w:rPr>
          <w:sz w:val="28"/>
          <w:szCs w:val="28"/>
        </w:rPr>
        <w:t>pervenga</w:t>
      </w:r>
      <w:r w:rsidR="00AD4439" w:rsidRPr="0095713B">
        <w:rPr>
          <w:sz w:val="28"/>
          <w:szCs w:val="28"/>
        </w:rPr>
        <w:t xml:space="preserve"> una segnalazione</w:t>
      </w:r>
      <w:r w:rsidR="00AD4439">
        <w:rPr>
          <w:sz w:val="28"/>
          <w:szCs w:val="28"/>
        </w:rPr>
        <w:t>,</w:t>
      </w:r>
      <w:r w:rsidR="00AD4439" w:rsidRPr="0095713B">
        <w:rPr>
          <w:sz w:val="28"/>
          <w:szCs w:val="28"/>
        </w:rPr>
        <w:t xml:space="preserve"> </w:t>
      </w:r>
      <w:r w:rsidR="00D0160E">
        <w:rPr>
          <w:sz w:val="28"/>
          <w:szCs w:val="28"/>
        </w:rPr>
        <w:t xml:space="preserve">è </w:t>
      </w:r>
      <w:r w:rsidR="00AD4439">
        <w:rPr>
          <w:sz w:val="28"/>
          <w:szCs w:val="28"/>
        </w:rPr>
        <w:t>solamente</w:t>
      </w:r>
      <w:r w:rsidR="00AD4439" w:rsidRPr="0095713B">
        <w:rPr>
          <w:sz w:val="28"/>
          <w:szCs w:val="28"/>
        </w:rPr>
        <w:t xml:space="preserve"> </w:t>
      </w:r>
      <w:r w:rsidR="00AD4439">
        <w:rPr>
          <w:sz w:val="28"/>
          <w:szCs w:val="28"/>
        </w:rPr>
        <w:t xml:space="preserve">quello di </w:t>
      </w:r>
      <w:r w:rsidRPr="0095713B">
        <w:rPr>
          <w:sz w:val="28"/>
          <w:szCs w:val="28"/>
        </w:rPr>
        <w:t xml:space="preserve">rimuovere tempestivamente eventuali contenuti illeciti, </w:t>
      </w:r>
      <w:r w:rsidR="00AD4439">
        <w:rPr>
          <w:sz w:val="28"/>
          <w:szCs w:val="28"/>
        </w:rPr>
        <w:t>non essendo</w:t>
      </w:r>
      <w:r w:rsidRPr="0095713B">
        <w:rPr>
          <w:sz w:val="28"/>
          <w:szCs w:val="28"/>
        </w:rPr>
        <w:t xml:space="preserve"> </w:t>
      </w:r>
      <w:r w:rsidR="00AD4439">
        <w:rPr>
          <w:sz w:val="28"/>
          <w:szCs w:val="28"/>
        </w:rPr>
        <w:t>tenuto</w:t>
      </w:r>
      <w:r w:rsidRPr="0095713B">
        <w:rPr>
          <w:sz w:val="28"/>
          <w:szCs w:val="28"/>
        </w:rPr>
        <w:t xml:space="preserve"> </w:t>
      </w:r>
      <w:r w:rsidR="00AD4439">
        <w:rPr>
          <w:sz w:val="28"/>
          <w:szCs w:val="28"/>
        </w:rPr>
        <w:t>ad</w:t>
      </w:r>
      <w:r w:rsidRPr="0095713B">
        <w:rPr>
          <w:sz w:val="28"/>
          <w:szCs w:val="28"/>
        </w:rPr>
        <w:t xml:space="preserve"> </w:t>
      </w:r>
      <w:r w:rsidR="00AD4439">
        <w:rPr>
          <w:sz w:val="28"/>
          <w:szCs w:val="28"/>
        </w:rPr>
        <w:t xml:space="preserve">effettuare </w:t>
      </w:r>
      <w:r w:rsidRPr="0095713B">
        <w:rPr>
          <w:sz w:val="28"/>
          <w:szCs w:val="28"/>
        </w:rPr>
        <w:t>alcun</w:t>
      </w:r>
      <w:r w:rsidR="00AD4439">
        <w:rPr>
          <w:sz w:val="28"/>
          <w:szCs w:val="28"/>
        </w:rPr>
        <w:t xml:space="preserve"> </w:t>
      </w:r>
      <w:r w:rsidRPr="0095713B">
        <w:rPr>
          <w:sz w:val="28"/>
          <w:szCs w:val="28"/>
        </w:rPr>
        <w:t xml:space="preserve">controllo preventivo. </w:t>
      </w:r>
    </w:p>
    <w:p w14:paraId="5DFF66F8" w14:textId="77777777" w:rsidR="003C2113" w:rsidRDefault="003C2113" w:rsidP="00677B0A">
      <w:pPr>
        <w:pStyle w:val="NormaleWeb"/>
        <w:spacing w:before="0" w:beforeAutospacing="0" w:after="0" w:afterAutospacing="0"/>
        <w:jc w:val="both"/>
        <w:rPr>
          <w:sz w:val="28"/>
          <w:szCs w:val="28"/>
        </w:rPr>
      </w:pPr>
    </w:p>
    <w:p w14:paraId="5544A4EA" w14:textId="45779866" w:rsidR="003C2113" w:rsidRDefault="00AD4439" w:rsidP="00677B0A">
      <w:pPr>
        <w:pStyle w:val="NormaleWeb"/>
        <w:spacing w:before="0" w:beforeAutospacing="0" w:after="0" w:afterAutospacing="0"/>
        <w:jc w:val="both"/>
        <w:rPr>
          <w:sz w:val="28"/>
          <w:szCs w:val="28"/>
        </w:rPr>
      </w:pPr>
      <w:r>
        <w:rPr>
          <w:sz w:val="28"/>
          <w:szCs w:val="28"/>
        </w:rPr>
        <w:t>Questo è il quadro normativo</w:t>
      </w:r>
      <w:r w:rsidR="0095713B" w:rsidRPr="0095713B">
        <w:rPr>
          <w:sz w:val="28"/>
          <w:szCs w:val="28"/>
        </w:rPr>
        <w:t xml:space="preserve"> vigente</w:t>
      </w:r>
      <w:r>
        <w:rPr>
          <w:sz w:val="28"/>
          <w:szCs w:val="28"/>
        </w:rPr>
        <w:t>;</w:t>
      </w:r>
      <w:r w:rsidR="0095713B" w:rsidRPr="0095713B">
        <w:rPr>
          <w:sz w:val="28"/>
          <w:szCs w:val="28"/>
        </w:rPr>
        <w:t xml:space="preserve"> </w:t>
      </w:r>
      <w:r>
        <w:rPr>
          <w:sz w:val="28"/>
          <w:szCs w:val="28"/>
        </w:rPr>
        <w:t xml:space="preserve">eppure, ultimamente, la direzione verso cui si sta andando è </w:t>
      </w:r>
      <w:r w:rsidR="009E514E">
        <w:rPr>
          <w:sz w:val="28"/>
          <w:szCs w:val="28"/>
        </w:rPr>
        <w:t xml:space="preserve">quella </w:t>
      </w:r>
      <w:r w:rsidR="0095713B" w:rsidRPr="0095713B">
        <w:rPr>
          <w:sz w:val="28"/>
          <w:szCs w:val="28"/>
        </w:rPr>
        <w:t xml:space="preserve">di coinvolgere maggiormente le piattaforme, </w:t>
      </w:r>
      <w:r w:rsidR="009E514E">
        <w:rPr>
          <w:sz w:val="28"/>
          <w:szCs w:val="28"/>
        </w:rPr>
        <w:t>promuovendo</w:t>
      </w:r>
      <w:r w:rsidR="0095713B" w:rsidRPr="0095713B">
        <w:rPr>
          <w:sz w:val="28"/>
          <w:szCs w:val="28"/>
        </w:rPr>
        <w:t xml:space="preserve"> la cooperazione fra queste e i titolari dei diritti di proprietà intellettuale, </w:t>
      </w:r>
      <w:r w:rsidR="009E514E">
        <w:rPr>
          <w:sz w:val="28"/>
          <w:szCs w:val="28"/>
        </w:rPr>
        <w:t>allo scopo di</w:t>
      </w:r>
      <w:r w:rsidR="0095713B" w:rsidRPr="0095713B">
        <w:rPr>
          <w:sz w:val="28"/>
          <w:szCs w:val="28"/>
        </w:rPr>
        <w:t xml:space="preserve"> </w:t>
      </w:r>
      <w:r w:rsidR="009E514E">
        <w:rPr>
          <w:sz w:val="28"/>
          <w:szCs w:val="28"/>
        </w:rPr>
        <w:t>arginare</w:t>
      </w:r>
      <w:r w:rsidR="0095713B" w:rsidRPr="0095713B">
        <w:rPr>
          <w:sz w:val="28"/>
          <w:szCs w:val="28"/>
        </w:rPr>
        <w:t xml:space="preserve"> il fenomeno della diffusione di contenuti illeciti.</w:t>
      </w:r>
    </w:p>
    <w:p w14:paraId="05FB8F84" w14:textId="7B6CF68A" w:rsidR="009E514E" w:rsidRDefault="009E514E" w:rsidP="00677B0A">
      <w:pPr>
        <w:pStyle w:val="NormaleWeb"/>
        <w:spacing w:before="0" w:beforeAutospacing="0" w:after="0" w:afterAutospacing="0"/>
        <w:jc w:val="both"/>
        <w:rPr>
          <w:sz w:val="28"/>
          <w:szCs w:val="28"/>
        </w:rPr>
      </w:pPr>
      <w:r>
        <w:rPr>
          <w:sz w:val="28"/>
          <w:szCs w:val="28"/>
        </w:rPr>
        <w:t>Lungo questa direzione</w:t>
      </w:r>
      <w:r w:rsidR="0095713B" w:rsidRPr="0095713B">
        <w:rPr>
          <w:sz w:val="28"/>
          <w:szCs w:val="28"/>
        </w:rPr>
        <w:t xml:space="preserve"> si colloca </w:t>
      </w:r>
      <w:r>
        <w:rPr>
          <w:sz w:val="28"/>
          <w:szCs w:val="28"/>
        </w:rPr>
        <w:t>anche il</w:t>
      </w:r>
      <w:r w:rsidRPr="0095713B">
        <w:rPr>
          <w:sz w:val="28"/>
          <w:szCs w:val="28"/>
        </w:rPr>
        <w:t xml:space="preserve"> </w:t>
      </w:r>
      <w:r w:rsidRPr="009E514E">
        <w:rPr>
          <w:i/>
          <w:iCs/>
          <w:sz w:val="28"/>
          <w:szCs w:val="28"/>
        </w:rPr>
        <w:t>Digital Service</w:t>
      </w:r>
      <w:r w:rsidR="00125AE2">
        <w:rPr>
          <w:i/>
          <w:iCs/>
          <w:sz w:val="28"/>
          <w:szCs w:val="28"/>
        </w:rPr>
        <w:t>s</w:t>
      </w:r>
      <w:r w:rsidRPr="009E514E">
        <w:rPr>
          <w:i/>
          <w:iCs/>
          <w:sz w:val="28"/>
          <w:szCs w:val="28"/>
        </w:rPr>
        <w:t xml:space="preserve"> </w:t>
      </w:r>
      <w:proofErr w:type="spellStart"/>
      <w:r w:rsidRPr="009E514E">
        <w:rPr>
          <w:i/>
          <w:iCs/>
          <w:sz w:val="28"/>
          <w:szCs w:val="28"/>
        </w:rPr>
        <w:t>Act</w:t>
      </w:r>
      <w:proofErr w:type="spellEnd"/>
      <w:r>
        <w:rPr>
          <w:sz w:val="28"/>
          <w:szCs w:val="28"/>
        </w:rPr>
        <w:t xml:space="preserve">, ossia </w:t>
      </w:r>
      <w:r w:rsidR="0095713B" w:rsidRPr="0095713B">
        <w:rPr>
          <w:sz w:val="28"/>
          <w:szCs w:val="28"/>
        </w:rPr>
        <w:t>la recente proposta di Regolamento presentata dalla Commissione</w:t>
      </w:r>
      <w:r w:rsidR="003C2113">
        <w:rPr>
          <w:sz w:val="28"/>
          <w:szCs w:val="28"/>
        </w:rPr>
        <w:t xml:space="preserve"> al Parlamento europeo</w:t>
      </w:r>
      <w:r w:rsidR="0095713B" w:rsidRPr="0095713B">
        <w:rPr>
          <w:sz w:val="28"/>
          <w:szCs w:val="28"/>
        </w:rPr>
        <w:t xml:space="preserve">, che, ribadendo l’assenza di un generale obbligo di monitoraggio, </w:t>
      </w:r>
      <w:r>
        <w:rPr>
          <w:sz w:val="28"/>
          <w:szCs w:val="28"/>
        </w:rPr>
        <w:t>vuole</w:t>
      </w:r>
      <w:r w:rsidR="0095713B" w:rsidRPr="0095713B">
        <w:rPr>
          <w:sz w:val="28"/>
          <w:szCs w:val="28"/>
        </w:rPr>
        <w:t xml:space="preserve"> introdurre obblighi di </w:t>
      </w:r>
      <w:r w:rsidR="0095713B" w:rsidRPr="009E514E">
        <w:rPr>
          <w:i/>
          <w:iCs/>
          <w:sz w:val="28"/>
          <w:szCs w:val="28"/>
        </w:rPr>
        <w:t>due-</w:t>
      </w:r>
      <w:proofErr w:type="spellStart"/>
      <w:r w:rsidR="0095713B" w:rsidRPr="009E514E">
        <w:rPr>
          <w:i/>
          <w:iCs/>
          <w:sz w:val="28"/>
          <w:szCs w:val="28"/>
        </w:rPr>
        <w:t>diligence</w:t>
      </w:r>
      <w:proofErr w:type="spellEnd"/>
      <w:r>
        <w:rPr>
          <w:i/>
          <w:iCs/>
          <w:sz w:val="28"/>
          <w:szCs w:val="28"/>
        </w:rPr>
        <w:t>,</w:t>
      </w:r>
      <w:r w:rsidR="0095713B" w:rsidRPr="0095713B">
        <w:rPr>
          <w:sz w:val="28"/>
          <w:szCs w:val="28"/>
        </w:rPr>
        <w:t xml:space="preserve"> </w:t>
      </w:r>
      <w:r>
        <w:rPr>
          <w:sz w:val="28"/>
          <w:szCs w:val="28"/>
        </w:rPr>
        <w:t>per</w:t>
      </w:r>
      <w:r w:rsidR="0095713B" w:rsidRPr="0095713B">
        <w:rPr>
          <w:sz w:val="28"/>
          <w:szCs w:val="28"/>
        </w:rPr>
        <w:t xml:space="preserve"> </w:t>
      </w:r>
      <w:r>
        <w:rPr>
          <w:sz w:val="28"/>
          <w:szCs w:val="28"/>
        </w:rPr>
        <w:t>facilitare</w:t>
      </w:r>
      <w:r w:rsidR="0095713B" w:rsidRPr="0095713B">
        <w:rPr>
          <w:sz w:val="28"/>
          <w:szCs w:val="28"/>
        </w:rPr>
        <w:t xml:space="preserve"> la rimozione dei contenuti illeciti, </w:t>
      </w:r>
      <w:r>
        <w:rPr>
          <w:sz w:val="28"/>
          <w:szCs w:val="28"/>
        </w:rPr>
        <w:t>anche al fine di assicurare</w:t>
      </w:r>
      <w:r w:rsidR="0095713B" w:rsidRPr="0095713B">
        <w:rPr>
          <w:sz w:val="28"/>
          <w:szCs w:val="28"/>
        </w:rPr>
        <w:t xml:space="preserve"> maggiore trasparenza. </w:t>
      </w:r>
    </w:p>
    <w:p w14:paraId="275E7596" w14:textId="32BDDBDE" w:rsidR="0095713B" w:rsidRPr="0095713B" w:rsidRDefault="009E514E" w:rsidP="00677B0A">
      <w:pPr>
        <w:pStyle w:val="NormaleWeb"/>
        <w:spacing w:before="0" w:beforeAutospacing="0" w:after="0" w:afterAutospacing="0"/>
        <w:jc w:val="both"/>
        <w:rPr>
          <w:sz w:val="28"/>
          <w:szCs w:val="28"/>
        </w:rPr>
      </w:pPr>
      <w:r>
        <w:rPr>
          <w:sz w:val="28"/>
          <w:szCs w:val="28"/>
        </w:rPr>
        <w:t>Si ricorda, peraltro,</w:t>
      </w:r>
      <w:r w:rsidR="0095713B" w:rsidRPr="0095713B">
        <w:rPr>
          <w:sz w:val="28"/>
          <w:szCs w:val="28"/>
        </w:rPr>
        <w:t xml:space="preserve"> che la regolamentazione di queste nuove materie è particolarmente complessa</w:t>
      </w:r>
      <w:r>
        <w:rPr>
          <w:sz w:val="28"/>
          <w:szCs w:val="28"/>
        </w:rPr>
        <w:t>, potendo essa</w:t>
      </w:r>
      <w:r w:rsidR="0095713B" w:rsidRPr="0095713B">
        <w:rPr>
          <w:sz w:val="28"/>
          <w:szCs w:val="28"/>
        </w:rPr>
        <w:t xml:space="preserve"> incidere direttamente sui diritti e le libertà fondamentali degli individui.</w:t>
      </w:r>
    </w:p>
    <w:p w14:paraId="586F46EB" w14:textId="77777777" w:rsidR="003C2113" w:rsidRDefault="009E514E" w:rsidP="00677B0A">
      <w:pPr>
        <w:pStyle w:val="NormaleWeb"/>
        <w:spacing w:before="0" w:beforeAutospacing="0" w:after="0" w:afterAutospacing="0"/>
        <w:jc w:val="both"/>
        <w:rPr>
          <w:sz w:val="28"/>
          <w:szCs w:val="28"/>
        </w:rPr>
      </w:pPr>
      <w:r>
        <w:rPr>
          <w:sz w:val="28"/>
          <w:szCs w:val="28"/>
        </w:rPr>
        <w:t>Bisogna ricordare, inoltre, che i</w:t>
      </w:r>
      <w:r w:rsidR="0095713B" w:rsidRPr="0095713B">
        <w:rPr>
          <w:sz w:val="28"/>
          <w:szCs w:val="28"/>
        </w:rPr>
        <w:t xml:space="preserve"> </w:t>
      </w:r>
      <w:r w:rsidR="0095713B" w:rsidRPr="009E514E">
        <w:rPr>
          <w:i/>
          <w:iCs/>
          <w:sz w:val="28"/>
          <w:szCs w:val="28"/>
        </w:rPr>
        <w:t xml:space="preserve">social </w:t>
      </w:r>
      <w:r w:rsidRPr="009E514E">
        <w:rPr>
          <w:i/>
          <w:iCs/>
          <w:sz w:val="28"/>
          <w:szCs w:val="28"/>
        </w:rPr>
        <w:t>network</w:t>
      </w:r>
      <w:r>
        <w:rPr>
          <w:sz w:val="28"/>
          <w:szCs w:val="28"/>
        </w:rPr>
        <w:t xml:space="preserve"> </w:t>
      </w:r>
      <w:r w:rsidR="0095713B" w:rsidRPr="0095713B">
        <w:rPr>
          <w:sz w:val="28"/>
          <w:szCs w:val="28"/>
        </w:rPr>
        <w:t xml:space="preserve">sono soggetti all’applicazione di altre due </w:t>
      </w:r>
      <w:r w:rsidR="00127A34">
        <w:rPr>
          <w:sz w:val="28"/>
          <w:szCs w:val="28"/>
        </w:rPr>
        <w:t>fonti normative</w:t>
      </w:r>
      <w:r w:rsidR="0095713B" w:rsidRPr="0095713B">
        <w:rPr>
          <w:sz w:val="28"/>
          <w:szCs w:val="28"/>
        </w:rPr>
        <w:t xml:space="preserve"> </w:t>
      </w:r>
      <w:r>
        <w:rPr>
          <w:sz w:val="28"/>
          <w:szCs w:val="28"/>
        </w:rPr>
        <w:t>dell’Unione Europea</w:t>
      </w:r>
      <w:r w:rsidR="0095713B" w:rsidRPr="0095713B">
        <w:rPr>
          <w:sz w:val="28"/>
          <w:szCs w:val="28"/>
        </w:rPr>
        <w:t>, la Direttiva UE 48/2004</w:t>
      </w:r>
      <w:r w:rsidR="00EE2A5C">
        <w:rPr>
          <w:rStyle w:val="Rimandonotaapidipagina"/>
          <w:sz w:val="28"/>
          <w:szCs w:val="28"/>
        </w:rPr>
        <w:footnoteReference w:id="198"/>
      </w:r>
      <w:r w:rsidR="0095713B" w:rsidRPr="0095713B">
        <w:rPr>
          <w:sz w:val="28"/>
          <w:szCs w:val="28"/>
        </w:rPr>
        <w:t xml:space="preserve"> sull’applicazione dei diritti di proprietà intellettuale (</w:t>
      </w:r>
      <w:r w:rsidR="0095713B" w:rsidRPr="00127A34">
        <w:rPr>
          <w:i/>
          <w:iCs/>
          <w:sz w:val="28"/>
          <w:szCs w:val="28"/>
        </w:rPr>
        <w:t>IPRED</w:t>
      </w:r>
      <w:r w:rsidR="0095713B" w:rsidRPr="0095713B">
        <w:rPr>
          <w:sz w:val="28"/>
          <w:szCs w:val="28"/>
        </w:rPr>
        <w:t>) e la Direttiva UE 29/2001</w:t>
      </w:r>
      <w:r w:rsidR="00EE2A5C">
        <w:rPr>
          <w:rStyle w:val="Rimandonotaapidipagina"/>
          <w:sz w:val="28"/>
          <w:szCs w:val="28"/>
        </w:rPr>
        <w:footnoteReference w:id="199"/>
      </w:r>
      <w:r w:rsidR="0095713B" w:rsidRPr="0095713B">
        <w:rPr>
          <w:sz w:val="28"/>
          <w:szCs w:val="28"/>
        </w:rPr>
        <w:t xml:space="preserve"> sull’armonizzazione di alcuni aspetti del </w:t>
      </w:r>
      <w:proofErr w:type="gramStart"/>
      <w:r w:rsidR="0095713B" w:rsidRPr="00127A34">
        <w:rPr>
          <w:i/>
          <w:iCs/>
          <w:sz w:val="28"/>
          <w:szCs w:val="28"/>
        </w:rPr>
        <w:t>copyright</w:t>
      </w:r>
      <w:proofErr w:type="gramEnd"/>
      <w:r w:rsidR="0095713B" w:rsidRPr="0095713B">
        <w:rPr>
          <w:sz w:val="28"/>
          <w:szCs w:val="28"/>
        </w:rPr>
        <w:t xml:space="preserve"> e altri diritti nella società dell’informazione (</w:t>
      </w:r>
      <w:r w:rsidR="0095713B" w:rsidRPr="00127A34">
        <w:rPr>
          <w:i/>
          <w:iCs/>
          <w:sz w:val="28"/>
          <w:szCs w:val="28"/>
        </w:rPr>
        <w:t>INFOSOC</w:t>
      </w:r>
      <w:r w:rsidR="0095713B" w:rsidRPr="0095713B">
        <w:rPr>
          <w:sz w:val="28"/>
          <w:szCs w:val="28"/>
        </w:rPr>
        <w:t xml:space="preserve">). </w:t>
      </w:r>
    </w:p>
    <w:p w14:paraId="6DD1BF13" w14:textId="1E3AFFAD" w:rsidR="0095713B" w:rsidRPr="00677B0A" w:rsidRDefault="00127A34" w:rsidP="00677B0A">
      <w:pPr>
        <w:pStyle w:val="NormaleWeb"/>
        <w:spacing w:before="0" w:beforeAutospacing="0" w:after="0" w:afterAutospacing="0"/>
        <w:jc w:val="both"/>
        <w:rPr>
          <w:sz w:val="28"/>
          <w:szCs w:val="28"/>
        </w:rPr>
      </w:pPr>
      <w:r>
        <w:rPr>
          <w:sz w:val="28"/>
          <w:szCs w:val="28"/>
        </w:rPr>
        <w:t>Infine</w:t>
      </w:r>
      <w:r w:rsidR="0095713B" w:rsidRPr="0095713B">
        <w:rPr>
          <w:sz w:val="28"/>
          <w:szCs w:val="28"/>
        </w:rPr>
        <w:t xml:space="preserve">, nel caso </w:t>
      </w:r>
      <w:r w:rsidR="0095713B" w:rsidRPr="00677B0A">
        <w:rPr>
          <w:sz w:val="28"/>
          <w:szCs w:val="28"/>
        </w:rPr>
        <w:t xml:space="preserve">in cui i </w:t>
      </w:r>
      <w:r w:rsidR="0095713B" w:rsidRPr="00127A34">
        <w:rPr>
          <w:i/>
          <w:iCs/>
          <w:sz w:val="28"/>
          <w:szCs w:val="28"/>
        </w:rPr>
        <w:t>social media</w:t>
      </w:r>
      <w:r w:rsidR="0095713B" w:rsidRPr="00677B0A">
        <w:rPr>
          <w:sz w:val="28"/>
          <w:szCs w:val="28"/>
        </w:rPr>
        <w:t xml:space="preserve"> siano utilizzati per la divulgazione di contenuti tutelati da </w:t>
      </w:r>
      <w:proofErr w:type="gramStart"/>
      <w:r w:rsidR="0095713B" w:rsidRPr="00127A34">
        <w:rPr>
          <w:i/>
          <w:iCs/>
          <w:sz w:val="28"/>
          <w:szCs w:val="28"/>
        </w:rPr>
        <w:t>copyright</w:t>
      </w:r>
      <w:proofErr w:type="gramEnd"/>
      <w:r w:rsidR="0095713B" w:rsidRPr="00677B0A">
        <w:rPr>
          <w:sz w:val="28"/>
          <w:szCs w:val="28"/>
        </w:rPr>
        <w:t xml:space="preserve">, </w:t>
      </w:r>
      <w:r>
        <w:rPr>
          <w:sz w:val="28"/>
          <w:szCs w:val="28"/>
        </w:rPr>
        <w:t>si applica</w:t>
      </w:r>
      <w:r w:rsidR="0095713B" w:rsidRPr="00677B0A">
        <w:rPr>
          <w:sz w:val="28"/>
          <w:szCs w:val="28"/>
        </w:rPr>
        <w:t xml:space="preserve"> la Direttiva </w:t>
      </w:r>
      <w:r w:rsidR="0095713B" w:rsidRPr="00127A34">
        <w:rPr>
          <w:i/>
          <w:iCs/>
          <w:sz w:val="28"/>
          <w:szCs w:val="28"/>
        </w:rPr>
        <w:t>Copyright</w:t>
      </w:r>
      <w:r w:rsidR="00EE2A5C" w:rsidRPr="00677B0A">
        <w:rPr>
          <w:rStyle w:val="Rimandonotaapidipagina"/>
          <w:sz w:val="28"/>
          <w:szCs w:val="28"/>
        </w:rPr>
        <w:footnoteReference w:id="200"/>
      </w:r>
      <w:r w:rsidR="00EE2A5C" w:rsidRPr="00677B0A">
        <w:rPr>
          <w:sz w:val="28"/>
          <w:szCs w:val="28"/>
        </w:rPr>
        <w:t>.</w:t>
      </w:r>
    </w:p>
    <w:p w14:paraId="31490C2C" w14:textId="77777777" w:rsidR="003C2113" w:rsidRDefault="00473786" w:rsidP="00677B0A">
      <w:pPr>
        <w:pStyle w:val="NormaleWeb"/>
        <w:spacing w:before="0" w:beforeAutospacing="0" w:after="0" w:afterAutospacing="0"/>
        <w:jc w:val="both"/>
        <w:rPr>
          <w:sz w:val="28"/>
          <w:szCs w:val="28"/>
        </w:rPr>
      </w:pPr>
      <w:r>
        <w:rPr>
          <w:sz w:val="28"/>
          <w:szCs w:val="28"/>
        </w:rPr>
        <w:t>Passando</w:t>
      </w:r>
      <w:r w:rsidR="0095713B" w:rsidRPr="00677B0A">
        <w:rPr>
          <w:sz w:val="28"/>
          <w:szCs w:val="28"/>
        </w:rPr>
        <w:t xml:space="preserve"> ai contenuti ed alle </w:t>
      </w:r>
      <w:r>
        <w:rPr>
          <w:sz w:val="28"/>
          <w:szCs w:val="28"/>
        </w:rPr>
        <w:t>chat</w:t>
      </w:r>
      <w:r w:rsidR="0095713B" w:rsidRPr="00677B0A">
        <w:rPr>
          <w:sz w:val="28"/>
          <w:szCs w:val="28"/>
        </w:rPr>
        <w:t xml:space="preserve"> private, le maggiori </w:t>
      </w:r>
      <w:r>
        <w:rPr>
          <w:sz w:val="28"/>
          <w:szCs w:val="28"/>
        </w:rPr>
        <w:t>perplessità</w:t>
      </w:r>
      <w:r w:rsidR="0095713B" w:rsidRPr="00677B0A">
        <w:rPr>
          <w:sz w:val="28"/>
          <w:szCs w:val="28"/>
        </w:rPr>
        <w:t xml:space="preserve"> sono </w:t>
      </w:r>
      <w:r>
        <w:rPr>
          <w:sz w:val="28"/>
          <w:szCs w:val="28"/>
        </w:rPr>
        <w:t>sorte</w:t>
      </w:r>
      <w:r w:rsidR="0095713B" w:rsidRPr="00677B0A">
        <w:rPr>
          <w:sz w:val="28"/>
          <w:szCs w:val="28"/>
        </w:rPr>
        <w:t xml:space="preserve"> </w:t>
      </w:r>
      <w:r>
        <w:rPr>
          <w:sz w:val="28"/>
          <w:szCs w:val="28"/>
        </w:rPr>
        <w:t xml:space="preserve">riguardo </w:t>
      </w:r>
      <w:r w:rsidR="003C2113">
        <w:rPr>
          <w:sz w:val="28"/>
          <w:szCs w:val="28"/>
        </w:rPr>
        <w:t>al</w:t>
      </w:r>
      <w:r>
        <w:rPr>
          <w:sz w:val="28"/>
          <w:szCs w:val="28"/>
        </w:rPr>
        <w:t>la</w:t>
      </w:r>
      <w:r w:rsidR="0095713B" w:rsidRPr="00677B0A">
        <w:rPr>
          <w:sz w:val="28"/>
          <w:szCs w:val="28"/>
        </w:rPr>
        <w:t xml:space="preserve"> possibilità di qualificare le comunicazioni istantanee che avvengono attraverso i </w:t>
      </w:r>
      <w:r w:rsidR="0095713B" w:rsidRPr="00473786">
        <w:rPr>
          <w:i/>
          <w:iCs/>
          <w:sz w:val="28"/>
          <w:szCs w:val="28"/>
        </w:rPr>
        <w:t xml:space="preserve">social media </w:t>
      </w:r>
      <w:r w:rsidR="0095713B" w:rsidRPr="00677B0A">
        <w:rPr>
          <w:sz w:val="28"/>
          <w:szCs w:val="28"/>
        </w:rPr>
        <w:t xml:space="preserve">come comunicazioni elettroniche ai sensi della Direttiva </w:t>
      </w:r>
      <w:r w:rsidR="0095713B" w:rsidRPr="00473786">
        <w:rPr>
          <w:i/>
          <w:iCs/>
          <w:sz w:val="28"/>
          <w:szCs w:val="28"/>
        </w:rPr>
        <w:t>e-Privacy</w:t>
      </w:r>
      <w:r w:rsidR="00EE2A5C" w:rsidRPr="00677B0A">
        <w:rPr>
          <w:rStyle w:val="Rimandonotaapidipagina"/>
          <w:sz w:val="28"/>
          <w:szCs w:val="28"/>
        </w:rPr>
        <w:footnoteReference w:id="201"/>
      </w:r>
      <w:r w:rsidR="0095713B" w:rsidRPr="00677B0A">
        <w:rPr>
          <w:sz w:val="28"/>
          <w:szCs w:val="28"/>
        </w:rPr>
        <w:t xml:space="preserve">, garantendo l’applicazione del relativo regime di tutela </w:t>
      </w:r>
      <w:r>
        <w:rPr>
          <w:sz w:val="28"/>
          <w:szCs w:val="28"/>
        </w:rPr>
        <w:t xml:space="preserve">ivi </w:t>
      </w:r>
      <w:r w:rsidR="0095713B" w:rsidRPr="00677B0A">
        <w:rPr>
          <w:sz w:val="28"/>
          <w:szCs w:val="28"/>
        </w:rPr>
        <w:t xml:space="preserve">previsto. </w:t>
      </w:r>
    </w:p>
    <w:p w14:paraId="3E4A520B" w14:textId="7CAA6DF3" w:rsidR="00EE2A5C" w:rsidRDefault="00473786" w:rsidP="00677B0A">
      <w:pPr>
        <w:pStyle w:val="NormaleWeb"/>
        <w:spacing w:before="0" w:beforeAutospacing="0" w:after="0" w:afterAutospacing="0"/>
        <w:jc w:val="both"/>
        <w:rPr>
          <w:sz w:val="28"/>
          <w:szCs w:val="28"/>
        </w:rPr>
      </w:pPr>
      <w:r>
        <w:rPr>
          <w:sz w:val="28"/>
          <w:szCs w:val="28"/>
        </w:rPr>
        <w:lastRenderedPageBreak/>
        <w:t>In passato</w:t>
      </w:r>
      <w:r w:rsidR="0095713B" w:rsidRPr="00677B0A">
        <w:rPr>
          <w:sz w:val="28"/>
          <w:szCs w:val="28"/>
        </w:rPr>
        <w:t xml:space="preserve">, infatti, i </w:t>
      </w:r>
      <w:r w:rsidR="0095713B" w:rsidRPr="00473786">
        <w:rPr>
          <w:i/>
          <w:iCs/>
          <w:sz w:val="28"/>
          <w:szCs w:val="28"/>
        </w:rPr>
        <w:t>social</w:t>
      </w:r>
      <w:r w:rsidR="0095713B" w:rsidRPr="00677B0A">
        <w:rPr>
          <w:sz w:val="28"/>
          <w:szCs w:val="28"/>
        </w:rPr>
        <w:t xml:space="preserve"> erano rimasti esclusi da tale nozione, </w:t>
      </w:r>
      <w:r>
        <w:rPr>
          <w:sz w:val="28"/>
          <w:szCs w:val="28"/>
        </w:rPr>
        <w:t>anche se</w:t>
      </w:r>
      <w:r w:rsidR="0095713B" w:rsidRPr="00677B0A">
        <w:rPr>
          <w:sz w:val="28"/>
          <w:szCs w:val="28"/>
        </w:rPr>
        <w:t xml:space="preserve"> vi </w:t>
      </w:r>
      <w:r>
        <w:rPr>
          <w:sz w:val="28"/>
          <w:szCs w:val="28"/>
        </w:rPr>
        <w:t>erano</w:t>
      </w:r>
      <w:r w:rsidR="0095713B" w:rsidRPr="00677B0A">
        <w:rPr>
          <w:sz w:val="28"/>
          <w:szCs w:val="28"/>
        </w:rPr>
        <w:t xml:space="preserve"> state alcune pronunce discordanti della C</w:t>
      </w:r>
      <w:r>
        <w:rPr>
          <w:sz w:val="28"/>
          <w:szCs w:val="28"/>
        </w:rPr>
        <w:t>orte di Giustizia</w:t>
      </w:r>
      <w:r w:rsidR="0095713B" w:rsidRPr="00677B0A">
        <w:rPr>
          <w:sz w:val="28"/>
          <w:szCs w:val="28"/>
        </w:rPr>
        <w:t>, che avevano alimenta</w:t>
      </w:r>
      <w:r>
        <w:rPr>
          <w:sz w:val="28"/>
          <w:szCs w:val="28"/>
        </w:rPr>
        <w:t>to</w:t>
      </w:r>
      <w:r w:rsidR="0095713B" w:rsidRPr="00677B0A">
        <w:rPr>
          <w:sz w:val="28"/>
          <w:szCs w:val="28"/>
        </w:rPr>
        <w:t xml:space="preserve"> il regime di incertezza</w:t>
      </w:r>
      <w:r>
        <w:rPr>
          <w:sz w:val="28"/>
          <w:szCs w:val="28"/>
        </w:rPr>
        <w:t xml:space="preserve"> già presente</w:t>
      </w:r>
      <w:r w:rsidR="0095713B" w:rsidRPr="0095713B">
        <w:rPr>
          <w:sz w:val="28"/>
          <w:szCs w:val="28"/>
        </w:rPr>
        <w:t>.</w:t>
      </w:r>
    </w:p>
    <w:p w14:paraId="5DCEF429" w14:textId="29838D35" w:rsidR="0095713B" w:rsidRPr="0095713B" w:rsidRDefault="00473786" w:rsidP="00677B0A">
      <w:pPr>
        <w:pStyle w:val="NormaleWeb"/>
        <w:spacing w:before="0" w:beforeAutospacing="0" w:after="0" w:afterAutospacing="0"/>
        <w:jc w:val="both"/>
        <w:rPr>
          <w:sz w:val="28"/>
          <w:szCs w:val="28"/>
        </w:rPr>
      </w:pPr>
      <w:r>
        <w:rPr>
          <w:sz w:val="28"/>
          <w:szCs w:val="28"/>
        </w:rPr>
        <w:t>Il quadro</w:t>
      </w:r>
      <w:r w:rsidR="0095713B" w:rsidRPr="0095713B">
        <w:rPr>
          <w:sz w:val="28"/>
          <w:szCs w:val="28"/>
        </w:rPr>
        <w:t xml:space="preserve"> è ancora più </w:t>
      </w:r>
      <w:r>
        <w:rPr>
          <w:sz w:val="28"/>
          <w:szCs w:val="28"/>
        </w:rPr>
        <w:t>incerto</w:t>
      </w:r>
      <w:r w:rsidR="0095713B" w:rsidRPr="0095713B">
        <w:rPr>
          <w:sz w:val="28"/>
          <w:szCs w:val="28"/>
        </w:rPr>
        <w:t xml:space="preserve"> </w:t>
      </w:r>
      <w:r>
        <w:rPr>
          <w:sz w:val="28"/>
          <w:szCs w:val="28"/>
        </w:rPr>
        <w:t>da quando è entrata</w:t>
      </w:r>
      <w:r w:rsidR="0095713B" w:rsidRPr="0095713B">
        <w:rPr>
          <w:sz w:val="28"/>
          <w:szCs w:val="28"/>
        </w:rPr>
        <w:t xml:space="preserve"> in vigore, il 21 dicembre 2020, </w:t>
      </w:r>
      <w:r>
        <w:rPr>
          <w:sz w:val="28"/>
          <w:szCs w:val="28"/>
        </w:rPr>
        <w:t>la</w:t>
      </w:r>
      <w:r w:rsidR="0095713B" w:rsidRPr="0095713B">
        <w:rPr>
          <w:sz w:val="28"/>
          <w:szCs w:val="28"/>
        </w:rPr>
        <w:t xml:space="preserve"> Direttiva UE 1972/2018</w:t>
      </w:r>
      <w:r w:rsidR="00EE2A5C">
        <w:rPr>
          <w:rStyle w:val="Rimandonotaapidipagina"/>
          <w:sz w:val="28"/>
          <w:szCs w:val="28"/>
        </w:rPr>
        <w:footnoteReference w:id="202"/>
      </w:r>
      <w:r w:rsidR="0095713B" w:rsidRPr="0095713B">
        <w:rPr>
          <w:sz w:val="28"/>
          <w:szCs w:val="28"/>
        </w:rPr>
        <w:t xml:space="preserve">, </w:t>
      </w:r>
      <w:r>
        <w:rPr>
          <w:sz w:val="28"/>
          <w:szCs w:val="28"/>
        </w:rPr>
        <w:t>contenente il</w:t>
      </w:r>
      <w:r w:rsidR="0095713B" w:rsidRPr="0095713B">
        <w:rPr>
          <w:sz w:val="28"/>
          <w:szCs w:val="28"/>
        </w:rPr>
        <w:t xml:space="preserve"> </w:t>
      </w:r>
      <w:r>
        <w:rPr>
          <w:sz w:val="28"/>
          <w:szCs w:val="28"/>
        </w:rPr>
        <w:t>c.d.</w:t>
      </w:r>
      <w:r w:rsidR="0095713B" w:rsidRPr="0095713B">
        <w:rPr>
          <w:sz w:val="28"/>
          <w:szCs w:val="28"/>
        </w:rPr>
        <w:t xml:space="preserve"> Codice Europeo delle Comunicazioni Elettroniche, che ha </w:t>
      </w:r>
      <w:r>
        <w:rPr>
          <w:sz w:val="28"/>
          <w:szCs w:val="28"/>
        </w:rPr>
        <w:t>introdotto</w:t>
      </w:r>
      <w:r w:rsidR="0095713B" w:rsidRPr="0095713B">
        <w:rPr>
          <w:sz w:val="28"/>
          <w:szCs w:val="28"/>
        </w:rPr>
        <w:t xml:space="preserve"> una nuova definizione di comunicazioni elettroniche, includendovi tutti i servizi di comunicazione interpersonale. </w:t>
      </w:r>
      <w:r w:rsidR="00DD3B60">
        <w:rPr>
          <w:sz w:val="28"/>
          <w:szCs w:val="28"/>
        </w:rPr>
        <w:t>Si attendono maggiori</w:t>
      </w:r>
      <w:r w:rsidR="0095713B" w:rsidRPr="0095713B">
        <w:rPr>
          <w:sz w:val="28"/>
          <w:szCs w:val="28"/>
        </w:rPr>
        <w:t xml:space="preserve"> chiarimenti sull’applicazione della disciplina con l’entrata in vigore del Regolamento </w:t>
      </w:r>
      <w:r w:rsidR="0095713B" w:rsidRPr="00DD3B60">
        <w:rPr>
          <w:i/>
          <w:iCs/>
          <w:sz w:val="28"/>
          <w:szCs w:val="28"/>
        </w:rPr>
        <w:t>e-Privacy</w:t>
      </w:r>
      <w:r w:rsidR="0095713B" w:rsidRPr="0095713B">
        <w:rPr>
          <w:sz w:val="28"/>
          <w:szCs w:val="28"/>
        </w:rPr>
        <w:t>, che sostituirà l’attuale Direttiva.</w:t>
      </w:r>
    </w:p>
    <w:p w14:paraId="3AB791B0" w14:textId="5A64C86D" w:rsidR="0095713B" w:rsidRDefault="00DD3B60" w:rsidP="00677B0A">
      <w:pPr>
        <w:pStyle w:val="NormaleWeb"/>
        <w:spacing w:before="0" w:beforeAutospacing="0" w:after="0" w:afterAutospacing="0"/>
        <w:jc w:val="both"/>
        <w:rPr>
          <w:sz w:val="28"/>
          <w:szCs w:val="28"/>
        </w:rPr>
      </w:pPr>
      <w:r>
        <w:rPr>
          <w:sz w:val="28"/>
          <w:szCs w:val="28"/>
        </w:rPr>
        <w:t xml:space="preserve">Nel </w:t>
      </w:r>
      <w:r w:rsidR="0095713B" w:rsidRPr="0095713B">
        <w:rPr>
          <w:sz w:val="28"/>
          <w:szCs w:val="28"/>
        </w:rPr>
        <w:t>documento</w:t>
      </w:r>
      <w:r w:rsidR="003C2113">
        <w:rPr>
          <w:sz w:val="28"/>
          <w:szCs w:val="28"/>
        </w:rPr>
        <w:t>,</w:t>
      </w:r>
      <w:r w:rsidR="0095713B" w:rsidRPr="0095713B">
        <w:rPr>
          <w:sz w:val="28"/>
          <w:szCs w:val="28"/>
        </w:rPr>
        <w:t xml:space="preserve"> </w:t>
      </w:r>
      <w:r>
        <w:rPr>
          <w:sz w:val="28"/>
          <w:szCs w:val="28"/>
        </w:rPr>
        <w:t>si prende in considerazione</w:t>
      </w:r>
      <w:r w:rsidR="0095713B" w:rsidRPr="0095713B">
        <w:rPr>
          <w:sz w:val="28"/>
          <w:szCs w:val="28"/>
        </w:rPr>
        <w:t xml:space="preserve"> </w:t>
      </w:r>
      <w:r>
        <w:rPr>
          <w:sz w:val="28"/>
          <w:szCs w:val="28"/>
        </w:rPr>
        <w:t xml:space="preserve">il </w:t>
      </w:r>
      <w:r w:rsidR="0095713B" w:rsidRPr="0095713B">
        <w:rPr>
          <w:sz w:val="28"/>
          <w:szCs w:val="28"/>
        </w:rPr>
        <w:t xml:space="preserve">problema legato alla nascita di nuovi </w:t>
      </w:r>
      <w:r w:rsidR="0095713B" w:rsidRPr="00DD3B60">
        <w:rPr>
          <w:i/>
          <w:iCs/>
          <w:sz w:val="28"/>
          <w:szCs w:val="28"/>
        </w:rPr>
        <w:t>social media</w:t>
      </w:r>
      <w:r w:rsidR="0095713B" w:rsidRPr="0095713B">
        <w:rPr>
          <w:sz w:val="28"/>
          <w:szCs w:val="28"/>
        </w:rPr>
        <w:t>, definiti come “</w:t>
      </w:r>
      <w:r w:rsidR="0095713B" w:rsidRPr="00DD3B60">
        <w:rPr>
          <w:i/>
          <w:iCs/>
          <w:sz w:val="28"/>
          <w:szCs w:val="28"/>
        </w:rPr>
        <w:t>decentralizzati</w:t>
      </w:r>
      <w:r w:rsidR="0095713B" w:rsidRPr="0095713B">
        <w:rPr>
          <w:sz w:val="28"/>
          <w:szCs w:val="28"/>
        </w:rPr>
        <w:t xml:space="preserve">”, in quanto basati su tecnologie </w:t>
      </w:r>
      <w:r w:rsidR="0095713B" w:rsidRPr="00DD3B60">
        <w:rPr>
          <w:i/>
          <w:iCs/>
          <w:sz w:val="28"/>
          <w:szCs w:val="28"/>
        </w:rPr>
        <w:t>peer-to-peer</w:t>
      </w:r>
      <w:r w:rsidR="0095713B" w:rsidRPr="0095713B">
        <w:rPr>
          <w:sz w:val="28"/>
          <w:szCs w:val="28"/>
        </w:rPr>
        <w:t xml:space="preserve">, come ad esempio la </w:t>
      </w:r>
      <w:proofErr w:type="spellStart"/>
      <w:r w:rsidR="0095713B" w:rsidRPr="00DD3B60">
        <w:rPr>
          <w:i/>
          <w:iCs/>
          <w:sz w:val="28"/>
          <w:szCs w:val="28"/>
        </w:rPr>
        <w:t>blockchain</w:t>
      </w:r>
      <w:proofErr w:type="spellEnd"/>
      <w:r w:rsidR="0095713B" w:rsidRPr="0095713B">
        <w:rPr>
          <w:sz w:val="28"/>
          <w:szCs w:val="28"/>
        </w:rPr>
        <w:t xml:space="preserve">. </w:t>
      </w:r>
      <w:r>
        <w:rPr>
          <w:sz w:val="28"/>
          <w:szCs w:val="28"/>
        </w:rPr>
        <w:t>La novità sta nel fatto che queste</w:t>
      </w:r>
      <w:r w:rsidR="0095713B" w:rsidRPr="0095713B">
        <w:rPr>
          <w:sz w:val="28"/>
          <w:szCs w:val="28"/>
        </w:rPr>
        <w:t xml:space="preserve"> nuove realtà </w:t>
      </w:r>
      <w:r>
        <w:rPr>
          <w:sz w:val="28"/>
          <w:szCs w:val="28"/>
        </w:rPr>
        <w:t>vanno a modificare</w:t>
      </w:r>
      <w:r w:rsidR="0095713B" w:rsidRPr="0095713B">
        <w:rPr>
          <w:sz w:val="28"/>
          <w:szCs w:val="28"/>
        </w:rPr>
        <w:t xml:space="preserve"> la struttura tradizionale </w:t>
      </w:r>
      <w:proofErr w:type="spellStart"/>
      <w:r w:rsidR="0095713B" w:rsidRPr="00DD3B60">
        <w:rPr>
          <w:i/>
          <w:iCs/>
          <w:sz w:val="28"/>
          <w:szCs w:val="28"/>
        </w:rPr>
        <w:t>client-server</w:t>
      </w:r>
      <w:proofErr w:type="spellEnd"/>
      <w:r w:rsidR="0095713B" w:rsidRPr="0095713B">
        <w:rPr>
          <w:sz w:val="28"/>
          <w:szCs w:val="28"/>
        </w:rPr>
        <w:t>, caratterizzata dal</w:t>
      </w:r>
      <w:r>
        <w:rPr>
          <w:sz w:val="28"/>
          <w:szCs w:val="28"/>
        </w:rPr>
        <w:t xml:space="preserve">la circostanza </w:t>
      </w:r>
      <w:r w:rsidR="0095713B" w:rsidRPr="0095713B">
        <w:rPr>
          <w:sz w:val="28"/>
          <w:szCs w:val="28"/>
        </w:rPr>
        <w:t xml:space="preserve">che i dati e i contenuti degli utenti venissero gestiti e conservati in </w:t>
      </w:r>
      <w:r>
        <w:rPr>
          <w:sz w:val="28"/>
          <w:szCs w:val="28"/>
        </w:rPr>
        <w:t>maniera</w:t>
      </w:r>
      <w:r w:rsidR="0095713B" w:rsidRPr="0095713B">
        <w:rPr>
          <w:sz w:val="28"/>
          <w:szCs w:val="28"/>
        </w:rPr>
        <w:t xml:space="preserve"> </w:t>
      </w:r>
      <w:r w:rsidR="0095713B" w:rsidRPr="00DD3B60">
        <w:rPr>
          <w:i/>
          <w:iCs/>
          <w:sz w:val="28"/>
          <w:szCs w:val="28"/>
        </w:rPr>
        <w:t>centralizzat</w:t>
      </w:r>
      <w:r>
        <w:rPr>
          <w:i/>
          <w:iCs/>
          <w:sz w:val="28"/>
          <w:szCs w:val="28"/>
        </w:rPr>
        <w:t>a</w:t>
      </w:r>
      <w:r w:rsidR="0095713B" w:rsidRPr="0095713B">
        <w:rPr>
          <w:sz w:val="28"/>
          <w:szCs w:val="28"/>
        </w:rPr>
        <w:t xml:space="preserve"> da una singola società.</w:t>
      </w:r>
    </w:p>
    <w:p w14:paraId="407E46EE" w14:textId="77777777" w:rsidR="00DD3B60" w:rsidRPr="009D2100" w:rsidRDefault="00DD3B60" w:rsidP="00677B0A">
      <w:pPr>
        <w:pStyle w:val="NormaleWeb"/>
        <w:spacing w:before="0" w:beforeAutospacing="0" w:after="0" w:afterAutospacing="0"/>
        <w:jc w:val="both"/>
        <w:rPr>
          <w:sz w:val="28"/>
          <w:szCs w:val="28"/>
        </w:rPr>
      </w:pPr>
    </w:p>
    <w:p w14:paraId="6D7854F2" w14:textId="33D38D6C" w:rsidR="00EE2A5C" w:rsidRDefault="00DD3B60" w:rsidP="00677B0A">
      <w:pPr>
        <w:pStyle w:val="NormaleWeb"/>
        <w:spacing w:before="0" w:beforeAutospacing="0" w:after="0" w:afterAutospacing="0"/>
        <w:jc w:val="both"/>
        <w:rPr>
          <w:sz w:val="28"/>
          <w:szCs w:val="28"/>
        </w:rPr>
      </w:pPr>
      <w:r>
        <w:rPr>
          <w:sz w:val="28"/>
          <w:szCs w:val="28"/>
        </w:rPr>
        <w:t>Sono anche evidenziate</w:t>
      </w:r>
      <w:r w:rsidR="0095713B" w:rsidRPr="0095713B">
        <w:rPr>
          <w:sz w:val="28"/>
          <w:szCs w:val="28"/>
        </w:rPr>
        <w:t xml:space="preserve"> le principali </w:t>
      </w:r>
      <w:proofErr w:type="spellStart"/>
      <w:r w:rsidR="0095713B" w:rsidRPr="009D2100">
        <w:rPr>
          <w:i/>
          <w:iCs/>
          <w:sz w:val="28"/>
          <w:szCs w:val="28"/>
        </w:rPr>
        <w:t>good</w:t>
      </w:r>
      <w:proofErr w:type="spellEnd"/>
      <w:r w:rsidR="0095713B" w:rsidRPr="009D2100">
        <w:rPr>
          <w:i/>
          <w:iCs/>
          <w:sz w:val="28"/>
          <w:szCs w:val="28"/>
        </w:rPr>
        <w:t xml:space="preserve"> </w:t>
      </w:r>
      <w:proofErr w:type="spellStart"/>
      <w:r w:rsidR="0095713B" w:rsidRPr="009D2100">
        <w:rPr>
          <w:i/>
          <w:iCs/>
          <w:sz w:val="28"/>
          <w:szCs w:val="28"/>
        </w:rPr>
        <w:t>practices</w:t>
      </w:r>
      <w:proofErr w:type="spellEnd"/>
      <w:r>
        <w:rPr>
          <w:sz w:val="28"/>
          <w:szCs w:val="28"/>
        </w:rPr>
        <w:t xml:space="preserve">: </w:t>
      </w:r>
      <w:r w:rsidR="0095713B" w:rsidRPr="0095713B">
        <w:rPr>
          <w:sz w:val="28"/>
          <w:szCs w:val="28"/>
        </w:rPr>
        <w:t xml:space="preserve">misure </w:t>
      </w:r>
      <w:r>
        <w:rPr>
          <w:sz w:val="28"/>
          <w:szCs w:val="28"/>
        </w:rPr>
        <w:t>che devono essere prese</w:t>
      </w:r>
      <w:r w:rsidR="0095713B" w:rsidRPr="00677B0A">
        <w:rPr>
          <w:sz w:val="28"/>
          <w:szCs w:val="28"/>
        </w:rPr>
        <w:t xml:space="preserve"> per arginare il rischio di violazioni</w:t>
      </w:r>
      <w:r w:rsidR="003765F6">
        <w:rPr>
          <w:sz w:val="28"/>
          <w:szCs w:val="28"/>
        </w:rPr>
        <w:t xml:space="preserve"> e che </w:t>
      </w:r>
      <w:r>
        <w:rPr>
          <w:sz w:val="28"/>
          <w:szCs w:val="28"/>
        </w:rPr>
        <w:t xml:space="preserve">possono essere distinte </w:t>
      </w:r>
      <w:r w:rsidR="0095713B" w:rsidRPr="00677B0A">
        <w:rPr>
          <w:sz w:val="28"/>
          <w:szCs w:val="28"/>
        </w:rPr>
        <w:t xml:space="preserve">in </w:t>
      </w:r>
      <w:r w:rsidR="0095713B" w:rsidRPr="003765F6">
        <w:rPr>
          <w:i/>
          <w:iCs/>
          <w:sz w:val="28"/>
          <w:szCs w:val="28"/>
        </w:rPr>
        <w:t>preventive</w:t>
      </w:r>
      <w:r w:rsidR="0095713B" w:rsidRPr="00677B0A">
        <w:rPr>
          <w:sz w:val="28"/>
          <w:szCs w:val="28"/>
        </w:rPr>
        <w:t xml:space="preserve"> e </w:t>
      </w:r>
      <w:r w:rsidR="0095713B" w:rsidRPr="003765F6">
        <w:rPr>
          <w:i/>
          <w:iCs/>
          <w:sz w:val="28"/>
          <w:szCs w:val="28"/>
        </w:rPr>
        <w:t>reattive</w:t>
      </w:r>
      <w:r w:rsidR="0095713B" w:rsidRPr="00677B0A">
        <w:rPr>
          <w:sz w:val="28"/>
          <w:szCs w:val="28"/>
        </w:rPr>
        <w:t>.</w:t>
      </w:r>
    </w:p>
    <w:p w14:paraId="668E2669" w14:textId="77777777" w:rsidR="003C2113" w:rsidRDefault="003765F6" w:rsidP="00677B0A">
      <w:pPr>
        <w:pStyle w:val="NormaleWeb"/>
        <w:spacing w:before="0" w:beforeAutospacing="0" w:after="0" w:afterAutospacing="0"/>
        <w:jc w:val="both"/>
        <w:rPr>
          <w:sz w:val="28"/>
          <w:szCs w:val="28"/>
        </w:rPr>
      </w:pPr>
      <w:r>
        <w:rPr>
          <w:sz w:val="28"/>
          <w:szCs w:val="28"/>
        </w:rPr>
        <w:t xml:space="preserve">Tra le </w:t>
      </w:r>
      <w:r w:rsidRPr="003765F6">
        <w:rPr>
          <w:i/>
          <w:iCs/>
          <w:sz w:val="28"/>
          <w:szCs w:val="28"/>
        </w:rPr>
        <w:t>misure preventive</w:t>
      </w:r>
      <w:r w:rsidR="0095713B" w:rsidRPr="0095713B">
        <w:rPr>
          <w:sz w:val="28"/>
          <w:szCs w:val="28"/>
        </w:rPr>
        <w:t xml:space="preserve"> </w:t>
      </w:r>
      <w:r w:rsidR="00DD3B60">
        <w:rPr>
          <w:sz w:val="28"/>
          <w:szCs w:val="28"/>
        </w:rPr>
        <w:t>rientrano,</w:t>
      </w:r>
      <w:r w:rsidR="0095713B" w:rsidRPr="0095713B">
        <w:rPr>
          <w:sz w:val="28"/>
          <w:szCs w:val="28"/>
        </w:rPr>
        <w:t xml:space="preserve"> anzitutto</w:t>
      </w:r>
      <w:r w:rsidR="00DD3B60">
        <w:rPr>
          <w:sz w:val="28"/>
          <w:szCs w:val="28"/>
        </w:rPr>
        <w:t>,</w:t>
      </w:r>
      <w:r w:rsidR="0095713B" w:rsidRPr="0095713B">
        <w:rPr>
          <w:sz w:val="28"/>
          <w:szCs w:val="28"/>
        </w:rPr>
        <w:t xml:space="preserve"> le condizioni contrattuali, nonché le linee-guida adottate da </w:t>
      </w:r>
      <w:r w:rsidR="00DD3B60">
        <w:rPr>
          <w:sz w:val="28"/>
          <w:szCs w:val="28"/>
        </w:rPr>
        <w:t>ogni</w:t>
      </w:r>
      <w:r w:rsidR="0095713B" w:rsidRPr="0095713B">
        <w:rPr>
          <w:sz w:val="28"/>
          <w:szCs w:val="28"/>
        </w:rPr>
        <w:t xml:space="preserve"> società per regolare l’utilizzo dei propri servizi da parte degli utenti. </w:t>
      </w:r>
      <w:r w:rsidR="00DD3B60">
        <w:rPr>
          <w:sz w:val="28"/>
          <w:szCs w:val="28"/>
        </w:rPr>
        <w:t>Ci si riferisce a quanto esaminato sull’emergente fenomeno</w:t>
      </w:r>
      <w:r w:rsidR="0095713B" w:rsidRPr="0095713B">
        <w:rPr>
          <w:sz w:val="28"/>
          <w:szCs w:val="28"/>
        </w:rPr>
        <w:t xml:space="preserve"> dell’</w:t>
      </w:r>
      <w:proofErr w:type="spellStart"/>
      <w:r w:rsidR="0095713B" w:rsidRPr="00DD3B60">
        <w:rPr>
          <w:i/>
          <w:iCs/>
          <w:sz w:val="28"/>
          <w:szCs w:val="28"/>
        </w:rPr>
        <w:t>hate</w:t>
      </w:r>
      <w:proofErr w:type="spellEnd"/>
      <w:r w:rsidR="0095713B" w:rsidRPr="00DD3B60">
        <w:rPr>
          <w:i/>
          <w:iCs/>
          <w:sz w:val="28"/>
          <w:szCs w:val="28"/>
        </w:rPr>
        <w:t xml:space="preserve"> </w:t>
      </w:r>
      <w:proofErr w:type="spellStart"/>
      <w:r w:rsidR="0095713B" w:rsidRPr="00DD3B60">
        <w:rPr>
          <w:i/>
          <w:iCs/>
          <w:sz w:val="28"/>
          <w:szCs w:val="28"/>
        </w:rPr>
        <w:t>speech</w:t>
      </w:r>
      <w:proofErr w:type="spellEnd"/>
      <w:r w:rsidR="0095713B" w:rsidRPr="0095713B">
        <w:rPr>
          <w:sz w:val="28"/>
          <w:szCs w:val="28"/>
        </w:rPr>
        <w:t xml:space="preserve">, in relazione al quale le principali difese </w:t>
      </w:r>
      <w:r w:rsidR="00DD3B60">
        <w:rPr>
          <w:sz w:val="28"/>
          <w:szCs w:val="28"/>
        </w:rPr>
        <w:t>di</w:t>
      </w:r>
      <w:r w:rsidR="0095713B" w:rsidRPr="0095713B">
        <w:rPr>
          <w:sz w:val="28"/>
          <w:szCs w:val="28"/>
        </w:rPr>
        <w:t xml:space="preserve"> </w:t>
      </w:r>
      <w:proofErr w:type="spellStart"/>
      <w:r w:rsidR="0095713B" w:rsidRPr="0095713B">
        <w:rPr>
          <w:sz w:val="28"/>
          <w:szCs w:val="28"/>
        </w:rPr>
        <w:t>Facebook</w:t>
      </w:r>
      <w:proofErr w:type="spellEnd"/>
      <w:r w:rsidR="0095713B" w:rsidRPr="0095713B">
        <w:rPr>
          <w:sz w:val="28"/>
          <w:szCs w:val="28"/>
        </w:rPr>
        <w:t xml:space="preserve"> si basavano proprio sulla violazione da parte degli utenti delle regole della </w:t>
      </w:r>
      <w:r w:rsidR="0095713B" w:rsidRPr="00DD3B60">
        <w:rPr>
          <w:i/>
          <w:iCs/>
          <w:sz w:val="28"/>
          <w:szCs w:val="28"/>
        </w:rPr>
        <w:t>Community</w:t>
      </w:r>
      <w:r w:rsidR="0095713B" w:rsidRPr="0095713B">
        <w:rPr>
          <w:sz w:val="28"/>
          <w:szCs w:val="28"/>
        </w:rPr>
        <w:t xml:space="preserve">. </w:t>
      </w:r>
    </w:p>
    <w:p w14:paraId="722D2DE7" w14:textId="6769F2A2" w:rsidR="0095713B" w:rsidRPr="00677B0A" w:rsidRDefault="00DD3B60" w:rsidP="00677B0A">
      <w:pPr>
        <w:pStyle w:val="NormaleWeb"/>
        <w:spacing w:before="0" w:beforeAutospacing="0" w:after="0" w:afterAutospacing="0"/>
        <w:jc w:val="both"/>
        <w:rPr>
          <w:sz w:val="28"/>
          <w:szCs w:val="28"/>
        </w:rPr>
      </w:pPr>
      <w:r>
        <w:rPr>
          <w:sz w:val="28"/>
          <w:szCs w:val="28"/>
        </w:rPr>
        <w:t>Per</w:t>
      </w:r>
      <w:r w:rsidR="0095713B" w:rsidRPr="0095713B">
        <w:rPr>
          <w:sz w:val="28"/>
          <w:szCs w:val="28"/>
        </w:rPr>
        <w:t xml:space="preserve"> rendere più efficace l’applicazione delle </w:t>
      </w:r>
      <w:r w:rsidR="0095713B" w:rsidRPr="00DD3B60">
        <w:rPr>
          <w:i/>
          <w:iCs/>
          <w:sz w:val="28"/>
          <w:szCs w:val="28"/>
        </w:rPr>
        <w:t>policy</w:t>
      </w:r>
      <w:r>
        <w:rPr>
          <w:i/>
          <w:iCs/>
          <w:sz w:val="28"/>
          <w:szCs w:val="28"/>
        </w:rPr>
        <w:t>,</w:t>
      </w:r>
      <w:r w:rsidR="0095713B" w:rsidRPr="0095713B">
        <w:rPr>
          <w:sz w:val="28"/>
          <w:szCs w:val="28"/>
        </w:rPr>
        <w:t xml:space="preserve"> </w:t>
      </w:r>
      <w:r>
        <w:rPr>
          <w:sz w:val="28"/>
          <w:szCs w:val="28"/>
        </w:rPr>
        <w:t>bisognerebbe</w:t>
      </w:r>
      <w:r w:rsidR="0095713B" w:rsidRPr="0095713B">
        <w:rPr>
          <w:sz w:val="28"/>
          <w:szCs w:val="28"/>
        </w:rPr>
        <w:t xml:space="preserve"> differenziare queste ultime </w:t>
      </w:r>
      <w:r>
        <w:rPr>
          <w:sz w:val="28"/>
          <w:szCs w:val="28"/>
        </w:rPr>
        <w:t>sulla base</w:t>
      </w:r>
      <w:r w:rsidR="0095713B" w:rsidRPr="0095713B">
        <w:rPr>
          <w:sz w:val="28"/>
          <w:szCs w:val="28"/>
        </w:rPr>
        <w:t xml:space="preserve"> delle funzionalità e dei </w:t>
      </w:r>
      <w:r w:rsidR="0095713B" w:rsidRPr="00677B0A">
        <w:rPr>
          <w:sz w:val="28"/>
          <w:szCs w:val="28"/>
        </w:rPr>
        <w:t>servizi a cui s’intende applicarl</w:t>
      </w:r>
      <w:r w:rsidR="00AE6410">
        <w:rPr>
          <w:sz w:val="28"/>
          <w:szCs w:val="28"/>
        </w:rPr>
        <w:t>e</w:t>
      </w:r>
      <w:r w:rsidR="0095713B" w:rsidRPr="00677B0A">
        <w:rPr>
          <w:sz w:val="28"/>
          <w:szCs w:val="28"/>
        </w:rPr>
        <w:t>.</w:t>
      </w:r>
    </w:p>
    <w:p w14:paraId="4A46D9E6" w14:textId="6D0D5FA0" w:rsidR="0095713B" w:rsidRPr="00677B0A" w:rsidRDefault="00064DBD" w:rsidP="00677B0A">
      <w:pPr>
        <w:pStyle w:val="NormaleWeb"/>
        <w:spacing w:before="0" w:beforeAutospacing="0" w:after="0" w:afterAutospacing="0"/>
        <w:jc w:val="both"/>
        <w:rPr>
          <w:sz w:val="28"/>
          <w:szCs w:val="28"/>
        </w:rPr>
      </w:pPr>
      <w:r>
        <w:rPr>
          <w:sz w:val="28"/>
          <w:szCs w:val="28"/>
        </w:rPr>
        <w:t>È anche</w:t>
      </w:r>
      <w:r w:rsidR="0095713B" w:rsidRPr="00677B0A">
        <w:rPr>
          <w:sz w:val="28"/>
          <w:szCs w:val="28"/>
        </w:rPr>
        <w:t xml:space="preserve"> auspicabile </w:t>
      </w:r>
      <w:r>
        <w:rPr>
          <w:sz w:val="28"/>
          <w:szCs w:val="28"/>
        </w:rPr>
        <w:t xml:space="preserve">che vengano introdotti e utilizzati </w:t>
      </w:r>
      <w:r w:rsidR="0095713B" w:rsidRPr="00677B0A">
        <w:rPr>
          <w:sz w:val="28"/>
          <w:szCs w:val="28"/>
        </w:rPr>
        <w:t xml:space="preserve">sistemi di verifica degli </w:t>
      </w:r>
      <w:r w:rsidR="0095713B" w:rsidRPr="00064DBD">
        <w:rPr>
          <w:i/>
          <w:iCs/>
          <w:sz w:val="28"/>
          <w:szCs w:val="28"/>
        </w:rPr>
        <w:t>account</w:t>
      </w:r>
      <w:r w:rsidRPr="00064DBD">
        <w:rPr>
          <w:i/>
          <w:iCs/>
          <w:sz w:val="28"/>
          <w:szCs w:val="28"/>
        </w:rPr>
        <w:t xml:space="preserve"> social</w:t>
      </w:r>
      <w:r w:rsidR="0095713B" w:rsidRPr="00677B0A">
        <w:rPr>
          <w:sz w:val="28"/>
          <w:szCs w:val="28"/>
        </w:rPr>
        <w:t xml:space="preserve">, </w:t>
      </w:r>
      <w:r>
        <w:rPr>
          <w:sz w:val="28"/>
          <w:szCs w:val="28"/>
        </w:rPr>
        <w:t>per</w:t>
      </w:r>
      <w:r w:rsidR="0095713B" w:rsidRPr="00677B0A">
        <w:rPr>
          <w:sz w:val="28"/>
          <w:szCs w:val="28"/>
        </w:rPr>
        <w:t xml:space="preserve"> garantire che questi corrispondano all’identità reale degli utenti</w:t>
      </w:r>
      <w:r>
        <w:rPr>
          <w:sz w:val="28"/>
          <w:szCs w:val="28"/>
        </w:rPr>
        <w:t>-utilizzatori</w:t>
      </w:r>
      <w:r w:rsidR="0095713B" w:rsidRPr="00677B0A">
        <w:rPr>
          <w:sz w:val="28"/>
          <w:szCs w:val="28"/>
        </w:rPr>
        <w:t xml:space="preserve"> e </w:t>
      </w:r>
      <w:r>
        <w:rPr>
          <w:sz w:val="28"/>
          <w:szCs w:val="28"/>
        </w:rPr>
        <w:t xml:space="preserve">per </w:t>
      </w:r>
      <w:r w:rsidR="0095713B" w:rsidRPr="00677B0A">
        <w:rPr>
          <w:sz w:val="28"/>
          <w:szCs w:val="28"/>
        </w:rPr>
        <w:t xml:space="preserve">favorire l’identificazione </w:t>
      </w:r>
      <w:r>
        <w:rPr>
          <w:sz w:val="28"/>
          <w:szCs w:val="28"/>
        </w:rPr>
        <w:t>dei</w:t>
      </w:r>
      <w:r w:rsidR="0095713B" w:rsidRPr="00677B0A">
        <w:rPr>
          <w:sz w:val="28"/>
          <w:szCs w:val="28"/>
        </w:rPr>
        <w:t xml:space="preserve"> soggetti </w:t>
      </w:r>
      <w:r>
        <w:rPr>
          <w:sz w:val="28"/>
          <w:szCs w:val="28"/>
        </w:rPr>
        <w:t xml:space="preserve">che si rendono </w:t>
      </w:r>
      <w:r w:rsidR="0095713B" w:rsidRPr="00677B0A">
        <w:rPr>
          <w:sz w:val="28"/>
          <w:szCs w:val="28"/>
        </w:rPr>
        <w:t xml:space="preserve">responsabili di atti illeciti. </w:t>
      </w:r>
      <w:r>
        <w:rPr>
          <w:sz w:val="28"/>
          <w:szCs w:val="28"/>
        </w:rPr>
        <w:t>Oltre a questa misura</w:t>
      </w:r>
      <w:r w:rsidR="006941CF">
        <w:rPr>
          <w:sz w:val="28"/>
          <w:szCs w:val="28"/>
        </w:rPr>
        <w:t>,</w:t>
      </w:r>
      <w:r>
        <w:rPr>
          <w:sz w:val="28"/>
          <w:szCs w:val="28"/>
        </w:rPr>
        <w:t xml:space="preserve"> vi è anche</w:t>
      </w:r>
      <w:r w:rsidR="0095713B" w:rsidRPr="00677B0A">
        <w:rPr>
          <w:sz w:val="28"/>
          <w:szCs w:val="28"/>
        </w:rPr>
        <w:t xml:space="preserve"> l’introduzione</w:t>
      </w:r>
      <w:r>
        <w:rPr>
          <w:sz w:val="28"/>
          <w:szCs w:val="28"/>
        </w:rPr>
        <w:t>,</w:t>
      </w:r>
      <w:r w:rsidR="0095713B" w:rsidRPr="00677B0A">
        <w:rPr>
          <w:sz w:val="28"/>
          <w:szCs w:val="28"/>
        </w:rPr>
        <w:t xml:space="preserve"> da parte di alcune piattaforme</w:t>
      </w:r>
      <w:r>
        <w:rPr>
          <w:sz w:val="28"/>
          <w:szCs w:val="28"/>
        </w:rPr>
        <w:t>,</w:t>
      </w:r>
      <w:r w:rsidR="0095713B" w:rsidRPr="00677B0A">
        <w:rPr>
          <w:sz w:val="28"/>
          <w:szCs w:val="28"/>
        </w:rPr>
        <w:t xml:space="preserve"> di </w:t>
      </w:r>
      <w:r>
        <w:rPr>
          <w:sz w:val="28"/>
          <w:szCs w:val="28"/>
        </w:rPr>
        <w:t>strumenti</w:t>
      </w:r>
      <w:r w:rsidR="0095713B" w:rsidRPr="00677B0A">
        <w:rPr>
          <w:sz w:val="28"/>
          <w:szCs w:val="28"/>
        </w:rPr>
        <w:t xml:space="preserve"> di identificazione più incisivi nei confronti di soggetti </w:t>
      </w:r>
      <w:r>
        <w:rPr>
          <w:sz w:val="28"/>
          <w:szCs w:val="28"/>
        </w:rPr>
        <w:t xml:space="preserve">che sponsorizzano sui </w:t>
      </w:r>
      <w:r w:rsidRPr="00064DBD">
        <w:rPr>
          <w:i/>
          <w:iCs/>
          <w:sz w:val="28"/>
          <w:szCs w:val="28"/>
        </w:rPr>
        <w:t>social</w:t>
      </w:r>
      <w:r w:rsidR="0095713B" w:rsidRPr="00677B0A">
        <w:rPr>
          <w:sz w:val="28"/>
          <w:szCs w:val="28"/>
        </w:rPr>
        <w:t>, fornendo agli utenti informazioni utili sulla loro identità e</w:t>
      </w:r>
      <w:r>
        <w:rPr>
          <w:sz w:val="28"/>
          <w:szCs w:val="28"/>
        </w:rPr>
        <w:t xml:space="preserve">d evitando </w:t>
      </w:r>
      <w:r w:rsidR="0095713B" w:rsidRPr="00677B0A">
        <w:rPr>
          <w:sz w:val="28"/>
          <w:szCs w:val="28"/>
        </w:rPr>
        <w:t>così il rischio di violazione dei diritti di proprietà intellettuale</w:t>
      </w:r>
      <w:r>
        <w:rPr>
          <w:sz w:val="28"/>
          <w:szCs w:val="28"/>
        </w:rPr>
        <w:t xml:space="preserve"> attraverso l’attività di </w:t>
      </w:r>
      <w:proofErr w:type="spellStart"/>
      <w:r w:rsidRPr="00064DBD">
        <w:rPr>
          <w:i/>
          <w:iCs/>
          <w:sz w:val="28"/>
          <w:szCs w:val="28"/>
        </w:rPr>
        <w:t>influencer</w:t>
      </w:r>
      <w:proofErr w:type="spellEnd"/>
      <w:r w:rsidRPr="00064DBD">
        <w:rPr>
          <w:i/>
          <w:iCs/>
          <w:sz w:val="28"/>
          <w:szCs w:val="28"/>
        </w:rPr>
        <w:t xml:space="preserve"> marketing</w:t>
      </w:r>
      <w:r>
        <w:rPr>
          <w:sz w:val="28"/>
          <w:szCs w:val="28"/>
        </w:rPr>
        <w:t>.</w:t>
      </w:r>
    </w:p>
    <w:p w14:paraId="2C816322" w14:textId="77777777" w:rsidR="003765F6" w:rsidRDefault="00064DBD" w:rsidP="00677B0A">
      <w:pPr>
        <w:pStyle w:val="NormaleWeb"/>
        <w:spacing w:before="0" w:beforeAutospacing="0" w:after="0" w:afterAutospacing="0"/>
        <w:jc w:val="both"/>
        <w:rPr>
          <w:sz w:val="28"/>
          <w:szCs w:val="28"/>
        </w:rPr>
      </w:pPr>
      <w:r>
        <w:rPr>
          <w:sz w:val="28"/>
          <w:szCs w:val="28"/>
        </w:rPr>
        <w:t xml:space="preserve">Alcune </w:t>
      </w:r>
      <w:r w:rsidR="0095713B" w:rsidRPr="00677B0A">
        <w:rPr>
          <w:sz w:val="28"/>
          <w:szCs w:val="28"/>
        </w:rPr>
        <w:t>piattaforme</w:t>
      </w:r>
      <w:r>
        <w:rPr>
          <w:sz w:val="28"/>
          <w:szCs w:val="28"/>
        </w:rPr>
        <w:t>, inoltre, usano misure in grado di controllare</w:t>
      </w:r>
      <w:r w:rsidR="0095713B" w:rsidRPr="00677B0A">
        <w:rPr>
          <w:sz w:val="28"/>
          <w:szCs w:val="28"/>
        </w:rPr>
        <w:t xml:space="preserve"> l’</w:t>
      </w:r>
      <w:r>
        <w:rPr>
          <w:sz w:val="28"/>
          <w:szCs w:val="28"/>
        </w:rPr>
        <w:t xml:space="preserve">eventuale </w:t>
      </w:r>
      <w:r w:rsidR="0095713B" w:rsidRPr="00677B0A">
        <w:rPr>
          <w:sz w:val="28"/>
          <w:szCs w:val="28"/>
        </w:rPr>
        <w:t xml:space="preserve">utilizzo distorto degli </w:t>
      </w:r>
      <w:r w:rsidR="0095713B" w:rsidRPr="006941CF">
        <w:rPr>
          <w:i/>
          <w:iCs/>
          <w:sz w:val="28"/>
          <w:szCs w:val="28"/>
        </w:rPr>
        <w:t>accoun</w:t>
      </w:r>
      <w:r w:rsidRPr="006941CF">
        <w:rPr>
          <w:i/>
          <w:iCs/>
          <w:sz w:val="28"/>
          <w:szCs w:val="28"/>
        </w:rPr>
        <w:t>t</w:t>
      </w:r>
      <w:r>
        <w:rPr>
          <w:sz w:val="28"/>
          <w:szCs w:val="28"/>
        </w:rPr>
        <w:t>:</w:t>
      </w:r>
      <w:r w:rsidR="003765F6">
        <w:rPr>
          <w:sz w:val="28"/>
          <w:szCs w:val="28"/>
        </w:rPr>
        <w:t xml:space="preserve"> </w:t>
      </w:r>
      <w:r w:rsidR="0095713B" w:rsidRPr="00677B0A">
        <w:rPr>
          <w:sz w:val="28"/>
          <w:szCs w:val="28"/>
        </w:rPr>
        <w:t xml:space="preserve">i gestori dei </w:t>
      </w:r>
      <w:r w:rsidR="0095713B" w:rsidRPr="00064DBD">
        <w:rPr>
          <w:i/>
          <w:iCs/>
          <w:sz w:val="28"/>
          <w:szCs w:val="28"/>
        </w:rPr>
        <w:t>social media</w:t>
      </w:r>
      <w:r w:rsidR="0095713B" w:rsidRPr="00677B0A">
        <w:rPr>
          <w:sz w:val="28"/>
          <w:szCs w:val="28"/>
        </w:rPr>
        <w:t xml:space="preserve"> possono introdurre sistemi che </w:t>
      </w:r>
      <w:r w:rsidR="003765F6">
        <w:rPr>
          <w:sz w:val="28"/>
          <w:szCs w:val="28"/>
        </w:rPr>
        <w:t>permettono</w:t>
      </w:r>
      <w:r w:rsidR="0095713B" w:rsidRPr="00677B0A">
        <w:rPr>
          <w:sz w:val="28"/>
          <w:szCs w:val="28"/>
        </w:rPr>
        <w:t xml:space="preserve"> di identificare gli utenti </w:t>
      </w:r>
      <w:proofErr w:type="spellStart"/>
      <w:r w:rsidR="0095713B" w:rsidRPr="00677B0A">
        <w:rPr>
          <w:sz w:val="28"/>
          <w:szCs w:val="28"/>
        </w:rPr>
        <w:t>bannati</w:t>
      </w:r>
      <w:proofErr w:type="spellEnd"/>
      <w:r w:rsidR="0095713B" w:rsidRPr="00677B0A">
        <w:rPr>
          <w:sz w:val="28"/>
          <w:szCs w:val="28"/>
        </w:rPr>
        <w:t xml:space="preserve"> ed impedire loro di creare nuovi </w:t>
      </w:r>
      <w:r w:rsidR="0095713B" w:rsidRPr="00896C07">
        <w:rPr>
          <w:i/>
          <w:iCs/>
          <w:sz w:val="28"/>
          <w:szCs w:val="28"/>
        </w:rPr>
        <w:t>account</w:t>
      </w:r>
      <w:r w:rsidR="0095713B" w:rsidRPr="00677B0A">
        <w:rPr>
          <w:sz w:val="28"/>
          <w:szCs w:val="28"/>
        </w:rPr>
        <w:t xml:space="preserve">, </w:t>
      </w:r>
      <w:r w:rsidR="003765F6">
        <w:rPr>
          <w:sz w:val="28"/>
          <w:szCs w:val="28"/>
        </w:rPr>
        <w:t>limitando</w:t>
      </w:r>
      <w:r w:rsidR="0095713B" w:rsidRPr="00677B0A">
        <w:rPr>
          <w:sz w:val="28"/>
          <w:szCs w:val="28"/>
        </w:rPr>
        <w:t xml:space="preserve"> la reiterazione di atti illeciti. </w:t>
      </w:r>
    </w:p>
    <w:p w14:paraId="465B953A" w14:textId="4278B9EC" w:rsidR="003765F6" w:rsidRDefault="003765F6" w:rsidP="00677B0A">
      <w:pPr>
        <w:pStyle w:val="NormaleWeb"/>
        <w:spacing w:before="0" w:beforeAutospacing="0" w:after="0" w:afterAutospacing="0"/>
        <w:jc w:val="both"/>
        <w:rPr>
          <w:sz w:val="28"/>
          <w:szCs w:val="28"/>
        </w:rPr>
      </w:pPr>
      <w:r>
        <w:rPr>
          <w:sz w:val="28"/>
          <w:szCs w:val="28"/>
        </w:rPr>
        <w:t>Bisognerebbe, inoltre,</w:t>
      </w:r>
      <w:r w:rsidR="0095713B" w:rsidRPr="00677B0A">
        <w:rPr>
          <w:sz w:val="28"/>
          <w:szCs w:val="28"/>
        </w:rPr>
        <w:t xml:space="preserve"> intervenire </w:t>
      </w:r>
      <w:r>
        <w:rPr>
          <w:sz w:val="28"/>
          <w:szCs w:val="28"/>
        </w:rPr>
        <w:t>per</w:t>
      </w:r>
      <w:r w:rsidR="0095713B" w:rsidRPr="00677B0A">
        <w:rPr>
          <w:sz w:val="28"/>
          <w:szCs w:val="28"/>
        </w:rPr>
        <w:t xml:space="preserve"> impedire la creazione di molteplici profili riconducibili al medesimo utente, nonché introdurre dei sistemi di autorizzazione </w:t>
      </w:r>
      <w:r w:rsidR="0095713B" w:rsidRPr="00677B0A">
        <w:rPr>
          <w:sz w:val="28"/>
          <w:szCs w:val="28"/>
        </w:rPr>
        <w:lastRenderedPageBreak/>
        <w:t xml:space="preserve">differenziati, precludendo determinate funzionalità (es. l’accesso ai </w:t>
      </w:r>
      <w:r w:rsidR="0095713B" w:rsidRPr="003765F6">
        <w:rPr>
          <w:i/>
          <w:iCs/>
          <w:sz w:val="28"/>
          <w:szCs w:val="28"/>
        </w:rPr>
        <w:t>servizi e-commerce</w:t>
      </w:r>
      <w:r w:rsidR="0095713B" w:rsidRPr="00677B0A">
        <w:rPr>
          <w:sz w:val="28"/>
          <w:szCs w:val="28"/>
        </w:rPr>
        <w:t xml:space="preserve">) agli account di nuova creazione. </w:t>
      </w:r>
    </w:p>
    <w:p w14:paraId="1B222473" w14:textId="2DB167F5" w:rsidR="0095713B" w:rsidRDefault="003765F6" w:rsidP="00677B0A">
      <w:pPr>
        <w:pStyle w:val="NormaleWeb"/>
        <w:spacing w:before="0" w:beforeAutospacing="0" w:after="0" w:afterAutospacing="0"/>
        <w:jc w:val="both"/>
        <w:rPr>
          <w:sz w:val="28"/>
          <w:szCs w:val="28"/>
        </w:rPr>
      </w:pPr>
      <w:r>
        <w:rPr>
          <w:sz w:val="28"/>
          <w:szCs w:val="28"/>
        </w:rPr>
        <w:t>Inoltre</w:t>
      </w:r>
      <w:r w:rsidR="0095713B" w:rsidRPr="00677B0A">
        <w:rPr>
          <w:sz w:val="28"/>
          <w:szCs w:val="28"/>
        </w:rPr>
        <w:t xml:space="preserve">, i </w:t>
      </w:r>
      <w:r w:rsidR="0095713B" w:rsidRPr="003765F6">
        <w:rPr>
          <w:i/>
          <w:iCs/>
          <w:sz w:val="28"/>
          <w:szCs w:val="28"/>
        </w:rPr>
        <w:t>social media</w:t>
      </w:r>
      <w:r w:rsidR="0095713B" w:rsidRPr="00677B0A">
        <w:rPr>
          <w:sz w:val="28"/>
          <w:szCs w:val="28"/>
        </w:rPr>
        <w:t xml:space="preserve"> dovrebbero</w:t>
      </w:r>
      <w:r>
        <w:rPr>
          <w:sz w:val="28"/>
          <w:szCs w:val="28"/>
        </w:rPr>
        <w:t xml:space="preserve">, da un lato, </w:t>
      </w:r>
      <w:r w:rsidR="0095713B" w:rsidRPr="00677B0A">
        <w:rPr>
          <w:sz w:val="28"/>
          <w:szCs w:val="28"/>
        </w:rPr>
        <w:t>limitare l’utilizzo di parole chiave (compresi i marchi) all’interno del nome dell’utente</w:t>
      </w:r>
      <w:r>
        <w:rPr>
          <w:sz w:val="28"/>
          <w:szCs w:val="28"/>
        </w:rPr>
        <w:t>; dall’altro,</w:t>
      </w:r>
      <w:r w:rsidR="0095713B" w:rsidRPr="00677B0A">
        <w:rPr>
          <w:sz w:val="28"/>
          <w:szCs w:val="28"/>
        </w:rPr>
        <w:t xml:space="preserve"> </w:t>
      </w:r>
      <w:r>
        <w:rPr>
          <w:sz w:val="28"/>
          <w:szCs w:val="28"/>
        </w:rPr>
        <w:t>effettuare controlli</w:t>
      </w:r>
      <w:r w:rsidR="0095713B" w:rsidRPr="00677B0A">
        <w:rPr>
          <w:sz w:val="28"/>
          <w:szCs w:val="28"/>
        </w:rPr>
        <w:t xml:space="preserve"> circa l’identità dell’utente e il possesso da parte di quest’ultimo dei diritti e delle autorizzazioni necessarie all’utilizzo di </w:t>
      </w:r>
      <w:r>
        <w:rPr>
          <w:sz w:val="28"/>
          <w:szCs w:val="28"/>
        </w:rPr>
        <w:t xml:space="preserve">un dato </w:t>
      </w:r>
      <w:r w:rsidR="0095713B" w:rsidRPr="00677B0A">
        <w:rPr>
          <w:sz w:val="28"/>
          <w:szCs w:val="28"/>
        </w:rPr>
        <w:t>segno distintivo.</w:t>
      </w:r>
    </w:p>
    <w:p w14:paraId="7EAA1A98" w14:textId="77777777" w:rsidR="003765F6" w:rsidRPr="00677B0A" w:rsidRDefault="003765F6" w:rsidP="00677B0A">
      <w:pPr>
        <w:pStyle w:val="NormaleWeb"/>
        <w:spacing w:before="0" w:beforeAutospacing="0" w:after="0" w:afterAutospacing="0"/>
        <w:jc w:val="both"/>
        <w:rPr>
          <w:sz w:val="28"/>
          <w:szCs w:val="28"/>
        </w:rPr>
      </w:pPr>
    </w:p>
    <w:p w14:paraId="5F48B9F7" w14:textId="77777777" w:rsidR="00896C07" w:rsidRDefault="003765F6" w:rsidP="00677B0A">
      <w:pPr>
        <w:pStyle w:val="NormaleWeb"/>
        <w:spacing w:before="0" w:beforeAutospacing="0" w:after="0" w:afterAutospacing="0"/>
        <w:jc w:val="both"/>
        <w:rPr>
          <w:sz w:val="28"/>
          <w:szCs w:val="28"/>
        </w:rPr>
      </w:pPr>
      <w:r>
        <w:rPr>
          <w:sz w:val="28"/>
          <w:szCs w:val="28"/>
        </w:rPr>
        <w:t>Le</w:t>
      </w:r>
      <w:r w:rsidR="0095713B" w:rsidRPr="00677B0A">
        <w:rPr>
          <w:sz w:val="28"/>
          <w:szCs w:val="28"/>
        </w:rPr>
        <w:t xml:space="preserve"> </w:t>
      </w:r>
      <w:r w:rsidR="0095713B" w:rsidRPr="003765F6">
        <w:rPr>
          <w:i/>
          <w:iCs/>
          <w:sz w:val="28"/>
          <w:szCs w:val="28"/>
        </w:rPr>
        <w:t xml:space="preserve">misure </w:t>
      </w:r>
      <w:r w:rsidRPr="003765F6">
        <w:rPr>
          <w:i/>
          <w:iCs/>
          <w:sz w:val="28"/>
          <w:szCs w:val="28"/>
        </w:rPr>
        <w:t>reattive</w:t>
      </w:r>
      <w:r w:rsidR="0095713B" w:rsidRPr="00677B0A">
        <w:rPr>
          <w:sz w:val="28"/>
          <w:szCs w:val="28"/>
        </w:rPr>
        <w:t xml:space="preserve"> </w:t>
      </w:r>
      <w:r>
        <w:rPr>
          <w:sz w:val="28"/>
          <w:szCs w:val="28"/>
        </w:rPr>
        <w:t>ricomprendono</w:t>
      </w:r>
      <w:r w:rsidR="0095713B" w:rsidRPr="00677B0A">
        <w:rPr>
          <w:sz w:val="28"/>
          <w:szCs w:val="28"/>
        </w:rPr>
        <w:t>, invece, i cosiddetti meccanismi “</w:t>
      </w:r>
      <w:proofErr w:type="spellStart"/>
      <w:r w:rsidR="0095713B" w:rsidRPr="003765F6">
        <w:rPr>
          <w:i/>
          <w:iCs/>
          <w:sz w:val="28"/>
          <w:szCs w:val="28"/>
        </w:rPr>
        <w:t>notice</w:t>
      </w:r>
      <w:proofErr w:type="spellEnd"/>
      <w:r w:rsidR="0095713B" w:rsidRPr="003765F6">
        <w:rPr>
          <w:i/>
          <w:iCs/>
          <w:sz w:val="28"/>
          <w:szCs w:val="28"/>
        </w:rPr>
        <w:t xml:space="preserve"> and </w:t>
      </w:r>
      <w:proofErr w:type="spellStart"/>
      <w:r w:rsidR="0095713B" w:rsidRPr="003765F6">
        <w:rPr>
          <w:i/>
          <w:iCs/>
          <w:sz w:val="28"/>
          <w:szCs w:val="28"/>
        </w:rPr>
        <w:t>action</w:t>
      </w:r>
      <w:proofErr w:type="spellEnd"/>
      <w:r w:rsidR="0095713B" w:rsidRPr="00677B0A">
        <w:rPr>
          <w:sz w:val="28"/>
          <w:szCs w:val="28"/>
        </w:rPr>
        <w:t>”</w:t>
      </w:r>
      <w:r>
        <w:rPr>
          <w:sz w:val="28"/>
          <w:szCs w:val="28"/>
        </w:rPr>
        <w:t xml:space="preserve">. Si tratta, ad esempio, di </w:t>
      </w:r>
      <w:r w:rsidR="0095713B" w:rsidRPr="00677B0A">
        <w:rPr>
          <w:sz w:val="28"/>
          <w:szCs w:val="28"/>
        </w:rPr>
        <w:t>specifici canali messi a disposizione d</w:t>
      </w:r>
      <w:r>
        <w:rPr>
          <w:sz w:val="28"/>
          <w:szCs w:val="28"/>
        </w:rPr>
        <w:t>e</w:t>
      </w:r>
      <w:r w:rsidR="0095713B" w:rsidRPr="00677B0A">
        <w:rPr>
          <w:sz w:val="28"/>
          <w:szCs w:val="28"/>
        </w:rPr>
        <w:t>i titolari di diritti di proprietà</w:t>
      </w:r>
      <w:r w:rsidR="0095713B" w:rsidRPr="0095713B">
        <w:rPr>
          <w:sz w:val="28"/>
          <w:szCs w:val="28"/>
        </w:rPr>
        <w:t xml:space="preserve"> intellettuale o degli utenti per segnalare presunte violazioni. </w:t>
      </w:r>
    </w:p>
    <w:p w14:paraId="71BFA2D3" w14:textId="77777777" w:rsidR="00896C07" w:rsidRDefault="003765F6" w:rsidP="00677B0A">
      <w:pPr>
        <w:pStyle w:val="NormaleWeb"/>
        <w:spacing w:before="0" w:beforeAutospacing="0" w:after="0" w:afterAutospacing="0"/>
        <w:jc w:val="both"/>
        <w:rPr>
          <w:sz w:val="28"/>
          <w:szCs w:val="28"/>
        </w:rPr>
      </w:pPr>
      <w:r>
        <w:rPr>
          <w:sz w:val="28"/>
          <w:szCs w:val="28"/>
        </w:rPr>
        <w:t>Tali strumenti possono risultare efficaci a seconda della</w:t>
      </w:r>
      <w:r w:rsidR="0095713B" w:rsidRPr="0095713B">
        <w:rPr>
          <w:sz w:val="28"/>
          <w:szCs w:val="28"/>
        </w:rPr>
        <w:t xml:space="preserve"> presenza o meno di specifici elementi, che ne facilitano l’accesso e la comprensione</w:t>
      </w:r>
      <w:r w:rsidR="00896C07">
        <w:rPr>
          <w:rStyle w:val="Rimandonotaapidipagina"/>
          <w:sz w:val="28"/>
          <w:szCs w:val="28"/>
        </w:rPr>
        <w:footnoteReference w:id="203"/>
      </w:r>
      <w:r w:rsidR="00896C07">
        <w:rPr>
          <w:sz w:val="28"/>
          <w:szCs w:val="28"/>
        </w:rPr>
        <w:t>.</w:t>
      </w:r>
      <w:r w:rsidR="0095713B" w:rsidRPr="0095713B">
        <w:rPr>
          <w:sz w:val="28"/>
          <w:szCs w:val="28"/>
        </w:rPr>
        <w:t xml:space="preserve"> </w:t>
      </w:r>
    </w:p>
    <w:p w14:paraId="45318204" w14:textId="42E77DA6" w:rsidR="0095713B" w:rsidRPr="0095713B" w:rsidRDefault="000309FE" w:rsidP="00677B0A">
      <w:pPr>
        <w:pStyle w:val="NormaleWeb"/>
        <w:spacing w:before="0" w:beforeAutospacing="0" w:after="0" w:afterAutospacing="0"/>
        <w:jc w:val="both"/>
        <w:rPr>
          <w:sz w:val="28"/>
          <w:szCs w:val="28"/>
        </w:rPr>
      </w:pPr>
      <w:r>
        <w:rPr>
          <w:sz w:val="28"/>
          <w:szCs w:val="28"/>
        </w:rPr>
        <w:t>Tuttavia, affinché</w:t>
      </w:r>
      <w:r w:rsidR="0095713B" w:rsidRPr="0095713B">
        <w:rPr>
          <w:sz w:val="28"/>
          <w:szCs w:val="28"/>
        </w:rPr>
        <w:t xml:space="preserve"> tali strumenti </w:t>
      </w:r>
      <w:r>
        <w:rPr>
          <w:sz w:val="28"/>
          <w:szCs w:val="28"/>
        </w:rPr>
        <w:t>possano risultare</w:t>
      </w:r>
      <w:r w:rsidR="0095713B" w:rsidRPr="0095713B">
        <w:rPr>
          <w:sz w:val="28"/>
          <w:szCs w:val="28"/>
        </w:rPr>
        <w:t xml:space="preserve"> pienamente efficaci, </w:t>
      </w:r>
      <w:r>
        <w:rPr>
          <w:sz w:val="28"/>
          <w:szCs w:val="28"/>
        </w:rPr>
        <w:t>bisogna applicarli</w:t>
      </w:r>
      <w:r w:rsidR="0095713B" w:rsidRPr="0095713B">
        <w:rPr>
          <w:sz w:val="28"/>
          <w:szCs w:val="28"/>
        </w:rPr>
        <w:t xml:space="preserve"> a tutte le funzioni dei </w:t>
      </w:r>
      <w:r w:rsidR="0095713B" w:rsidRPr="000309FE">
        <w:rPr>
          <w:i/>
          <w:iCs/>
          <w:sz w:val="28"/>
          <w:szCs w:val="28"/>
        </w:rPr>
        <w:t>social media</w:t>
      </w:r>
      <w:r w:rsidR="0095713B" w:rsidRPr="0095713B">
        <w:rPr>
          <w:sz w:val="28"/>
          <w:szCs w:val="28"/>
        </w:rPr>
        <w:t>, compresi i contenuti temporanei (“</w:t>
      </w:r>
      <w:r w:rsidR="0095713B" w:rsidRPr="000309FE">
        <w:rPr>
          <w:i/>
          <w:iCs/>
          <w:sz w:val="28"/>
          <w:szCs w:val="28"/>
        </w:rPr>
        <w:t>stories</w:t>
      </w:r>
      <w:r w:rsidR="0095713B" w:rsidRPr="0095713B">
        <w:rPr>
          <w:sz w:val="28"/>
          <w:szCs w:val="28"/>
        </w:rPr>
        <w:t xml:space="preserve">”) o gli </w:t>
      </w:r>
      <w:proofErr w:type="spellStart"/>
      <w:r w:rsidR="0095713B" w:rsidRPr="000309FE">
        <w:rPr>
          <w:i/>
          <w:iCs/>
          <w:sz w:val="28"/>
          <w:szCs w:val="28"/>
        </w:rPr>
        <w:t>hashtag</w:t>
      </w:r>
      <w:proofErr w:type="spellEnd"/>
      <w:r w:rsidR="0095713B" w:rsidRPr="0095713B">
        <w:rPr>
          <w:sz w:val="28"/>
          <w:szCs w:val="28"/>
        </w:rPr>
        <w:t xml:space="preserve"> che, come visto, possono essere utilizzati nella violazione dei diritti di proprietà intellettuale.</w:t>
      </w:r>
      <w:r w:rsidR="00FF4977">
        <w:rPr>
          <w:sz w:val="28"/>
          <w:szCs w:val="28"/>
        </w:rPr>
        <w:t xml:space="preserve"> </w:t>
      </w:r>
      <w:r>
        <w:rPr>
          <w:sz w:val="28"/>
          <w:szCs w:val="28"/>
        </w:rPr>
        <w:t>Non bisogna dimenticare che sono anche</w:t>
      </w:r>
      <w:r w:rsidR="0095713B" w:rsidRPr="0095713B">
        <w:rPr>
          <w:sz w:val="28"/>
          <w:szCs w:val="28"/>
        </w:rPr>
        <w:t xml:space="preserve"> i titolari dei diritti IP </w:t>
      </w:r>
      <w:r>
        <w:rPr>
          <w:sz w:val="28"/>
          <w:szCs w:val="28"/>
        </w:rPr>
        <w:t>a dover</w:t>
      </w:r>
      <w:r w:rsidR="0095713B" w:rsidRPr="0095713B">
        <w:rPr>
          <w:sz w:val="28"/>
          <w:szCs w:val="28"/>
        </w:rPr>
        <w:t xml:space="preserve"> osservare </w:t>
      </w:r>
      <w:r>
        <w:rPr>
          <w:sz w:val="28"/>
          <w:szCs w:val="28"/>
        </w:rPr>
        <w:t>alcune</w:t>
      </w:r>
      <w:r w:rsidR="0095713B" w:rsidRPr="0095713B">
        <w:rPr>
          <w:sz w:val="28"/>
          <w:szCs w:val="28"/>
        </w:rPr>
        <w:t xml:space="preserve"> </w:t>
      </w:r>
      <w:proofErr w:type="spellStart"/>
      <w:r w:rsidRPr="000309FE">
        <w:rPr>
          <w:i/>
          <w:iCs/>
          <w:sz w:val="28"/>
          <w:szCs w:val="28"/>
        </w:rPr>
        <w:t>good</w:t>
      </w:r>
      <w:proofErr w:type="spellEnd"/>
      <w:r w:rsidRPr="000309FE">
        <w:rPr>
          <w:i/>
          <w:iCs/>
          <w:sz w:val="28"/>
          <w:szCs w:val="28"/>
        </w:rPr>
        <w:t xml:space="preserve"> </w:t>
      </w:r>
      <w:proofErr w:type="spellStart"/>
      <w:r w:rsidRPr="000309FE">
        <w:rPr>
          <w:i/>
          <w:iCs/>
          <w:sz w:val="28"/>
          <w:szCs w:val="28"/>
        </w:rPr>
        <w:t>practices</w:t>
      </w:r>
      <w:proofErr w:type="spellEnd"/>
      <w:r w:rsidR="0095713B" w:rsidRPr="0095713B">
        <w:rPr>
          <w:sz w:val="28"/>
          <w:szCs w:val="28"/>
        </w:rPr>
        <w:t xml:space="preserve">, </w:t>
      </w:r>
      <w:r>
        <w:rPr>
          <w:sz w:val="28"/>
          <w:szCs w:val="28"/>
        </w:rPr>
        <w:t>come ad esempio</w:t>
      </w:r>
      <w:r w:rsidR="0095713B" w:rsidRPr="0095713B">
        <w:rPr>
          <w:sz w:val="28"/>
          <w:szCs w:val="28"/>
        </w:rPr>
        <w:t xml:space="preserve"> l’utilizzo appropriato dei meccanismi </w:t>
      </w:r>
      <w:r>
        <w:rPr>
          <w:sz w:val="28"/>
          <w:szCs w:val="28"/>
        </w:rPr>
        <w:t>appena elencati.</w:t>
      </w:r>
    </w:p>
    <w:p w14:paraId="4F726A8F" w14:textId="54A926DC" w:rsidR="0095713B" w:rsidRPr="0095713B" w:rsidRDefault="000309FE" w:rsidP="00677B0A">
      <w:pPr>
        <w:pStyle w:val="NormaleWeb"/>
        <w:spacing w:before="0" w:beforeAutospacing="0" w:after="0" w:afterAutospacing="0"/>
        <w:jc w:val="both"/>
        <w:rPr>
          <w:sz w:val="28"/>
          <w:szCs w:val="28"/>
        </w:rPr>
      </w:pPr>
      <w:r>
        <w:rPr>
          <w:sz w:val="28"/>
          <w:szCs w:val="28"/>
        </w:rPr>
        <w:t>L’impiego</w:t>
      </w:r>
      <w:r w:rsidR="0095713B" w:rsidRPr="0095713B">
        <w:rPr>
          <w:sz w:val="28"/>
          <w:szCs w:val="28"/>
        </w:rPr>
        <w:t xml:space="preserve"> delle nuove tecnologie</w:t>
      </w:r>
      <w:r>
        <w:rPr>
          <w:sz w:val="28"/>
          <w:szCs w:val="28"/>
        </w:rPr>
        <w:t xml:space="preserve"> (es. IA)</w:t>
      </w:r>
      <w:r w:rsidR="0095713B" w:rsidRPr="0095713B">
        <w:rPr>
          <w:sz w:val="28"/>
          <w:szCs w:val="28"/>
        </w:rPr>
        <w:t xml:space="preserve">, </w:t>
      </w:r>
      <w:r>
        <w:rPr>
          <w:sz w:val="28"/>
          <w:szCs w:val="28"/>
        </w:rPr>
        <w:t xml:space="preserve">inoltre, potrà </w:t>
      </w:r>
      <w:r w:rsidR="0095713B" w:rsidRPr="0095713B">
        <w:rPr>
          <w:sz w:val="28"/>
          <w:szCs w:val="28"/>
        </w:rPr>
        <w:t xml:space="preserve">essere </w:t>
      </w:r>
      <w:r>
        <w:rPr>
          <w:sz w:val="28"/>
          <w:szCs w:val="28"/>
        </w:rPr>
        <w:t xml:space="preserve">utile per l’introduzione di </w:t>
      </w:r>
      <w:r w:rsidR="0095713B" w:rsidRPr="0095713B">
        <w:rPr>
          <w:sz w:val="28"/>
          <w:szCs w:val="28"/>
        </w:rPr>
        <w:t>nuovi</w:t>
      </w:r>
      <w:r>
        <w:rPr>
          <w:sz w:val="28"/>
          <w:szCs w:val="28"/>
        </w:rPr>
        <w:t xml:space="preserve"> e più rapidi</w:t>
      </w:r>
      <w:r w:rsidR="0095713B" w:rsidRPr="0095713B">
        <w:rPr>
          <w:sz w:val="28"/>
          <w:szCs w:val="28"/>
        </w:rPr>
        <w:t xml:space="preserve"> sistemi </w:t>
      </w:r>
      <w:r>
        <w:rPr>
          <w:sz w:val="28"/>
          <w:szCs w:val="28"/>
        </w:rPr>
        <w:t>per</w:t>
      </w:r>
      <w:r w:rsidR="0095713B" w:rsidRPr="0095713B">
        <w:rPr>
          <w:sz w:val="28"/>
          <w:szCs w:val="28"/>
        </w:rPr>
        <w:t xml:space="preserve"> indagare eventuali violazioni</w:t>
      </w:r>
      <w:r>
        <w:rPr>
          <w:sz w:val="28"/>
          <w:szCs w:val="28"/>
        </w:rPr>
        <w:t>.</w:t>
      </w:r>
    </w:p>
    <w:p w14:paraId="554E3455" w14:textId="77777777" w:rsidR="004E283C" w:rsidRDefault="000309FE" w:rsidP="00677B0A">
      <w:pPr>
        <w:pStyle w:val="NormaleWeb"/>
        <w:spacing w:before="0" w:beforeAutospacing="0" w:after="0" w:afterAutospacing="0"/>
        <w:jc w:val="both"/>
        <w:rPr>
          <w:sz w:val="28"/>
          <w:szCs w:val="28"/>
        </w:rPr>
      </w:pPr>
      <w:r>
        <w:rPr>
          <w:sz w:val="28"/>
          <w:szCs w:val="28"/>
        </w:rPr>
        <w:t>Tra</w:t>
      </w:r>
      <w:r w:rsidR="0095713B" w:rsidRPr="00677B0A">
        <w:rPr>
          <w:sz w:val="28"/>
          <w:szCs w:val="28"/>
        </w:rPr>
        <w:t xml:space="preserve"> le misure di carattere reattivo rientra anche la collaborazione con le autorità pubbliche, competenti ad intervenire per tali violazioni.</w:t>
      </w:r>
    </w:p>
    <w:p w14:paraId="101CA731" w14:textId="77777777" w:rsidR="004E283C" w:rsidRDefault="004E283C" w:rsidP="00677B0A">
      <w:pPr>
        <w:pStyle w:val="NormaleWeb"/>
        <w:spacing w:before="0" w:beforeAutospacing="0" w:after="0" w:afterAutospacing="0"/>
        <w:jc w:val="both"/>
        <w:rPr>
          <w:sz w:val="28"/>
          <w:szCs w:val="28"/>
        </w:rPr>
      </w:pPr>
      <w:r>
        <w:rPr>
          <w:sz w:val="28"/>
          <w:szCs w:val="28"/>
        </w:rPr>
        <w:t>Si faccia l’e</w:t>
      </w:r>
      <w:r w:rsidR="0095713B" w:rsidRPr="00677B0A">
        <w:rPr>
          <w:sz w:val="28"/>
          <w:szCs w:val="28"/>
        </w:rPr>
        <w:t xml:space="preserve">sempio </w:t>
      </w:r>
      <w:r w:rsidRPr="0095713B">
        <w:rPr>
          <w:sz w:val="28"/>
          <w:szCs w:val="28"/>
        </w:rPr>
        <w:t>fornito dall’operazione “</w:t>
      </w:r>
      <w:proofErr w:type="spellStart"/>
      <w:r w:rsidRPr="000309FE">
        <w:rPr>
          <w:i/>
          <w:iCs/>
          <w:sz w:val="28"/>
          <w:szCs w:val="28"/>
        </w:rPr>
        <w:t>Aphrodite</w:t>
      </w:r>
      <w:proofErr w:type="spellEnd"/>
      <w:r w:rsidRPr="0095713B">
        <w:rPr>
          <w:sz w:val="28"/>
          <w:szCs w:val="28"/>
        </w:rPr>
        <w:t>”, condotta congiuntamente dall’EUROPOL, dalla G</w:t>
      </w:r>
      <w:r>
        <w:rPr>
          <w:sz w:val="28"/>
          <w:szCs w:val="28"/>
        </w:rPr>
        <w:t xml:space="preserve">uardia </w:t>
      </w:r>
      <w:r w:rsidRPr="0095713B">
        <w:rPr>
          <w:sz w:val="28"/>
          <w:szCs w:val="28"/>
        </w:rPr>
        <w:t>d</w:t>
      </w:r>
      <w:r>
        <w:rPr>
          <w:sz w:val="28"/>
          <w:szCs w:val="28"/>
        </w:rPr>
        <w:t xml:space="preserve">i </w:t>
      </w:r>
      <w:r w:rsidRPr="0095713B">
        <w:rPr>
          <w:sz w:val="28"/>
          <w:szCs w:val="28"/>
        </w:rPr>
        <w:t>F</w:t>
      </w:r>
      <w:r>
        <w:rPr>
          <w:sz w:val="28"/>
          <w:szCs w:val="28"/>
        </w:rPr>
        <w:t>inanza</w:t>
      </w:r>
      <w:r w:rsidRPr="0095713B">
        <w:rPr>
          <w:sz w:val="28"/>
          <w:szCs w:val="28"/>
        </w:rPr>
        <w:t xml:space="preserve"> italiana e dalle forze di polizia di diversi Stati Membri, che ha portato al sequestro di 20.000 prodotti contraffatti e alla chiusura di oltre 1.000 conti</w:t>
      </w:r>
      <w:r>
        <w:rPr>
          <w:sz w:val="28"/>
          <w:szCs w:val="28"/>
        </w:rPr>
        <w:t xml:space="preserve">. È un esempio </w:t>
      </w:r>
      <w:r w:rsidR="0095713B" w:rsidRPr="00677B0A">
        <w:rPr>
          <w:sz w:val="28"/>
          <w:szCs w:val="28"/>
        </w:rPr>
        <w:t>concreto dell’effetto positivo derivante dalla collaborazione con le autorità, nonché dell’intervento sinergico</w:t>
      </w:r>
      <w:r w:rsidR="0095713B" w:rsidRPr="0095713B">
        <w:rPr>
          <w:sz w:val="28"/>
          <w:szCs w:val="28"/>
        </w:rPr>
        <w:t xml:space="preserve"> fra queste ultime</w:t>
      </w:r>
      <w:r>
        <w:rPr>
          <w:sz w:val="28"/>
          <w:szCs w:val="28"/>
        </w:rPr>
        <w:t>.</w:t>
      </w:r>
    </w:p>
    <w:p w14:paraId="5B371067" w14:textId="5FD67448" w:rsidR="004E283C" w:rsidRDefault="004E283C" w:rsidP="00677B0A">
      <w:pPr>
        <w:pStyle w:val="NormaleWeb"/>
        <w:spacing w:before="0" w:beforeAutospacing="0" w:after="0" w:afterAutospacing="0"/>
        <w:jc w:val="both"/>
        <w:rPr>
          <w:sz w:val="28"/>
          <w:szCs w:val="28"/>
        </w:rPr>
      </w:pPr>
      <w:r>
        <w:rPr>
          <w:sz w:val="28"/>
          <w:szCs w:val="28"/>
        </w:rPr>
        <w:t>Il</w:t>
      </w:r>
      <w:r w:rsidR="0095713B" w:rsidRPr="0095713B">
        <w:rPr>
          <w:sz w:val="28"/>
          <w:szCs w:val="28"/>
        </w:rPr>
        <w:t xml:space="preserve"> comunicato stampa trasmesso da EUROPOL</w:t>
      </w:r>
      <w:r>
        <w:rPr>
          <w:sz w:val="28"/>
          <w:szCs w:val="28"/>
        </w:rPr>
        <w:t xml:space="preserve"> </w:t>
      </w:r>
      <w:r w:rsidR="0095713B" w:rsidRPr="0095713B">
        <w:rPr>
          <w:sz w:val="28"/>
          <w:szCs w:val="28"/>
        </w:rPr>
        <w:t xml:space="preserve">evidenzia proprio il ruolo giocato dai </w:t>
      </w:r>
      <w:r w:rsidR="0095713B" w:rsidRPr="004E283C">
        <w:rPr>
          <w:i/>
          <w:iCs/>
          <w:sz w:val="28"/>
          <w:szCs w:val="28"/>
        </w:rPr>
        <w:t>social media</w:t>
      </w:r>
      <w:r w:rsidR="0095713B" w:rsidRPr="0095713B">
        <w:rPr>
          <w:sz w:val="28"/>
          <w:szCs w:val="28"/>
        </w:rPr>
        <w:t xml:space="preserve"> nella divulgazione delle offerte di prodotti contraffatti per raggiungere il pubblico.</w:t>
      </w:r>
    </w:p>
    <w:p w14:paraId="4137E345" w14:textId="77777777" w:rsidR="00896C07" w:rsidRPr="0095713B" w:rsidRDefault="00896C07" w:rsidP="00677B0A">
      <w:pPr>
        <w:pStyle w:val="NormaleWeb"/>
        <w:spacing w:before="0" w:beforeAutospacing="0" w:after="0" w:afterAutospacing="0"/>
        <w:jc w:val="both"/>
        <w:rPr>
          <w:sz w:val="28"/>
          <w:szCs w:val="28"/>
        </w:rPr>
      </w:pPr>
    </w:p>
    <w:p w14:paraId="6DA49164" w14:textId="0FB0DCA0" w:rsidR="0095713B" w:rsidRPr="0095713B" w:rsidRDefault="004E283C" w:rsidP="00677B0A">
      <w:pPr>
        <w:pStyle w:val="NormaleWeb"/>
        <w:spacing w:before="0" w:beforeAutospacing="0" w:after="0" w:afterAutospacing="0"/>
        <w:jc w:val="both"/>
        <w:rPr>
          <w:sz w:val="28"/>
          <w:szCs w:val="28"/>
        </w:rPr>
      </w:pPr>
      <w:r>
        <w:rPr>
          <w:sz w:val="28"/>
          <w:szCs w:val="28"/>
        </w:rPr>
        <w:t>La</w:t>
      </w:r>
      <w:r w:rsidR="0095713B" w:rsidRPr="0095713B">
        <w:rPr>
          <w:sz w:val="28"/>
          <w:szCs w:val="28"/>
        </w:rPr>
        <w:t xml:space="preserve"> tendenza di internet e dei </w:t>
      </w:r>
      <w:r w:rsidR="0095713B" w:rsidRPr="004E283C">
        <w:rPr>
          <w:i/>
          <w:iCs/>
          <w:sz w:val="28"/>
          <w:szCs w:val="28"/>
        </w:rPr>
        <w:t>social media</w:t>
      </w:r>
      <w:r w:rsidR="0095713B" w:rsidRPr="0095713B">
        <w:rPr>
          <w:sz w:val="28"/>
          <w:szCs w:val="28"/>
        </w:rPr>
        <w:t xml:space="preserve"> ad abbattere i confini geografici </w:t>
      </w:r>
      <w:r>
        <w:rPr>
          <w:sz w:val="28"/>
          <w:szCs w:val="28"/>
        </w:rPr>
        <w:t>ha creato</w:t>
      </w:r>
      <w:r w:rsidR="0095713B" w:rsidRPr="0095713B">
        <w:rPr>
          <w:sz w:val="28"/>
          <w:szCs w:val="28"/>
        </w:rPr>
        <w:t xml:space="preserve"> non pochi problemi nell’applicazione della disciplina e nell’individuazione delle norme effettivamente applicabili.</w:t>
      </w:r>
    </w:p>
    <w:p w14:paraId="5D6A9932" w14:textId="63480C90" w:rsidR="0095713B" w:rsidRPr="0095713B" w:rsidRDefault="004E283C" w:rsidP="00677B0A">
      <w:pPr>
        <w:pStyle w:val="NormaleWeb"/>
        <w:spacing w:before="0" w:beforeAutospacing="0" w:after="0" w:afterAutospacing="0"/>
        <w:jc w:val="both"/>
        <w:rPr>
          <w:sz w:val="28"/>
          <w:szCs w:val="28"/>
        </w:rPr>
      </w:pPr>
      <w:r>
        <w:rPr>
          <w:sz w:val="28"/>
          <w:szCs w:val="28"/>
        </w:rPr>
        <w:t>Sul</w:t>
      </w:r>
      <w:r w:rsidR="0095713B" w:rsidRPr="0095713B">
        <w:rPr>
          <w:sz w:val="28"/>
          <w:szCs w:val="28"/>
        </w:rPr>
        <w:t xml:space="preserve"> tema d</w:t>
      </w:r>
      <w:r>
        <w:rPr>
          <w:sz w:val="28"/>
          <w:szCs w:val="28"/>
        </w:rPr>
        <w:t>ella</w:t>
      </w:r>
      <w:r w:rsidR="0095713B" w:rsidRPr="0095713B">
        <w:rPr>
          <w:sz w:val="28"/>
          <w:szCs w:val="28"/>
        </w:rPr>
        <w:t xml:space="preserve"> contraffazione del marchio</w:t>
      </w:r>
      <w:r>
        <w:rPr>
          <w:sz w:val="28"/>
          <w:szCs w:val="28"/>
        </w:rPr>
        <w:t xml:space="preserve">, </w:t>
      </w:r>
      <w:r w:rsidR="0095713B" w:rsidRPr="0095713B">
        <w:rPr>
          <w:sz w:val="28"/>
          <w:szCs w:val="28"/>
        </w:rPr>
        <w:t>ne</w:t>
      </w:r>
      <w:r>
        <w:rPr>
          <w:sz w:val="28"/>
          <w:szCs w:val="28"/>
        </w:rPr>
        <w:t xml:space="preserve">l caso </w:t>
      </w:r>
      <w:r w:rsidR="0095713B" w:rsidRPr="0095713B">
        <w:rPr>
          <w:sz w:val="28"/>
          <w:szCs w:val="28"/>
        </w:rPr>
        <w:t>specifico di contraffazione</w:t>
      </w:r>
      <w:r>
        <w:rPr>
          <w:sz w:val="28"/>
          <w:szCs w:val="28"/>
        </w:rPr>
        <w:t xml:space="preserve"> </w:t>
      </w:r>
      <w:r w:rsidR="0095713B" w:rsidRPr="0095713B">
        <w:rPr>
          <w:sz w:val="28"/>
          <w:szCs w:val="28"/>
        </w:rPr>
        <w:t xml:space="preserve">attraverso l’uso di nomi a dominio e sulle piattaforme </w:t>
      </w:r>
      <w:r w:rsidR="0095713B" w:rsidRPr="004E283C">
        <w:rPr>
          <w:i/>
          <w:iCs/>
          <w:sz w:val="28"/>
          <w:szCs w:val="28"/>
        </w:rPr>
        <w:t>social</w:t>
      </w:r>
      <w:r w:rsidR="0095713B" w:rsidRPr="0095713B">
        <w:rPr>
          <w:sz w:val="28"/>
          <w:szCs w:val="28"/>
        </w:rPr>
        <w:t xml:space="preserve">, la </w:t>
      </w:r>
      <w:r>
        <w:rPr>
          <w:sz w:val="28"/>
          <w:szCs w:val="28"/>
        </w:rPr>
        <w:t>Corte di Giustizia</w:t>
      </w:r>
      <w:r w:rsidR="0095713B" w:rsidRPr="0095713B">
        <w:rPr>
          <w:sz w:val="28"/>
          <w:szCs w:val="28"/>
        </w:rPr>
        <w:t xml:space="preserve"> </w:t>
      </w:r>
      <w:r>
        <w:rPr>
          <w:sz w:val="28"/>
          <w:szCs w:val="28"/>
        </w:rPr>
        <w:t xml:space="preserve">si è pronunciata </w:t>
      </w:r>
      <w:r w:rsidR="0095713B" w:rsidRPr="0095713B">
        <w:rPr>
          <w:sz w:val="28"/>
          <w:szCs w:val="28"/>
        </w:rPr>
        <w:t xml:space="preserve">in via pregiudiziale per risolvere una questione legata alla litispendenza di azioni civili simultanee, sulla base di marchi </w:t>
      </w:r>
      <w:r w:rsidRPr="0095713B">
        <w:rPr>
          <w:sz w:val="28"/>
          <w:szCs w:val="28"/>
        </w:rPr>
        <w:t xml:space="preserve">nazionali </w:t>
      </w:r>
      <w:r>
        <w:rPr>
          <w:sz w:val="28"/>
          <w:szCs w:val="28"/>
        </w:rPr>
        <w:t xml:space="preserve">e </w:t>
      </w:r>
      <w:r w:rsidR="0095713B" w:rsidRPr="0095713B">
        <w:rPr>
          <w:sz w:val="28"/>
          <w:szCs w:val="28"/>
        </w:rPr>
        <w:t>dell’Unione Europ</w:t>
      </w:r>
      <w:r>
        <w:rPr>
          <w:sz w:val="28"/>
          <w:szCs w:val="28"/>
        </w:rPr>
        <w:t>ea.</w:t>
      </w:r>
    </w:p>
    <w:p w14:paraId="37A7674A" w14:textId="77777777" w:rsidR="00896C07" w:rsidRDefault="0095713B" w:rsidP="00677B0A">
      <w:pPr>
        <w:pStyle w:val="NormaleWeb"/>
        <w:spacing w:before="0" w:beforeAutospacing="0" w:after="0" w:afterAutospacing="0"/>
        <w:jc w:val="both"/>
        <w:rPr>
          <w:sz w:val="28"/>
          <w:szCs w:val="28"/>
        </w:rPr>
      </w:pPr>
      <w:r w:rsidRPr="0095713B">
        <w:rPr>
          <w:sz w:val="28"/>
          <w:szCs w:val="28"/>
        </w:rPr>
        <w:lastRenderedPageBreak/>
        <w:t xml:space="preserve">Nel </w:t>
      </w:r>
      <w:r w:rsidR="00572CC6">
        <w:rPr>
          <w:sz w:val="28"/>
          <w:szCs w:val="28"/>
        </w:rPr>
        <w:t xml:space="preserve">noto </w:t>
      </w:r>
      <w:r w:rsidRPr="0095713B">
        <w:rPr>
          <w:sz w:val="28"/>
          <w:szCs w:val="28"/>
        </w:rPr>
        <w:t>caso (causa C-231/16</w:t>
      </w:r>
      <w:r w:rsidR="00EE2A5C">
        <w:rPr>
          <w:rStyle w:val="Rimandonotaapidipagina"/>
          <w:sz w:val="28"/>
          <w:szCs w:val="28"/>
        </w:rPr>
        <w:footnoteReference w:id="204"/>
      </w:r>
      <w:r w:rsidRPr="0095713B">
        <w:rPr>
          <w:sz w:val="28"/>
          <w:szCs w:val="28"/>
        </w:rPr>
        <w:t xml:space="preserve">) agiva </w:t>
      </w:r>
      <w:r w:rsidRPr="004E283C">
        <w:rPr>
          <w:i/>
          <w:iCs/>
          <w:sz w:val="28"/>
          <w:szCs w:val="28"/>
        </w:rPr>
        <w:t xml:space="preserve">Merck </w:t>
      </w:r>
      <w:proofErr w:type="spellStart"/>
      <w:r w:rsidRPr="004E283C">
        <w:rPr>
          <w:i/>
          <w:iCs/>
          <w:sz w:val="28"/>
          <w:szCs w:val="28"/>
        </w:rPr>
        <w:t>KGaA</w:t>
      </w:r>
      <w:proofErr w:type="spellEnd"/>
      <w:r w:rsidRPr="0095713B">
        <w:rPr>
          <w:sz w:val="28"/>
          <w:szCs w:val="28"/>
        </w:rPr>
        <w:t>, operante nel settore chimico-farmaceutico e titolare di vari marchi che tutelano il nome “</w:t>
      </w:r>
      <w:r w:rsidRPr="004E283C">
        <w:rPr>
          <w:i/>
          <w:iCs/>
          <w:sz w:val="28"/>
          <w:szCs w:val="28"/>
        </w:rPr>
        <w:t>Mer</w:t>
      </w:r>
      <w:r w:rsidR="007E2AF6">
        <w:rPr>
          <w:i/>
          <w:iCs/>
          <w:sz w:val="28"/>
          <w:szCs w:val="28"/>
        </w:rPr>
        <w:t>c</w:t>
      </w:r>
      <w:r w:rsidRPr="004E283C">
        <w:rPr>
          <w:i/>
          <w:iCs/>
          <w:sz w:val="28"/>
          <w:szCs w:val="28"/>
        </w:rPr>
        <w:t>k</w:t>
      </w:r>
      <w:r w:rsidRPr="0095713B">
        <w:rPr>
          <w:sz w:val="28"/>
          <w:szCs w:val="28"/>
        </w:rPr>
        <w:t xml:space="preserve">”. </w:t>
      </w:r>
    </w:p>
    <w:p w14:paraId="6B026829" w14:textId="1816A43D" w:rsidR="00C23904" w:rsidRDefault="0095713B" w:rsidP="00677B0A">
      <w:pPr>
        <w:pStyle w:val="NormaleWeb"/>
        <w:spacing w:before="0" w:beforeAutospacing="0" w:after="0" w:afterAutospacing="0"/>
        <w:jc w:val="both"/>
        <w:rPr>
          <w:sz w:val="28"/>
          <w:szCs w:val="28"/>
        </w:rPr>
      </w:pPr>
      <w:r w:rsidRPr="0095713B">
        <w:rPr>
          <w:sz w:val="28"/>
          <w:szCs w:val="28"/>
        </w:rPr>
        <w:t>La società ha intrapreso contestualmente due azioni</w:t>
      </w:r>
      <w:r w:rsidR="004E283C" w:rsidRPr="004E283C">
        <w:rPr>
          <w:sz w:val="28"/>
          <w:szCs w:val="28"/>
        </w:rPr>
        <w:t xml:space="preserve"> </w:t>
      </w:r>
      <w:r w:rsidR="004E283C" w:rsidRPr="0095713B">
        <w:rPr>
          <w:sz w:val="28"/>
          <w:szCs w:val="28"/>
        </w:rPr>
        <w:t>diverse</w:t>
      </w:r>
      <w:r w:rsidRPr="0095713B">
        <w:rPr>
          <w:sz w:val="28"/>
          <w:szCs w:val="28"/>
        </w:rPr>
        <w:t xml:space="preserve">, una innanzi alla </w:t>
      </w:r>
      <w:r w:rsidRPr="00C23904">
        <w:rPr>
          <w:i/>
          <w:iCs/>
          <w:sz w:val="28"/>
          <w:szCs w:val="28"/>
        </w:rPr>
        <w:t xml:space="preserve">High Court of </w:t>
      </w:r>
      <w:proofErr w:type="spellStart"/>
      <w:r w:rsidRPr="00C23904">
        <w:rPr>
          <w:i/>
          <w:iCs/>
          <w:sz w:val="28"/>
          <w:szCs w:val="28"/>
        </w:rPr>
        <w:t>Justice</w:t>
      </w:r>
      <w:proofErr w:type="spellEnd"/>
      <w:r w:rsidRPr="0095713B">
        <w:rPr>
          <w:sz w:val="28"/>
          <w:szCs w:val="28"/>
        </w:rPr>
        <w:t xml:space="preserve"> ed un</w:t>
      </w:r>
      <w:r w:rsidR="004E283C">
        <w:rPr>
          <w:sz w:val="28"/>
          <w:szCs w:val="28"/>
        </w:rPr>
        <w:t>’</w:t>
      </w:r>
      <w:r w:rsidRPr="0095713B">
        <w:rPr>
          <w:sz w:val="28"/>
          <w:szCs w:val="28"/>
        </w:rPr>
        <w:t xml:space="preserve">altra innanzi al </w:t>
      </w:r>
      <w:proofErr w:type="spellStart"/>
      <w:r w:rsidRPr="00C23904">
        <w:rPr>
          <w:i/>
          <w:iCs/>
          <w:sz w:val="28"/>
          <w:szCs w:val="28"/>
        </w:rPr>
        <w:t>Landgericht</w:t>
      </w:r>
      <w:proofErr w:type="spellEnd"/>
      <w:r w:rsidRPr="00C23904">
        <w:rPr>
          <w:i/>
          <w:iCs/>
          <w:sz w:val="28"/>
          <w:szCs w:val="28"/>
        </w:rPr>
        <w:t xml:space="preserve"> Hamburg</w:t>
      </w:r>
      <w:r w:rsidRPr="0095713B">
        <w:rPr>
          <w:sz w:val="28"/>
          <w:szCs w:val="28"/>
        </w:rPr>
        <w:t xml:space="preserve"> (Tribunale regionale di Amburgo). </w:t>
      </w:r>
    </w:p>
    <w:p w14:paraId="5D83F458" w14:textId="211BF2ED" w:rsidR="0095713B" w:rsidRPr="0095713B" w:rsidRDefault="004E283C" w:rsidP="00677B0A">
      <w:pPr>
        <w:pStyle w:val="NormaleWeb"/>
        <w:spacing w:before="0" w:beforeAutospacing="0" w:after="0" w:afterAutospacing="0"/>
        <w:jc w:val="both"/>
        <w:rPr>
          <w:sz w:val="28"/>
          <w:szCs w:val="28"/>
        </w:rPr>
      </w:pPr>
      <w:r>
        <w:rPr>
          <w:sz w:val="28"/>
          <w:szCs w:val="28"/>
        </w:rPr>
        <w:t>Nel primo caso</w:t>
      </w:r>
      <w:r w:rsidR="00C23904">
        <w:rPr>
          <w:sz w:val="28"/>
          <w:szCs w:val="28"/>
        </w:rPr>
        <w:t>,</w:t>
      </w:r>
      <w:r>
        <w:rPr>
          <w:sz w:val="28"/>
          <w:szCs w:val="28"/>
        </w:rPr>
        <w:t xml:space="preserve"> veniva in rilievo</w:t>
      </w:r>
      <w:r w:rsidR="0095713B" w:rsidRPr="0095713B">
        <w:rPr>
          <w:sz w:val="28"/>
          <w:szCs w:val="28"/>
        </w:rPr>
        <w:t xml:space="preserve"> la contraffazione dei marchi nazionali ed internazionali protetti nel Regno Unito, a causa dell’utilizzo in rete del nome “</w:t>
      </w:r>
      <w:r w:rsidR="0095713B" w:rsidRPr="004E283C">
        <w:rPr>
          <w:i/>
          <w:iCs/>
          <w:sz w:val="28"/>
          <w:szCs w:val="28"/>
        </w:rPr>
        <w:t>Merck</w:t>
      </w:r>
      <w:r w:rsidR="0095713B" w:rsidRPr="0095713B">
        <w:rPr>
          <w:sz w:val="28"/>
          <w:szCs w:val="28"/>
        </w:rPr>
        <w:t xml:space="preserve">”. </w:t>
      </w:r>
      <w:r w:rsidR="00C23904">
        <w:rPr>
          <w:sz w:val="28"/>
          <w:szCs w:val="28"/>
        </w:rPr>
        <w:t>Nel secondo caso, invece, si agiva a</w:t>
      </w:r>
      <w:r w:rsidR="0095713B" w:rsidRPr="0095713B">
        <w:rPr>
          <w:sz w:val="28"/>
          <w:szCs w:val="28"/>
        </w:rPr>
        <w:t xml:space="preserve"> tutela del marchio UE </w:t>
      </w:r>
      <w:r w:rsidR="0095713B" w:rsidRPr="00C23904">
        <w:rPr>
          <w:i/>
          <w:iCs/>
          <w:sz w:val="28"/>
          <w:szCs w:val="28"/>
        </w:rPr>
        <w:t>Mer</w:t>
      </w:r>
      <w:r w:rsidR="007E2AF6">
        <w:rPr>
          <w:i/>
          <w:iCs/>
          <w:sz w:val="28"/>
          <w:szCs w:val="28"/>
        </w:rPr>
        <w:t>c</w:t>
      </w:r>
      <w:r w:rsidR="0095713B" w:rsidRPr="00C23904">
        <w:rPr>
          <w:i/>
          <w:iCs/>
          <w:sz w:val="28"/>
          <w:szCs w:val="28"/>
        </w:rPr>
        <w:t>k</w:t>
      </w:r>
      <w:r w:rsidR="0095713B" w:rsidRPr="0095713B">
        <w:rPr>
          <w:sz w:val="28"/>
          <w:szCs w:val="28"/>
        </w:rPr>
        <w:t xml:space="preserve">, per il suo utilizzo non solo su internet, ma anche sulle piattaforme </w:t>
      </w:r>
      <w:proofErr w:type="spellStart"/>
      <w:r w:rsidR="0095713B" w:rsidRPr="0095713B">
        <w:rPr>
          <w:sz w:val="28"/>
          <w:szCs w:val="28"/>
        </w:rPr>
        <w:t>Facebook</w:t>
      </w:r>
      <w:proofErr w:type="spellEnd"/>
      <w:r w:rsidR="0095713B" w:rsidRPr="0095713B">
        <w:rPr>
          <w:sz w:val="28"/>
          <w:szCs w:val="28"/>
        </w:rPr>
        <w:t xml:space="preserve">, </w:t>
      </w:r>
      <w:proofErr w:type="spellStart"/>
      <w:r w:rsidR="0095713B" w:rsidRPr="0095713B">
        <w:rPr>
          <w:sz w:val="28"/>
          <w:szCs w:val="28"/>
        </w:rPr>
        <w:t>Twitter</w:t>
      </w:r>
      <w:proofErr w:type="spellEnd"/>
      <w:r w:rsidR="0095713B" w:rsidRPr="0095713B">
        <w:rPr>
          <w:sz w:val="28"/>
          <w:szCs w:val="28"/>
        </w:rPr>
        <w:t xml:space="preserve"> e </w:t>
      </w:r>
      <w:proofErr w:type="spellStart"/>
      <w:r w:rsidR="0095713B" w:rsidRPr="0095713B">
        <w:rPr>
          <w:sz w:val="28"/>
          <w:szCs w:val="28"/>
        </w:rPr>
        <w:t>Youtube</w:t>
      </w:r>
      <w:proofErr w:type="spellEnd"/>
      <w:r w:rsidR="0095713B" w:rsidRPr="0095713B">
        <w:rPr>
          <w:sz w:val="28"/>
          <w:szCs w:val="28"/>
        </w:rPr>
        <w:t>.</w:t>
      </w:r>
    </w:p>
    <w:p w14:paraId="2A41C45D" w14:textId="22B83C8A" w:rsidR="0095713B" w:rsidRPr="00C23904" w:rsidRDefault="00C23904" w:rsidP="00677B0A">
      <w:pPr>
        <w:pStyle w:val="NormaleWeb"/>
        <w:spacing w:before="0" w:beforeAutospacing="0" w:after="0" w:afterAutospacing="0"/>
        <w:jc w:val="both"/>
        <w:rPr>
          <w:i/>
          <w:iCs/>
          <w:sz w:val="28"/>
          <w:szCs w:val="28"/>
        </w:rPr>
      </w:pPr>
      <w:r>
        <w:rPr>
          <w:sz w:val="28"/>
          <w:szCs w:val="28"/>
        </w:rPr>
        <w:t>Il</w:t>
      </w:r>
      <w:r w:rsidR="0095713B" w:rsidRPr="0095713B">
        <w:rPr>
          <w:sz w:val="28"/>
          <w:szCs w:val="28"/>
        </w:rPr>
        <w:t xml:space="preserve"> giudice di Amburgo </w:t>
      </w:r>
      <w:r>
        <w:rPr>
          <w:sz w:val="28"/>
          <w:szCs w:val="28"/>
        </w:rPr>
        <w:t xml:space="preserve">ha sollevato una questione </w:t>
      </w:r>
      <w:r w:rsidR="0095713B" w:rsidRPr="0095713B">
        <w:rPr>
          <w:sz w:val="28"/>
          <w:szCs w:val="28"/>
        </w:rPr>
        <w:t>sull’interpretazione dell’art. 109, para 1, del Regolamento (CE) n</w:t>
      </w:r>
      <w:r>
        <w:rPr>
          <w:sz w:val="28"/>
          <w:szCs w:val="28"/>
        </w:rPr>
        <w:t xml:space="preserve">. </w:t>
      </w:r>
      <w:r w:rsidR="0095713B" w:rsidRPr="0095713B">
        <w:rPr>
          <w:sz w:val="28"/>
          <w:szCs w:val="28"/>
        </w:rPr>
        <w:t xml:space="preserve">207/2009, che </w:t>
      </w:r>
      <w:r>
        <w:rPr>
          <w:sz w:val="28"/>
          <w:szCs w:val="28"/>
        </w:rPr>
        <w:t>dispone</w:t>
      </w:r>
      <w:r w:rsidR="0095713B" w:rsidRPr="0095713B">
        <w:rPr>
          <w:sz w:val="28"/>
          <w:szCs w:val="28"/>
        </w:rPr>
        <w:t xml:space="preserve">: </w:t>
      </w:r>
      <w:r>
        <w:rPr>
          <w:sz w:val="28"/>
          <w:szCs w:val="28"/>
        </w:rPr>
        <w:t>“</w:t>
      </w:r>
      <w:r w:rsidR="0095713B" w:rsidRPr="00C23904">
        <w:rPr>
          <w:i/>
          <w:iCs/>
          <w:sz w:val="28"/>
          <w:szCs w:val="28"/>
        </w:rPr>
        <w:t>Qualora azioni per contraffazione siano proposte per gli stessi fatti e tra le stesse parti davanti a tribunali di Stati membri differenti, aditi rispettivamente sulla base di un marchio [dell’Unione Europea] e sulla base di un marchio nazionale:</w:t>
      </w:r>
    </w:p>
    <w:p w14:paraId="3816E8F2" w14:textId="77777777" w:rsidR="0095713B" w:rsidRPr="00C23904" w:rsidRDefault="0095713B" w:rsidP="00677B0A">
      <w:pPr>
        <w:pStyle w:val="NormaleWeb"/>
        <w:spacing w:before="0" w:beforeAutospacing="0" w:after="0" w:afterAutospacing="0"/>
        <w:jc w:val="both"/>
        <w:rPr>
          <w:i/>
          <w:iCs/>
          <w:sz w:val="28"/>
          <w:szCs w:val="28"/>
        </w:rPr>
      </w:pPr>
      <w:r w:rsidRPr="00C23904">
        <w:rPr>
          <w:i/>
          <w:iCs/>
          <w:sz w:val="28"/>
          <w:szCs w:val="28"/>
        </w:rPr>
        <w:t>a)</w:t>
      </w:r>
      <w:r w:rsidRPr="00C23904">
        <w:rPr>
          <w:i/>
          <w:iCs/>
          <w:sz w:val="28"/>
          <w:szCs w:val="28"/>
        </w:rPr>
        <w:tab/>
        <w:t>il tribunale successivamente adito deve, anche d’ufficio, dichiarare la propria incompetenza a favore del primo tribunale adito quando i marchi in causa sono identici e validi per prodotti o servizi identici. Il tribunale che dovrebbe dichiarare la propria incompetenza può sospendere il procedimento qualora venga eccepita l’incompetenza dell’altro tribunale;</w:t>
      </w:r>
    </w:p>
    <w:p w14:paraId="61F3587D" w14:textId="003D340B" w:rsidR="0095713B" w:rsidRPr="0095713B" w:rsidRDefault="0095713B" w:rsidP="00677B0A">
      <w:pPr>
        <w:pStyle w:val="NormaleWeb"/>
        <w:spacing w:before="0" w:beforeAutospacing="0" w:after="0" w:afterAutospacing="0"/>
        <w:jc w:val="both"/>
        <w:rPr>
          <w:sz w:val="28"/>
          <w:szCs w:val="28"/>
        </w:rPr>
      </w:pPr>
      <w:r w:rsidRPr="00C23904">
        <w:rPr>
          <w:i/>
          <w:iCs/>
          <w:sz w:val="28"/>
          <w:szCs w:val="28"/>
        </w:rPr>
        <w:t>b)</w:t>
      </w:r>
      <w:r w:rsidRPr="00C23904">
        <w:rPr>
          <w:i/>
          <w:iCs/>
          <w:sz w:val="28"/>
          <w:szCs w:val="28"/>
        </w:rPr>
        <w:tab/>
        <w:t>il tribunale successivamente adito può sospendere il procedimento quando i marchi in causa sono identici e validi per prodotti o servizi simili, nonché quando i marchi in causa sono simili e validi per prodotti o servizi identici o simili</w:t>
      </w:r>
      <w:r w:rsidR="00C23904">
        <w:rPr>
          <w:sz w:val="28"/>
          <w:szCs w:val="28"/>
        </w:rPr>
        <w:t>”</w:t>
      </w:r>
      <w:r w:rsidRPr="0095713B">
        <w:rPr>
          <w:sz w:val="28"/>
          <w:szCs w:val="28"/>
        </w:rPr>
        <w:t>.</w:t>
      </w:r>
    </w:p>
    <w:p w14:paraId="4F96A5AD" w14:textId="2C326564" w:rsidR="0095713B" w:rsidRPr="0095713B" w:rsidRDefault="0095713B" w:rsidP="00677B0A">
      <w:pPr>
        <w:pStyle w:val="NormaleWeb"/>
        <w:spacing w:before="0" w:beforeAutospacing="0" w:after="0" w:afterAutospacing="0"/>
        <w:jc w:val="both"/>
        <w:rPr>
          <w:sz w:val="28"/>
          <w:szCs w:val="28"/>
        </w:rPr>
      </w:pPr>
      <w:r w:rsidRPr="0095713B">
        <w:rPr>
          <w:sz w:val="28"/>
          <w:szCs w:val="28"/>
        </w:rPr>
        <w:t>Con il primo quesito</w:t>
      </w:r>
      <w:r w:rsidR="00896C07">
        <w:rPr>
          <w:sz w:val="28"/>
          <w:szCs w:val="28"/>
        </w:rPr>
        <w:t>,</w:t>
      </w:r>
      <w:r w:rsidRPr="0095713B">
        <w:rPr>
          <w:sz w:val="28"/>
          <w:szCs w:val="28"/>
        </w:rPr>
        <w:t xml:space="preserve"> è stato chiesto all</w:t>
      </w:r>
      <w:r w:rsidR="00572CC6">
        <w:rPr>
          <w:sz w:val="28"/>
          <w:szCs w:val="28"/>
        </w:rPr>
        <w:t>’adita Corte di Giustizia</w:t>
      </w:r>
      <w:r w:rsidRPr="0095713B">
        <w:rPr>
          <w:sz w:val="28"/>
          <w:szCs w:val="28"/>
        </w:rPr>
        <w:t xml:space="preserve"> se la locuzione “</w:t>
      </w:r>
      <w:r w:rsidRPr="00C23904">
        <w:rPr>
          <w:i/>
          <w:iCs/>
          <w:sz w:val="28"/>
          <w:szCs w:val="28"/>
        </w:rPr>
        <w:t>stessi fatti</w:t>
      </w:r>
      <w:r w:rsidRPr="0095713B">
        <w:rPr>
          <w:sz w:val="28"/>
          <w:szCs w:val="28"/>
        </w:rPr>
        <w:t xml:space="preserve">” </w:t>
      </w:r>
      <w:r w:rsidR="00572CC6">
        <w:rPr>
          <w:sz w:val="28"/>
          <w:szCs w:val="28"/>
        </w:rPr>
        <w:t>debba essere intesa</w:t>
      </w:r>
      <w:r w:rsidRPr="0095713B">
        <w:rPr>
          <w:sz w:val="28"/>
          <w:szCs w:val="28"/>
        </w:rPr>
        <w:t xml:space="preserve"> nel senso di includere il mantenimento e l’utilizzo in tutto il mondo</w:t>
      </w:r>
      <w:r w:rsidR="00572CC6">
        <w:rPr>
          <w:sz w:val="28"/>
          <w:szCs w:val="28"/>
        </w:rPr>
        <w:t xml:space="preserve"> – </w:t>
      </w:r>
      <w:r w:rsidRPr="0095713B">
        <w:rPr>
          <w:sz w:val="28"/>
          <w:szCs w:val="28"/>
        </w:rPr>
        <w:t>e quindi anche in tutta l’Unione</w:t>
      </w:r>
      <w:r w:rsidR="00572CC6">
        <w:rPr>
          <w:sz w:val="28"/>
          <w:szCs w:val="28"/>
        </w:rPr>
        <w:t xml:space="preserve"> Europea – </w:t>
      </w:r>
      <w:r w:rsidRPr="0095713B">
        <w:rPr>
          <w:sz w:val="28"/>
          <w:szCs w:val="28"/>
        </w:rPr>
        <w:t xml:space="preserve">di una pagina internet accessibile in modo identico da qualunque luogo, sotto lo stesso dominio, o, parimenti, di contenuti accessibili in modo identico di volta in volta con il medesimo </w:t>
      </w:r>
      <w:r w:rsidRPr="00572CC6">
        <w:rPr>
          <w:i/>
          <w:iCs/>
          <w:sz w:val="28"/>
          <w:szCs w:val="28"/>
        </w:rPr>
        <w:t>username</w:t>
      </w:r>
      <w:r w:rsidRPr="0095713B">
        <w:rPr>
          <w:sz w:val="28"/>
          <w:szCs w:val="28"/>
        </w:rPr>
        <w:t xml:space="preserve">, sotto il dominio </w:t>
      </w:r>
      <w:r w:rsidR="00572CC6">
        <w:rPr>
          <w:sz w:val="28"/>
          <w:szCs w:val="28"/>
        </w:rPr>
        <w:t>“</w:t>
      </w:r>
      <w:r w:rsidRPr="00572CC6">
        <w:rPr>
          <w:i/>
          <w:iCs/>
          <w:sz w:val="28"/>
          <w:szCs w:val="28"/>
        </w:rPr>
        <w:t>facebook.com</w:t>
      </w:r>
      <w:r w:rsidR="00572CC6">
        <w:rPr>
          <w:sz w:val="28"/>
          <w:szCs w:val="28"/>
        </w:rPr>
        <w:t>”</w:t>
      </w:r>
      <w:r w:rsidRPr="0095713B">
        <w:rPr>
          <w:sz w:val="28"/>
          <w:szCs w:val="28"/>
        </w:rPr>
        <w:t xml:space="preserve"> e/o </w:t>
      </w:r>
      <w:r w:rsidR="00572CC6">
        <w:rPr>
          <w:sz w:val="28"/>
          <w:szCs w:val="28"/>
        </w:rPr>
        <w:t>“</w:t>
      </w:r>
      <w:r w:rsidRPr="00572CC6">
        <w:rPr>
          <w:i/>
          <w:iCs/>
          <w:sz w:val="28"/>
          <w:szCs w:val="28"/>
        </w:rPr>
        <w:t>youtube.com</w:t>
      </w:r>
      <w:r w:rsidR="00572CC6">
        <w:rPr>
          <w:sz w:val="28"/>
          <w:szCs w:val="28"/>
        </w:rPr>
        <w:t>”</w:t>
      </w:r>
      <w:r w:rsidRPr="0095713B">
        <w:rPr>
          <w:sz w:val="28"/>
          <w:szCs w:val="28"/>
        </w:rPr>
        <w:t xml:space="preserve"> e/</w:t>
      </w:r>
      <w:r w:rsidR="007E2AF6">
        <w:rPr>
          <w:sz w:val="28"/>
          <w:szCs w:val="28"/>
        </w:rPr>
        <w:t>o</w:t>
      </w:r>
      <w:r w:rsidRPr="0095713B">
        <w:rPr>
          <w:sz w:val="28"/>
          <w:szCs w:val="28"/>
        </w:rPr>
        <w:t xml:space="preserve"> </w:t>
      </w:r>
      <w:r w:rsidR="00572CC6">
        <w:rPr>
          <w:sz w:val="28"/>
          <w:szCs w:val="28"/>
        </w:rPr>
        <w:t>“</w:t>
      </w:r>
      <w:r w:rsidRPr="00572CC6">
        <w:rPr>
          <w:i/>
          <w:iCs/>
          <w:sz w:val="28"/>
          <w:szCs w:val="28"/>
        </w:rPr>
        <w:t>twitter.com</w:t>
      </w:r>
      <w:r w:rsidR="00572CC6">
        <w:rPr>
          <w:sz w:val="28"/>
          <w:szCs w:val="28"/>
        </w:rPr>
        <w:t>”</w:t>
      </w:r>
      <w:r w:rsidRPr="0095713B">
        <w:rPr>
          <w:sz w:val="28"/>
          <w:szCs w:val="28"/>
        </w:rPr>
        <w:t>.</w:t>
      </w:r>
    </w:p>
    <w:p w14:paraId="09BC8C7C" w14:textId="24686933" w:rsidR="0095713B" w:rsidRPr="0095713B" w:rsidRDefault="007E2AF6" w:rsidP="00677B0A">
      <w:pPr>
        <w:pStyle w:val="NormaleWeb"/>
        <w:spacing w:before="0" w:beforeAutospacing="0" w:after="0" w:afterAutospacing="0"/>
        <w:jc w:val="both"/>
        <w:rPr>
          <w:sz w:val="28"/>
          <w:szCs w:val="28"/>
        </w:rPr>
      </w:pPr>
      <w:r>
        <w:rPr>
          <w:sz w:val="28"/>
          <w:szCs w:val="28"/>
        </w:rPr>
        <w:t>Con un altro quesito</w:t>
      </w:r>
      <w:r w:rsidR="00896C07">
        <w:rPr>
          <w:sz w:val="28"/>
          <w:szCs w:val="28"/>
        </w:rPr>
        <w:t>,</w:t>
      </w:r>
      <w:r>
        <w:rPr>
          <w:sz w:val="28"/>
          <w:szCs w:val="28"/>
        </w:rPr>
        <w:t xml:space="preserve"> è stato poi chiesto</w:t>
      </w:r>
      <w:r w:rsidR="0095713B" w:rsidRPr="0095713B">
        <w:rPr>
          <w:sz w:val="28"/>
          <w:szCs w:val="28"/>
        </w:rPr>
        <w:t xml:space="preserve"> alla Corte se il “</w:t>
      </w:r>
      <w:r w:rsidR="0095713B" w:rsidRPr="00896C07">
        <w:rPr>
          <w:i/>
          <w:iCs/>
          <w:sz w:val="28"/>
          <w:szCs w:val="28"/>
        </w:rPr>
        <w:t>tribunale successivamente adito</w:t>
      </w:r>
      <w:r w:rsidR="0095713B" w:rsidRPr="0095713B">
        <w:rPr>
          <w:sz w:val="28"/>
          <w:szCs w:val="28"/>
        </w:rPr>
        <w:t xml:space="preserve">” avesse l’obbligo di dichiarare la propria incompetenza solo </w:t>
      </w:r>
      <w:r>
        <w:rPr>
          <w:sz w:val="28"/>
          <w:szCs w:val="28"/>
        </w:rPr>
        <w:t>sul</w:t>
      </w:r>
      <w:r w:rsidR="0095713B" w:rsidRPr="0095713B">
        <w:rPr>
          <w:sz w:val="28"/>
          <w:szCs w:val="28"/>
        </w:rPr>
        <w:t xml:space="preserve"> territorio dello Stato membro in cui un altro Tribunale era stato adito per primo</w:t>
      </w:r>
      <w:r>
        <w:rPr>
          <w:sz w:val="28"/>
          <w:szCs w:val="28"/>
        </w:rPr>
        <w:t xml:space="preserve"> – </w:t>
      </w:r>
      <w:r w:rsidR="0095713B" w:rsidRPr="0095713B">
        <w:rPr>
          <w:sz w:val="28"/>
          <w:szCs w:val="28"/>
        </w:rPr>
        <w:t xml:space="preserve">a fronte di una violazione commessa mediante una pagina internet accessibile da tutto il mondo sotto lo stesso dominio o attraverso contenuti accessibili da tutto il mondo sotto il dominio </w:t>
      </w:r>
      <w:r>
        <w:rPr>
          <w:sz w:val="28"/>
          <w:szCs w:val="28"/>
        </w:rPr>
        <w:t>“</w:t>
      </w:r>
      <w:r w:rsidR="0095713B" w:rsidRPr="007E2AF6">
        <w:rPr>
          <w:i/>
          <w:iCs/>
          <w:sz w:val="28"/>
          <w:szCs w:val="28"/>
        </w:rPr>
        <w:t>facebook.com</w:t>
      </w:r>
      <w:r>
        <w:rPr>
          <w:sz w:val="28"/>
          <w:szCs w:val="28"/>
        </w:rPr>
        <w:t>”</w:t>
      </w:r>
      <w:r w:rsidR="0095713B" w:rsidRPr="0095713B">
        <w:rPr>
          <w:sz w:val="28"/>
          <w:szCs w:val="28"/>
        </w:rPr>
        <w:t xml:space="preserve"> e/o </w:t>
      </w:r>
      <w:r>
        <w:rPr>
          <w:sz w:val="28"/>
          <w:szCs w:val="28"/>
        </w:rPr>
        <w:t>“</w:t>
      </w:r>
      <w:r w:rsidR="0095713B" w:rsidRPr="007E2AF6">
        <w:rPr>
          <w:i/>
          <w:iCs/>
          <w:sz w:val="28"/>
          <w:szCs w:val="28"/>
        </w:rPr>
        <w:t>youtube.com</w:t>
      </w:r>
      <w:r>
        <w:rPr>
          <w:sz w:val="28"/>
          <w:szCs w:val="28"/>
        </w:rPr>
        <w:t>”</w:t>
      </w:r>
      <w:r w:rsidR="0095713B" w:rsidRPr="0095713B">
        <w:rPr>
          <w:sz w:val="28"/>
          <w:szCs w:val="28"/>
        </w:rPr>
        <w:t xml:space="preserve"> e/</w:t>
      </w:r>
      <w:r>
        <w:rPr>
          <w:sz w:val="28"/>
          <w:szCs w:val="28"/>
        </w:rPr>
        <w:t>o</w:t>
      </w:r>
      <w:r w:rsidR="0095713B" w:rsidRPr="0095713B">
        <w:rPr>
          <w:sz w:val="28"/>
          <w:szCs w:val="28"/>
        </w:rPr>
        <w:t xml:space="preserve"> </w:t>
      </w:r>
      <w:r>
        <w:rPr>
          <w:sz w:val="28"/>
          <w:szCs w:val="28"/>
        </w:rPr>
        <w:t>“</w:t>
      </w:r>
      <w:r w:rsidR="0095713B" w:rsidRPr="007E2AF6">
        <w:rPr>
          <w:i/>
          <w:iCs/>
          <w:sz w:val="28"/>
          <w:szCs w:val="28"/>
        </w:rPr>
        <w:t>twitter.com</w:t>
      </w:r>
      <w:r>
        <w:rPr>
          <w:sz w:val="28"/>
          <w:szCs w:val="28"/>
        </w:rPr>
        <w:t>”</w:t>
      </w:r>
      <w:r w:rsidR="0095713B" w:rsidRPr="0095713B">
        <w:rPr>
          <w:sz w:val="28"/>
          <w:szCs w:val="28"/>
        </w:rPr>
        <w:t xml:space="preserve"> con il medesimo </w:t>
      </w:r>
      <w:r w:rsidR="0095713B" w:rsidRPr="00896C07">
        <w:rPr>
          <w:i/>
          <w:iCs/>
          <w:sz w:val="28"/>
          <w:szCs w:val="28"/>
        </w:rPr>
        <w:t>username</w:t>
      </w:r>
      <w:r>
        <w:rPr>
          <w:sz w:val="28"/>
          <w:szCs w:val="28"/>
        </w:rPr>
        <w:t xml:space="preserve"> – </w:t>
      </w:r>
      <w:r w:rsidR="0095713B" w:rsidRPr="0095713B">
        <w:rPr>
          <w:sz w:val="28"/>
          <w:szCs w:val="28"/>
        </w:rPr>
        <w:t>o se, invece, la dichiarazione di incompetenza dovesse estendersi a tutto il territorio dell’Unione</w:t>
      </w:r>
      <w:r>
        <w:rPr>
          <w:sz w:val="28"/>
          <w:szCs w:val="28"/>
        </w:rPr>
        <w:t xml:space="preserve"> Europea.</w:t>
      </w:r>
    </w:p>
    <w:p w14:paraId="21661FF4" w14:textId="3CA64F28" w:rsidR="0095713B" w:rsidRPr="0095713B" w:rsidRDefault="00E5511F" w:rsidP="00677B0A">
      <w:pPr>
        <w:pStyle w:val="NormaleWeb"/>
        <w:spacing w:before="0" w:beforeAutospacing="0" w:after="0" w:afterAutospacing="0"/>
        <w:jc w:val="both"/>
        <w:rPr>
          <w:sz w:val="28"/>
          <w:szCs w:val="28"/>
        </w:rPr>
      </w:pPr>
      <w:r>
        <w:rPr>
          <w:sz w:val="28"/>
          <w:szCs w:val="28"/>
        </w:rPr>
        <w:t>In primo luogo, l</w:t>
      </w:r>
      <w:r w:rsidR="007E2AF6">
        <w:rPr>
          <w:sz w:val="28"/>
          <w:szCs w:val="28"/>
        </w:rPr>
        <w:t>a</w:t>
      </w:r>
      <w:r w:rsidR="0095713B" w:rsidRPr="0095713B">
        <w:rPr>
          <w:sz w:val="28"/>
          <w:szCs w:val="28"/>
        </w:rPr>
        <w:t xml:space="preserve"> C</w:t>
      </w:r>
      <w:r w:rsidR="007E2AF6">
        <w:rPr>
          <w:sz w:val="28"/>
          <w:szCs w:val="28"/>
        </w:rPr>
        <w:t>GUE</w:t>
      </w:r>
      <w:r w:rsidR="0095713B" w:rsidRPr="0095713B">
        <w:rPr>
          <w:sz w:val="28"/>
          <w:szCs w:val="28"/>
        </w:rPr>
        <w:t xml:space="preserve"> ha</w:t>
      </w:r>
      <w:r>
        <w:rPr>
          <w:sz w:val="28"/>
          <w:szCs w:val="28"/>
        </w:rPr>
        <w:t xml:space="preserve"> </w:t>
      </w:r>
      <w:r w:rsidR="0095713B" w:rsidRPr="0095713B">
        <w:rPr>
          <w:sz w:val="28"/>
          <w:szCs w:val="28"/>
        </w:rPr>
        <w:t>richiamato l’interpretazione relativa all’esistenza di domande aventi “</w:t>
      </w:r>
      <w:r w:rsidR="0095713B" w:rsidRPr="0040111C">
        <w:rPr>
          <w:i/>
          <w:iCs/>
          <w:sz w:val="28"/>
          <w:szCs w:val="28"/>
        </w:rPr>
        <w:t>il medesimo oggetto e il medesimo titolo</w:t>
      </w:r>
      <w:r w:rsidR="0095713B" w:rsidRPr="0095713B">
        <w:rPr>
          <w:sz w:val="28"/>
          <w:szCs w:val="28"/>
        </w:rPr>
        <w:t>”.</w:t>
      </w:r>
    </w:p>
    <w:p w14:paraId="5A25AFE9" w14:textId="2CB02E59" w:rsidR="0095713B" w:rsidRPr="0095713B" w:rsidRDefault="0095713B" w:rsidP="00677B0A">
      <w:pPr>
        <w:pStyle w:val="NormaleWeb"/>
        <w:spacing w:before="0" w:beforeAutospacing="0" w:after="0" w:afterAutospacing="0"/>
        <w:jc w:val="both"/>
        <w:rPr>
          <w:sz w:val="28"/>
          <w:szCs w:val="28"/>
        </w:rPr>
      </w:pPr>
      <w:r w:rsidRPr="0095713B">
        <w:rPr>
          <w:sz w:val="28"/>
          <w:szCs w:val="28"/>
        </w:rPr>
        <w:t xml:space="preserve">La nozione di titolo </w:t>
      </w:r>
      <w:r w:rsidR="007E2AF6">
        <w:rPr>
          <w:sz w:val="28"/>
          <w:szCs w:val="28"/>
        </w:rPr>
        <w:t>ri</w:t>
      </w:r>
      <w:r w:rsidRPr="0095713B">
        <w:rPr>
          <w:sz w:val="28"/>
          <w:szCs w:val="28"/>
        </w:rPr>
        <w:t>comprende i fatti e la norma giuridica posta a fondamento della domanda</w:t>
      </w:r>
      <w:r w:rsidR="00D275B5">
        <w:rPr>
          <w:sz w:val="28"/>
          <w:szCs w:val="28"/>
        </w:rPr>
        <w:t>.</w:t>
      </w:r>
      <w:r w:rsidR="00D275B5" w:rsidRPr="00D275B5">
        <w:rPr>
          <w:sz w:val="28"/>
          <w:szCs w:val="28"/>
        </w:rPr>
        <w:t xml:space="preserve"> </w:t>
      </w:r>
      <w:r w:rsidR="00D275B5">
        <w:rPr>
          <w:sz w:val="28"/>
          <w:szCs w:val="28"/>
        </w:rPr>
        <w:t>L</w:t>
      </w:r>
      <w:r w:rsidR="00D275B5" w:rsidRPr="0095713B">
        <w:rPr>
          <w:sz w:val="28"/>
          <w:szCs w:val="28"/>
        </w:rPr>
        <w:t>a Corte</w:t>
      </w:r>
      <w:r w:rsidR="00D275B5">
        <w:rPr>
          <w:sz w:val="28"/>
          <w:szCs w:val="28"/>
        </w:rPr>
        <w:t xml:space="preserve"> ha </w:t>
      </w:r>
      <w:r w:rsidR="00D275B5" w:rsidRPr="0095713B">
        <w:rPr>
          <w:sz w:val="28"/>
          <w:szCs w:val="28"/>
        </w:rPr>
        <w:t>rileva</w:t>
      </w:r>
      <w:r w:rsidR="00D275B5">
        <w:rPr>
          <w:sz w:val="28"/>
          <w:szCs w:val="28"/>
        </w:rPr>
        <w:t>to</w:t>
      </w:r>
      <w:r w:rsidR="00D275B5" w:rsidRPr="0095713B">
        <w:rPr>
          <w:sz w:val="28"/>
          <w:szCs w:val="28"/>
        </w:rPr>
        <w:t xml:space="preserve"> </w:t>
      </w:r>
      <w:r w:rsidR="00D275B5">
        <w:rPr>
          <w:sz w:val="28"/>
          <w:szCs w:val="28"/>
        </w:rPr>
        <w:t>che, n</w:t>
      </w:r>
      <w:r w:rsidRPr="0095713B">
        <w:rPr>
          <w:sz w:val="28"/>
          <w:szCs w:val="28"/>
        </w:rPr>
        <w:t>el caso di specie</w:t>
      </w:r>
      <w:r w:rsidR="00D275B5">
        <w:rPr>
          <w:sz w:val="28"/>
          <w:szCs w:val="28"/>
        </w:rPr>
        <w:t xml:space="preserve">, </w:t>
      </w:r>
      <w:r w:rsidRPr="0095713B">
        <w:rPr>
          <w:sz w:val="28"/>
          <w:szCs w:val="28"/>
        </w:rPr>
        <w:t xml:space="preserve">la norma fondante la domanda </w:t>
      </w:r>
      <w:r w:rsidR="00D275B5">
        <w:rPr>
          <w:sz w:val="28"/>
          <w:szCs w:val="28"/>
        </w:rPr>
        <w:lastRenderedPageBreak/>
        <w:t>è</w:t>
      </w:r>
      <w:r w:rsidRPr="0095713B">
        <w:rPr>
          <w:sz w:val="28"/>
          <w:szCs w:val="28"/>
        </w:rPr>
        <w:t xml:space="preserve"> coincidente ed individuabile nella tutela di diritti esclusivi derivanti da marchi identici</w:t>
      </w:r>
      <w:r w:rsidR="00D275B5">
        <w:rPr>
          <w:sz w:val="28"/>
          <w:szCs w:val="28"/>
        </w:rPr>
        <w:t>. Non rileva, dunque,</w:t>
      </w:r>
      <w:r w:rsidRPr="0095713B">
        <w:rPr>
          <w:sz w:val="28"/>
          <w:szCs w:val="28"/>
        </w:rPr>
        <w:t xml:space="preserve"> il fatto</w:t>
      </w:r>
      <w:r w:rsidR="00D275B5">
        <w:rPr>
          <w:sz w:val="28"/>
          <w:szCs w:val="28"/>
        </w:rPr>
        <w:t xml:space="preserve"> che</w:t>
      </w:r>
      <w:r w:rsidRPr="0095713B">
        <w:rPr>
          <w:sz w:val="28"/>
          <w:szCs w:val="28"/>
        </w:rPr>
        <w:t xml:space="preserve"> la prima azione abbia quale fondamento la tutela di un marchio nazionale, mentre la seconda di un marchio </w:t>
      </w:r>
      <w:r w:rsidR="00EE2A5C" w:rsidRPr="0095713B">
        <w:rPr>
          <w:sz w:val="28"/>
          <w:szCs w:val="28"/>
        </w:rPr>
        <w:t>europeo.</w:t>
      </w:r>
      <w:r w:rsidRPr="0095713B">
        <w:rPr>
          <w:sz w:val="28"/>
          <w:szCs w:val="28"/>
        </w:rPr>
        <w:t xml:space="preserve"> </w:t>
      </w:r>
      <w:r w:rsidR="00BC1319">
        <w:rPr>
          <w:sz w:val="28"/>
          <w:szCs w:val="28"/>
        </w:rPr>
        <w:t>Inoltre</w:t>
      </w:r>
      <w:r w:rsidRPr="0095713B">
        <w:rPr>
          <w:sz w:val="28"/>
          <w:szCs w:val="28"/>
        </w:rPr>
        <w:t>, può</w:t>
      </w:r>
      <w:r w:rsidR="00E238E7">
        <w:rPr>
          <w:sz w:val="28"/>
          <w:szCs w:val="28"/>
        </w:rPr>
        <w:t xml:space="preserve"> </w:t>
      </w:r>
      <w:r w:rsidRPr="0095713B">
        <w:rPr>
          <w:sz w:val="28"/>
          <w:szCs w:val="28"/>
        </w:rPr>
        <w:t xml:space="preserve">dirsi soddisfatto il requisito dell’identità dei fatti, </w:t>
      </w:r>
      <w:r w:rsidR="00BC1319">
        <w:rPr>
          <w:sz w:val="28"/>
          <w:szCs w:val="28"/>
        </w:rPr>
        <w:t>dato</w:t>
      </w:r>
      <w:r w:rsidRPr="0095713B">
        <w:rPr>
          <w:sz w:val="28"/>
          <w:szCs w:val="28"/>
        </w:rPr>
        <w:t xml:space="preserve"> che entrambe le questioni riguardano l’utilizzo del termine “</w:t>
      </w:r>
      <w:r w:rsidRPr="007E2AF6">
        <w:rPr>
          <w:i/>
          <w:iCs/>
          <w:sz w:val="28"/>
          <w:szCs w:val="28"/>
        </w:rPr>
        <w:t>Merck</w:t>
      </w:r>
      <w:r w:rsidRPr="0095713B">
        <w:rPr>
          <w:sz w:val="28"/>
          <w:szCs w:val="28"/>
        </w:rPr>
        <w:t xml:space="preserve">” in nomi di domini e in piattaforme </w:t>
      </w:r>
      <w:r w:rsidRPr="00BC1319">
        <w:rPr>
          <w:i/>
          <w:iCs/>
          <w:sz w:val="28"/>
          <w:szCs w:val="28"/>
        </w:rPr>
        <w:t>social</w:t>
      </w:r>
      <w:r w:rsidRPr="0095713B">
        <w:rPr>
          <w:sz w:val="28"/>
          <w:szCs w:val="28"/>
        </w:rPr>
        <w:t xml:space="preserve"> accessibili da tutto il mondo.</w:t>
      </w:r>
    </w:p>
    <w:p w14:paraId="72DA5216" w14:textId="2800ECF7" w:rsidR="0095713B" w:rsidRPr="0095713B" w:rsidRDefault="0095713B" w:rsidP="00677B0A">
      <w:pPr>
        <w:pStyle w:val="NormaleWeb"/>
        <w:spacing w:before="0" w:beforeAutospacing="0" w:after="0" w:afterAutospacing="0"/>
        <w:jc w:val="both"/>
        <w:rPr>
          <w:sz w:val="28"/>
          <w:szCs w:val="28"/>
        </w:rPr>
      </w:pPr>
      <w:r w:rsidRPr="0095713B">
        <w:rPr>
          <w:sz w:val="28"/>
          <w:szCs w:val="28"/>
        </w:rPr>
        <w:t>L</w:t>
      </w:r>
      <w:r w:rsidR="00BC1319">
        <w:rPr>
          <w:sz w:val="28"/>
          <w:szCs w:val="28"/>
        </w:rPr>
        <w:t xml:space="preserve">a nozione di </w:t>
      </w:r>
      <w:r w:rsidRPr="0095713B">
        <w:rPr>
          <w:sz w:val="28"/>
          <w:szCs w:val="28"/>
        </w:rPr>
        <w:t>oggetto</w:t>
      </w:r>
      <w:r w:rsidR="00BC1319">
        <w:rPr>
          <w:sz w:val="28"/>
          <w:szCs w:val="28"/>
        </w:rPr>
        <w:t>, invece,</w:t>
      </w:r>
      <w:r w:rsidRPr="0095713B">
        <w:rPr>
          <w:sz w:val="28"/>
          <w:szCs w:val="28"/>
        </w:rPr>
        <w:t xml:space="preserve"> coincide con lo scopo della domanda. </w:t>
      </w:r>
      <w:r w:rsidR="00BC1319">
        <w:rPr>
          <w:sz w:val="28"/>
          <w:szCs w:val="28"/>
        </w:rPr>
        <w:t>Ebbene</w:t>
      </w:r>
      <w:r w:rsidRPr="0095713B">
        <w:rPr>
          <w:sz w:val="28"/>
          <w:szCs w:val="28"/>
        </w:rPr>
        <w:t xml:space="preserve">, mentre l’azione intentata </w:t>
      </w:r>
      <w:r w:rsidR="00BC1319">
        <w:rPr>
          <w:sz w:val="28"/>
          <w:szCs w:val="28"/>
        </w:rPr>
        <w:t>davanti</w:t>
      </w:r>
      <w:r w:rsidRPr="0095713B">
        <w:rPr>
          <w:sz w:val="28"/>
          <w:szCs w:val="28"/>
        </w:rPr>
        <w:t xml:space="preserve"> alla </w:t>
      </w:r>
      <w:r w:rsidRPr="00BC1319">
        <w:rPr>
          <w:i/>
          <w:iCs/>
          <w:sz w:val="28"/>
          <w:szCs w:val="28"/>
        </w:rPr>
        <w:t xml:space="preserve">High Court of </w:t>
      </w:r>
      <w:proofErr w:type="spellStart"/>
      <w:r w:rsidRPr="00BC1319">
        <w:rPr>
          <w:i/>
          <w:iCs/>
          <w:sz w:val="28"/>
          <w:szCs w:val="28"/>
        </w:rPr>
        <w:t>Justice</w:t>
      </w:r>
      <w:proofErr w:type="spellEnd"/>
      <w:r w:rsidRPr="0095713B">
        <w:rPr>
          <w:sz w:val="28"/>
          <w:szCs w:val="28"/>
        </w:rPr>
        <w:t xml:space="preserve"> mirava a precludere l’utilizzo del marchio sul territorio del Regno Unito, l’azione presentata al Giudice di Amburgo </w:t>
      </w:r>
      <w:r w:rsidR="00BC1319">
        <w:rPr>
          <w:sz w:val="28"/>
          <w:szCs w:val="28"/>
        </w:rPr>
        <w:t>voleva</w:t>
      </w:r>
      <w:r w:rsidRPr="0095713B">
        <w:rPr>
          <w:sz w:val="28"/>
          <w:szCs w:val="28"/>
        </w:rPr>
        <w:t xml:space="preserve"> vietarne l’utilizzo su tutto il territorio dell’Unione.</w:t>
      </w:r>
    </w:p>
    <w:p w14:paraId="70AA2CF8" w14:textId="77BCEAFB" w:rsidR="0092292E" w:rsidRDefault="00BC1319" w:rsidP="007E2AF6">
      <w:pPr>
        <w:pStyle w:val="NormaleWeb"/>
        <w:spacing w:before="0" w:beforeAutospacing="0" w:after="0" w:afterAutospacing="0"/>
        <w:jc w:val="both"/>
        <w:rPr>
          <w:sz w:val="28"/>
          <w:szCs w:val="28"/>
        </w:rPr>
      </w:pPr>
      <w:r>
        <w:rPr>
          <w:sz w:val="28"/>
          <w:szCs w:val="28"/>
        </w:rPr>
        <w:t>In secondo luogo, s</w:t>
      </w:r>
      <w:r w:rsidR="0095713B" w:rsidRPr="0095713B">
        <w:rPr>
          <w:sz w:val="28"/>
          <w:szCs w:val="28"/>
        </w:rPr>
        <w:t xml:space="preserve">ulla base di </w:t>
      </w:r>
      <w:r w:rsidR="00E5511F">
        <w:rPr>
          <w:sz w:val="28"/>
          <w:szCs w:val="28"/>
        </w:rPr>
        <w:t>tali</w:t>
      </w:r>
      <w:r w:rsidR="0095713B" w:rsidRPr="0095713B">
        <w:rPr>
          <w:sz w:val="28"/>
          <w:szCs w:val="28"/>
        </w:rPr>
        <w:t xml:space="preserve"> considerazioni, in risposta al</w:t>
      </w:r>
      <w:r>
        <w:rPr>
          <w:sz w:val="28"/>
          <w:szCs w:val="28"/>
        </w:rPr>
        <w:t xml:space="preserve">l’altro </w:t>
      </w:r>
      <w:r w:rsidR="0095713B" w:rsidRPr="0095713B">
        <w:rPr>
          <w:sz w:val="28"/>
          <w:szCs w:val="28"/>
        </w:rPr>
        <w:t>quesito</w:t>
      </w:r>
      <w:r w:rsidR="00E5511F">
        <w:rPr>
          <w:sz w:val="28"/>
          <w:szCs w:val="28"/>
        </w:rPr>
        <w:t>,</w:t>
      </w:r>
      <w:r w:rsidR="0095713B" w:rsidRPr="0095713B">
        <w:rPr>
          <w:sz w:val="28"/>
          <w:szCs w:val="28"/>
        </w:rPr>
        <w:t xml:space="preserve"> la C</w:t>
      </w:r>
      <w:r w:rsidR="0040111C">
        <w:rPr>
          <w:sz w:val="28"/>
          <w:szCs w:val="28"/>
        </w:rPr>
        <w:t>orte</w:t>
      </w:r>
      <w:r w:rsidR="00E5511F">
        <w:rPr>
          <w:sz w:val="28"/>
          <w:szCs w:val="28"/>
        </w:rPr>
        <w:t xml:space="preserve"> </w:t>
      </w:r>
      <w:r w:rsidR="0095713B" w:rsidRPr="0095713B">
        <w:rPr>
          <w:sz w:val="28"/>
          <w:szCs w:val="28"/>
        </w:rPr>
        <w:t>è giunta alla conclusione che le due azioni possono dirsi aventi il medesimo oggetto solo limitatamente alle contraffazioni avvenute nel medesimo territorio e, di conseguenza, è esclusivamente con riguardo a queste ipotesi che il Tribunale adito successivamente sarà tenuto a dichiarare la propria incompetenza.</w:t>
      </w:r>
    </w:p>
    <w:p w14:paraId="59BA4DF6" w14:textId="77777777" w:rsidR="0092292E" w:rsidRDefault="0092292E">
      <w:pPr>
        <w:rPr>
          <w:sz w:val="28"/>
          <w:szCs w:val="28"/>
        </w:rPr>
      </w:pPr>
    </w:p>
    <w:p w14:paraId="6233E30B" w14:textId="246F7AB1" w:rsidR="00E238E7" w:rsidRDefault="00E238E7">
      <w:pPr>
        <w:rPr>
          <w:rFonts w:ascii="Times New Roman" w:eastAsia="Times New Roman" w:hAnsi="Times New Roman" w:cs="Times New Roman"/>
          <w:sz w:val="28"/>
          <w:szCs w:val="28"/>
          <w:lang w:eastAsia="it-IT"/>
        </w:rPr>
      </w:pPr>
      <w:r>
        <w:rPr>
          <w:sz w:val="28"/>
          <w:szCs w:val="28"/>
        </w:rPr>
        <w:br w:type="page"/>
      </w:r>
    </w:p>
    <w:p w14:paraId="0B64453E" w14:textId="12B70F16" w:rsidR="00B57511" w:rsidRPr="0092292E" w:rsidRDefault="00B57511" w:rsidP="0095713B">
      <w:pPr>
        <w:pStyle w:val="NormaleWeb"/>
        <w:jc w:val="both"/>
        <w:rPr>
          <w:b/>
          <w:bCs/>
          <w:sz w:val="32"/>
          <w:szCs w:val="32"/>
        </w:rPr>
      </w:pPr>
      <w:r w:rsidRPr="0092292E">
        <w:rPr>
          <w:b/>
          <w:bCs/>
          <w:sz w:val="32"/>
          <w:szCs w:val="32"/>
        </w:rPr>
        <w:lastRenderedPageBreak/>
        <w:t>Capitolo</w:t>
      </w:r>
      <w:r w:rsidR="008F4198" w:rsidRPr="008F4198">
        <w:rPr>
          <w:b/>
          <w:bCs/>
          <w:sz w:val="32"/>
          <w:szCs w:val="32"/>
        </w:rPr>
        <w:t xml:space="preserve"> </w:t>
      </w:r>
      <w:r w:rsidR="008F4198" w:rsidRPr="0092292E">
        <w:rPr>
          <w:b/>
          <w:bCs/>
          <w:sz w:val="32"/>
          <w:szCs w:val="32"/>
        </w:rPr>
        <w:t>XI</w:t>
      </w:r>
      <w:r w:rsidR="008F4198">
        <w:rPr>
          <w:b/>
          <w:bCs/>
          <w:sz w:val="32"/>
          <w:szCs w:val="32"/>
        </w:rPr>
        <w:t>I</w:t>
      </w:r>
    </w:p>
    <w:p w14:paraId="25DBD1F2" w14:textId="3F0D08E5" w:rsidR="0095713B" w:rsidRPr="0092292E" w:rsidRDefault="00EE48FF" w:rsidP="0095713B">
      <w:pPr>
        <w:pStyle w:val="NormaleWeb"/>
        <w:jc w:val="both"/>
        <w:rPr>
          <w:b/>
          <w:bCs/>
          <w:sz w:val="32"/>
          <w:szCs w:val="32"/>
        </w:rPr>
      </w:pPr>
      <w:r>
        <w:rPr>
          <w:b/>
          <w:bCs/>
          <w:sz w:val="32"/>
          <w:szCs w:val="32"/>
        </w:rPr>
        <w:t>L</w:t>
      </w:r>
      <w:r w:rsidR="00B57511">
        <w:rPr>
          <w:b/>
          <w:bCs/>
          <w:sz w:val="32"/>
          <w:szCs w:val="32"/>
        </w:rPr>
        <w:t>a commercializzazione dei dati personali</w:t>
      </w:r>
      <w:r w:rsidR="002A7A3B">
        <w:rPr>
          <w:b/>
          <w:bCs/>
          <w:sz w:val="32"/>
          <w:szCs w:val="32"/>
        </w:rPr>
        <w:t>:</w:t>
      </w:r>
      <w:r>
        <w:rPr>
          <w:b/>
          <w:bCs/>
          <w:sz w:val="32"/>
          <w:szCs w:val="32"/>
        </w:rPr>
        <w:t xml:space="preserve"> il caso </w:t>
      </w:r>
      <w:proofErr w:type="spellStart"/>
      <w:r>
        <w:rPr>
          <w:b/>
          <w:bCs/>
          <w:sz w:val="32"/>
          <w:szCs w:val="32"/>
        </w:rPr>
        <w:t>Facebook</w:t>
      </w:r>
      <w:proofErr w:type="spellEnd"/>
    </w:p>
    <w:p w14:paraId="353C81EE" w14:textId="5489DDF6" w:rsidR="0095713B" w:rsidRPr="00AD66BF" w:rsidRDefault="0095713B" w:rsidP="00AD66BF">
      <w:pPr>
        <w:pStyle w:val="NormaleWeb"/>
        <w:spacing w:before="0" w:beforeAutospacing="0" w:after="0" w:afterAutospacing="0"/>
        <w:jc w:val="both"/>
        <w:rPr>
          <w:sz w:val="28"/>
          <w:szCs w:val="28"/>
        </w:rPr>
      </w:pPr>
      <w:r w:rsidRPr="00AD66BF">
        <w:rPr>
          <w:sz w:val="28"/>
          <w:szCs w:val="28"/>
        </w:rPr>
        <w:t xml:space="preserve">La disciplina relativa alla tutela </w:t>
      </w:r>
      <w:r w:rsidR="00007B54">
        <w:rPr>
          <w:sz w:val="28"/>
          <w:szCs w:val="28"/>
        </w:rPr>
        <w:t>della privacy – che</w:t>
      </w:r>
      <w:r w:rsidRPr="00AD66BF">
        <w:rPr>
          <w:sz w:val="28"/>
          <w:szCs w:val="28"/>
        </w:rPr>
        <w:t xml:space="preserve"> riveste ormai un ruolo centrale nel nostro ordinamento</w:t>
      </w:r>
      <w:r w:rsidR="00007B54">
        <w:rPr>
          <w:sz w:val="28"/>
          <w:szCs w:val="28"/>
        </w:rPr>
        <w:t xml:space="preserve"> – </w:t>
      </w:r>
      <w:r w:rsidRPr="00AD66BF">
        <w:rPr>
          <w:sz w:val="28"/>
          <w:szCs w:val="28"/>
        </w:rPr>
        <w:t>sembra tuttavia porsi in contrasto rispetto allo sviluppo delle nuove tecnologie e dell’economia c.d. “</w:t>
      </w:r>
      <w:r w:rsidRPr="00D5079F">
        <w:rPr>
          <w:i/>
          <w:iCs/>
          <w:sz w:val="28"/>
          <w:szCs w:val="28"/>
        </w:rPr>
        <w:t xml:space="preserve">data </w:t>
      </w:r>
      <w:proofErr w:type="spellStart"/>
      <w:r w:rsidRPr="00D5079F">
        <w:rPr>
          <w:i/>
          <w:iCs/>
          <w:sz w:val="28"/>
          <w:szCs w:val="28"/>
        </w:rPr>
        <w:t>driven</w:t>
      </w:r>
      <w:proofErr w:type="spellEnd"/>
      <w:r w:rsidRPr="00AD66BF">
        <w:rPr>
          <w:sz w:val="28"/>
          <w:szCs w:val="28"/>
        </w:rPr>
        <w:t>”.</w:t>
      </w:r>
    </w:p>
    <w:p w14:paraId="2D08E251" w14:textId="258FA1EF" w:rsidR="00007B54" w:rsidRDefault="00007B54" w:rsidP="00AD66BF">
      <w:pPr>
        <w:pStyle w:val="NormaleWeb"/>
        <w:spacing w:before="0" w:beforeAutospacing="0" w:after="0" w:afterAutospacing="0"/>
        <w:jc w:val="both"/>
        <w:rPr>
          <w:sz w:val="28"/>
          <w:szCs w:val="28"/>
        </w:rPr>
      </w:pPr>
      <w:r>
        <w:rPr>
          <w:sz w:val="28"/>
          <w:szCs w:val="28"/>
        </w:rPr>
        <w:t>Ormai</w:t>
      </w:r>
      <w:r w:rsidR="0040111C">
        <w:rPr>
          <w:sz w:val="28"/>
          <w:szCs w:val="28"/>
        </w:rPr>
        <w:t>,</w:t>
      </w:r>
      <w:r>
        <w:rPr>
          <w:sz w:val="28"/>
          <w:szCs w:val="28"/>
        </w:rPr>
        <w:t xml:space="preserve"> </w:t>
      </w:r>
      <w:r w:rsidR="0095713B" w:rsidRPr="00AD66BF">
        <w:rPr>
          <w:sz w:val="28"/>
          <w:szCs w:val="28"/>
        </w:rPr>
        <w:t>lo sfruttamento dei dati</w:t>
      </w:r>
      <w:r>
        <w:rPr>
          <w:sz w:val="28"/>
          <w:szCs w:val="28"/>
        </w:rPr>
        <w:t xml:space="preserve"> </w:t>
      </w:r>
      <w:r w:rsidR="0095713B" w:rsidRPr="00AD66BF">
        <w:rPr>
          <w:sz w:val="28"/>
          <w:szCs w:val="28"/>
        </w:rPr>
        <w:t xml:space="preserve">è diventato il </w:t>
      </w:r>
      <w:r w:rsidR="0095713B" w:rsidRPr="00007B54">
        <w:rPr>
          <w:i/>
          <w:iCs/>
          <w:sz w:val="28"/>
          <w:szCs w:val="28"/>
        </w:rPr>
        <w:t>core business</w:t>
      </w:r>
      <w:r w:rsidR="0095713B" w:rsidRPr="00AD66BF">
        <w:rPr>
          <w:sz w:val="28"/>
          <w:szCs w:val="28"/>
        </w:rPr>
        <w:t xml:space="preserve"> delle imprese</w:t>
      </w:r>
      <w:r>
        <w:rPr>
          <w:sz w:val="28"/>
          <w:szCs w:val="28"/>
        </w:rPr>
        <w:t xml:space="preserve"> e, conseguentemente, d</w:t>
      </w:r>
      <w:r w:rsidR="0095713B" w:rsidRPr="00AD66BF">
        <w:rPr>
          <w:sz w:val="28"/>
          <w:szCs w:val="28"/>
        </w:rPr>
        <w:t>ev</w:t>
      </w:r>
      <w:r>
        <w:rPr>
          <w:sz w:val="28"/>
          <w:szCs w:val="28"/>
        </w:rPr>
        <w:t xml:space="preserve">e </w:t>
      </w:r>
      <w:r w:rsidR="0095713B" w:rsidRPr="00AD66BF">
        <w:rPr>
          <w:sz w:val="28"/>
          <w:szCs w:val="28"/>
        </w:rPr>
        <w:t>essere riconosciuto il valore economico dei dati personali</w:t>
      </w:r>
      <w:r>
        <w:rPr>
          <w:sz w:val="28"/>
          <w:szCs w:val="28"/>
        </w:rPr>
        <w:t>. Tuttavia, bisogna</w:t>
      </w:r>
      <w:r w:rsidR="0095713B" w:rsidRPr="00AD66BF">
        <w:rPr>
          <w:sz w:val="28"/>
          <w:szCs w:val="28"/>
        </w:rPr>
        <w:t xml:space="preserve"> </w:t>
      </w:r>
      <w:r>
        <w:rPr>
          <w:sz w:val="28"/>
          <w:szCs w:val="28"/>
        </w:rPr>
        <w:t>tenere anche</w:t>
      </w:r>
      <w:r w:rsidR="0095713B" w:rsidRPr="00AD66BF">
        <w:rPr>
          <w:sz w:val="28"/>
          <w:szCs w:val="28"/>
        </w:rPr>
        <w:t xml:space="preserve"> presente </w:t>
      </w:r>
      <w:r>
        <w:rPr>
          <w:sz w:val="28"/>
          <w:szCs w:val="28"/>
        </w:rPr>
        <w:t>gli altissimi rischi per la tutela dei diritti fondamentali dell’individuo.</w:t>
      </w:r>
      <w:r w:rsidR="0095713B" w:rsidRPr="00AD66BF">
        <w:rPr>
          <w:sz w:val="28"/>
          <w:szCs w:val="28"/>
        </w:rPr>
        <w:t xml:space="preserve"> </w:t>
      </w:r>
    </w:p>
    <w:p w14:paraId="5B7EB8C2" w14:textId="77777777" w:rsidR="0040111C" w:rsidRDefault="00007B54" w:rsidP="00AD66BF">
      <w:pPr>
        <w:pStyle w:val="NormaleWeb"/>
        <w:spacing w:before="0" w:beforeAutospacing="0" w:after="0" w:afterAutospacing="0"/>
        <w:jc w:val="both"/>
        <w:rPr>
          <w:sz w:val="28"/>
          <w:szCs w:val="28"/>
        </w:rPr>
      </w:pPr>
      <w:r>
        <w:rPr>
          <w:sz w:val="28"/>
          <w:szCs w:val="28"/>
        </w:rPr>
        <w:t>L</w:t>
      </w:r>
      <w:r w:rsidR="001A0472">
        <w:rPr>
          <w:sz w:val="28"/>
          <w:szCs w:val="28"/>
        </w:rPr>
        <w:t>a</w:t>
      </w:r>
      <w:r>
        <w:rPr>
          <w:sz w:val="28"/>
          <w:szCs w:val="28"/>
        </w:rPr>
        <w:t xml:space="preserve"> riflession</w:t>
      </w:r>
      <w:r w:rsidR="001A0472">
        <w:rPr>
          <w:sz w:val="28"/>
          <w:szCs w:val="28"/>
        </w:rPr>
        <w:t>e</w:t>
      </w:r>
      <w:r w:rsidR="0095713B" w:rsidRPr="00AD66BF">
        <w:rPr>
          <w:sz w:val="28"/>
          <w:szCs w:val="28"/>
        </w:rPr>
        <w:t xml:space="preserve"> sulla c.d. </w:t>
      </w:r>
      <w:r w:rsidR="0095713B" w:rsidRPr="00007B54">
        <w:rPr>
          <w:i/>
          <w:iCs/>
          <w:sz w:val="28"/>
          <w:szCs w:val="28"/>
        </w:rPr>
        <w:t>commercializzazione dei dati personali</w:t>
      </w:r>
      <w:r>
        <w:rPr>
          <w:sz w:val="28"/>
          <w:szCs w:val="28"/>
        </w:rPr>
        <w:t xml:space="preserve"> si basa su queste </w:t>
      </w:r>
      <w:r w:rsidR="001A0472">
        <w:rPr>
          <w:sz w:val="28"/>
          <w:szCs w:val="28"/>
        </w:rPr>
        <w:t xml:space="preserve">due </w:t>
      </w:r>
      <w:r>
        <w:rPr>
          <w:sz w:val="28"/>
          <w:szCs w:val="28"/>
        </w:rPr>
        <w:t>considerazion</w:t>
      </w:r>
      <w:r w:rsidR="001A0472">
        <w:rPr>
          <w:sz w:val="28"/>
          <w:szCs w:val="28"/>
        </w:rPr>
        <w:t xml:space="preserve">i. </w:t>
      </w:r>
    </w:p>
    <w:p w14:paraId="5E3F2E45" w14:textId="77777777" w:rsidR="0040111C" w:rsidRDefault="001A0472" w:rsidP="00AD66BF">
      <w:pPr>
        <w:pStyle w:val="NormaleWeb"/>
        <w:spacing w:before="0" w:beforeAutospacing="0" w:after="0" w:afterAutospacing="0"/>
        <w:jc w:val="both"/>
        <w:rPr>
          <w:sz w:val="28"/>
          <w:szCs w:val="28"/>
        </w:rPr>
      </w:pPr>
      <w:r>
        <w:rPr>
          <w:sz w:val="28"/>
          <w:szCs w:val="28"/>
        </w:rPr>
        <w:t>Vi sono</w:t>
      </w:r>
      <w:r w:rsidR="0095713B" w:rsidRPr="00AD66BF">
        <w:rPr>
          <w:sz w:val="28"/>
          <w:szCs w:val="28"/>
        </w:rPr>
        <w:t xml:space="preserve"> due tesi fondamentali</w:t>
      </w:r>
      <w:r>
        <w:rPr>
          <w:sz w:val="28"/>
          <w:szCs w:val="28"/>
        </w:rPr>
        <w:t xml:space="preserve"> in contrapposizione tra loro, una favorevole e una contraria; entrambe </w:t>
      </w:r>
      <w:r w:rsidR="0095713B" w:rsidRPr="00AD66BF">
        <w:rPr>
          <w:sz w:val="28"/>
          <w:szCs w:val="28"/>
        </w:rPr>
        <w:t xml:space="preserve">richiamano argomentazioni di natura etica, economica e sociale. </w:t>
      </w:r>
    </w:p>
    <w:p w14:paraId="6D51486C" w14:textId="2782C152" w:rsidR="0095713B" w:rsidRPr="00AD66BF" w:rsidRDefault="0095713B" w:rsidP="00AD66BF">
      <w:pPr>
        <w:pStyle w:val="NormaleWeb"/>
        <w:spacing w:before="0" w:beforeAutospacing="0" w:after="0" w:afterAutospacing="0"/>
        <w:jc w:val="both"/>
        <w:rPr>
          <w:sz w:val="28"/>
          <w:szCs w:val="28"/>
        </w:rPr>
      </w:pPr>
      <w:r w:rsidRPr="00AD66BF">
        <w:rPr>
          <w:sz w:val="28"/>
          <w:szCs w:val="28"/>
        </w:rPr>
        <w:t xml:space="preserve">Il </w:t>
      </w:r>
      <w:r w:rsidR="001A0472">
        <w:rPr>
          <w:sz w:val="28"/>
          <w:szCs w:val="28"/>
        </w:rPr>
        <w:t>nucleo</w:t>
      </w:r>
      <w:r w:rsidRPr="00AD66BF">
        <w:rPr>
          <w:sz w:val="28"/>
          <w:szCs w:val="28"/>
        </w:rPr>
        <w:t xml:space="preserve"> del dibattito</w:t>
      </w:r>
      <w:r w:rsidR="001A0472">
        <w:rPr>
          <w:sz w:val="28"/>
          <w:szCs w:val="28"/>
        </w:rPr>
        <w:t>, tuttora aperto, è</w:t>
      </w:r>
      <w:r w:rsidRPr="00AD66BF">
        <w:rPr>
          <w:sz w:val="28"/>
          <w:szCs w:val="28"/>
        </w:rPr>
        <w:t xml:space="preserve"> </w:t>
      </w:r>
      <w:r w:rsidR="001A0472">
        <w:rPr>
          <w:sz w:val="28"/>
          <w:szCs w:val="28"/>
        </w:rPr>
        <w:t>la</w:t>
      </w:r>
      <w:r w:rsidRPr="00AD66BF">
        <w:rPr>
          <w:sz w:val="28"/>
          <w:szCs w:val="28"/>
        </w:rPr>
        <w:t xml:space="preserve"> possibilità di utilizzare i dati personali come corrispettivo delle prestazioni.</w:t>
      </w:r>
    </w:p>
    <w:p w14:paraId="5BF0D112" w14:textId="77777777" w:rsidR="0040111C" w:rsidRDefault="0095713B" w:rsidP="00AD66BF">
      <w:pPr>
        <w:pStyle w:val="NormaleWeb"/>
        <w:spacing w:before="0" w:beforeAutospacing="0" w:after="0" w:afterAutospacing="0"/>
        <w:jc w:val="both"/>
        <w:rPr>
          <w:sz w:val="28"/>
          <w:szCs w:val="28"/>
        </w:rPr>
      </w:pPr>
      <w:r w:rsidRPr="00AD66BF">
        <w:rPr>
          <w:sz w:val="28"/>
          <w:szCs w:val="28"/>
        </w:rPr>
        <w:t>Sul tema</w:t>
      </w:r>
      <w:r w:rsidR="001A0472">
        <w:rPr>
          <w:sz w:val="28"/>
          <w:szCs w:val="28"/>
        </w:rPr>
        <w:t>,</w:t>
      </w:r>
      <w:r w:rsidRPr="00AD66BF">
        <w:rPr>
          <w:sz w:val="28"/>
          <w:szCs w:val="28"/>
        </w:rPr>
        <w:t xml:space="preserve"> </w:t>
      </w:r>
      <w:r w:rsidR="001A0472">
        <w:rPr>
          <w:sz w:val="28"/>
          <w:szCs w:val="28"/>
        </w:rPr>
        <w:t>recentemente è</w:t>
      </w:r>
      <w:r w:rsidRPr="00AD66BF">
        <w:rPr>
          <w:sz w:val="28"/>
          <w:szCs w:val="28"/>
        </w:rPr>
        <w:t xml:space="preserve"> intervenuto il </w:t>
      </w:r>
      <w:r w:rsidR="001A0472">
        <w:rPr>
          <w:sz w:val="28"/>
          <w:szCs w:val="28"/>
        </w:rPr>
        <w:t xml:space="preserve">D.lgs. </w:t>
      </w:r>
      <w:r w:rsidRPr="00AD66BF">
        <w:rPr>
          <w:sz w:val="28"/>
          <w:szCs w:val="28"/>
        </w:rPr>
        <w:t xml:space="preserve">di attuazione della Direttiva 770/2019, relativa ad alcuni aspetti dei contratti di fornitura di servizi digitali. </w:t>
      </w:r>
    </w:p>
    <w:p w14:paraId="72068F8B" w14:textId="38DEF1D9" w:rsidR="000A55B8" w:rsidRDefault="0095713B" w:rsidP="00AD66BF">
      <w:pPr>
        <w:pStyle w:val="NormaleWeb"/>
        <w:spacing w:before="0" w:beforeAutospacing="0" w:after="0" w:afterAutospacing="0"/>
        <w:jc w:val="both"/>
        <w:rPr>
          <w:sz w:val="28"/>
          <w:szCs w:val="28"/>
        </w:rPr>
      </w:pPr>
      <w:r w:rsidRPr="00AD66BF">
        <w:rPr>
          <w:sz w:val="28"/>
          <w:szCs w:val="28"/>
        </w:rPr>
        <w:t xml:space="preserve">La disciplina </w:t>
      </w:r>
      <w:r w:rsidR="001B5B4B">
        <w:rPr>
          <w:sz w:val="28"/>
          <w:szCs w:val="28"/>
        </w:rPr>
        <w:t xml:space="preserve">vuole </w:t>
      </w:r>
      <w:r w:rsidRPr="00AD66BF">
        <w:rPr>
          <w:sz w:val="28"/>
          <w:szCs w:val="28"/>
        </w:rPr>
        <w:t xml:space="preserve">estendere le tutele previste per i contratti di consumo anche alle ipotesi in cui il consumatore non si impegni </w:t>
      </w:r>
      <w:r w:rsidR="001B5B4B">
        <w:rPr>
          <w:sz w:val="28"/>
          <w:szCs w:val="28"/>
        </w:rPr>
        <w:t>a</w:t>
      </w:r>
      <w:r w:rsidRPr="00AD66BF">
        <w:rPr>
          <w:sz w:val="28"/>
          <w:szCs w:val="28"/>
        </w:rPr>
        <w:t xml:space="preserve"> </w:t>
      </w:r>
      <w:r w:rsidR="001B5B4B">
        <w:rPr>
          <w:sz w:val="28"/>
          <w:szCs w:val="28"/>
        </w:rPr>
        <w:t>pagare</w:t>
      </w:r>
      <w:r w:rsidRPr="00AD66BF">
        <w:rPr>
          <w:sz w:val="28"/>
          <w:szCs w:val="28"/>
        </w:rPr>
        <w:t xml:space="preserve"> di una somma di denaro, ma si obblighi a cedere i propri dati personali.</w:t>
      </w:r>
      <w:r w:rsidR="000A55B8">
        <w:rPr>
          <w:sz w:val="28"/>
          <w:szCs w:val="28"/>
        </w:rPr>
        <w:t xml:space="preserve"> </w:t>
      </w:r>
      <w:r w:rsidR="001B5B4B">
        <w:rPr>
          <w:sz w:val="28"/>
          <w:szCs w:val="28"/>
        </w:rPr>
        <w:t>Eppure, il</w:t>
      </w:r>
      <w:r w:rsidRPr="00AD66BF">
        <w:rPr>
          <w:sz w:val="28"/>
          <w:szCs w:val="28"/>
        </w:rPr>
        <w:t xml:space="preserve"> profilo economico</w:t>
      </w:r>
      <w:r w:rsidR="001B5B4B">
        <w:rPr>
          <w:sz w:val="28"/>
          <w:szCs w:val="28"/>
        </w:rPr>
        <w:t xml:space="preserve"> </w:t>
      </w:r>
      <w:r w:rsidRPr="00AD66BF">
        <w:rPr>
          <w:sz w:val="28"/>
          <w:szCs w:val="28"/>
        </w:rPr>
        <w:t>non esaurisce il novero delle questioni legate alla tutela dei dati personali nel nuovo contesto digitale.</w:t>
      </w:r>
      <w:r w:rsidR="000A55B8">
        <w:rPr>
          <w:sz w:val="28"/>
          <w:szCs w:val="28"/>
        </w:rPr>
        <w:t xml:space="preserve"> </w:t>
      </w:r>
      <w:r w:rsidR="001B5B4B">
        <w:rPr>
          <w:sz w:val="28"/>
          <w:szCs w:val="28"/>
        </w:rPr>
        <w:t>S</w:t>
      </w:r>
      <w:r w:rsidR="001B5B4B" w:rsidRPr="00AD66BF">
        <w:rPr>
          <w:sz w:val="28"/>
          <w:szCs w:val="28"/>
        </w:rPr>
        <w:t xml:space="preserve">ono state sollevate </w:t>
      </w:r>
      <w:r w:rsidR="001B5B4B">
        <w:rPr>
          <w:sz w:val="28"/>
          <w:szCs w:val="28"/>
        </w:rPr>
        <w:t>diverse</w:t>
      </w:r>
      <w:r w:rsidRPr="00AD66BF">
        <w:rPr>
          <w:sz w:val="28"/>
          <w:szCs w:val="28"/>
        </w:rPr>
        <w:t xml:space="preserve"> </w:t>
      </w:r>
      <w:r w:rsidR="001B5B4B">
        <w:rPr>
          <w:sz w:val="28"/>
          <w:szCs w:val="28"/>
        </w:rPr>
        <w:t xml:space="preserve">altre </w:t>
      </w:r>
      <w:r w:rsidRPr="00AD66BF">
        <w:rPr>
          <w:sz w:val="28"/>
          <w:szCs w:val="28"/>
        </w:rPr>
        <w:t>questioni</w:t>
      </w:r>
      <w:r w:rsidR="001B5B4B">
        <w:rPr>
          <w:sz w:val="28"/>
          <w:szCs w:val="28"/>
        </w:rPr>
        <w:t xml:space="preserve">. </w:t>
      </w:r>
    </w:p>
    <w:p w14:paraId="29AABBBD" w14:textId="77777777" w:rsidR="0040111C" w:rsidRDefault="001B5B4B" w:rsidP="00AD66BF">
      <w:pPr>
        <w:pStyle w:val="NormaleWeb"/>
        <w:spacing w:before="0" w:beforeAutospacing="0" w:after="0" w:afterAutospacing="0"/>
        <w:jc w:val="both"/>
        <w:rPr>
          <w:sz w:val="28"/>
          <w:szCs w:val="28"/>
        </w:rPr>
      </w:pPr>
      <w:r>
        <w:rPr>
          <w:sz w:val="28"/>
          <w:szCs w:val="28"/>
        </w:rPr>
        <w:t xml:space="preserve">Si pensi alla </w:t>
      </w:r>
      <w:r w:rsidR="0095713B" w:rsidRPr="00AD66BF">
        <w:rPr>
          <w:sz w:val="28"/>
          <w:szCs w:val="28"/>
        </w:rPr>
        <w:t xml:space="preserve">pubblicazione di immagini in </w:t>
      </w:r>
      <w:r>
        <w:rPr>
          <w:sz w:val="28"/>
          <w:szCs w:val="28"/>
        </w:rPr>
        <w:t>assenza</w:t>
      </w:r>
      <w:r w:rsidR="0095713B" w:rsidRPr="00AD66BF">
        <w:rPr>
          <w:sz w:val="28"/>
          <w:szCs w:val="28"/>
        </w:rPr>
        <w:t xml:space="preserve"> del consenso dell’interessato</w:t>
      </w:r>
      <w:r>
        <w:rPr>
          <w:sz w:val="28"/>
          <w:szCs w:val="28"/>
        </w:rPr>
        <w:t xml:space="preserve">: si tratta chiaramente di </w:t>
      </w:r>
      <w:r w:rsidR="0095713B" w:rsidRPr="00AD66BF">
        <w:rPr>
          <w:sz w:val="28"/>
          <w:szCs w:val="28"/>
        </w:rPr>
        <w:t>illegittima diffus</w:t>
      </w:r>
      <w:r>
        <w:rPr>
          <w:sz w:val="28"/>
          <w:szCs w:val="28"/>
        </w:rPr>
        <w:t>i</w:t>
      </w:r>
      <w:r w:rsidR="0095713B" w:rsidRPr="00AD66BF">
        <w:rPr>
          <w:sz w:val="28"/>
          <w:szCs w:val="28"/>
        </w:rPr>
        <w:t>one dei dati personali</w:t>
      </w:r>
      <w:r>
        <w:rPr>
          <w:sz w:val="28"/>
          <w:szCs w:val="28"/>
        </w:rPr>
        <w:t xml:space="preserve">. Questo specifico tema </w:t>
      </w:r>
      <w:r w:rsidR="0095713B" w:rsidRPr="00AD66BF">
        <w:rPr>
          <w:sz w:val="28"/>
          <w:szCs w:val="28"/>
        </w:rPr>
        <w:t xml:space="preserve">ha sollevato </w:t>
      </w:r>
      <w:r>
        <w:rPr>
          <w:sz w:val="28"/>
          <w:szCs w:val="28"/>
        </w:rPr>
        <w:t>grandi</w:t>
      </w:r>
      <w:r w:rsidR="0095713B" w:rsidRPr="00AD66BF">
        <w:rPr>
          <w:sz w:val="28"/>
          <w:szCs w:val="28"/>
        </w:rPr>
        <w:t xml:space="preserve"> preoccupazion</w:t>
      </w:r>
      <w:r>
        <w:rPr>
          <w:sz w:val="28"/>
          <w:szCs w:val="28"/>
        </w:rPr>
        <w:t>i, soprattutto con riferimento</w:t>
      </w:r>
      <w:r w:rsidR="0095713B" w:rsidRPr="00AD66BF">
        <w:rPr>
          <w:sz w:val="28"/>
          <w:szCs w:val="28"/>
        </w:rPr>
        <w:t xml:space="preserve"> </w:t>
      </w:r>
      <w:r>
        <w:rPr>
          <w:sz w:val="28"/>
          <w:szCs w:val="28"/>
        </w:rPr>
        <w:t>alla</w:t>
      </w:r>
      <w:r w:rsidR="0095713B" w:rsidRPr="00AD66BF">
        <w:rPr>
          <w:sz w:val="28"/>
          <w:szCs w:val="28"/>
        </w:rPr>
        <w:t xml:space="preserve"> pubblicazione sui </w:t>
      </w:r>
      <w:r w:rsidR="0095713B" w:rsidRPr="001B5B4B">
        <w:rPr>
          <w:i/>
          <w:iCs/>
          <w:sz w:val="28"/>
          <w:szCs w:val="28"/>
        </w:rPr>
        <w:t>social</w:t>
      </w:r>
      <w:r w:rsidR="0095713B" w:rsidRPr="00AD66BF">
        <w:rPr>
          <w:sz w:val="28"/>
          <w:szCs w:val="28"/>
        </w:rPr>
        <w:t xml:space="preserve"> e alla diffusione di dati riferibili a soggetti minori. </w:t>
      </w:r>
    </w:p>
    <w:p w14:paraId="1E947A30" w14:textId="40918511" w:rsidR="000A55B8" w:rsidRDefault="0095713B" w:rsidP="00AD66BF">
      <w:pPr>
        <w:pStyle w:val="NormaleWeb"/>
        <w:spacing w:before="0" w:beforeAutospacing="0" w:after="0" w:afterAutospacing="0"/>
        <w:jc w:val="both"/>
        <w:rPr>
          <w:sz w:val="28"/>
          <w:szCs w:val="28"/>
        </w:rPr>
      </w:pPr>
      <w:r w:rsidRPr="00AD66BF">
        <w:rPr>
          <w:sz w:val="28"/>
          <w:szCs w:val="28"/>
        </w:rPr>
        <w:t xml:space="preserve">La giurisprudenza che si è formata sul punto dimostra quanto la delicatezza dei temi che vengono in rilievo renda necessario l’attento bilanciamento degli interessi in gioco. </w:t>
      </w:r>
    </w:p>
    <w:p w14:paraId="594C4220" w14:textId="77777777" w:rsidR="0040111C" w:rsidRDefault="001B5B4B" w:rsidP="00AD66BF">
      <w:pPr>
        <w:pStyle w:val="NormaleWeb"/>
        <w:spacing w:before="0" w:beforeAutospacing="0" w:after="0" w:afterAutospacing="0"/>
        <w:jc w:val="both"/>
        <w:rPr>
          <w:sz w:val="28"/>
          <w:szCs w:val="28"/>
        </w:rPr>
      </w:pPr>
      <w:r>
        <w:rPr>
          <w:sz w:val="28"/>
          <w:szCs w:val="28"/>
        </w:rPr>
        <w:t>Si pensi, poi, alla</w:t>
      </w:r>
      <w:r w:rsidR="0095713B" w:rsidRPr="00AD66BF">
        <w:rPr>
          <w:sz w:val="28"/>
          <w:szCs w:val="28"/>
        </w:rPr>
        <w:t xml:space="preserve"> diffusione </w:t>
      </w:r>
      <w:r>
        <w:rPr>
          <w:sz w:val="28"/>
          <w:szCs w:val="28"/>
        </w:rPr>
        <w:t>di</w:t>
      </w:r>
      <w:r w:rsidR="0095713B" w:rsidRPr="00AD66BF">
        <w:rPr>
          <w:sz w:val="28"/>
          <w:szCs w:val="28"/>
        </w:rPr>
        <w:t xml:space="preserve"> immagini illegittima non soltanto perché l’interessato non vi </w:t>
      </w:r>
      <w:r>
        <w:rPr>
          <w:sz w:val="28"/>
          <w:szCs w:val="28"/>
        </w:rPr>
        <w:t>ha</w:t>
      </w:r>
      <w:r w:rsidR="0095713B" w:rsidRPr="00AD66BF">
        <w:rPr>
          <w:sz w:val="28"/>
          <w:szCs w:val="28"/>
        </w:rPr>
        <w:t xml:space="preserve"> acconsentito, ma anche per il contenuto delle immagini stesse, quando ad esempio si tratti di immagini a contenuto sessuale. </w:t>
      </w:r>
    </w:p>
    <w:p w14:paraId="144D0688" w14:textId="460346BF" w:rsidR="0095713B" w:rsidRPr="00AD66BF" w:rsidRDefault="0095713B" w:rsidP="00AD66BF">
      <w:pPr>
        <w:pStyle w:val="NormaleWeb"/>
        <w:spacing w:before="0" w:beforeAutospacing="0" w:after="0" w:afterAutospacing="0"/>
        <w:jc w:val="both"/>
        <w:rPr>
          <w:sz w:val="28"/>
          <w:szCs w:val="28"/>
        </w:rPr>
      </w:pPr>
      <w:r w:rsidRPr="00AD66BF">
        <w:rPr>
          <w:sz w:val="28"/>
          <w:szCs w:val="28"/>
        </w:rPr>
        <w:t xml:space="preserve">È il </w:t>
      </w:r>
      <w:r w:rsidR="001B5B4B">
        <w:rPr>
          <w:sz w:val="28"/>
          <w:szCs w:val="28"/>
        </w:rPr>
        <w:t>noto</w:t>
      </w:r>
      <w:r w:rsidR="000A55B8">
        <w:rPr>
          <w:sz w:val="28"/>
          <w:szCs w:val="28"/>
        </w:rPr>
        <w:t xml:space="preserve"> – e purtroppo diffuso</w:t>
      </w:r>
      <w:r w:rsidR="0040111C">
        <w:rPr>
          <w:sz w:val="28"/>
          <w:szCs w:val="28"/>
        </w:rPr>
        <w:t>,</w:t>
      </w:r>
      <w:r w:rsidR="000A55B8">
        <w:rPr>
          <w:sz w:val="28"/>
          <w:szCs w:val="28"/>
        </w:rPr>
        <w:t xml:space="preserve"> soprattutto tra i giovani – </w:t>
      </w:r>
      <w:r w:rsidRPr="00AD66BF">
        <w:rPr>
          <w:sz w:val="28"/>
          <w:szCs w:val="28"/>
        </w:rPr>
        <w:t xml:space="preserve">fenomeno del c.d. </w:t>
      </w:r>
      <w:proofErr w:type="spellStart"/>
      <w:r w:rsidRPr="001B5B4B">
        <w:rPr>
          <w:i/>
          <w:iCs/>
          <w:sz w:val="28"/>
          <w:szCs w:val="28"/>
        </w:rPr>
        <w:t>revenge</w:t>
      </w:r>
      <w:proofErr w:type="spellEnd"/>
      <w:r w:rsidRPr="001B5B4B">
        <w:rPr>
          <w:i/>
          <w:iCs/>
          <w:sz w:val="28"/>
          <w:szCs w:val="28"/>
        </w:rPr>
        <w:t xml:space="preserve"> </w:t>
      </w:r>
      <w:proofErr w:type="spellStart"/>
      <w:r w:rsidRPr="001B5B4B">
        <w:rPr>
          <w:i/>
          <w:iCs/>
          <w:sz w:val="28"/>
          <w:szCs w:val="28"/>
        </w:rPr>
        <w:t>porn</w:t>
      </w:r>
      <w:proofErr w:type="spellEnd"/>
      <w:r w:rsidRPr="00AD66BF">
        <w:rPr>
          <w:sz w:val="28"/>
          <w:szCs w:val="28"/>
        </w:rPr>
        <w:t>,</w:t>
      </w:r>
      <w:r w:rsidR="000A55B8">
        <w:rPr>
          <w:sz w:val="28"/>
          <w:szCs w:val="28"/>
        </w:rPr>
        <w:t xml:space="preserve"> contro cui</w:t>
      </w:r>
      <w:r w:rsidRPr="00AD66BF">
        <w:rPr>
          <w:sz w:val="28"/>
          <w:szCs w:val="28"/>
        </w:rPr>
        <w:t xml:space="preserve"> le autorità</w:t>
      </w:r>
      <w:r w:rsidR="000A55B8">
        <w:rPr>
          <w:sz w:val="28"/>
          <w:szCs w:val="28"/>
        </w:rPr>
        <w:t xml:space="preserve"> e </w:t>
      </w:r>
      <w:r w:rsidRPr="00AD66BF">
        <w:rPr>
          <w:sz w:val="28"/>
          <w:szCs w:val="28"/>
        </w:rPr>
        <w:t>i titolari delle principali piattaforme coinvolte stanno cercando di trovare delle soluzioni concrete</w:t>
      </w:r>
      <w:r w:rsidR="0040111C">
        <w:rPr>
          <w:sz w:val="28"/>
          <w:szCs w:val="28"/>
        </w:rPr>
        <w:t xml:space="preserve"> (v. </w:t>
      </w:r>
      <w:r w:rsidR="0040111C" w:rsidRPr="0040111C">
        <w:rPr>
          <w:i/>
          <w:iCs/>
          <w:sz w:val="28"/>
          <w:szCs w:val="28"/>
        </w:rPr>
        <w:t>infra</w:t>
      </w:r>
      <w:r w:rsidR="0040111C">
        <w:rPr>
          <w:sz w:val="28"/>
          <w:szCs w:val="28"/>
        </w:rPr>
        <w:t>).</w:t>
      </w:r>
    </w:p>
    <w:p w14:paraId="6A003ED5" w14:textId="7B5B2D59" w:rsidR="0095713B" w:rsidRPr="00AD66BF" w:rsidRDefault="000A55B8" w:rsidP="00AD66BF">
      <w:pPr>
        <w:pStyle w:val="NormaleWeb"/>
        <w:spacing w:before="0" w:beforeAutospacing="0" w:after="0" w:afterAutospacing="0"/>
        <w:jc w:val="both"/>
        <w:rPr>
          <w:sz w:val="28"/>
          <w:szCs w:val="28"/>
        </w:rPr>
      </w:pPr>
      <w:r>
        <w:rPr>
          <w:sz w:val="28"/>
          <w:szCs w:val="28"/>
        </w:rPr>
        <w:t>Le a</w:t>
      </w:r>
      <w:r w:rsidR="0095713B" w:rsidRPr="00AD66BF">
        <w:rPr>
          <w:sz w:val="28"/>
          <w:szCs w:val="28"/>
        </w:rPr>
        <w:t xml:space="preserve">ltre questioni interessanti riguardano </w:t>
      </w:r>
      <w:r>
        <w:rPr>
          <w:sz w:val="28"/>
          <w:szCs w:val="28"/>
        </w:rPr>
        <w:t>gli elementi</w:t>
      </w:r>
      <w:r w:rsidR="0095713B" w:rsidRPr="00AD66BF">
        <w:rPr>
          <w:sz w:val="28"/>
          <w:szCs w:val="28"/>
        </w:rPr>
        <w:t xml:space="preserve"> applicativi della disciplina sulla tutela d</w:t>
      </w:r>
      <w:r>
        <w:rPr>
          <w:sz w:val="28"/>
          <w:szCs w:val="28"/>
        </w:rPr>
        <w:t>ella privacy</w:t>
      </w:r>
      <w:r w:rsidR="00FF27F5">
        <w:rPr>
          <w:sz w:val="28"/>
          <w:szCs w:val="28"/>
        </w:rPr>
        <w:t xml:space="preserve">, la </w:t>
      </w:r>
      <w:r w:rsidR="0095713B" w:rsidRPr="00AD66BF">
        <w:rPr>
          <w:sz w:val="28"/>
          <w:szCs w:val="28"/>
        </w:rPr>
        <w:t>corretta individuazione dei soggetti qualificabili come titolari o responsabili del trattamento in contesti innovativi</w:t>
      </w:r>
      <w:r w:rsidR="00FF27F5">
        <w:rPr>
          <w:sz w:val="28"/>
          <w:szCs w:val="28"/>
        </w:rPr>
        <w:t xml:space="preserve">, i </w:t>
      </w:r>
      <w:r w:rsidR="0095713B" w:rsidRPr="00AD66BF">
        <w:rPr>
          <w:sz w:val="28"/>
          <w:szCs w:val="28"/>
        </w:rPr>
        <w:t xml:space="preserve">problemi relativi alla c.d. eredità digitale e dunque all’applicazione della disciplina successoria in riferimento ai beni “digitali” del </w:t>
      </w:r>
      <w:r w:rsidR="0095713B" w:rsidRPr="00FF27F5">
        <w:rPr>
          <w:i/>
          <w:iCs/>
          <w:sz w:val="28"/>
          <w:szCs w:val="28"/>
        </w:rPr>
        <w:t xml:space="preserve">de </w:t>
      </w:r>
      <w:proofErr w:type="spellStart"/>
      <w:r w:rsidR="0095713B" w:rsidRPr="00FF27F5">
        <w:rPr>
          <w:i/>
          <w:iCs/>
          <w:sz w:val="28"/>
          <w:szCs w:val="28"/>
        </w:rPr>
        <w:t>cuius</w:t>
      </w:r>
      <w:proofErr w:type="spellEnd"/>
      <w:r w:rsidR="00FF27F5">
        <w:rPr>
          <w:sz w:val="28"/>
          <w:szCs w:val="28"/>
        </w:rPr>
        <w:t>, e tante altre questioni che si pongono oggi al giurista.</w:t>
      </w:r>
    </w:p>
    <w:p w14:paraId="42C1BB49" w14:textId="06BDF9BD" w:rsidR="0095713B" w:rsidRPr="00AD66BF" w:rsidRDefault="00FF27F5" w:rsidP="00AD66BF">
      <w:pPr>
        <w:pStyle w:val="NormaleWeb"/>
        <w:spacing w:before="0" w:beforeAutospacing="0" w:after="0" w:afterAutospacing="0"/>
        <w:jc w:val="both"/>
        <w:rPr>
          <w:sz w:val="28"/>
          <w:szCs w:val="28"/>
        </w:rPr>
      </w:pPr>
      <w:r>
        <w:rPr>
          <w:sz w:val="28"/>
          <w:szCs w:val="28"/>
        </w:rPr>
        <w:t>Nella nuova</w:t>
      </w:r>
      <w:r w:rsidR="0095713B" w:rsidRPr="00AD66BF">
        <w:rPr>
          <w:sz w:val="28"/>
          <w:szCs w:val="28"/>
        </w:rPr>
        <w:t xml:space="preserve"> economia digitale</w:t>
      </w:r>
      <w:r w:rsidR="0040111C">
        <w:rPr>
          <w:sz w:val="28"/>
          <w:szCs w:val="28"/>
        </w:rPr>
        <w:t>,</w:t>
      </w:r>
      <w:r w:rsidR="0095713B" w:rsidRPr="00AD66BF">
        <w:rPr>
          <w:sz w:val="28"/>
          <w:szCs w:val="28"/>
        </w:rPr>
        <w:t xml:space="preserve"> </w:t>
      </w:r>
      <w:r>
        <w:rPr>
          <w:sz w:val="28"/>
          <w:szCs w:val="28"/>
        </w:rPr>
        <w:t>i</w:t>
      </w:r>
      <w:r w:rsidR="0095713B" w:rsidRPr="00AD66BF">
        <w:rPr>
          <w:sz w:val="28"/>
          <w:szCs w:val="28"/>
        </w:rPr>
        <w:t xml:space="preserve"> dati </w:t>
      </w:r>
      <w:r>
        <w:rPr>
          <w:sz w:val="28"/>
          <w:szCs w:val="28"/>
        </w:rPr>
        <w:t>hanno un</w:t>
      </w:r>
      <w:r w:rsidR="0095713B" w:rsidRPr="00AD66BF">
        <w:rPr>
          <w:sz w:val="28"/>
          <w:szCs w:val="28"/>
        </w:rPr>
        <w:t xml:space="preserve"> nuovo ruol</w:t>
      </w:r>
      <w:r w:rsidR="00754D68">
        <w:rPr>
          <w:sz w:val="28"/>
          <w:szCs w:val="28"/>
        </w:rPr>
        <w:t>o di mercato</w:t>
      </w:r>
      <w:r w:rsidR="0095713B" w:rsidRPr="00AD66BF">
        <w:rPr>
          <w:sz w:val="28"/>
          <w:szCs w:val="28"/>
        </w:rPr>
        <w:t>, come d’altronde</w:t>
      </w:r>
      <w:r w:rsidR="00E238E7" w:rsidRPr="00AD66BF">
        <w:rPr>
          <w:sz w:val="28"/>
          <w:szCs w:val="28"/>
        </w:rPr>
        <w:t xml:space="preserve"> </w:t>
      </w:r>
      <w:r>
        <w:rPr>
          <w:sz w:val="28"/>
          <w:szCs w:val="28"/>
        </w:rPr>
        <w:t xml:space="preserve">è stato </w:t>
      </w:r>
      <w:r w:rsidR="0095713B" w:rsidRPr="00AD66BF">
        <w:rPr>
          <w:sz w:val="28"/>
          <w:szCs w:val="28"/>
        </w:rPr>
        <w:t xml:space="preserve">dimostrato dal cambiamento dei </w:t>
      </w:r>
      <w:r w:rsidR="0095713B" w:rsidRPr="00FF27F5">
        <w:rPr>
          <w:i/>
          <w:iCs/>
          <w:sz w:val="28"/>
          <w:szCs w:val="28"/>
        </w:rPr>
        <w:t>business model</w:t>
      </w:r>
      <w:r w:rsidR="0095713B" w:rsidRPr="00AD66BF">
        <w:rPr>
          <w:sz w:val="28"/>
          <w:szCs w:val="28"/>
        </w:rPr>
        <w:t xml:space="preserve"> delle società.</w:t>
      </w:r>
    </w:p>
    <w:p w14:paraId="4FF771D1" w14:textId="77777777" w:rsidR="0040111C" w:rsidRDefault="0095713B" w:rsidP="00AD66BF">
      <w:pPr>
        <w:pStyle w:val="NormaleWeb"/>
        <w:spacing w:before="0" w:beforeAutospacing="0" w:after="0" w:afterAutospacing="0"/>
        <w:jc w:val="both"/>
        <w:rPr>
          <w:sz w:val="28"/>
          <w:szCs w:val="28"/>
        </w:rPr>
      </w:pPr>
      <w:r w:rsidRPr="00AD66BF">
        <w:rPr>
          <w:sz w:val="28"/>
          <w:szCs w:val="28"/>
        </w:rPr>
        <w:lastRenderedPageBreak/>
        <w:t xml:space="preserve">Nell’economia </w:t>
      </w:r>
      <w:r w:rsidR="00754D68">
        <w:rPr>
          <w:sz w:val="28"/>
          <w:szCs w:val="28"/>
        </w:rPr>
        <w:t>guidata dai dati</w:t>
      </w:r>
      <w:r w:rsidRPr="00AD66BF">
        <w:rPr>
          <w:sz w:val="28"/>
          <w:szCs w:val="28"/>
        </w:rPr>
        <w:t xml:space="preserve">, infatti, </w:t>
      </w:r>
      <w:r w:rsidR="00754D68">
        <w:rPr>
          <w:sz w:val="28"/>
          <w:szCs w:val="28"/>
        </w:rPr>
        <w:t>questi</w:t>
      </w:r>
      <w:r w:rsidRPr="00AD66BF">
        <w:rPr>
          <w:sz w:val="28"/>
          <w:szCs w:val="28"/>
        </w:rPr>
        <w:t xml:space="preserve"> sono </w:t>
      </w:r>
      <w:r w:rsidR="00754D68">
        <w:rPr>
          <w:sz w:val="28"/>
          <w:szCs w:val="28"/>
        </w:rPr>
        <w:t>diventati</w:t>
      </w:r>
      <w:r w:rsidRPr="00AD66BF">
        <w:rPr>
          <w:sz w:val="28"/>
          <w:szCs w:val="28"/>
        </w:rPr>
        <w:t xml:space="preserve"> un vero e proprio </w:t>
      </w:r>
      <w:proofErr w:type="spellStart"/>
      <w:r w:rsidRPr="00754D68">
        <w:rPr>
          <w:i/>
          <w:iCs/>
          <w:sz w:val="28"/>
          <w:szCs w:val="28"/>
        </w:rPr>
        <w:t>asset</w:t>
      </w:r>
      <w:proofErr w:type="spellEnd"/>
      <w:r w:rsidRPr="00AD66BF">
        <w:rPr>
          <w:sz w:val="28"/>
          <w:szCs w:val="28"/>
        </w:rPr>
        <w:t xml:space="preserve"> strategico</w:t>
      </w:r>
      <w:r w:rsidR="00754D68">
        <w:rPr>
          <w:sz w:val="28"/>
          <w:szCs w:val="28"/>
        </w:rPr>
        <w:t>: grazie ai dati</w:t>
      </w:r>
      <w:r w:rsidR="0040111C">
        <w:rPr>
          <w:sz w:val="28"/>
          <w:szCs w:val="28"/>
        </w:rPr>
        <w:t>,</w:t>
      </w:r>
      <w:r w:rsidR="00754D68">
        <w:rPr>
          <w:sz w:val="28"/>
          <w:szCs w:val="28"/>
        </w:rPr>
        <w:t xml:space="preserve"> </w:t>
      </w:r>
      <w:r w:rsidRPr="00AD66BF">
        <w:rPr>
          <w:sz w:val="28"/>
          <w:szCs w:val="28"/>
        </w:rPr>
        <w:t xml:space="preserve">le imprese </w:t>
      </w:r>
      <w:r w:rsidR="00754D68">
        <w:rPr>
          <w:sz w:val="28"/>
          <w:szCs w:val="28"/>
        </w:rPr>
        <w:t>possono</w:t>
      </w:r>
      <w:r w:rsidRPr="00AD66BF">
        <w:rPr>
          <w:sz w:val="28"/>
          <w:szCs w:val="28"/>
        </w:rPr>
        <w:t xml:space="preserve"> fornire beni e servizi migliori, </w:t>
      </w:r>
      <w:r w:rsidR="00754D68">
        <w:rPr>
          <w:sz w:val="28"/>
          <w:szCs w:val="28"/>
        </w:rPr>
        <w:t xml:space="preserve">perché </w:t>
      </w:r>
      <w:r w:rsidRPr="00AD66BF">
        <w:rPr>
          <w:sz w:val="28"/>
          <w:szCs w:val="28"/>
        </w:rPr>
        <w:t xml:space="preserve">costruiti sulla base delle preferenze dei consumatori. </w:t>
      </w:r>
    </w:p>
    <w:p w14:paraId="6EBAB3D3" w14:textId="60DB1668" w:rsidR="00754D68" w:rsidRDefault="00754D68" w:rsidP="00AD66BF">
      <w:pPr>
        <w:pStyle w:val="NormaleWeb"/>
        <w:spacing w:before="0" w:beforeAutospacing="0" w:after="0" w:afterAutospacing="0"/>
        <w:jc w:val="both"/>
        <w:rPr>
          <w:sz w:val="28"/>
          <w:szCs w:val="28"/>
        </w:rPr>
      </w:pPr>
      <w:r>
        <w:rPr>
          <w:sz w:val="28"/>
          <w:szCs w:val="28"/>
        </w:rPr>
        <w:t>I</w:t>
      </w:r>
      <w:r w:rsidR="0095713B" w:rsidRPr="00AD66BF">
        <w:rPr>
          <w:sz w:val="28"/>
          <w:szCs w:val="28"/>
        </w:rPr>
        <w:t xml:space="preserve"> dati personali</w:t>
      </w:r>
      <w:r>
        <w:rPr>
          <w:sz w:val="28"/>
          <w:szCs w:val="28"/>
        </w:rPr>
        <w:t>,</w:t>
      </w:r>
      <w:r w:rsidR="0095713B" w:rsidRPr="00AD66BF">
        <w:rPr>
          <w:sz w:val="28"/>
          <w:szCs w:val="28"/>
        </w:rPr>
        <w:t xml:space="preserve"> </w:t>
      </w:r>
      <w:r>
        <w:rPr>
          <w:sz w:val="28"/>
          <w:szCs w:val="28"/>
        </w:rPr>
        <w:t>dunque,</w:t>
      </w:r>
      <w:r w:rsidRPr="00AD66BF">
        <w:rPr>
          <w:sz w:val="28"/>
          <w:szCs w:val="28"/>
        </w:rPr>
        <w:t xml:space="preserve"> </w:t>
      </w:r>
      <w:r w:rsidR="0095713B" w:rsidRPr="00AD66BF">
        <w:rPr>
          <w:sz w:val="28"/>
          <w:szCs w:val="28"/>
        </w:rPr>
        <w:t>giocano</w:t>
      </w:r>
      <w:r>
        <w:rPr>
          <w:sz w:val="28"/>
          <w:szCs w:val="28"/>
        </w:rPr>
        <w:t xml:space="preserve"> </w:t>
      </w:r>
      <w:r w:rsidR="0095713B" w:rsidRPr="00AD66BF">
        <w:rPr>
          <w:sz w:val="28"/>
          <w:szCs w:val="28"/>
        </w:rPr>
        <w:t xml:space="preserve">un ruolo </w:t>
      </w:r>
      <w:r>
        <w:rPr>
          <w:sz w:val="28"/>
          <w:szCs w:val="28"/>
        </w:rPr>
        <w:t>fondamentale</w:t>
      </w:r>
      <w:r w:rsidR="0095713B" w:rsidRPr="00AD66BF">
        <w:rPr>
          <w:sz w:val="28"/>
          <w:szCs w:val="28"/>
        </w:rPr>
        <w:t xml:space="preserve">, </w:t>
      </w:r>
      <w:r>
        <w:rPr>
          <w:sz w:val="28"/>
          <w:szCs w:val="28"/>
        </w:rPr>
        <w:t>dato che senza di essi</w:t>
      </w:r>
      <w:r w:rsidR="0095713B" w:rsidRPr="00AD66BF">
        <w:rPr>
          <w:sz w:val="28"/>
          <w:szCs w:val="28"/>
        </w:rPr>
        <w:t xml:space="preserve"> le imprese </w:t>
      </w:r>
      <w:r>
        <w:rPr>
          <w:sz w:val="28"/>
          <w:szCs w:val="28"/>
        </w:rPr>
        <w:t>non sarebbero</w:t>
      </w:r>
      <w:r w:rsidR="0095713B" w:rsidRPr="00AD66BF">
        <w:rPr>
          <w:sz w:val="28"/>
          <w:szCs w:val="28"/>
        </w:rPr>
        <w:t xml:space="preserve"> in grado di acquisire il </w:t>
      </w:r>
      <w:r>
        <w:rPr>
          <w:sz w:val="28"/>
          <w:szCs w:val="28"/>
        </w:rPr>
        <w:t>grande</w:t>
      </w:r>
      <w:r w:rsidR="0095713B" w:rsidRPr="00AD66BF">
        <w:rPr>
          <w:sz w:val="28"/>
          <w:szCs w:val="28"/>
        </w:rPr>
        <w:t xml:space="preserve"> numero di informazioni utili sulle tendenze del mercato. </w:t>
      </w:r>
    </w:p>
    <w:p w14:paraId="1D3AA7FA" w14:textId="4CB8104F" w:rsidR="0095713B" w:rsidRPr="00AD66BF" w:rsidRDefault="00754D68" w:rsidP="00AD66BF">
      <w:pPr>
        <w:pStyle w:val="NormaleWeb"/>
        <w:spacing w:before="0" w:beforeAutospacing="0" w:after="0" w:afterAutospacing="0"/>
        <w:jc w:val="both"/>
        <w:rPr>
          <w:sz w:val="28"/>
          <w:szCs w:val="28"/>
        </w:rPr>
      </w:pPr>
      <w:r>
        <w:rPr>
          <w:sz w:val="28"/>
          <w:szCs w:val="28"/>
        </w:rPr>
        <w:t>Tuttavia, l</w:t>
      </w:r>
      <w:r w:rsidR="0095713B" w:rsidRPr="00AD66BF">
        <w:rPr>
          <w:sz w:val="28"/>
          <w:szCs w:val="28"/>
        </w:rPr>
        <w:t xml:space="preserve">’esigenza economica di sfruttare queste informazioni </w:t>
      </w:r>
      <w:r w:rsidR="000D2DEB">
        <w:rPr>
          <w:sz w:val="28"/>
          <w:szCs w:val="28"/>
        </w:rPr>
        <w:t>contrasta con</w:t>
      </w:r>
      <w:r w:rsidR="0095713B" w:rsidRPr="00AD66BF">
        <w:rPr>
          <w:sz w:val="28"/>
          <w:szCs w:val="28"/>
        </w:rPr>
        <w:t xml:space="preserve"> il rispetto del diritto fondamentale alla protezione de</w:t>
      </w:r>
      <w:r w:rsidR="000D2DEB">
        <w:rPr>
          <w:sz w:val="28"/>
          <w:szCs w:val="28"/>
        </w:rPr>
        <w:t>lla privacy e de</w:t>
      </w:r>
      <w:r w:rsidR="0095713B" w:rsidRPr="00AD66BF">
        <w:rPr>
          <w:sz w:val="28"/>
          <w:szCs w:val="28"/>
        </w:rPr>
        <w:t>i dati personali, importante nel panorama europeo</w:t>
      </w:r>
      <w:r w:rsidR="000D2DEB">
        <w:rPr>
          <w:sz w:val="28"/>
          <w:szCs w:val="28"/>
        </w:rPr>
        <w:t xml:space="preserve"> e italiano. Si arriva, addirittura, alla constatazione che </w:t>
      </w:r>
      <w:r w:rsidR="0095713B" w:rsidRPr="00AD66BF">
        <w:rPr>
          <w:sz w:val="28"/>
          <w:szCs w:val="28"/>
        </w:rPr>
        <w:t xml:space="preserve">l’applicazione della </w:t>
      </w:r>
      <w:r w:rsidR="000D2DEB">
        <w:rPr>
          <w:sz w:val="28"/>
          <w:szCs w:val="28"/>
        </w:rPr>
        <w:t xml:space="preserve">relativa </w:t>
      </w:r>
      <w:r w:rsidR="0095713B" w:rsidRPr="00AD66BF">
        <w:rPr>
          <w:sz w:val="28"/>
          <w:szCs w:val="28"/>
        </w:rPr>
        <w:t xml:space="preserve">disciplina </w:t>
      </w:r>
      <w:r w:rsidR="000D2DEB">
        <w:rPr>
          <w:sz w:val="28"/>
          <w:szCs w:val="28"/>
        </w:rPr>
        <w:t>è</w:t>
      </w:r>
      <w:r w:rsidR="0095713B" w:rsidRPr="00AD66BF">
        <w:rPr>
          <w:sz w:val="28"/>
          <w:szCs w:val="28"/>
        </w:rPr>
        <w:t xml:space="preserve"> </w:t>
      </w:r>
      <w:r w:rsidR="000D2DEB">
        <w:rPr>
          <w:sz w:val="28"/>
          <w:szCs w:val="28"/>
        </w:rPr>
        <w:t xml:space="preserve">vista </w:t>
      </w:r>
      <w:r w:rsidR="0095713B" w:rsidRPr="00AD66BF">
        <w:rPr>
          <w:sz w:val="28"/>
          <w:szCs w:val="28"/>
        </w:rPr>
        <w:t>come un ostacolo allo sviluppo dell’economia.</w:t>
      </w:r>
    </w:p>
    <w:p w14:paraId="6E4AEE18" w14:textId="40D4A1B8" w:rsidR="0095713B" w:rsidRPr="00AD66BF" w:rsidRDefault="000D2DEB" w:rsidP="00AD66BF">
      <w:pPr>
        <w:pStyle w:val="NormaleWeb"/>
        <w:spacing w:before="0" w:beforeAutospacing="0" w:after="0" w:afterAutospacing="0"/>
        <w:jc w:val="both"/>
        <w:rPr>
          <w:sz w:val="28"/>
          <w:szCs w:val="28"/>
        </w:rPr>
      </w:pPr>
      <w:r>
        <w:rPr>
          <w:sz w:val="28"/>
          <w:szCs w:val="28"/>
        </w:rPr>
        <w:t>Eppure, tale</w:t>
      </w:r>
      <w:r w:rsidR="0095713B" w:rsidRPr="00AD66BF">
        <w:rPr>
          <w:sz w:val="28"/>
          <w:szCs w:val="28"/>
        </w:rPr>
        <w:t xml:space="preserve"> conclusione appare paradossale se si </w:t>
      </w:r>
      <w:r>
        <w:rPr>
          <w:sz w:val="28"/>
          <w:szCs w:val="28"/>
        </w:rPr>
        <w:t xml:space="preserve">considera che è </w:t>
      </w:r>
      <w:r w:rsidR="0095713B" w:rsidRPr="00AD66BF">
        <w:rPr>
          <w:sz w:val="28"/>
          <w:szCs w:val="28"/>
        </w:rPr>
        <w:t xml:space="preserve">lo stesso GDPR </w:t>
      </w:r>
      <w:r>
        <w:rPr>
          <w:sz w:val="28"/>
          <w:szCs w:val="28"/>
        </w:rPr>
        <w:t xml:space="preserve">a </w:t>
      </w:r>
      <w:r w:rsidR="0095713B" w:rsidRPr="00AD66BF">
        <w:rPr>
          <w:sz w:val="28"/>
          <w:szCs w:val="28"/>
        </w:rPr>
        <w:t>persegu</w:t>
      </w:r>
      <w:r>
        <w:rPr>
          <w:sz w:val="28"/>
          <w:szCs w:val="28"/>
        </w:rPr>
        <w:t>ire</w:t>
      </w:r>
      <w:r w:rsidR="0095713B" w:rsidRPr="00AD66BF">
        <w:rPr>
          <w:sz w:val="28"/>
          <w:szCs w:val="28"/>
        </w:rPr>
        <w:t xml:space="preserve"> il rafforzamento del mercato interno</w:t>
      </w:r>
      <w:r>
        <w:rPr>
          <w:sz w:val="28"/>
          <w:szCs w:val="28"/>
        </w:rPr>
        <w:t xml:space="preserve"> quale fine ultimo,</w:t>
      </w:r>
      <w:r w:rsidR="0095713B" w:rsidRPr="00AD66BF">
        <w:rPr>
          <w:sz w:val="28"/>
          <w:szCs w:val="28"/>
        </w:rPr>
        <w:t xml:space="preserve"> </w:t>
      </w:r>
      <w:r>
        <w:rPr>
          <w:sz w:val="28"/>
          <w:szCs w:val="28"/>
        </w:rPr>
        <w:t>come alla fine vale per</w:t>
      </w:r>
      <w:r w:rsidRPr="00AD66BF">
        <w:rPr>
          <w:sz w:val="28"/>
          <w:szCs w:val="28"/>
        </w:rPr>
        <w:t xml:space="preserve"> tutta la legislazione europea</w:t>
      </w:r>
      <w:r>
        <w:rPr>
          <w:sz w:val="28"/>
          <w:szCs w:val="28"/>
        </w:rPr>
        <w:t>. È conseguenza evidente, allora, che n</w:t>
      </w:r>
      <w:r w:rsidR="0095713B" w:rsidRPr="00AD66BF">
        <w:rPr>
          <w:sz w:val="28"/>
          <w:szCs w:val="28"/>
        </w:rPr>
        <w:t>elle intenzioni del legislatore</w:t>
      </w:r>
      <w:r>
        <w:rPr>
          <w:sz w:val="28"/>
          <w:szCs w:val="28"/>
        </w:rPr>
        <w:t xml:space="preserve"> </w:t>
      </w:r>
      <w:r w:rsidR="0095713B" w:rsidRPr="00AD66BF">
        <w:rPr>
          <w:sz w:val="28"/>
          <w:szCs w:val="28"/>
        </w:rPr>
        <w:t xml:space="preserve">non si vuole porre alcun limite all’esercizio delle attività economiche, </w:t>
      </w:r>
      <w:r>
        <w:rPr>
          <w:sz w:val="28"/>
          <w:szCs w:val="28"/>
        </w:rPr>
        <w:t>bensì</w:t>
      </w:r>
      <w:r w:rsidR="0095713B" w:rsidRPr="00AD66BF">
        <w:rPr>
          <w:sz w:val="28"/>
          <w:szCs w:val="28"/>
        </w:rPr>
        <w:t xml:space="preserve"> </w:t>
      </w:r>
      <w:r>
        <w:rPr>
          <w:sz w:val="28"/>
          <w:szCs w:val="28"/>
        </w:rPr>
        <w:t>solamente</w:t>
      </w:r>
      <w:r w:rsidR="0095713B" w:rsidRPr="00AD66BF">
        <w:rPr>
          <w:sz w:val="28"/>
          <w:szCs w:val="28"/>
        </w:rPr>
        <w:t xml:space="preserve"> evitare inaccettabili violazioni dei diritti fondamentali.</w:t>
      </w:r>
    </w:p>
    <w:p w14:paraId="4B9D0B79" w14:textId="54903C1F" w:rsidR="0095713B" w:rsidRPr="00AD66BF" w:rsidRDefault="000D2DEB" w:rsidP="00AD66BF">
      <w:pPr>
        <w:pStyle w:val="NormaleWeb"/>
        <w:spacing w:before="0" w:beforeAutospacing="0" w:after="0" w:afterAutospacing="0"/>
        <w:jc w:val="both"/>
        <w:rPr>
          <w:sz w:val="28"/>
          <w:szCs w:val="28"/>
        </w:rPr>
      </w:pPr>
      <w:r>
        <w:rPr>
          <w:sz w:val="28"/>
          <w:szCs w:val="28"/>
        </w:rPr>
        <w:t xml:space="preserve">Sulla base di quanto detto, </w:t>
      </w:r>
      <w:r w:rsidRPr="00AD66BF">
        <w:rPr>
          <w:sz w:val="28"/>
          <w:szCs w:val="28"/>
        </w:rPr>
        <w:t xml:space="preserve">dottrina </w:t>
      </w:r>
      <w:r>
        <w:rPr>
          <w:sz w:val="28"/>
          <w:szCs w:val="28"/>
        </w:rPr>
        <w:t>e</w:t>
      </w:r>
      <w:r w:rsidR="0095713B" w:rsidRPr="00AD66BF">
        <w:rPr>
          <w:sz w:val="28"/>
          <w:szCs w:val="28"/>
        </w:rPr>
        <w:t xml:space="preserve"> giurisprudenza </w:t>
      </w:r>
      <w:r>
        <w:rPr>
          <w:sz w:val="28"/>
          <w:szCs w:val="28"/>
        </w:rPr>
        <w:t>si sono</w:t>
      </w:r>
      <w:r w:rsidR="0095713B" w:rsidRPr="00AD66BF">
        <w:rPr>
          <w:sz w:val="28"/>
          <w:szCs w:val="28"/>
        </w:rPr>
        <w:t xml:space="preserve"> interroga</w:t>
      </w:r>
      <w:r>
        <w:rPr>
          <w:sz w:val="28"/>
          <w:szCs w:val="28"/>
        </w:rPr>
        <w:t>te</w:t>
      </w:r>
      <w:r w:rsidR="0095713B" w:rsidRPr="00AD66BF">
        <w:rPr>
          <w:sz w:val="28"/>
          <w:szCs w:val="28"/>
        </w:rPr>
        <w:t xml:space="preserve"> sul valore effettivo </w:t>
      </w:r>
      <w:r>
        <w:rPr>
          <w:sz w:val="28"/>
          <w:szCs w:val="28"/>
        </w:rPr>
        <w:t>da dare ai</w:t>
      </w:r>
      <w:r w:rsidR="0095713B" w:rsidRPr="00AD66BF">
        <w:rPr>
          <w:sz w:val="28"/>
          <w:szCs w:val="28"/>
        </w:rPr>
        <w:t xml:space="preserve"> dati personali</w:t>
      </w:r>
      <w:r w:rsidR="0076633C">
        <w:rPr>
          <w:sz w:val="28"/>
          <w:szCs w:val="28"/>
        </w:rPr>
        <w:t xml:space="preserve">: essendo diventati </w:t>
      </w:r>
      <w:r w:rsidR="0095713B" w:rsidRPr="00AD66BF">
        <w:rPr>
          <w:sz w:val="28"/>
          <w:szCs w:val="28"/>
        </w:rPr>
        <w:t xml:space="preserve">un vero e proprio mezzo di lucro, </w:t>
      </w:r>
      <w:r w:rsidR="0076633C">
        <w:rPr>
          <w:sz w:val="28"/>
          <w:szCs w:val="28"/>
        </w:rPr>
        <w:t>deve</w:t>
      </w:r>
      <w:r w:rsidR="0095713B" w:rsidRPr="00AD66BF">
        <w:rPr>
          <w:sz w:val="28"/>
          <w:szCs w:val="28"/>
        </w:rPr>
        <w:t xml:space="preserve"> essere riconosciuto loro, anche dal punto di vista economico-giuridico, un valore diverso</w:t>
      </w:r>
      <w:r w:rsidR="0076633C">
        <w:rPr>
          <w:sz w:val="28"/>
          <w:szCs w:val="28"/>
        </w:rPr>
        <w:t>?</w:t>
      </w:r>
    </w:p>
    <w:p w14:paraId="4F102B97" w14:textId="77777777" w:rsidR="0040111C" w:rsidRDefault="0095713B" w:rsidP="00AD66BF">
      <w:pPr>
        <w:pStyle w:val="NormaleWeb"/>
        <w:spacing w:before="0" w:beforeAutospacing="0" w:after="0" w:afterAutospacing="0"/>
        <w:jc w:val="both"/>
        <w:rPr>
          <w:sz w:val="28"/>
          <w:szCs w:val="28"/>
        </w:rPr>
      </w:pPr>
      <w:r w:rsidRPr="00AD66BF">
        <w:rPr>
          <w:sz w:val="28"/>
          <w:szCs w:val="28"/>
        </w:rPr>
        <w:t xml:space="preserve">La questione </w:t>
      </w:r>
      <w:r w:rsidR="009E1F20">
        <w:rPr>
          <w:sz w:val="28"/>
          <w:szCs w:val="28"/>
        </w:rPr>
        <w:t xml:space="preserve">principale è quella relativa a quei </w:t>
      </w:r>
      <w:r w:rsidRPr="00AD66BF">
        <w:rPr>
          <w:sz w:val="28"/>
          <w:szCs w:val="28"/>
        </w:rPr>
        <w:t xml:space="preserve">servizi che vengono offerti ai consumatori </w:t>
      </w:r>
      <w:r w:rsidR="009E1F20">
        <w:rPr>
          <w:sz w:val="28"/>
          <w:szCs w:val="28"/>
        </w:rPr>
        <w:t>apparentemente in maniera gratuita,</w:t>
      </w:r>
      <w:r w:rsidR="00E238E7" w:rsidRPr="00AD66BF">
        <w:rPr>
          <w:sz w:val="28"/>
          <w:szCs w:val="28"/>
        </w:rPr>
        <w:t xml:space="preserve"> </w:t>
      </w:r>
      <w:r w:rsidRPr="00AD66BF">
        <w:rPr>
          <w:sz w:val="28"/>
          <w:szCs w:val="28"/>
        </w:rPr>
        <w:t xml:space="preserve">ma </w:t>
      </w:r>
      <w:r w:rsidR="009E1F20">
        <w:rPr>
          <w:sz w:val="28"/>
          <w:szCs w:val="28"/>
        </w:rPr>
        <w:t xml:space="preserve">che in realtà </w:t>
      </w:r>
      <w:r w:rsidRPr="00AD66BF">
        <w:rPr>
          <w:sz w:val="28"/>
          <w:szCs w:val="28"/>
        </w:rPr>
        <w:t>presuppongono la cessione di dati personali.</w:t>
      </w:r>
      <w:r w:rsidR="009E1F20">
        <w:rPr>
          <w:sz w:val="28"/>
          <w:szCs w:val="28"/>
        </w:rPr>
        <w:t xml:space="preserve"> </w:t>
      </w:r>
    </w:p>
    <w:p w14:paraId="36FAE6C6" w14:textId="62D63731" w:rsidR="0095713B" w:rsidRPr="00AD66BF" w:rsidRDefault="009E1F20" w:rsidP="00AD66BF">
      <w:pPr>
        <w:pStyle w:val="NormaleWeb"/>
        <w:spacing w:before="0" w:beforeAutospacing="0" w:after="0" w:afterAutospacing="0"/>
        <w:jc w:val="both"/>
        <w:rPr>
          <w:sz w:val="28"/>
          <w:szCs w:val="28"/>
        </w:rPr>
      </w:pPr>
      <w:r>
        <w:rPr>
          <w:sz w:val="28"/>
          <w:szCs w:val="28"/>
        </w:rPr>
        <w:t xml:space="preserve">L’esempio paradigmatico </w:t>
      </w:r>
      <w:r w:rsidR="0095713B" w:rsidRPr="00AD66BF">
        <w:rPr>
          <w:sz w:val="28"/>
          <w:szCs w:val="28"/>
        </w:rPr>
        <w:t xml:space="preserve">è quello dei </w:t>
      </w:r>
      <w:r w:rsidR="0095713B" w:rsidRPr="009E1F20">
        <w:rPr>
          <w:i/>
          <w:iCs/>
          <w:sz w:val="28"/>
          <w:szCs w:val="28"/>
        </w:rPr>
        <w:t>social network</w:t>
      </w:r>
      <w:r>
        <w:rPr>
          <w:sz w:val="28"/>
          <w:szCs w:val="28"/>
        </w:rPr>
        <w:t>: per accedere è necessario</w:t>
      </w:r>
      <w:r w:rsidR="0095713B" w:rsidRPr="00AD66BF">
        <w:rPr>
          <w:sz w:val="28"/>
          <w:szCs w:val="28"/>
        </w:rPr>
        <w:t xml:space="preserve"> accetta</w:t>
      </w:r>
      <w:r>
        <w:rPr>
          <w:sz w:val="28"/>
          <w:szCs w:val="28"/>
        </w:rPr>
        <w:t>re</w:t>
      </w:r>
      <w:r w:rsidR="0095713B" w:rsidRPr="00AD66BF">
        <w:rPr>
          <w:sz w:val="28"/>
          <w:szCs w:val="28"/>
        </w:rPr>
        <w:t xml:space="preserve"> </w:t>
      </w:r>
      <w:r>
        <w:rPr>
          <w:sz w:val="28"/>
          <w:szCs w:val="28"/>
        </w:rPr>
        <w:t>uno</w:t>
      </w:r>
      <w:r w:rsidR="0095713B" w:rsidRPr="00AD66BF">
        <w:rPr>
          <w:sz w:val="28"/>
          <w:szCs w:val="28"/>
        </w:rPr>
        <w:t xml:space="preserve"> specifico set di termini e condizioni e </w:t>
      </w:r>
      <w:r>
        <w:rPr>
          <w:sz w:val="28"/>
          <w:szCs w:val="28"/>
        </w:rPr>
        <w:t xml:space="preserve">procedere </w:t>
      </w:r>
      <w:r w:rsidR="0095713B" w:rsidRPr="00AD66BF">
        <w:rPr>
          <w:sz w:val="28"/>
          <w:szCs w:val="28"/>
        </w:rPr>
        <w:t>alla comunicazione di una serie di dati personali quali nome, cognome, data di nascita, indirizzo e-mail, e</w:t>
      </w:r>
      <w:r>
        <w:rPr>
          <w:sz w:val="28"/>
          <w:szCs w:val="28"/>
        </w:rPr>
        <w:t>cc</w:t>
      </w:r>
      <w:r w:rsidR="0095713B" w:rsidRPr="00AD66BF">
        <w:rPr>
          <w:sz w:val="28"/>
          <w:szCs w:val="28"/>
        </w:rPr>
        <w:t xml:space="preserve">. </w:t>
      </w:r>
      <w:r>
        <w:rPr>
          <w:sz w:val="28"/>
          <w:szCs w:val="28"/>
        </w:rPr>
        <w:t>Non solo, ma</w:t>
      </w:r>
      <w:r w:rsidR="0095713B" w:rsidRPr="00AD66BF">
        <w:rPr>
          <w:sz w:val="28"/>
          <w:szCs w:val="28"/>
        </w:rPr>
        <w:t xml:space="preserve"> durante la fruizione del servizio vengono generati dall’utente dati ulteriori</w:t>
      </w:r>
      <w:r>
        <w:rPr>
          <w:sz w:val="28"/>
          <w:szCs w:val="28"/>
        </w:rPr>
        <w:t xml:space="preserve">, rilevatori delle </w:t>
      </w:r>
      <w:r w:rsidR="0095713B" w:rsidRPr="00AD66BF">
        <w:rPr>
          <w:sz w:val="28"/>
          <w:szCs w:val="28"/>
        </w:rPr>
        <w:t>proprie tendenze e preferenze</w:t>
      </w:r>
      <w:r>
        <w:rPr>
          <w:sz w:val="28"/>
          <w:szCs w:val="28"/>
        </w:rPr>
        <w:t>;</w:t>
      </w:r>
      <w:r w:rsidR="0095713B" w:rsidRPr="00AD66BF">
        <w:rPr>
          <w:sz w:val="28"/>
          <w:szCs w:val="28"/>
        </w:rPr>
        <w:t xml:space="preserve"> </w:t>
      </w:r>
      <w:r>
        <w:rPr>
          <w:sz w:val="28"/>
          <w:szCs w:val="28"/>
        </w:rPr>
        <w:t xml:space="preserve">questi dati </w:t>
      </w:r>
      <w:r w:rsidR="0095713B" w:rsidRPr="00AD66BF">
        <w:rPr>
          <w:sz w:val="28"/>
          <w:szCs w:val="28"/>
        </w:rPr>
        <w:t xml:space="preserve">vengono spesso condivisi dalla società che gestisce i </w:t>
      </w:r>
      <w:r w:rsidR="0095713B" w:rsidRPr="009E1F20">
        <w:rPr>
          <w:i/>
          <w:iCs/>
          <w:sz w:val="28"/>
          <w:szCs w:val="28"/>
        </w:rPr>
        <w:t>social</w:t>
      </w:r>
      <w:r w:rsidR="0095713B" w:rsidRPr="00AD66BF">
        <w:rPr>
          <w:sz w:val="28"/>
          <w:szCs w:val="28"/>
        </w:rPr>
        <w:t xml:space="preserve"> con soggetti terzi, traendone profitto.</w:t>
      </w:r>
    </w:p>
    <w:p w14:paraId="54FEE32B" w14:textId="77777777" w:rsidR="0040111C" w:rsidRDefault="009E1F20" w:rsidP="00AD66BF">
      <w:pPr>
        <w:pStyle w:val="NormaleWeb"/>
        <w:spacing w:before="0" w:beforeAutospacing="0" w:after="0" w:afterAutospacing="0"/>
        <w:jc w:val="both"/>
        <w:rPr>
          <w:sz w:val="28"/>
          <w:szCs w:val="28"/>
        </w:rPr>
      </w:pPr>
      <w:r>
        <w:rPr>
          <w:sz w:val="28"/>
          <w:szCs w:val="28"/>
        </w:rPr>
        <w:t>Per questo motivo, d</w:t>
      </w:r>
      <w:r w:rsidR="0095713B" w:rsidRPr="00AD66BF">
        <w:rPr>
          <w:sz w:val="28"/>
          <w:szCs w:val="28"/>
        </w:rPr>
        <w:t xml:space="preserve">a </w:t>
      </w:r>
      <w:r>
        <w:rPr>
          <w:sz w:val="28"/>
          <w:szCs w:val="28"/>
        </w:rPr>
        <w:t xml:space="preserve">tempo </w:t>
      </w:r>
      <w:r w:rsidR="0095713B" w:rsidRPr="00AD66BF">
        <w:rPr>
          <w:sz w:val="28"/>
          <w:szCs w:val="28"/>
        </w:rPr>
        <w:t>si è fatta strada la tesi, per il vero opinabile, sull’equiparabilità dei dati personali alla valuta</w:t>
      </w:r>
      <w:r>
        <w:rPr>
          <w:sz w:val="28"/>
          <w:szCs w:val="28"/>
        </w:rPr>
        <w:t xml:space="preserve">: </w:t>
      </w:r>
      <w:r w:rsidR="0095713B" w:rsidRPr="00AD66BF">
        <w:rPr>
          <w:sz w:val="28"/>
          <w:szCs w:val="28"/>
        </w:rPr>
        <w:t xml:space="preserve">l’acquisto di determinati beni o servizi </w:t>
      </w:r>
      <w:r>
        <w:rPr>
          <w:sz w:val="28"/>
          <w:szCs w:val="28"/>
        </w:rPr>
        <w:t>potrebbe</w:t>
      </w:r>
      <w:r w:rsidR="0095713B" w:rsidRPr="00AD66BF">
        <w:rPr>
          <w:sz w:val="28"/>
          <w:szCs w:val="28"/>
        </w:rPr>
        <w:t xml:space="preserve"> avvenire (o, meglio, di fatto </w:t>
      </w:r>
      <w:r>
        <w:rPr>
          <w:sz w:val="28"/>
          <w:szCs w:val="28"/>
        </w:rPr>
        <w:t>avverrebbe</w:t>
      </w:r>
      <w:r w:rsidR="0095713B" w:rsidRPr="00AD66BF">
        <w:rPr>
          <w:sz w:val="28"/>
          <w:szCs w:val="28"/>
        </w:rPr>
        <w:t xml:space="preserve"> già), dietro la “corresponsione” di dati personali. </w:t>
      </w:r>
      <w:r>
        <w:rPr>
          <w:sz w:val="28"/>
          <w:szCs w:val="28"/>
        </w:rPr>
        <w:t>Alcuni, di fronte a ciò,</w:t>
      </w:r>
      <w:r w:rsidR="0095713B" w:rsidRPr="00AD66BF">
        <w:rPr>
          <w:sz w:val="28"/>
          <w:szCs w:val="28"/>
        </w:rPr>
        <w:t xml:space="preserve"> hanno parlato d</w:t>
      </w:r>
      <w:r>
        <w:rPr>
          <w:sz w:val="28"/>
          <w:szCs w:val="28"/>
        </w:rPr>
        <w:t xml:space="preserve">el cambio di dimensione dei dati </w:t>
      </w:r>
      <w:r w:rsidR="0095713B" w:rsidRPr="00AD66BF">
        <w:rPr>
          <w:sz w:val="28"/>
          <w:szCs w:val="28"/>
        </w:rPr>
        <w:t>dalla tradizionale dimensione “</w:t>
      </w:r>
      <w:r w:rsidR="0095713B" w:rsidRPr="009E1F20">
        <w:rPr>
          <w:i/>
          <w:iCs/>
          <w:sz w:val="28"/>
          <w:szCs w:val="28"/>
        </w:rPr>
        <w:t>morale</w:t>
      </w:r>
      <w:r w:rsidR="0095713B" w:rsidRPr="00AD66BF">
        <w:rPr>
          <w:sz w:val="28"/>
          <w:szCs w:val="28"/>
        </w:rPr>
        <w:t>” a quella “</w:t>
      </w:r>
      <w:r w:rsidR="0095713B" w:rsidRPr="009E1F20">
        <w:rPr>
          <w:i/>
          <w:iCs/>
          <w:sz w:val="28"/>
          <w:szCs w:val="28"/>
        </w:rPr>
        <w:t>negoziale</w:t>
      </w:r>
      <w:r w:rsidR="0095713B" w:rsidRPr="00AD66BF">
        <w:rPr>
          <w:sz w:val="28"/>
          <w:szCs w:val="28"/>
        </w:rPr>
        <w:t>”.</w:t>
      </w:r>
      <w:r>
        <w:rPr>
          <w:sz w:val="28"/>
          <w:szCs w:val="28"/>
        </w:rPr>
        <w:t xml:space="preserve"> </w:t>
      </w:r>
    </w:p>
    <w:p w14:paraId="4960E729" w14:textId="3A652310" w:rsidR="0095713B" w:rsidRPr="00AD66BF" w:rsidRDefault="009E1F20" w:rsidP="00AD66BF">
      <w:pPr>
        <w:pStyle w:val="NormaleWeb"/>
        <w:spacing w:before="0" w:beforeAutospacing="0" w:after="0" w:afterAutospacing="0"/>
        <w:jc w:val="both"/>
        <w:rPr>
          <w:sz w:val="28"/>
          <w:szCs w:val="28"/>
        </w:rPr>
      </w:pPr>
      <w:r>
        <w:rPr>
          <w:sz w:val="28"/>
          <w:szCs w:val="28"/>
        </w:rPr>
        <w:t>Chi sostiene</w:t>
      </w:r>
      <w:r w:rsidR="0095713B" w:rsidRPr="00AD66BF">
        <w:rPr>
          <w:sz w:val="28"/>
          <w:szCs w:val="28"/>
        </w:rPr>
        <w:t xml:space="preserve"> questa tesi</w:t>
      </w:r>
      <w:r>
        <w:rPr>
          <w:sz w:val="28"/>
          <w:szCs w:val="28"/>
        </w:rPr>
        <w:t>, invero, pensa</w:t>
      </w:r>
      <w:r w:rsidR="0095713B" w:rsidRPr="00AD66BF">
        <w:rPr>
          <w:sz w:val="28"/>
          <w:szCs w:val="28"/>
        </w:rPr>
        <w:t xml:space="preserve"> che gli individui godrebbero di una maggiore tutela, dal momento che troverebbero contestualmente applicazione tanto la disciplina sulla tutela dei dati personali</w:t>
      </w:r>
      <w:r>
        <w:rPr>
          <w:sz w:val="28"/>
          <w:szCs w:val="28"/>
        </w:rPr>
        <w:t xml:space="preserve"> che </w:t>
      </w:r>
      <w:r w:rsidR="0095713B" w:rsidRPr="00AD66BF">
        <w:rPr>
          <w:sz w:val="28"/>
          <w:szCs w:val="28"/>
        </w:rPr>
        <w:t xml:space="preserve">quella del consumo, </w:t>
      </w:r>
      <w:r>
        <w:rPr>
          <w:sz w:val="28"/>
          <w:szCs w:val="28"/>
        </w:rPr>
        <w:t xml:space="preserve">così evitando che </w:t>
      </w:r>
      <w:r w:rsidR="0095713B" w:rsidRPr="00AD66BF">
        <w:rPr>
          <w:sz w:val="28"/>
          <w:szCs w:val="28"/>
        </w:rPr>
        <w:t>il singolo sia</w:t>
      </w:r>
      <w:r>
        <w:rPr>
          <w:sz w:val="28"/>
          <w:szCs w:val="28"/>
        </w:rPr>
        <w:t xml:space="preserve">, da un lato, </w:t>
      </w:r>
      <w:r w:rsidR="0095713B" w:rsidRPr="00AD66BF">
        <w:rPr>
          <w:sz w:val="28"/>
          <w:szCs w:val="28"/>
        </w:rPr>
        <w:t>tratto in inganno dalla gratuità dell’offerta e perfezioni un acquisto inconsapevole dell’effettivo valore ceduto</w:t>
      </w:r>
      <w:r>
        <w:rPr>
          <w:sz w:val="28"/>
          <w:szCs w:val="28"/>
        </w:rPr>
        <w:t xml:space="preserve"> e, dall’altro,</w:t>
      </w:r>
      <w:r w:rsidR="0095713B" w:rsidRPr="00AD66BF">
        <w:rPr>
          <w:sz w:val="28"/>
          <w:szCs w:val="28"/>
        </w:rPr>
        <w:t xml:space="preserve"> </w:t>
      </w:r>
      <w:r w:rsidR="003C0638">
        <w:rPr>
          <w:sz w:val="28"/>
          <w:szCs w:val="28"/>
        </w:rPr>
        <w:t xml:space="preserve">sia </w:t>
      </w:r>
      <w:r w:rsidR="0095713B" w:rsidRPr="00AD66BF">
        <w:rPr>
          <w:sz w:val="28"/>
          <w:szCs w:val="28"/>
        </w:rPr>
        <w:t>privo della possibilità di usufruire dei mezzi di tutela messi a disposizione dall’ordinamento.</w:t>
      </w:r>
    </w:p>
    <w:p w14:paraId="06F12F26" w14:textId="5741145F" w:rsidR="003C0638" w:rsidRDefault="003C0638" w:rsidP="00AD66BF">
      <w:pPr>
        <w:pStyle w:val="NormaleWeb"/>
        <w:spacing w:before="0" w:beforeAutospacing="0" w:after="0" w:afterAutospacing="0"/>
        <w:jc w:val="both"/>
        <w:rPr>
          <w:sz w:val="28"/>
          <w:szCs w:val="28"/>
        </w:rPr>
      </w:pPr>
      <w:r>
        <w:rPr>
          <w:sz w:val="28"/>
          <w:szCs w:val="28"/>
        </w:rPr>
        <w:t>Bisogna chiedersi: la strada della</w:t>
      </w:r>
      <w:r w:rsidR="0095713B" w:rsidRPr="00AD66BF">
        <w:rPr>
          <w:sz w:val="28"/>
          <w:szCs w:val="28"/>
        </w:rPr>
        <w:t xml:space="preserve"> c.d. commercializzazione dei dati personali </w:t>
      </w:r>
      <w:r>
        <w:rPr>
          <w:sz w:val="28"/>
          <w:szCs w:val="28"/>
        </w:rPr>
        <w:t xml:space="preserve">è davvero la via migliore? </w:t>
      </w:r>
      <w:r w:rsidRPr="00AD66BF">
        <w:rPr>
          <w:sz w:val="28"/>
          <w:szCs w:val="28"/>
        </w:rPr>
        <w:t>S</w:t>
      </w:r>
      <w:r w:rsidR="0095713B" w:rsidRPr="00AD66BF">
        <w:rPr>
          <w:sz w:val="28"/>
          <w:szCs w:val="28"/>
        </w:rPr>
        <w:t>arebbe</w:t>
      </w:r>
      <w:r>
        <w:rPr>
          <w:sz w:val="28"/>
          <w:szCs w:val="28"/>
        </w:rPr>
        <w:t xml:space="preserve">, </w:t>
      </w:r>
      <w:r w:rsidR="0095713B" w:rsidRPr="00AD66BF">
        <w:rPr>
          <w:sz w:val="28"/>
          <w:szCs w:val="28"/>
        </w:rPr>
        <w:t xml:space="preserve">da un lato, </w:t>
      </w:r>
      <w:r>
        <w:rPr>
          <w:sz w:val="28"/>
          <w:szCs w:val="28"/>
        </w:rPr>
        <w:t xml:space="preserve">finalizzata </w:t>
      </w:r>
      <w:r w:rsidR="0095713B" w:rsidRPr="00AD66BF">
        <w:rPr>
          <w:sz w:val="28"/>
          <w:szCs w:val="28"/>
        </w:rPr>
        <w:t xml:space="preserve">a rendere l’interessato-consumatore </w:t>
      </w:r>
      <w:r w:rsidR="0095713B" w:rsidRPr="00AD66BF">
        <w:rPr>
          <w:sz w:val="28"/>
          <w:szCs w:val="28"/>
        </w:rPr>
        <w:lastRenderedPageBreak/>
        <w:t xml:space="preserve">maggiormente consapevole del valore dei propri dati personali </w:t>
      </w:r>
      <w:r>
        <w:rPr>
          <w:sz w:val="28"/>
          <w:szCs w:val="28"/>
        </w:rPr>
        <w:t>(</w:t>
      </w:r>
      <w:r w:rsidR="0095713B" w:rsidRPr="00AD66BF">
        <w:rPr>
          <w:sz w:val="28"/>
          <w:szCs w:val="28"/>
        </w:rPr>
        <w:t>restituendogli un effettivo controllo su di essi come, d’altronde, auspicato dal GDPR</w:t>
      </w:r>
      <w:r>
        <w:rPr>
          <w:sz w:val="28"/>
          <w:szCs w:val="28"/>
        </w:rPr>
        <w:t>).</w:t>
      </w:r>
    </w:p>
    <w:p w14:paraId="5FE05E39" w14:textId="77777777" w:rsidR="003C0638" w:rsidRDefault="003C0638" w:rsidP="00AD66BF">
      <w:pPr>
        <w:pStyle w:val="NormaleWeb"/>
        <w:spacing w:before="0" w:beforeAutospacing="0" w:after="0" w:afterAutospacing="0"/>
        <w:jc w:val="both"/>
        <w:rPr>
          <w:sz w:val="28"/>
          <w:szCs w:val="28"/>
        </w:rPr>
      </w:pPr>
      <w:r>
        <w:rPr>
          <w:sz w:val="28"/>
          <w:szCs w:val="28"/>
        </w:rPr>
        <w:t>D</w:t>
      </w:r>
      <w:r w:rsidR="0095713B" w:rsidRPr="00AD66BF">
        <w:rPr>
          <w:sz w:val="28"/>
          <w:szCs w:val="28"/>
        </w:rPr>
        <w:t>all’altr</w:t>
      </w:r>
      <w:r>
        <w:rPr>
          <w:sz w:val="28"/>
          <w:szCs w:val="28"/>
        </w:rPr>
        <w:t>o lato</w:t>
      </w:r>
      <w:r w:rsidR="0095713B" w:rsidRPr="00AD66BF">
        <w:rPr>
          <w:sz w:val="28"/>
          <w:szCs w:val="28"/>
        </w:rPr>
        <w:t xml:space="preserve">, </w:t>
      </w:r>
      <w:r>
        <w:rPr>
          <w:sz w:val="28"/>
          <w:szCs w:val="28"/>
        </w:rPr>
        <w:t xml:space="preserve">lo scopo sarebbe quello di </w:t>
      </w:r>
      <w:r w:rsidR="0095713B" w:rsidRPr="00AD66BF">
        <w:rPr>
          <w:sz w:val="28"/>
          <w:szCs w:val="28"/>
        </w:rPr>
        <w:t xml:space="preserve">mettere a disposizione </w:t>
      </w:r>
      <w:r>
        <w:rPr>
          <w:sz w:val="28"/>
          <w:szCs w:val="28"/>
        </w:rPr>
        <w:t xml:space="preserve">dell’utente </w:t>
      </w:r>
      <w:r w:rsidR="0095713B" w:rsidRPr="00AD66BF">
        <w:rPr>
          <w:sz w:val="28"/>
          <w:szCs w:val="28"/>
        </w:rPr>
        <w:t xml:space="preserve">tutte le tutele e gli strumenti già previsti dal Codice del Consumo. </w:t>
      </w:r>
    </w:p>
    <w:p w14:paraId="653B20E2" w14:textId="515DD7F7" w:rsidR="003C0638" w:rsidRDefault="003C0638" w:rsidP="00AD66BF">
      <w:pPr>
        <w:pStyle w:val="NormaleWeb"/>
        <w:spacing w:before="0" w:beforeAutospacing="0" w:after="0" w:afterAutospacing="0"/>
        <w:jc w:val="both"/>
        <w:rPr>
          <w:sz w:val="28"/>
          <w:szCs w:val="28"/>
        </w:rPr>
      </w:pPr>
      <w:r>
        <w:rPr>
          <w:sz w:val="28"/>
          <w:szCs w:val="28"/>
        </w:rPr>
        <w:t>Inoltre, per</w:t>
      </w:r>
      <w:r w:rsidR="0095713B" w:rsidRPr="00AD66BF">
        <w:rPr>
          <w:sz w:val="28"/>
          <w:szCs w:val="28"/>
        </w:rPr>
        <w:t xml:space="preserve"> sostenere la percorribilità di questa strada, </w:t>
      </w:r>
      <w:r>
        <w:rPr>
          <w:sz w:val="28"/>
          <w:szCs w:val="28"/>
        </w:rPr>
        <w:t>si fa</w:t>
      </w:r>
      <w:r w:rsidR="0095713B" w:rsidRPr="00AD66BF">
        <w:rPr>
          <w:sz w:val="28"/>
          <w:szCs w:val="28"/>
        </w:rPr>
        <w:t xml:space="preserve"> generalmente un parallelismo con la disciplina della proprietà intellettuale, </w:t>
      </w:r>
      <w:r>
        <w:rPr>
          <w:sz w:val="28"/>
          <w:szCs w:val="28"/>
        </w:rPr>
        <w:t>che</w:t>
      </w:r>
      <w:r w:rsidR="0095713B" w:rsidRPr="00AD66BF">
        <w:rPr>
          <w:sz w:val="28"/>
          <w:szCs w:val="28"/>
        </w:rPr>
        <w:t xml:space="preserve"> riconosce contestualmente all’autore dell’opera diritti di natura morale (</w:t>
      </w:r>
      <w:r>
        <w:rPr>
          <w:sz w:val="28"/>
          <w:szCs w:val="28"/>
        </w:rPr>
        <w:t xml:space="preserve">si pensi al </w:t>
      </w:r>
      <w:r w:rsidR="0095713B" w:rsidRPr="00AD66BF">
        <w:rPr>
          <w:sz w:val="28"/>
          <w:szCs w:val="28"/>
        </w:rPr>
        <w:t>riconoscimento della paternità) e diritti di sfruttamento economico (</w:t>
      </w:r>
      <w:r>
        <w:rPr>
          <w:sz w:val="28"/>
          <w:szCs w:val="28"/>
        </w:rPr>
        <w:t xml:space="preserve">come il </w:t>
      </w:r>
      <w:r w:rsidR="0095713B" w:rsidRPr="00AD66BF">
        <w:rPr>
          <w:sz w:val="28"/>
          <w:szCs w:val="28"/>
        </w:rPr>
        <w:t>diritto di fare copie o riprodurre l’opera).</w:t>
      </w:r>
    </w:p>
    <w:p w14:paraId="1832F56D" w14:textId="77777777" w:rsidR="0040111C" w:rsidRPr="00AD66BF" w:rsidRDefault="0040111C" w:rsidP="00AD66BF">
      <w:pPr>
        <w:pStyle w:val="NormaleWeb"/>
        <w:spacing w:before="0" w:beforeAutospacing="0" w:after="0" w:afterAutospacing="0"/>
        <w:jc w:val="both"/>
        <w:rPr>
          <w:sz w:val="28"/>
          <w:szCs w:val="28"/>
        </w:rPr>
      </w:pPr>
    </w:p>
    <w:p w14:paraId="1BD98BC3" w14:textId="3E4894EC" w:rsidR="003C0638" w:rsidRDefault="003C0638" w:rsidP="00AD66BF">
      <w:pPr>
        <w:pStyle w:val="NormaleWeb"/>
        <w:spacing w:before="0" w:beforeAutospacing="0" w:after="0" w:afterAutospacing="0"/>
        <w:jc w:val="both"/>
        <w:rPr>
          <w:sz w:val="28"/>
          <w:szCs w:val="28"/>
        </w:rPr>
      </w:pPr>
      <w:r>
        <w:rPr>
          <w:sz w:val="28"/>
          <w:szCs w:val="28"/>
        </w:rPr>
        <w:t xml:space="preserve">La tesi contrapposta – </w:t>
      </w:r>
      <w:r w:rsidR="0095713B" w:rsidRPr="00AD66BF">
        <w:rPr>
          <w:sz w:val="28"/>
          <w:szCs w:val="28"/>
        </w:rPr>
        <w:t>tradizionalmente affermata sia a livello europeo che nazional</w:t>
      </w:r>
      <w:r>
        <w:rPr>
          <w:sz w:val="28"/>
          <w:szCs w:val="28"/>
        </w:rPr>
        <w:t>e –</w:t>
      </w:r>
      <w:r w:rsidR="0095713B" w:rsidRPr="00AD66BF">
        <w:rPr>
          <w:sz w:val="28"/>
          <w:szCs w:val="28"/>
        </w:rPr>
        <w:t xml:space="preserve"> </w:t>
      </w:r>
      <w:r>
        <w:rPr>
          <w:sz w:val="28"/>
          <w:szCs w:val="28"/>
        </w:rPr>
        <w:t>sostiene, invece, che, essendo</w:t>
      </w:r>
      <w:r w:rsidR="0095713B" w:rsidRPr="00AD66BF">
        <w:rPr>
          <w:sz w:val="28"/>
          <w:szCs w:val="28"/>
        </w:rPr>
        <w:t xml:space="preserve"> </w:t>
      </w:r>
      <w:r>
        <w:rPr>
          <w:sz w:val="28"/>
          <w:szCs w:val="28"/>
        </w:rPr>
        <w:t xml:space="preserve">il </w:t>
      </w:r>
      <w:r w:rsidRPr="00AD66BF">
        <w:rPr>
          <w:sz w:val="28"/>
          <w:szCs w:val="28"/>
        </w:rPr>
        <w:t xml:space="preserve">diritto alla protezione dei dati personali </w:t>
      </w:r>
      <w:r>
        <w:rPr>
          <w:sz w:val="28"/>
          <w:szCs w:val="28"/>
        </w:rPr>
        <w:t xml:space="preserve">un diritto fondamentale, </w:t>
      </w:r>
      <w:r w:rsidR="0095713B" w:rsidRPr="00AD66BF">
        <w:rPr>
          <w:sz w:val="28"/>
          <w:szCs w:val="28"/>
        </w:rPr>
        <w:t xml:space="preserve">questo abbia valore assoluto, indisponibile, intrasmissibile e imprescrittibile, non potendo ammettersi in alcun modo la loro commercializzazione. </w:t>
      </w:r>
    </w:p>
    <w:p w14:paraId="2ED2A912" w14:textId="45187237" w:rsidR="0095713B" w:rsidRPr="00AD66BF" w:rsidRDefault="004A433E" w:rsidP="00AD66BF">
      <w:pPr>
        <w:pStyle w:val="NormaleWeb"/>
        <w:spacing w:before="0" w:beforeAutospacing="0" w:after="0" w:afterAutospacing="0"/>
        <w:jc w:val="both"/>
        <w:rPr>
          <w:sz w:val="28"/>
          <w:szCs w:val="28"/>
        </w:rPr>
      </w:pPr>
      <w:r>
        <w:rPr>
          <w:sz w:val="28"/>
          <w:szCs w:val="28"/>
        </w:rPr>
        <w:t>Insomma,</w:t>
      </w:r>
      <w:r w:rsidR="0095713B" w:rsidRPr="00AD66BF">
        <w:rPr>
          <w:sz w:val="28"/>
          <w:szCs w:val="28"/>
        </w:rPr>
        <w:t xml:space="preserve"> </w:t>
      </w:r>
      <w:r>
        <w:rPr>
          <w:sz w:val="28"/>
          <w:szCs w:val="28"/>
        </w:rPr>
        <w:t>si sostiene il contrario</w:t>
      </w:r>
      <w:r w:rsidR="0095713B" w:rsidRPr="00AD66BF">
        <w:rPr>
          <w:sz w:val="28"/>
          <w:szCs w:val="28"/>
        </w:rPr>
        <w:t xml:space="preserve"> </w:t>
      </w:r>
      <w:r>
        <w:rPr>
          <w:sz w:val="28"/>
          <w:szCs w:val="28"/>
        </w:rPr>
        <w:t xml:space="preserve">di quanto sopra detto, ossia </w:t>
      </w:r>
      <w:r w:rsidR="0095713B" w:rsidRPr="00AD66BF">
        <w:rPr>
          <w:sz w:val="28"/>
          <w:szCs w:val="28"/>
        </w:rPr>
        <w:t>che la commercializzazione dei dati personali</w:t>
      </w:r>
      <w:r>
        <w:rPr>
          <w:sz w:val="28"/>
          <w:szCs w:val="28"/>
        </w:rPr>
        <w:t xml:space="preserve"> – </w:t>
      </w:r>
      <w:r w:rsidR="0095713B" w:rsidRPr="00AD66BF">
        <w:rPr>
          <w:sz w:val="28"/>
          <w:szCs w:val="28"/>
        </w:rPr>
        <w:t>lungi dal garantire una maggiore tutela agli interessati</w:t>
      </w:r>
      <w:r>
        <w:rPr>
          <w:sz w:val="28"/>
          <w:szCs w:val="28"/>
        </w:rPr>
        <w:t xml:space="preserve"> –</w:t>
      </w:r>
      <w:r w:rsidR="0095713B" w:rsidRPr="00AD66BF">
        <w:rPr>
          <w:sz w:val="28"/>
          <w:szCs w:val="28"/>
        </w:rPr>
        <w:t xml:space="preserve"> finirebbe con lo sminuire l’effettivo valore dei dati personali, esponendo gli individui al rischio di subire pregiudizi ulteriori.</w:t>
      </w:r>
    </w:p>
    <w:p w14:paraId="74C4D2B2" w14:textId="77777777" w:rsidR="004A433E" w:rsidRDefault="0095713B" w:rsidP="00AD66BF">
      <w:pPr>
        <w:pStyle w:val="NormaleWeb"/>
        <w:spacing w:before="0" w:beforeAutospacing="0" w:after="0" w:afterAutospacing="0"/>
        <w:jc w:val="both"/>
        <w:rPr>
          <w:sz w:val="28"/>
          <w:szCs w:val="28"/>
        </w:rPr>
      </w:pPr>
      <w:r w:rsidRPr="00AD66BF">
        <w:rPr>
          <w:sz w:val="28"/>
          <w:szCs w:val="28"/>
        </w:rPr>
        <w:t xml:space="preserve">La </w:t>
      </w:r>
      <w:r w:rsidR="004A433E" w:rsidRPr="00AD66BF">
        <w:rPr>
          <w:sz w:val="28"/>
          <w:szCs w:val="28"/>
        </w:rPr>
        <w:t>Commissione</w:t>
      </w:r>
      <w:r w:rsidR="004A433E">
        <w:rPr>
          <w:sz w:val="28"/>
          <w:szCs w:val="28"/>
        </w:rPr>
        <w:t>,</w:t>
      </w:r>
      <w:r w:rsidR="004A433E" w:rsidRPr="00AD66BF">
        <w:rPr>
          <w:sz w:val="28"/>
          <w:szCs w:val="28"/>
        </w:rPr>
        <w:t xml:space="preserve"> nella bozza della Direttiva sui contratti per la fornitura di servizi digitali</w:t>
      </w:r>
      <w:r w:rsidR="004A433E">
        <w:rPr>
          <w:sz w:val="28"/>
          <w:szCs w:val="28"/>
        </w:rPr>
        <w:t xml:space="preserve">, ha </w:t>
      </w:r>
      <w:r w:rsidR="004A433E" w:rsidRPr="00AD66BF">
        <w:rPr>
          <w:sz w:val="28"/>
          <w:szCs w:val="28"/>
        </w:rPr>
        <w:t>avanzat</w:t>
      </w:r>
      <w:r w:rsidR="004A433E">
        <w:rPr>
          <w:sz w:val="28"/>
          <w:szCs w:val="28"/>
        </w:rPr>
        <w:t>o</w:t>
      </w:r>
      <w:r w:rsidR="004A433E" w:rsidRPr="00AD66BF">
        <w:rPr>
          <w:sz w:val="28"/>
          <w:szCs w:val="28"/>
        </w:rPr>
        <w:t xml:space="preserve"> per la prima volt</w:t>
      </w:r>
      <w:r w:rsidR="004A433E">
        <w:rPr>
          <w:sz w:val="28"/>
          <w:szCs w:val="28"/>
        </w:rPr>
        <w:t xml:space="preserve">a la </w:t>
      </w:r>
      <w:r w:rsidRPr="00AD66BF">
        <w:rPr>
          <w:sz w:val="28"/>
          <w:szCs w:val="28"/>
        </w:rPr>
        <w:t>proposta di ammettere l’utilizzo dei dati come corrispettivo</w:t>
      </w:r>
      <w:r w:rsidR="004A433E">
        <w:rPr>
          <w:sz w:val="28"/>
          <w:szCs w:val="28"/>
        </w:rPr>
        <w:t xml:space="preserve">. Sembrava </w:t>
      </w:r>
      <w:r w:rsidRPr="00AD66BF">
        <w:rPr>
          <w:sz w:val="28"/>
          <w:szCs w:val="28"/>
        </w:rPr>
        <w:t>opportuno</w:t>
      </w:r>
      <w:r w:rsidR="004A433E">
        <w:rPr>
          <w:sz w:val="28"/>
          <w:szCs w:val="28"/>
        </w:rPr>
        <w:t>, in particolare,</w:t>
      </w:r>
      <w:r w:rsidRPr="00AD66BF">
        <w:rPr>
          <w:sz w:val="28"/>
          <w:szCs w:val="28"/>
        </w:rPr>
        <w:t xml:space="preserve"> riconoscere a</w:t>
      </w:r>
      <w:r w:rsidR="004A433E">
        <w:rPr>
          <w:sz w:val="28"/>
          <w:szCs w:val="28"/>
        </w:rPr>
        <w:t xml:space="preserve">i </w:t>
      </w:r>
      <w:r w:rsidRPr="00AD66BF">
        <w:rPr>
          <w:sz w:val="28"/>
          <w:szCs w:val="28"/>
        </w:rPr>
        <w:t xml:space="preserve">consumatori il diritto di scegliere </w:t>
      </w:r>
      <w:r w:rsidR="004A433E">
        <w:rPr>
          <w:sz w:val="28"/>
          <w:szCs w:val="28"/>
        </w:rPr>
        <w:t>tra le due alternative:</w:t>
      </w:r>
      <w:r w:rsidRPr="00AD66BF">
        <w:rPr>
          <w:sz w:val="28"/>
          <w:szCs w:val="28"/>
        </w:rPr>
        <w:t xml:space="preserve"> acquistare un determinato bene mediante la cessione dei propri dati personali o facendo ricorso alla valuta ordinaria. </w:t>
      </w:r>
    </w:p>
    <w:p w14:paraId="4C8C1A57" w14:textId="6E7B24BA" w:rsidR="004A433E" w:rsidRDefault="0095713B" w:rsidP="00AD66BF">
      <w:pPr>
        <w:pStyle w:val="NormaleWeb"/>
        <w:spacing w:before="0" w:beforeAutospacing="0" w:after="0" w:afterAutospacing="0"/>
        <w:jc w:val="both"/>
        <w:rPr>
          <w:sz w:val="28"/>
          <w:szCs w:val="28"/>
        </w:rPr>
      </w:pPr>
      <w:r w:rsidRPr="00AD66BF">
        <w:rPr>
          <w:sz w:val="28"/>
          <w:szCs w:val="28"/>
        </w:rPr>
        <w:t>Sul punto</w:t>
      </w:r>
      <w:r w:rsidR="004A433E">
        <w:rPr>
          <w:sz w:val="28"/>
          <w:szCs w:val="28"/>
        </w:rPr>
        <w:t>,</w:t>
      </w:r>
      <w:r w:rsidRPr="00AD66BF">
        <w:rPr>
          <w:sz w:val="28"/>
          <w:szCs w:val="28"/>
        </w:rPr>
        <w:t xml:space="preserve"> </w:t>
      </w:r>
      <w:r w:rsidR="004A433E" w:rsidRPr="00AD66BF">
        <w:rPr>
          <w:sz w:val="28"/>
          <w:szCs w:val="28"/>
        </w:rPr>
        <w:t>però</w:t>
      </w:r>
      <w:r w:rsidR="004A433E">
        <w:rPr>
          <w:sz w:val="28"/>
          <w:szCs w:val="28"/>
        </w:rPr>
        <w:t>,</w:t>
      </w:r>
      <w:r w:rsidR="004A433E" w:rsidRPr="00AD66BF">
        <w:rPr>
          <w:sz w:val="28"/>
          <w:szCs w:val="28"/>
        </w:rPr>
        <w:t xml:space="preserve"> </w:t>
      </w:r>
      <w:r w:rsidRPr="00AD66BF">
        <w:rPr>
          <w:sz w:val="28"/>
          <w:szCs w:val="28"/>
        </w:rPr>
        <w:t xml:space="preserve">ha </w:t>
      </w:r>
      <w:r w:rsidR="004A433E">
        <w:rPr>
          <w:sz w:val="28"/>
          <w:szCs w:val="28"/>
        </w:rPr>
        <w:t xml:space="preserve">espresso </w:t>
      </w:r>
      <w:r w:rsidRPr="00AD66BF">
        <w:rPr>
          <w:sz w:val="28"/>
          <w:szCs w:val="28"/>
        </w:rPr>
        <w:t>subito</w:t>
      </w:r>
      <w:r w:rsidR="004A433E">
        <w:rPr>
          <w:sz w:val="28"/>
          <w:szCs w:val="28"/>
        </w:rPr>
        <w:t xml:space="preserve"> </w:t>
      </w:r>
      <w:r w:rsidRPr="00AD66BF">
        <w:rPr>
          <w:sz w:val="28"/>
          <w:szCs w:val="28"/>
        </w:rPr>
        <w:t xml:space="preserve">parere negativo </w:t>
      </w:r>
      <w:r w:rsidR="00627CD5">
        <w:rPr>
          <w:sz w:val="28"/>
          <w:szCs w:val="28"/>
        </w:rPr>
        <w:t>il Garante europeo per la protezione dei dati (</w:t>
      </w:r>
      <w:r w:rsidRPr="00AD66BF">
        <w:rPr>
          <w:sz w:val="28"/>
          <w:szCs w:val="28"/>
        </w:rPr>
        <w:t>EDPS</w:t>
      </w:r>
      <w:r w:rsidR="00627CD5">
        <w:rPr>
          <w:sz w:val="28"/>
          <w:szCs w:val="28"/>
        </w:rPr>
        <w:t>)</w:t>
      </w:r>
      <w:r w:rsidR="00E238E7" w:rsidRPr="00AD66BF">
        <w:rPr>
          <w:rStyle w:val="Rimandonotaapidipagina"/>
          <w:sz w:val="28"/>
          <w:szCs w:val="28"/>
        </w:rPr>
        <w:footnoteReference w:id="205"/>
      </w:r>
      <w:r w:rsidR="00627CD5">
        <w:rPr>
          <w:sz w:val="28"/>
          <w:szCs w:val="28"/>
        </w:rPr>
        <w:t>,</w:t>
      </w:r>
      <w:r w:rsidRPr="00AD66BF">
        <w:rPr>
          <w:sz w:val="28"/>
          <w:szCs w:val="28"/>
        </w:rPr>
        <w:t xml:space="preserve"> che</w:t>
      </w:r>
      <w:r w:rsidR="004A433E" w:rsidRPr="004A433E">
        <w:rPr>
          <w:sz w:val="28"/>
          <w:szCs w:val="28"/>
        </w:rPr>
        <w:t xml:space="preserve"> </w:t>
      </w:r>
      <w:r w:rsidR="004A433E" w:rsidRPr="00AD66BF">
        <w:rPr>
          <w:sz w:val="28"/>
          <w:szCs w:val="28"/>
        </w:rPr>
        <w:t xml:space="preserve">ha </w:t>
      </w:r>
      <w:r w:rsidR="004A433E">
        <w:rPr>
          <w:sz w:val="28"/>
          <w:szCs w:val="28"/>
        </w:rPr>
        <w:t>voluto escludere</w:t>
      </w:r>
      <w:r w:rsidR="004A433E" w:rsidRPr="00AD66BF">
        <w:rPr>
          <w:sz w:val="28"/>
          <w:szCs w:val="28"/>
        </w:rPr>
        <w:t xml:space="preserve"> categoricamente la possibilità di equiparare i dati personali al corrispettivo o al denaro</w:t>
      </w:r>
      <w:r w:rsidRPr="00AD66BF">
        <w:rPr>
          <w:sz w:val="28"/>
          <w:szCs w:val="28"/>
        </w:rPr>
        <w:t xml:space="preserve">, </w:t>
      </w:r>
      <w:r w:rsidR="004A433E">
        <w:rPr>
          <w:sz w:val="28"/>
          <w:szCs w:val="28"/>
        </w:rPr>
        <w:t>seppur</w:t>
      </w:r>
      <w:r w:rsidRPr="00AD66BF">
        <w:rPr>
          <w:sz w:val="28"/>
          <w:szCs w:val="28"/>
        </w:rPr>
        <w:t xml:space="preserve"> aprendo </w:t>
      </w:r>
      <w:r w:rsidR="004A433E">
        <w:rPr>
          <w:sz w:val="28"/>
          <w:szCs w:val="28"/>
        </w:rPr>
        <w:t xml:space="preserve">alla possibilità </w:t>
      </w:r>
      <w:r w:rsidRPr="00AD66BF">
        <w:rPr>
          <w:sz w:val="28"/>
          <w:szCs w:val="28"/>
        </w:rPr>
        <w:t xml:space="preserve">di applicare le regole di tutela previste per i consumatori anche nel caso di acquisto di servizi generalmente considerati gratuiti. </w:t>
      </w:r>
    </w:p>
    <w:p w14:paraId="73A3A637" w14:textId="77777777" w:rsidR="004A433E" w:rsidRDefault="004A433E" w:rsidP="00AD66BF">
      <w:pPr>
        <w:pStyle w:val="NormaleWeb"/>
        <w:spacing w:before="0" w:beforeAutospacing="0" w:after="0" w:afterAutospacing="0"/>
        <w:jc w:val="both"/>
        <w:rPr>
          <w:sz w:val="28"/>
          <w:szCs w:val="28"/>
        </w:rPr>
      </w:pPr>
      <w:r>
        <w:rPr>
          <w:sz w:val="28"/>
          <w:szCs w:val="28"/>
        </w:rPr>
        <w:t>I</w:t>
      </w:r>
      <w:r w:rsidRPr="00AD66BF">
        <w:rPr>
          <w:sz w:val="28"/>
          <w:szCs w:val="28"/>
        </w:rPr>
        <w:t>n Italia</w:t>
      </w:r>
      <w:r>
        <w:rPr>
          <w:sz w:val="28"/>
          <w:szCs w:val="28"/>
        </w:rPr>
        <w:t>,</w:t>
      </w:r>
      <w:r w:rsidRPr="00AD66BF">
        <w:rPr>
          <w:sz w:val="28"/>
          <w:szCs w:val="28"/>
        </w:rPr>
        <w:t xml:space="preserve"> Guido Scorza</w:t>
      </w:r>
      <w:r>
        <w:rPr>
          <w:sz w:val="28"/>
          <w:szCs w:val="28"/>
        </w:rPr>
        <w:t>,</w:t>
      </w:r>
      <w:r w:rsidRPr="00AD66BF">
        <w:rPr>
          <w:sz w:val="28"/>
          <w:szCs w:val="28"/>
        </w:rPr>
        <w:t xml:space="preserve"> membro del Garante per la protezione dei dati</w:t>
      </w:r>
      <w:r>
        <w:rPr>
          <w:sz w:val="28"/>
          <w:szCs w:val="28"/>
        </w:rPr>
        <w:t>,</w:t>
      </w:r>
      <w:r w:rsidRPr="00AD66BF">
        <w:rPr>
          <w:sz w:val="28"/>
          <w:szCs w:val="28"/>
        </w:rPr>
        <w:t xml:space="preserve"> </w:t>
      </w:r>
      <w:r>
        <w:rPr>
          <w:sz w:val="28"/>
          <w:szCs w:val="28"/>
        </w:rPr>
        <w:t>ha espresso le sue</w:t>
      </w:r>
      <w:r w:rsidR="0095713B" w:rsidRPr="00AD66BF">
        <w:rPr>
          <w:sz w:val="28"/>
          <w:szCs w:val="28"/>
        </w:rPr>
        <w:t xml:space="preserve"> perplessità sul tema</w:t>
      </w:r>
      <w:r>
        <w:rPr>
          <w:sz w:val="28"/>
          <w:szCs w:val="28"/>
        </w:rPr>
        <w:t xml:space="preserve">, </w:t>
      </w:r>
      <w:r w:rsidR="0095713B" w:rsidRPr="00AD66BF">
        <w:rPr>
          <w:sz w:val="28"/>
          <w:szCs w:val="28"/>
        </w:rPr>
        <w:t>evidenzia</w:t>
      </w:r>
      <w:r>
        <w:rPr>
          <w:sz w:val="28"/>
          <w:szCs w:val="28"/>
        </w:rPr>
        <w:t>ndo che</w:t>
      </w:r>
      <w:r w:rsidR="0095713B" w:rsidRPr="00AD66BF">
        <w:rPr>
          <w:sz w:val="28"/>
          <w:szCs w:val="28"/>
        </w:rPr>
        <w:t xml:space="preserve"> in questo modo si creerebbe una discrepanza fra coloro che godono di una migliore condizione economica </w:t>
      </w:r>
      <w:r>
        <w:rPr>
          <w:sz w:val="28"/>
          <w:szCs w:val="28"/>
        </w:rPr>
        <w:t xml:space="preserve">– </w:t>
      </w:r>
      <w:r w:rsidR="0095713B" w:rsidRPr="00AD66BF">
        <w:rPr>
          <w:sz w:val="28"/>
          <w:szCs w:val="28"/>
        </w:rPr>
        <w:t xml:space="preserve">e possono, quindi, scegliere effettivamente quale mezzo di acquisto utilizzare </w:t>
      </w:r>
      <w:r>
        <w:rPr>
          <w:sz w:val="28"/>
          <w:szCs w:val="28"/>
        </w:rPr>
        <w:t xml:space="preserve">– </w:t>
      </w:r>
      <w:r w:rsidR="0095713B" w:rsidRPr="00AD66BF">
        <w:rPr>
          <w:sz w:val="28"/>
          <w:szCs w:val="28"/>
        </w:rPr>
        <w:t xml:space="preserve">e coloro che, invece, </w:t>
      </w:r>
      <w:r w:rsidRPr="00AD66BF">
        <w:rPr>
          <w:sz w:val="28"/>
          <w:szCs w:val="28"/>
        </w:rPr>
        <w:t>sarebbero maggiormente propensi a cedere i propri dati personali</w:t>
      </w:r>
      <w:r>
        <w:rPr>
          <w:sz w:val="28"/>
          <w:szCs w:val="28"/>
        </w:rPr>
        <w:t xml:space="preserve">, </w:t>
      </w:r>
      <w:r w:rsidR="0095713B" w:rsidRPr="00AD66BF">
        <w:rPr>
          <w:sz w:val="28"/>
          <w:szCs w:val="28"/>
        </w:rPr>
        <w:t>trovandosi in una situazione peggiore</w:t>
      </w:r>
      <w:r>
        <w:rPr>
          <w:sz w:val="28"/>
          <w:szCs w:val="28"/>
        </w:rPr>
        <w:t xml:space="preserve"> e </w:t>
      </w:r>
      <w:r w:rsidR="0095713B" w:rsidRPr="00AD66BF">
        <w:rPr>
          <w:sz w:val="28"/>
          <w:szCs w:val="28"/>
        </w:rPr>
        <w:t xml:space="preserve">ignorandone le conseguenze. </w:t>
      </w:r>
    </w:p>
    <w:p w14:paraId="24C73F76" w14:textId="5DB39131" w:rsidR="0092292E" w:rsidRDefault="00985859" w:rsidP="00627CD5">
      <w:pPr>
        <w:pStyle w:val="NormaleWeb"/>
        <w:spacing w:before="0" w:beforeAutospacing="0" w:after="0" w:afterAutospacing="0"/>
        <w:jc w:val="both"/>
        <w:rPr>
          <w:sz w:val="28"/>
          <w:szCs w:val="28"/>
        </w:rPr>
      </w:pPr>
      <w:r>
        <w:rPr>
          <w:sz w:val="28"/>
          <w:szCs w:val="28"/>
        </w:rPr>
        <w:t xml:space="preserve">La tesi contraria alla </w:t>
      </w:r>
      <w:r w:rsidR="0095713B" w:rsidRPr="00AD66BF">
        <w:rPr>
          <w:sz w:val="28"/>
          <w:szCs w:val="28"/>
        </w:rPr>
        <w:t>commercializzazione</w:t>
      </w:r>
      <w:r>
        <w:rPr>
          <w:sz w:val="28"/>
          <w:szCs w:val="28"/>
        </w:rPr>
        <w:t xml:space="preserve"> dei dati personali sostiene le sue ragioni anche per evitare </w:t>
      </w:r>
      <w:r w:rsidR="0095713B" w:rsidRPr="00AD66BF">
        <w:rPr>
          <w:sz w:val="28"/>
          <w:szCs w:val="28"/>
        </w:rPr>
        <w:t xml:space="preserve">l’eccessiva </w:t>
      </w:r>
      <w:proofErr w:type="spellStart"/>
      <w:r w:rsidR="0095713B" w:rsidRPr="00AD66BF">
        <w:rPr>
          <w:sz w:val="28"/>
          <w:szCs w:val="28"/>
        </w:rPr>
        <w:t>profilazione</w:t>
      </w:r>
      <w:proofErr w:type="spellEnd"/>
      <w:r w:rsidR="0095713B" w:rsidRPr="00AD66BF">
        <w:rPr>
          <w:sz w:val="28"/>
          <w:szCs w:val="28"/>
        </w:rPr>
        <w:t xml:space="preserve"> della popolazione, a cui </w:t>
      </w:r>
      <w:r>
        <w:rPr>
          <w:sz w:val="28"/>
          <w:szCs w:val="28"/>
        </w:rPr>
        <w:t>è legato</w:t>
      </w:r>
      <w:r w:rsidR="0095713B" w:rsidRPr="00AD66BF">
        <w:rPr>
          <w:sz w:val="28"/>
          <w:szCs w:val="28"/>
        </w:rPr>
        <w:t xml:space="preserve"> il rischio di possibili discriminazioni. L’obiettivo della tutela si estende</w:t>
      </w:r>
      <w:r>
        <w:rPr>
          <w:sz w:val="28"/>
          <w:szCs w:val="28"/>
        </w:rPr>
        <w:t xml:space="preserve">, quindi, </w:t>
      </w:r>
      <w:r w:rsidR="0095713B" w:rsidRPr="00AD66BF">
        <w:rPr>
          <w:sz w:val="28"/>
          <w:szCs w:val="28"/>
        </w:rPr>
        <w:t>all’intera collettività</w:t>
      </w:r>
      <w:r w:rsidR="00B57511" w:rsidRPr="00AD66BF">
        <w:rPr>
          <w:sz w:val="28"/>
          <w:szCs w:val="28"/>
        </w:rPr>
        <w:t>.</w:t>
      </w:r>
      <w:r w:rsidR="0092292E">
        <w:rPr>
          <w:sz w:val="28"/>
          <w:szCs w:val="28"/>
        </w:rPr>
        <w:br w:type="page"/>
      </w:r>
    </w:p>
    <w:p w14:paraId="1C91461E" w14:textId="72A31839" w:rsidR="000F5EEF" w:rsidRDefault="000F5EEF" w:rsidP="00AD66BF">
      <w:pPr>
        <w:pStyle w:val="NormaleWeb"/>
        <w:spacing w:before="0" w:beforeAutospacing="0" w:after="0" w:afterAutospacing="0"/>
        <w:jc w:val="both"/>
        <w:rPr>
          <w:sz w:val="28"/>
          <w:szCs w:val="28"/>
        </w:rPr>
      </w:pPr>
      <w:r>
        <w:rPr>
          <w:sz w:val="28"/>
          <w:szCs w:val="28"/>
        </w:rPr>
        <w:lastRenderedPageBreak/>
        <w:t>Di recente, sia la giurisprudenza</w:t>
      </w:r>
      <w:r w:rsidRPr="00AD66BF">
        <w:rPr>
          <w:sz w:val="28"/>
          <w:szCs w:val="28"/>
        </w:rPr>
        <w:t xml:space="preserve"> del Consiglio di Stato</w:t>
      </w:r>
      <w:r>
        <w:rPr>
          <w:sz w:val="28"/>
          <w:szCs w:val="28"/>
        </w:rPr>
        <w:t>,</w:t>
      </w:r>
      <w:r w:rsidRPr="00AD66BF">
        <w:rPr>
          <w:sz w:val="28"/>
          <w:szCs w:val="28"/>
        </w:rPr>
        <w:t xml:space="preserve"> </w:t>
      </w:r>
      <w:r>
        <w:rPr>
          <w:sz w:val="28"/>
          <w:szCs w:val="28"/>
        </w:rPr>
        <w:t>che l’</w:t>
      </w:r>
      <w:r w:rsidRPr="00AD66BF">
        <w:rPr>
          <w:sz w:val="28"/>
          <w:szCs w:val="28"/>
        </w:rPr>
        <w:t>A</w:t>
      </w:r>
      <w:r>
        <w:rPr>
          <w:sz w:val="28"/>
          <w:szCs w:val="28"/>
        </w:rPr>
        <w:t>utorità Garante della Concorrenza e del Mercato</w:t>
      </w:r>
      <w:r w:rsidRPr="00AD66BF">
        <w:rPr>
          <w:sz w:val="28"/>
          <w:szCs w:val="28"/>
        </w:rPr>
        <w:t xml:space="preserve"> </w:t>
      </w:r>
      <w:r w:rsidR="0095713B" w:rsidRPr="00AD66BF">
        <w:rPr>
          <w:sz w:val="28"/>
          <w:szCs w:val="28"/>
        </w:rPr>
        <w:t xml:space="preserve">attraverso le </w:t>
      </w:r>
      <w:r>
        <w:rPr>
          <w:sz w:val="28"/>
          <w:szCs w:val="28"/>
        </w:rPr>
        <w:t xml:space="preserve">sue </w:t>
      </w:r>
      <w:r w:rsidR="0095713B" w:rsidRPr="00AD66BF">
        <w:rPr>
          <w:sz w:val="28"/>
          <w:szCs w:val="28"/>
        </w:rPr>
        <w:t>pronunce</w:t>
      </w:r>
      <w:r>
        <w:rPr>
          <w:sz w:val="28"/>
          <w:szCs w:val="28"/>
        </w:rPr>
        <w:t>,</w:t>
      </w:r>
      <w:r w:rsidR="0095713B" w:rsidRPr="00AD66BF">
        <w:rPr>
          <w:sz w:val="28"/>
          <w:szCs w:val="28"/>
        </w:rPr>
        <w:t xml:space="preserve"> si </w:t>
      </w:r>
      <w:r>
        <w:rPr>
          <w:sz w:val="28"/>
          <w:szCs w:val="28"/>
        </w:rPr>
        <w:t>sono posti</w:t>
      </w:r>
      <w:r w:rsidR="0095713B" w:rsidRPr="00AD66BF">
        <w:rPr>
          <w:sz w:val="28"/>
          <w:szCs w:val="28"/>
        </w:rPr>
        <w:t xml:space="preserve"> in una posizione più </w:t>
      </w:r>
      <w:r>
        <w:rPr>
          <w:sz w:val="28"/>
          <w:szCs w:val="28"/>
        </w:rPr>
        <w:t xml:space="preserve">aperta e </w:t>
      </w:r>
      <w:r w:rsidR="0095713B" w:rsidRPr="00AD66BF">
        <w:rPr>
          <w:sz w:val="28"/>
          <w:szCs w:val="28"/>
        </w:rPr>
        <w:t xml:space="preserve">favorevole all’introduzione di </w:t>
      </w:r>
      <w:r>
        <w:rPr>
          <w:sz w:val="28"/>
          <w:szCs w:val="28"/>
        </w:rPr>
        <w:t xml:space="preserve">un </w:t>
      </w:r>
      <w:r w:rsidR="0095713B" w:rsidRPr="00AD66BF">
        <w:rPr>
          <w:sz w:val="28"/>
          <w:szCs w:val="28"/>
        </w:rPr>
        <w:t xml:space="preserve">approccio </w:t>
      </w:r>
      <w:r w:rsidR="0095713B" w:rsidRPr="00AD3A72">
        <w:rPr>
          <w:i/>
          <w:iCs/>
          <w:sz w:val="28"/>
          <w:szCs w:val="28"/>
        </w:rPr>
        <w:t>negoziale</w:t>
      </w:r>
      <w:r w:rsidR="0095713B" w:rsidRPr="00AD66BF">
        <w:rPr>
          <w:sz w:val="28"/>
          <w:szCs w:val="28"/>
        </w:rPr>
        <w:t xml:space="preserve"> rispetto alla disciplina dei dati personali. </w:t>
      </w:r>
    </w:p>
    <w:p w14:paraId="45305ACA" w14:textId="77777777" w:rsidR="000551DE" w:rsidRDefault="000F5EEF" w:rsidP="00AD66BF">
      <w:pPr>
        <w:pStyle w:val="NormaleWeb"/>
        <w:spacing w:before="0" w:beforeAutospacing="0" w:after="0" w:afterAutospacing="0"/>
        <w:jc w:val="both"/>
        <w:rPr>
          <w:sz w:val="28"/>
          <w:szCs w:val="28"/>
        </w:rPr>
      </w:pPr>
      <w:r>
        <w:rPr>
          <w:sz w:val="28"/>
          <w:szCs w:val="28"/>
        </w:rPr>
        <w:t>Si può</w:t>
      </w:r>
      <w:r w:rsidR="00FA3C29">
        <w:rPr>
          <w:sz w:val="28"/>
          <w:szCs w:val="28"/>
        </w:rPr>
        <w:t>,</w:t>
      </w:r>
      <w:r>
        <w:rPr>
          <w:sz w:val="28"/>
          <w:szCs w:val="28"/>
        </w:rPr>
        <w:t xml:space="preserve"> preliminarmente</w:t>
      </w:r>
      <w:r w:rsidR="00FA3C29">
        <w:rPr>
          <w:sz w:val="28"/>
          <w:szCs w:val="28"/>
        </w:rPr>
        <w:t>,</w:t>
      </w:r>
      <w:r>
        <w:rPr>
          <w:sz w:val="28"/>
          <w:szCs w:val="28"/>
        </w:rPr>
        <w:t xml:space="preserve"> fare l’esempio</w:t>
      </w:r>
      <w:r w:rsidR="0095713B" w:rsidRPr="00AD66BF">
        <w:rPr>
          <w:sz w:val="28"/>
          <w:szCs w:val="28"/>
        </w:rPr>
        <w:t xml:space="preserve"> </w:t>
      </w:r>
      <w:r>
        <w:rPr>
          <w:sz w:val="28"/>
          <w:szCs w:val="28"/>
        </w:rPr>
        <w:t>del</w:t>
      </w:r>
      <w:r w:rsidRPr="00AD66BF">
        <w:rPr>
          <w:sz w:val="28"/>
          <w:szCs w:val="28"/>
        </w:rPr>
        <w:t>l’AGCM</w:t>
      </w:r>
      <w:r>
        <w:rPr>
          <w:sz w:val="28"/>
          <w:szCs w:val="28"/>
        </w:rPr>
        <w:t xml:space="preserve"> che,</w:t>
      </w:r>
      <w:r w:rsidRPr="00AD66BF">
        <w:rPr>
          <w:sz w:val="28"/>
          <w:szCs w:val="28"/>
        </w:rPr>
        <w:t xml:space="preserve"> </w:t>
      </w:r>
      <w:r w:rsidR="00FA3C29">
        <w:rPr>
          <w:sz w:val="28"/>
          <w:szCs w:val="28"/>
        </w:rPr>
        <w:t>dichiarando</w:t>
      </w:r>
      <w:r w:rsidR="0095713B" w:rsidRPr="00AD66BF">
        <w:rPr>
          <w:sz w:val="28"/>
          <w:szCs w:val="28"/>
        </w:rPr>
        <w:t xml:space="preserve"> </w:t>
      </w:r>
      <w:r w:rsidR="00FA3C29">
        <w:rPr>
          <w:sz w:val="28"/>
          <w:szCs w:val="28"/>
        </w:rPr>
        <w:t>la</w:t>
      </w:r>
      <w:r w:rsidR="0095713B" w:rsidRPr="00AD66BF">
        <w:rPr>
          <w:sz w:val="28"/>
          <w:szCs w:val="28"/>
        </w:rPr>
        <w:t xml:space="preserve"> </w:t>
      </w:r>
      <w:proofErr w:type="spellStart"/>
      <w:r w:rsidRPr="00AD66BF">
        <w:rPr>
          <w:sz w:val="28"/>
          <w:szCs w:val="28"/>
        </w:rPr>
        <w:t>vessatorietà</w:t>
      </w:r>
      <w:proofErr w:type="spellEnd"/>
      <w:r w:rsidR="0095713B" w:rsidRPr="00AD66BF">
        <w:rPr>
          <w:sz w:val="28"/>
          <w:szCs w:val="28"/>
        </w:rPr>
        <w:t xml:space="preserve"> di </w:t>
      </w:r>
      <w:r w:rsidR="00FA3C29">
        <w:rPr>
          <w:sz w:val="28"/>
          <w:szCs w:val="28"/>
        </w:rPr>
        <w:t>alcune</w:t>
      </w:r>
      <w:r w:rsidR="0095713B" w:rsidRPr="00AD66BF">
        <w:rPr>
          <w:sz w:val="28"/>
          <w:szCs w:val="28"/>
        </w:rPr>
        <w:t xml:space="preserve"> clausole contrattuali </w:t>
      </w:r>
      <w:r w:rsidR="00AD3A72">
        <w:rPr>
          <w:sz w:val="28"/>
          <w:szCs w:val="28"/>
        </w:rPr>
        <w:t>poste</w:t>
      </w:r>
      <w:r w:rsidR="0095713B" w:rsidRPr="00AD66BF">
        <w:rPr>
          <w:sz w:val="28"/>
          <w:szCs w:val="28"/>
        </w:rPr>
        <w:t xml:space="preserve"> da </w:t>
      </w:r>
      <w:proofErr w:type="spellStart"/>
      <w:r w:rsidR="0095713B" w:rsidRPr="000F5EEF">
        <w:rPr>
          <w:i/>
          <w:iCs/>
          <w:sz w:val="28"/>
          <w:szCs w:val="28"/>
        </w:rPr>
        <w:t>Whatsapp</w:t>
      </w:r>
      <w:proofErr w:type="spellEnd"/>
      <w:r w:rsidR="0095713B" w:rsidRPr="00AD66BF">
        <w:rPr>
          <w:sz w:val="28"/>
          <w:szCs w:val="28"/>
        </w:rPr>
        <w:t xml:space="preserve">, ha affermato che non assumesse rilevanza </w:t>
      </w:r>
      <w:r w:rsidR="00AD3A72">
        <w:rPr>
          <w:sz w:val="28"/>
          <w:szCs w:val="28"/>
        </w:rPr>
        <w:t xml:space="preserve">alcuna </w:t>
      </w:r>
      <w:r w:rsidR="0095713B" w:rsidRPr="00AD66BF">
        <w:rPr>
          <w:sz w:val="28"/>
          <w:szCs w:val="28"/>
        </w:rPr>
        <w:t xml:space="preserve">il fatto che </w:t>
      </w:r>
      <w:r w:rsidR="00AD3A72">
        <w:rPr>
          <w:sz w:val="28"/>
          <w:szCs w:val="28"/>
        </w:rPr>
        <w:t>l’</w:t>
      </w:r>
      <w:proofErr w:type="spellStart"/>
      <w:r w:rsidR="00AD3A72">
        <w:rPr>
          <w:i/>
          <w:iCs/>
          <w:sz w:val="28"/>
          <w:szCs w:val="28"/>
        </w:rPr>
        <w:t>A</w:t>
      </w:r>
      <w:r w:rsidR="00AD3A72" w:rsidRPr="00AD3A72">
        <w:rPr>
          <w:i/>
          <w:iCs/>
          <w:sz w:val="28"/>
          <w:szCs w:val="28"/>
        </w:rPr>
        <w:t>pp</w:t>
      </w:r>
      <w:proofErr w:type="spellEnd"/>
      <w:r w:rsidR="00AD3A72">
        <w:rPr>
          <w:sz w:val="28"/>
          <w:szCs w:val="28"/>
        </w:rPr>
        <w:t xml:space="preserve"> </w:t>
      </w:r>
      <w:r w:rsidR="0095713B" w:rsidRPr="00AD66BF">
        <w:rPr>
          <w:sz w:val="28"/>
          <w:szCs w:val="28"/>
        </w:rPr>
        <w:t xml:space="preserve">di messaggistica istantanea </w:t>
      </w:r>
      <w:proofErr w:type="gramStart"/>
      <w:r w:rsidR="0095713B" w:rsidRPr="00AD66BF">
        <w:rPr>
          <w:sz w:val="28"/>
          <w:szCs w:val="28"/>
        </w:rPr>
        <w:t>venisse</w:t>
      </w:r>
      <w:proofErr w:type="gramEnd"/>
      <w:r w:rsidR="0095713B" w:rsidRPr="00AD66BF">
        <w:rPr>
          <w:sz w:val="28"/>
          <w:szCs w:val="28"/>
        </w:rPr>
        <w:t xml:space="preserve"> offert</w:t>
      </w:r>
      <w:r w:rsidR="00AD3A72">
        <w:rPr>
          <w:sz w:val="28"/>
          <w:szCs w:val="28"/>
        </w:rPr>
        <w:t>a</w:t>
      </w:r>
      <w:r w:rsidR="0095713B" w:rsidRPr="00AD66BF">
        <w:rPr>
          <w:sz w:val="28"/>
          <w:szCs w:val="28"/>
        </w:rPr>
        <w:t xml:space="preserve"> agli utenti </w:t>
      </w:r>
      <w:r w:rsidR="00AD3A72">
        <w:rPr>
          <w:sz w:val="28"/>
          <w:szCs w:val="28"/>
        </w:rPr>
        <w:t>in maniera gratuita,</w:t>
      </w:r>
      <w:r w:rsidR="0095713B" w:rsidRPr="00AD66BF">
        <w:rPr>
          <w:sz w:val="28"/>
          <w:szCs w:val="28"/>
        </w:rPr>
        <w:t xml:space="preserve"> ai fini della qualificazione del rapporto giuridico </w:t>
      </w:r>
      <w:r w:rsidR="00AD3A72">
        <w:rPr>
          <w:sz w:val="28"/>
          <w:szCs w:val="28"/>
        </w:rPr>
        <w:t xml:space="preserve">istauratosi </w:t>
      </w:r>
      <w:r w:rsidR="0095713B" w:rsidRPr="00AD66BF">
        <w:rPr>
          <w:sz w:val="28"/>
          <w:szCs w:val="28"/>
        </w:rPr>
        <w:t>fra</w:t>
      </w:r>
      <w:r w:rsidR="00AD3A72">
        <w:rPr>
          <w:sz w:val="28"/>
          <w:szCs w:val="28"/>
        </w:rPr>
        <w:t xml:space="preserve"> gli stessi </w:t>
      </w:r>
      <w:r w:rsidR="0095713B" w:rsidRPr="00AD66BF">
        <w:rPr>
          <w:sz w:val="28"/>
          <w:szCs w:val="28"/>
        </w:rPr>
        <w:t>e la società come un rapporto consumeristic</w:t>
      </w:r>
      <w:r w:rsidR="00AD3A72">
        <w:rPr>
          <w:sz w:val="28"/>
          <w:szCs w:val="28"/>
        </w:rPr>
        <w:t xml:space="preserve">o. </w:t>
      </w:r>
    </w:p>
    <w:p w14:paraId="632C7B44" w14:textId="7CAAF2C5" w:rsidR="0095713B" w:rsidRPr="00AD66BF" w:rsidRDefault="00AD3A72" w:rsidP="00AD66BF">
      <w:pPr>
        <w:pStyle w:val="NormaleWeb"/>
        <w:spacing w:before="0" w:beforeAutospacing="0" w:after="0" w:afterAutospacing="0"/>
        <w:jc w:val="both"/>
        <w:rPr>
          <w:sz w:val="28"/>
          <w:szCs w:val="28"/>
        </w:rPr>
      </w:pPr>
      <w:r>
        <w:rPr>
          <w:sz w:val="28"/>
          <w:szCs w:val="28"/>
        </w:rPr>
        <w:t>La posizione dell’Autorità poggia</w:t>
      </w:r>
      <w:r w:rsidR="0095713B" w:rsidRPr="00AD66BF">
        <w:rPr>
          <w:sz w:val="28"/>
          <w:szCs w:val="28"/>
        </w:rPr>
        <w:t xml:space="preserve"> sulla considerazione che il valore economico dei dati </w:t>
      </w:r>
      <w:r>
        <w:rPr>
          <w:sz w:val="28"/>
          <w:szCs w:val="28"/>
        </w:rPr>
        <w:t xml:space="preserve">personali </w:t>
      </w:r>
      <w:r w:rsidR="0095713B" w:rsidRPr="00AD66BF">
        <w:rPr>
          <w:sz w:val="28"/>
          <w:szCs w:val="28"/>
        </w:rPr>
        <w:t xml:space="preserve">degli utenti ceduti </w:t>
      </w:r>
      <w:r>
        <w:rPr>
          <w:sz w:val="28"/>
          <w:szCs w:val="28"/>
        </w:rPr>
        <w:t xml:space="preserve">alla società </w:t>
      </w:r>
      <w:r w:rsidR="0095713B" w:rsidRPr="00AD66BF">
        <w:rPr>
          <w:sz w:val="28"/>
          <w:szCs w:val="28"/>
        </w:rPr>
        <w:t xml:space="preserve">per accedere al servizio </w:t>
      </w:r>
      <w:r>
        <w:rPr>
          <w:sz w:val="28"/>
          <w:szCs w:val="28"/>
        </w:rPr>
        <w:t xml:space="preserve">di messaggistica </w:t>
      </w:r>
      <w:r w:rsidR="0095713B" w:rsidRPr="00AD66BF">
        <w:rPr>
          <w:sz w:val="28"/>
          <w:szCs w:val="28"/>
        </w:rPr>
        <w:t>dovesse ritenersi</w:t>
      </w:r>
      <w:r>
        <w:rPr>
          <w:sz w:val="28"/>
          <w:szCs w:val="28"/>
        </w:rPr>
        <w:t>,</w:t>
      </w:r>
      <w:r w:rsidR="0095713B" w:rsidRPr="00AD66BF">
        <w:rPr>
          <w:sz w:val="28"/>
          <w:szCs w:val="28"/>
        </w:rPr>
        <w:t xml:space="preserve"> da solo</w:t>
      </w:r>
      <w:r>
        <w:rPr>
          <w:sz w:val="28"/>
          <w:szCs w:val="28"/>
        </w:rPr>
        <w:t>,</w:t>
      </w:r>
      <w:r w:rsidR="0095713B" w:rsidRPr="00AD66BF">
        <w:rPr>
          <w:sz w:val="28"/>
          <w:szCs w:val="28"/>
        </w:rPr>
        <w:t xml:space="preserve"> sufficiente a far sorgere un rapporto consumatore/professionista</w:t>
      </w:r>
      <w:r w:rsidR="00E238E7" w:rsidRPr="00AD66BF">
        <w:rPr>
          <w:rStyle w:val="Rimandonotaapidipagina"/>
          <w:sz w:val="28"/>
          <w:szCs w:val="28"/>
        </w:rPr>
        <w:footnoteReference w:id="206"/>
      </w:r>
      <w:r w:rsidR="0095713B" w:rsidRPr="00AD66BF">
        <w:rPr>
          <w:sz w:val="28"/>
          <w:szCs w:val="28"/>
        </w:rPr>
        <w:t>.</w:t>
      </w:r>
    </w:p>
    <w:p w14:paraId="3C81D710" w14:textId="3108BBE7" w:rsidR="0095713B" w:rsidRPr="00AD66BF" w:rsidRDefault="00544BD5" w:rsidP="00AD66BF">
      <w:pPr>
        <w:pStyle w:val="NormaleWeb"/>
        <w:spacing w:before="0" w:beforeAutospacing="0" w:after="0" w:afterAutospacing="0"/>
        <w:jc w:val="both"/>
        <w:rPr>
          <w:sz w:val="28"/>
          <w:szCs w:val="28"/>
        </w:rPr>
      </w:pPr>
      <w:r>
        <w:rPr>
          <w:sz w:val="28"/>
          <w:szCs w:val="28"/>
        </w:rPr>
        <w:t>In realtà, però, l</w:t>
      </w:r>
      <w:r w:rsidR="0095713B" w:rsidRPr="00AD66BF">
        <w:rPr>
          <w:sz w:val="28"/>
          <w:szCs w:val="28"/>
        </w:rPr>
        <w:t xml:space="preserve">’esempio più </w:t>
      </w:r>
      <w:r>
        <w:rPr>
          <w:sz w:val="28"/>
          <w:szCs w:val="28"/>
        </w:rPr>
        <w:t>lampante</w:t>
      </w:r>
      <w:r w:rsidR="0095713B" w:rsidRPr="00AD66BF">
        <w:rPr>
          <w:sz w:val="28"/>
          <w:szCs w:val="28"/>
        </w:rPr>
        <w:t xml:space="preserve"> di quest</w:t>
      </w:r>
      <w:r>
        <w:rPr>
          <w:sz w:val="28"/>
          <w:szCs w:val="28"/>
        </w:rPr>
        <w:t>o</w:t>
      </w:r>
      <w:r w:rsidR="0095713B" w:rsidRPr="00AD66BF">
        <w:rPr>
          <w:sz w:val="28"/>
          <w:szCs w:val="28"/>
        </w:rPr>
        <w:t xml:space="preserve"> nuov</w:t>
      </w:r>
      <w:r>
        <w:rPr>
          <w:sz w:val="28"/>
          <w:szCs w:val="28"/>
        </w:rPr>
        <w:t>o approccio negoziale</w:t>
      </w:r>
      <w:r w:rsidR="0095713B" w:rsidRPr="00AD66BF">
        <w:rPr>
          <w:sz w:val="28"/>
          <w:szCs w:val="28"/>
        </w:rPr>
        <w:t xml:space="preserve"> </w:t>
      </w:r>
      <w:r>
        <w:rPr>
          <w:sz w:val="28"/>
          <w:szCs w:val="28"/>
        </w:rPr>
        <w:t>è da rinvenirsi nel</w:t>
      </w:r>
      <w:r w:rsidR="0095713B" w:rsidRPr="00AD66BF">
        <w:rPr>
          <w:sz w:val="28"/>
          <w:szCs w:val="28"/>
        </w:rPr>
        <w:t xml:space="preserve"> caso che ha visto </w:t>
      </w:r>
      <w:r>
        <w:rPr>
          <w:sz w:val="28"/>
          <w:szCs w:val="28"/>
        </w:rPr>
        <w:t>come parti contrapposte</w:t>
      </w:r>
      <w:r w:rsidR="0095713B" w:rsidRPr="00AD66BF">
        <w:rPr>
          <w:sz w:val="28"/>
          <w:szCs w:val="28"/>
        </w:rPr>
        <w:t xml:space="preserve"> l’AGCM e </w:t>
      </w:r>
      <w:proofErr w:type="spellStart"/>
      <w:r w:rsidR="0095713B" w:rsidRPr="00AD66BF">
        <w:rPr>
          <w:sz w:val="28"/>
          <w:szCs w:val="28"/>
        </w:rPr>
        <w:t>Facebook</w:t>
      </w:r>
      <w:proofErr w:type="spellEnd"/>
      <w:r w:rsidR="0095713B" w:rsidRPr="00AD66BF">
        <w:rPr>
          <w:sz w:val="28"/>
          <w:szCs w:val="28"/>
        </w:rPr>
        <w:t xml:space="preserve">, </w:t>
      </w:r>
      <w:r>
        <w:rPr>
          <w:sz w:val="28"/>
          <w:szCs w:val="28"/>
        </w:rPr>
        <w:t xml:space="preserve">e che è arrivato fino al </w:t>
      </w:r>
      <w:r w:rsidR="0095713B" w:rsidRPr="00AD66BF">
        <w:rPr>
          <w:sz w:val="28"/>
          <w:szCs w:val="28"/>
        </w:rPr>
        <w:t xml:space="preserve">Consiglio di Stato, </w:t>
      </w:r>
      <w:r>
        <w:rPr>
          <w:sz w:val="28"/>
          <w:szCs w:val="28"/>
        </w:rPr>
        <w:t>davanti</w:t>
      </w:r>
      <w:r w:rsidR="0095713B" w:rsidRPr="00AD66BF">
        <w:rPr>
          <w:sz w:val="28"/>
          <w:szCs w:val="28"/>
        </w:rPr>
        <w:t xml:space="preserve"> al quale le parti avevano presentato ricorso.</w:t>
      </w:r>
    </w:p>
    <w:p w14:paraId="5C246836" w14:textId="10D62E4E" w:rsidR="0095713B" w:rsidRPr="00AD66BF" w:rsidRDefault="00B53035" w:rsidP="00AD66BF">
      <w:pPr>
        <w:pStyle w:val="NormaleWeb"/>
        <w:spacing w:before="0" w:beforeAutospacing="0" w:after="0" w:afterAutospacing="0"/>
        <w:jc w:val="both"/>
        <w:rPr>
          <w:sz w:val="28"/>
          <w:szCs w:val="28"/>
        </w:rPr>
      </w:pPr>
      <w:r>
        <w:rPr>
          <w:sz w:val="28"/>
          <w:szCs w:val="28"/>
        </w:rPr>
        <w:t>La</w:t>
      </w:r>
      <w:r w:rsidR="00544BD5">
        <w:rPr>
          <w:sz w:val="28"/>
          <w:szCs w:val="28"/>
        </w:rPr>
        <w:t xml:space="preserve"> vicenda </w:t>
      </w:r>
      <w:r>
        <w:rPr>
          <w:sz w:val="28"/>
          <w:szCs w:val="28"/>
        </w:rPr>
        <w:t xml:space="preserve">ha inizio il </w:t>
      </w:r>
      <w:r w:rsidRPr="00AD66BF">
        <w:rPr>
          <w:sz w:val="28"/>
          <w:szCs w:val="28"/>
        </w:rPr>
        <w:t>29 novembre 2018</w:t>
      </w:r>
      <w:r>
        <w:rPr>
          <w:sz w:val="28"/>
          <w:szCs w:val="28"/>
        </w:rPr>
        <w:t xml:space="preserve">, quando l’AGCM, dopo aver contestato </w:t>
      </w:r>
      <w:r w:rsidRPr="00AD66BF">
        <w:rPr>
          <w:sz w:val="28"/>
          <w:szCs w:val="28"/>
        </w:rPr>
        <w:t>la violazione</w:t>
      </w:r>
      <w:r>
        <w:rPr>
          <w:sz w:val="28"/>
          <w:szCs w:val="28"/>
        </w:rPr>
        <w:t xml:space="preserve">, da parte di </w:t>
      </w:r>
      <w:proofErr w:type="spellStart"/>
      <w:r w:rsidRPr="00544BD5">
        <w:rPr>
          <w:i/>
          <w:iCs/>
          <w:sz w:val="28"/>
          <w:szCs w:val="28"/>
        </w:rPr>
        <w:t>Facebook</w:t>
      </w:r>
      <w:proofErr w:type="spellEnd"/>
      <w:r w:rsidRPr="00AD66BF">
        <w:rPr>
          <w:sz w:val="28"/>
          <w:szCs w:val="28"/>
        </w:rPr>
        <w:t xml:space="preserve"> </w:t>
      </w:r>
      <w:proofErr w:type="spellStart"/>
      <w:r w:rsidRPr="00544BD5">
        <w:rPr>
          <w:i/>
          <w:iCs/>
          <w:sz w:val="28"/>
          <w:szCs w:val="28"/>
        </w:rPr>
        <w:t>Inc</w:t>
      </w:r>
      <w:proofErr w:type="spellEnd"/>
      <w:r w:rsidRPr="00AD66BF">
        <w:rPr>
          <w:sz w:val="28"/>
          <w:szCs w:val="28"/>
        </w:rPr>
        <w:t xml:space="preserve">. e </w:t>
      </w:r>
      <w:proofErr w:type="spellStart"/>
      <w:r w:rsidRPr="00544BD5">
        <w:rPr>
          <w:i/>
          <w:iCs/>
          <w:sz w:val="28"/>
          <w:szCs w:val="28"/>
        </w:rPr>
        <w:t>Facebook</w:t>
      </w:r>
      <w:proofErr w:type="spellEnd"/>
      <w:r w:rsidRPr="00544BD5">
        <w:rPr>
          <w:i/>
          <w:iCs/>
          <w:sz w:val="28"/>
          <w:szCs w:val="28"/>
        </w:rPr>
        <w:t xml:space="preserve"> </w:t>
      </w:r>
      <w:proofErr w:type="spellStart"/>
      <w:r w:rsidRPr="00544BD5">
        <w:rPr>
          <w:i/>
          <w:iCs/>
          <w:sz w:val="28"/>
          <w:szCs w:val="28"/>
        </w:rPr>
        <w:t>Ireland</w:t>
      </w:r>
      <w:proofErr w:type="spellEnd"/>
      <w:r w:rsidRPr="00544BD5">
        <w:rPr>
          <w:i/>
          <w:iCs/>
          <w:sz w:val="28"/>
          <w:szCs w:val="28"/>
        </w:rPr>
        <w:t xml:space="preserve"> </w:t>
      </w:r>
      <w:proofErr w:type="spellStart"/>
      <w:r w:rsidRPr="00544BD5">
        <w:rPr>
          <w:i/>
          <w:iCs/>
          <w:sz w:val="28"/>
          <w:szCs w:val="28"/>
        </w:rPr>
        <w:t>ltd</w:t>
      </w:r>
      <w:proofErr w:type="spellEnd"/>
      <w:r>
        <w:rPr>
          <w:sz w:val="28"/>
          <w:szCs w:val="28"/>
        </w:rPr>
        <w:t xml:space="preserve">, </w:t>
      </w:r>
      <w:r w:rsidRPr="00AD66BF">
        <w:rPr>
          <w:sz w:val="28"/>
          <w:szCs w:val="28"/>
        </w:rPr>
        <w:t>della disciplina sulle pratiche commerciali scorrette</w:t>
      </w:r>
      <w:r w:rsidR="00544BD5">
        <w:rPr>
          <w:sz w:val="28"/>
          <w:szCs w:val="28"/>
        </w:rPr>
        <w:t>,</w:t>
      </w:r>
      <w:r w:rsidR="0095713B" w:rsidRPr="00AD66BF">
        <w:rPr>
          <w:sz w:val="28"/>
          <w:szCs w:val="28"/>
        </w:rPr>
        <w:t xml:space="preserve"> </w:t>
      </w:r>
      <w:r>
        <w:rPr>
          <w:sz w:val="28"/>
          <w:szCs w:val="28"/>
        </w:rPr>
        <w:t>irrogava</w:t>
      </w:r>
      <w:r w:rsidR="0095713B" w:rsidRPr="00AD66BF">
        <w:rPr>
          <w:sz w:val="28"/>
          <w:szCs w:val="28"/>
        </w:rPr>
        <w:t xml:space="preserve"> </w:t>
      </w:r>
      <w:r w:rsidR="00544BD5">
        <w:rPr>
          <w:sz w:val="28"/>
          <w:szCs w:val="28"/>
        </w:rPr>
        <w:t>nei confronti delle</w:t>
      </w:r>
      <w:r w:rsidR="0095713B" w:rsidRPr="00AD66BF">
        <w:rPr>
          <w:sz w:val="28"/>
          <w:szCs w:val="28"/>
        </w:rPr>
        <w:t xml:space="preserve"> società</w:t>
      </w:r>
      <w:r>
        <w:rPr>
          <w:sz w:val="28"/>
          <w:szCs w:val="28"/>
        </w:rPr>
        <w:t xml:space="preserve"> una sanzione </w:t>
      </w:r>
      <w:r w:rsidR="0095713B" w:rsidRPr="00AD66BF">
        <w:rPr>
          <w:sz w:val="28"/>
          <w:szCs w:val="28"/>
        </w:rPr>
        <w:t xml:space="preserve">per un importo complessivo di 10 </w:t>
      </w:r>
      <w:r w:rsidR="00544BD5">
        <w:rPr>
          <w:sz w:val="28"/>
          <w:szCs w:val="28"/>
        </w:rPr>
        <w:t>milioni</w:t>
      </w:r>
      <w:r w:rsidR="0095713B" w:rsidRPr="00AD66BF">
        <w:rPr>
          <w:sz w:val="28"/>
          <w:szCs w:val="28"/>
        </w:rPr>
        <w:t xml:space="preserve"> di euro</w:t>
      </w:r>
      <w:r w:rsidR="00E238E7" w:rsidRPr="00AD66BF">
        <w:rPr>
          <w:rStyle w:val="Rimandonotaapidipagina"/>
          <w:sz w:val="28"/>
          <w:szCs w:val="28"/>
        </w:rPr>
        <w:footnoteReference w:id="207"/>
      </w:r>
      <w:r w:rsidR="0095713B" w:rsidRPr="00AD66BF">
        <w:rPr>
          <w:sz w:val="28"/>
          <w:szCs w:val="28"/>
        </w:rPr>
        <w:t>.</w:t>
      </w:r>
    </w:p>
    <w:p w14:paraId="353B7D24" w14:textId="36B292E1" w:rsidR="00B53035" w:rsidRDefault="00B53035" w:rsidP="00AD66BF">
      <w:pPr>
        <w:pStyle w:val="NormaleWeb"/>
        <w:spacing w:before="0" w:beforeAutospacing="0" w:after="0" w:afterAutospacing="0"/>
        <w:jc w:val="both"/>
        <w:rPr>
          <w:sz w:val="28"/>
          <w:szCs w:val="28"/>
        </w:rPr>
      </w:pPr>
      <w:r>
        <w:rPr>
          <w:sz w:val="28"/>
          <w:szCs w:val="28"/>
        </w:rPr>
        <w:t xml:space="preserve">Sono due le attività scorrette </w:t>
      </w:r>
      <w:r w:rsidR="000551DE">
        <w:rPr>
          <w:sz w:val="28"/>
          <w:szCs w:val="28"/>
        </w:rPr>
        <w:t>contestate</w:t>
      </w:r>
      <w:r w:rsidR="0095713B" w:rsidRPr="00AD66BF">
        <w:rPr>
          <w:sz w:val="28"/>
          <w:szCs w:val="28"/>
        </w:rPr>
        <w:t xml:space="preserve"> d</w:t>
      </w:r>
      <w:r w:rsidR="000551DE">
        <w:rPr>
          <w:sz w:val="28"/>
          <w:szCs w:val="28"/>
        </w:rPr>
        <w:t>a</w:t>
      </w:r>
      <w:r w:rsidR="0095713B" w:rsidRPr="00AD66BF">
        <w:rPr>
          <w:sz w:val="28"/>
          <w:szCs w:val="28"/>
        </w:rPr>
        <w:t>ll’Autorità</w:t>
      </w:r>
      <w:r>
        <w:rPr>
          <w:sz w:val="28"/>
          <w:szCs w:val="28"/>
        </w:rPr>
        <w:t>.</w:t>
      </w:r>
    </w:p>
    <w:p w14:paraId="45D1CD60" w14:textId="2EFC60F2" w:rsidR="00B53035" w:rsidRDefault="0095713B" w:rsidP="00AD66BF">
      <w:pPr>
        <w:pStyle w:val="NormaleWeb"/>
        <w:spacing w:before="0" w:beforeAutospacing="0" w:after="0" w:afterAutospacing="0"/>
        <w:jc w:val="both"/>
        <w:rPr>
          <w:sz w:val="28"/>
          <w:szCs w:val="28"/>
        </w:rPr>
      </w:pPr>
      <w:r w:rsidRPr="00AD66BF">
        <w:rPr>
          <w:sz w:val="28"/>
          <w:szCs w:val="28"/>
        </w:rPr>
        <w:t xml:space="preserve">La pratica a), </w:t>
      </w:r>
      <w:r w:rsidR="00B53035">
        <w:rPr>
          <w:sz w:val="28"/>
          <w:szCs w:val="28"/>
        </w:rPr>
        <w:t xml:space="preserve">che è stata </w:t>
      </w:r>
      <w:r w:rsidRPr="00AD66BF">
        <w:rPr>
          <w:sz w:val="28"/>
          <w:szCs w:val="28"/>
        </w:rPr>
        <w:t xml:space="preserve">ritenuta in contrasto con gli artt. 21 e 22 del </w:t>
      </w:r>
      <w:r w:rsidR="00B53035">
        <w:rPr>
          <w:sz w:val="28"/>
          <w:szCs w:val="28"/>
        </w:rPr>
        <w:t>D.</w:t>
      </w:r>
      <w:r w:rsidRPr="00AD66BF">
        <w:rPr>
          <w:sz w:val="28"/>
          <w:szCs w:val="28"/>
        </w:rPr>
        <w:t>lgs. 206/2005 (Codice del Consumo), consisteva nell’avere tratto in inganno gli utenti,</w:t>
      </w:r>
      <w:r w:rsidR="00E238E7" w:rsidRPr="00AD66BF">
        <w:rPr>
          <w:sz w:val="28"/>
          <w:szCs w:val="28"/>
        </w:rPr>
        <w:t xml:space="preserve"> </w:t>
      </w:r>
      <w:r w:rsidRPr="00AD66BF">
        <w:rPr>
          <w:sz w:val="28"/>
          <w:szCs w:val="28"/>
        </w:rPr>
        <w:t xml:space="preserve">enfatizzando la gratuità del servizio offerto, senza informarli adeguatamente e tempestivamente del fatto che i loro dati personali sarebbero stati utilizzati a fini commerciali. </w:t>
      </w:r>
      <w:r w:rsidR="00B53035">
        <w:rPr>
          <w:sz w:val="28"/>
          <w:szCs w:val="28"/>
        </w:rPr>
        <w:t>Secondo il parere</w:t>
      </w:r>
      <w:r w:rsidRPr="00AD66BF">
        <w:rPr>
          <w:sz w:val="28"/>
          <w:szCs w:val="28"/>
        </w:rPr>
        <w:t xml:space="preserve"> dell’Autorità, </w:t>
      </w:r>
      <w:r w:rsidR="00B53035">
        <w:rPr>
          <w:sz w:val="28"/>
          <w:szCs w:val="28"/>
        </w:rPr>
        <w:t xml:space="preserve">in questo modo </w:t>
      </w:r>
      <w:r w:rsidRPr="00AD66BF">
        <w:rPr>
          <w:sz w:val="28"/>
          <w:szCs w:val="28"/>
        </w:rPr>
        <w:t xml:space="preserve">gli utenti sarebbero stati </w:t>
      </w:r>
      <w:r w:rsidR="00B53035">
        <w:rPr>
          <w:sz w:val="28"/>
          <w:szCs w:val="28"/>
        </w:rPr>
        <w:t>“obbligati”</w:t>
      </w:r>
      <w:r w:rsidRPr="00AD66BF">
        <w:rPr>
          <w:sz w:val="28"/>
          <w:szCs w:val="28"/>
        </w:rPr>
        <w:t xml:space="preserve"> ad assumere una decisione commerciale che altrimenti non avrebbero preso.</w:t>
      </w:r>
    </w:p>
    <w:p w14:paraId="52BEF7DF" w14:textId="5FECE277" w:rsidR="0095713B" w:rsidRPr="00AD66BF" w:rsidRDefault="0095713B" w:rsidP="00AD66BF">
      <w:pPr>
        <w:pStyle w:val="NormaleWeb"/>
        <w:spacing w:before="0" w:beforeAutospacing="0" w:after="0" w:afterAutospacing="0"/>
        <w:jc w:val="both"/>
        <w:rPr>
          <w:sz w:val="28"/>
          <w:szCs w:val="28"/>
        </w:rPr>
      </w:pPr>
      <w:r w:rsidRPr="00AD66BF">
        <w:rPr>
          <w:sz w:val="28"/>
          <w:szCs w:val="28"/>
        </w:rPr>
        <w:t>La pratica b),</w:t>
      </w:r>
      <w:r w:rsidR="00B53035">
        <w:rPr>
          <w:sz w:val="28"/>
          <w:szCs w:val="28"/>
        </w:rPr>
        <w:t xml:space="preserve"> </w:t>
      </w:r>
      <w:r w:rsidRPr="00AD66BF">
        <w:rPr>
          <w:sz w:val="28"/>
          <w:szCs w:val="28"/>
        </w:rPr>
        <w:t>contestata per violazione degli artt. 24 e 25 del Codice del Consumo</w:t>
      </w:r>
      <w:r w:rsidR="00B53035">
        <w:rPr>
          <w:sz w:val="28"/>
          <w:szCs w:val="28"/>
        </w:rPr>
        <w:t xml:space="preserve"> – </w:t>
      </w:r>
      <w:r w:rsidRPr="00AD66BF">
        <w:rPr>
          <w:sz w:val="28"/>
          <w:szCs w:val="28"/>
        </w:rPr>
        <w:t>che disciplinano le pratiche commerciali aggressive</w:t>
      </w:r>
      <w:r w:rsidR="00B53035">
        <w:rPr>
          <w:sz w:val="28"/>
          <w:szCs w:val="28"/>
        </w:rPr>
        <w:t xml:space="preserve"> – è stata ritenuta, come </w:t>
      </w:r>
      <w:r w:rsidRPr="00AD66BF">
        <w:rPr>
          <w:sz w:val="28"/>
          <w:szCs w:val="28"/>
        </w:rPr>
        <w:t>tecnica di acquisizione del consenso degli utenti</w:t>
      </w:r>
      <w:r w:rsidR="00B53035">
        <w:rPr>
          <w:sz w:val="28"/>
          <w:szCs w:val="28"/>
        </w:rPr>
        <w:t xml:space="preserve">, </w:t>
      </w:r>
      <w:r w:rsidRPr="00AD66BF">
        <w:rPr>
          <w:sz w:val="28"/>
          <w:szCs w:val="28"/>
        </w:rPr>
        <w:t>una forma di indebito condizionamento degli stessi</w:t>
      </w:r>
      <w:r w:rsidR="00B53035">
        <w:rPr>
          <w:sz w:val="28"/>
          <w:szCs w:val="28"/>
        </w:rPr>
        <w:t xml:space="preserve">: </w:t>
      </w:r>
      <w:r w:rsidRPr="00AD66BF">
        <w:rPr>
          <w:sz w:val="28"/>
          <w:szCs w:val="28"/>
        </w:rPr>
        <w:t>questi avevano</w:t>
      </w:r>
      <w:r w:rsidR="00B53035">
        <w:rPr>
          <w:sz w:val="28"/>
          <w:szCs w:val="28"/>
        </w:rPr>
        <w:t>, infatti,</w:t>
      </w:r>
      <w:r w:rsidRPr="00AD66BF">
        <w:rPr>
          <w:sz w:val="28"/>
          <w:szCs w:val="28"/>
        </w:rPr>
        <w:t xml:space="preserve"> la sola possibilità di deselezionare la </w:t>
      </w:r>
      <w:proofErr w:type="spellStart"/>
      <w:r w:rsidRPr="00AD66BF">
        <w:rPr>
          <w:sz w:val="28"/>
          <w:szCs w:val="28"/>
        </w:rPr>
        <w:t>pre</w:t>
      </w:r>
      <w:proofErr w:type="spellEnd"/>
      <w:r w:rsidRPr="00AD66BF">
        <w:rPr>
          <w:sz w:val="28"/>
          <w:szCs w:val="28"/>
        </w:rPr>
        <w:t xml:space="preserve">-impostazione effettuata da </w:t>
      </w:r>
      <w:proofErr w:type="spellStart"/>
      <w:r w:rsidRPr="00AD66BF">
        <w:rPr>
          <w:sz w:val="28"/>
          <w:szCs w:val="28"/>
        </w:rPr>
        <w:t>Facebook</w:t>
      </w:r>
      <w:proofErr w:type="spellEnd"/>
      <w:r w:rsidRPr="00AD66BF">
        <w:rPr>
          <w:sz w:val="28"/>
          <w:szCs w:val="28"/>
        </w:rPr>
        <w:t xml:space="preserve">, </w:t>
      </w:r>
      <w:r w:rsidR="00B53035">
        <w:rPr>
          <w:sz w:val="28"/>
          <w:szCs w:val="28"/>
        </w:rPr>
        <w:t>tramite</w:t>
      </w:r>
      <w:r w:rsidRPr="00AD66BF">
        <w:rPr>
          <w:sz w:val="28"/>
          <w:szCs w:val="28"/>
        </w:rPr>
        <w:t xml:space="preserve"> un meccanismo di </w:t>
      </w:r>
      <w:proofErr w:type="spellStart"/>
      <w:r w:rsidRPr="00B53035">
        <w:rPr>
          <w:i/>
          <w:iCs/>
          <w:sz w:val="28"/>
          <w:szCs w:val="28"/>
        </w:rPr>
        <w:t>opt</w:t>
      </w:r>
      <w:proofErr w:type="spellEnd"/>
      <w:r w:rsidRPr="00B53035">
        <w:rPr>
          <w:i/>
          <w:iCs/>
          <w:sz w:val="28"/>
          <w:szCs w:val="28"/>
        </w:rPr>
        <w:t>-out</w:t>
      </w:r>
      <w:r w:rsidRPr="00AD66BF">
        <w:rPr>
          <w:sz w:val="28"/>
          <w:szCs w:val="28"/>
        </w:rPr>
        <w:t xml:space="preserve">. </w:t>
      </w:r>
      <w:r w:rsidR="00B85A6F">
        <w:rPr>
          <w:sz w:val="28"/>
          <w:szCs w:val="28"/>
        </w:rPr>
        <w:t xml:space="preserve">Così – secondo l’Autorità – gli </w:t>
      </w:r>
      <w:r w:rsidRPr="00AD66BF">
        <w:rPr>
          <w:sz w:val="28"/>
          <w:szCs w:val="28"/>
        </w:rPr>
        <w:t>utenti si sarebbero ritrovati</w:t>
      </w:r>
      <w:r w:rsidR="00B85A6F">
        <w:rPr>
          <w:sz w:val="28"/>
          <w:szCs w:val="28"/>
        </w:rPr>
        <w:t>,</w:t>
      </w:r>
      <w:r w:rsidRPr="00AD66BF">
        <w:rPr>
          <w:sz w:val="28"/>
          <w:szCs w:val="28"/>
        </w:rPr>
        <w:t xml:space="preserve"> d</w:t>
      </w:r>
      <w:r w:rsidR="00B85A6F">
        <w:rPr>
          <w:sz w:val="28"/>
          <w:szCs w:val="28"/>
        </w:rPr>
        <w:t>i fatto,</w:t>
      </w:r>
      <w:r w:rsidRPr="00AD66BF">
        <w:rPr>
          <w:sz w:val="28"/>
          <w:szCs w:val="28"/>
        </w:rPr>
        <w:t xml:space="preserve"> costretti a subire, senza avere prestato adeguato consenso in merito, la cessione dei propri dati personali a soggetti terzi per finalità commerciali.</w:t>
      </w:r>
    </w:p>
    <w:p w14:paraId="1A44B1EF" w14:textId="77777777" w:rsidR="000551DE" w:rsidRDefault="00B85A6F" w:rsidP="00AD66BF">
      <w:pPr>
        <w:pStyle w:val="NormaleWeb"/>
        <w:spacing w:before="0" w:beforeAutospacing="0" w:after="0" w:afterAutospacing="0"/>
        <w:jc w:val="both"/>
        <w:rPr>
          <w:sz w:val="28"/>
          <w:szCs w:val="28"/>
        </w:rPr>
      </w:pPr>
      <w:r>
        <w:rPr>
          <w:sz w:val="28"/>
          <w:szCs w:val="28"/>
        </w:rPr>
        <w:t>L</w:t>
      </w:r>
      <w:r w:rsidR="0095713B" w:rsidRPr="00AD66BF">
        <w:rPr>
          <w:sz w:val="28"/>
          <w:szCs w:val="28"/>
        </w:rPr>
        <w:t>’AGCM</w:t>
      </w:r>
      <w:r>
        <w:rPr>
          <w:sz w:val="28"/>
          <w:szCs w:val="28"/>
        </w:rPr>
        <w:t xml:space="preserve">, </w:t>
      </w:r>
      <w:r w:rsidRPr="00AD66BF">
        <w:rPr>
          <w:sz w:val="28"/>
          <w:szCs w:val="28"/>
        </w:rPr>
        <w:t>evidenziando la natura di vero e proprio corrispettivo</w:t>
      </w:r>
      <w:r>
        <w:rPr>
          <w:sz w:val="28"/>
          <w:szCs w:val="28"/>
        </w:rPr>
        <w:t xml:space="preserve"> </w:t>
      </w:r>
      <w:r w:rsidRPr="00AD66BF">
        <w:rPr>
          <w:sz w:val="28"/>
          <w:szCs w:val="28"/>
        </w:rPr>
        <w:t>attribuibile</w:t>
      </w:r>
      <w:r>
        <w:rPr>
          <w:sz w:val="28"/>
          <w:szCs w:val="28"/>
        </w:rPr>
        <w:t>,</w:t>
      </w:r>
      <w:r w:rsidRPr="00AD66BF">
        <w:rPr>
          <w:sz w:val="28"/>
          <w:szCs w:val="28"/>
        </w:rPr>
        <w:t xml:space="preserve"> </w:t>
      </w:r>
      <w:r>
        <w:rPr>
          <w:sz w:val="28"/>
          <w:szCs w:val="28"/>
        </w:rPr>
        <w:t>nel</w:t>
      </w:r>
      <w:r w:rsidRPr="00AD66BF">
        <w:rPr>
          <w:sz w:val="28"/>
          <w:szCs w:val="28"/>
        </w:rPr>
        <w:t xml:space="preserve"> </w:t>
      </w:r>
      <w:r>
        <w:rPr>
          <w:sz w:val="28"/>
          <w:szCs w:val="28"/>
        </w:rPr>
        <w:t>caso</w:t>
      </w:r>
      <w:r w:rsidRPr="00AD66BF">
        <w:rPr>
          <w:sz w:val="28"/>
          <w:szCs w:val="28"/>
        </w:rPr>
        <w:t xml:space="preserve"> </w:t>
      </w:r>
      <w:r>
        <w:rPr>
          <w:sz w:val="28"/>
          <w:szCs w:val="28"/>
        </w:rPr>
        <w:t xml:space="preserve">di specie, </w:t>
      </w:r>
      <w:r w:rsidRPr="00AD66BF">
        <w:rPr>
          <w:sz w:val="28"/>
          <w:szCs w:val="28"/>
        </w:rPr>
        <w:t>ai dati personali degli utenti</w:t>
      </w:r>
      <w:r>
        <w:rPr>
          <w:sz w:val="28"/>
          <w:szCs w:val="28"/>
        </w:rPr>
        <w:t xml:space="preserve">, </w:t>
      </w:r>
      <w:r w:rsidR="0095713B" w:rsidRPr="00AD66BF">
        <w:rPr>
          <w:sz w:val="28"/>
          <w:szCs w:val="28"/>
        </w:rPr>
        <w:t xml:space="preserve">fa espresso riferimento al </w:t>
      </w:r>
      <w:r w:rsidR="0095713B" w:rsidRPr="00B85A6F">
        <w:rPr>
          <w:i/>
          <w:iCs/>
          <w:sz w:val="28"/>
          <w:szCs w:val="28"/>
        </w:rPr>
        <w:t>business model</w:t>
      </w:r>
      <w:r w:rsidR="0095713B" w:rsidRPr="00AD66BF">
        <w:rPr>
          <w:sz w:val="28"/>
          <w:szCs w:val="28"/>
        </w:rPr>
        <w:t xml:space="preserve"> della società </w:t>
      </w:r>
      <w:r>
        <w:rPr>
          <w:sz w:val="28"/>
          <w:szCs w:val="28"/>
        </w:rPr>
        <w:t>sanzionata</w:t>
      </w:r>
      <w:r w:rsidR="0095713B" w:rsidRPr="00AD66BF">
        <w:rPr>
          <w:sz w:val="28"/>
          <w:szCs w:val="28"/>
        </w:rPr>
        <w:t>,</w:t>
      </w:r>
      <w:r>
        <w:rPr>
          <w:sz w:val="28"/>
          <w:szCs w:val="28"/>
        </w:rPr>
        <w:t xml:space="preserve"> il che</w:t>
      </w:r>
      <w:r w:rsidR="0095713B" w:rsidRPr="00AD66BF">
        <w:rPr>
          <w:sz w:val="28"/>
          <w:szCs w:val="28"/>
        </w:rPr>
        <w:t xml:space="preserve"> consentirebbe </w:t>
      </w:r>
      <w:r>
        <w:rPr>
          <w:sz w:val="28"/>
          <w:szCs w:val="28"/>
        </w:rPr>
        <w:t xml:space="preserve">– secondo la stessa Autorità – </w:t>
      </w:r>
      <w:r w:rsidR="0095713B" w:rsidRPr="00AD66BF">
        <w:rPr>
          <w:sz w:val="28"/>
          <w:szCs w:val="28"/>
        </w:rPr>
        <w:t xml:space="preserve">di ritenere </w:t>
      </w:r>
      <w:r>
        <w:rPr>
          <w:sz w:val="28"/>
          <w:szCs w:val="28"/>
        </w:rPr>
        <w:t>esistente</w:t>
      </w:r>
      <w:r w:rsidR="0095713B" w:rsidRPr="00AD66BF">
        <w:rPr>
          <w:sz w:val="28"/>
          <w:szCs w:val="28"/>
        </w:rPr>
        <w:t xml:space="preserve"> un rapporto di consumo fra</w:t>
      </w:r>
      <w:r>
        <w:rPr>
          <w:sz w:val="28"/>
          <w:szCs w:val="28"/>
        </w:rPr>
        <w:t xml:space="preserve"> la nota</w:t>
      </w:r>
      <w:r w:rsidR="0095713B" w:rsidRPr="00AD66BF">
        <w:rPr>
          <w:sz w:val="28"/>
          <w:szCs w:val="28"/>
        </w:rPr>
        <w:t xml:space="preserve"> società e </w:t>
      </w:r>
      <w:r>
        <w:rPr>
          <w:sz w:val="28"/>
          <w:szCs w:val="28"/>
        </w:rPr>
        <w:t xml:space="preserve">gli utenti utilizzatori. </w:t>
      </w:r>
    </w:p>
    <w:p w14:paraId="0337F883" w14:textId="586ACD1A" w:rsidR="0095713B" w:rsidRDefault="00B85A6F" w:rsidP="00AD66BF">
      <w:pPr>
        <w:pStyle w:val="NormaleWeb"/>
        <w:spacing w:before="0" w:beforeAutospacing="0" w:after="0" w:afterAutospacing="0"/>
        <w:jc w:val="both"/>
        <w:rPr>
          <w:sz w:val="28"/>
          <w:szCs w:val="28"/>
        </w:rPr>
      </w:pPr>
      <w:r>
        <w:rPr>
          <w:sz w:val="28"/>
          <w:szCs w:val="28"/>
        </w:rPr>
        <w:lastRenderedPageBreak/>
        <w:t>Ebbene, da questo rapporto deriverebbe</w:t>
      </w:r>
      <w:r w:rsidR="0095713B" w:rsidRPr="00AD66BF">
        <w:rPr>
          <w:sz w:val="28"/>
          <w:szCs w:val="28"/>
        </w:rPr>
        <w:t xml:space="preserve"> il dovere di dare attuazione agli obblighi di trasparenza e corretta informazione previsti </w:t>
      </w:r>
      <w:r>
        <w:rPr>
          <w:sz w:val="28"/>
          <w:szCs w:val="28"/>
        </w:rPr>
        <w:t>dal Codice del Consumo.</w:t>
      </w:r>
    </w:p>
    <w:p w14:paraId="144B4FE4" w14:textId="77777777" w:rsidR="000551DE" w:rsidRPr="00AD66BF" w:rsidRDefault="000551DE" w:rsidP="00AD66BF">
      <w:pPr>
        <w:pStyle w:val="NormaleWeb"/>
        <w:spacing w:before="0" w:beforeAutospacing="0" w:after="0" w:afterAutospacing="0"/>
        <w:jc w:val="both"/>
        <w:rPr>
          <w:sz w:val="28"/>
          <w:szCs w:val="28"/>
        </w:rPr>
      </w:pPr>
    </w:p>
    <w:p w14:paraId="135C4548" w14:textId="7D110440" w:rsidR="007E687A" w:rsidRDefault="0095713B" w:rsidP="00AD66BF">
      <w:pPr>
        <w:pStyle w:val="NormaleWeb"/>
        <w:spacing w:before="0" w:beforeAutospacing="0" w:after="0" w:afterAutospacing="0"/>
        <w:jc w:val="both"/>
        <w:rPr>
          <w:sz w:val="28"/>
          <w:szCs w:val="28"/>
        </w:rPr>
      </w:pPr>
      <w:r w:rsidRPr="00AD66BF">
        <w:rPr>
          <w:sz w:val="28"/>
          <w:szCs w:val="28"/>
        </w:rPr>
        <w:t xml:space="preserve">La società </w:t>
      </w:r>
      <w:r w:rsidR="00B85A6F">
        <w:rPr>
          <w:sz w:val="28"/>
          <w:szCs w:val="28"/>
        </w:rPr>
        <w:t>si è poi rivolta</w:t>
      </w:r>
      <w:r w:rsidRPr="00AD66BF">
        <w:rPr>
          <w:sz w:val="28"/>
          <w:szCs w:val="28"/>
        </w:rPr>
        <w:t xml:space="preserve"> al TAR</w:t>
      </w:r>
      <w:r w:rsidR="00E238E7" w:rsidRPr="00AD66BF">
        <w:rPr>
          <w:rStyle w:val="Rimandonotaapidipagina"/>
          <w:sz w:val="28"/>
          <w:szCs w:val="28"/>
        </w:rPr>
        <w:footnoteReference w:id="208"/>
      </w:r>
      <w:r w:rsidR="000551DE">
        <w:rPr>
          <w:sz w:val="28"/>
          <w:szCs w:val="28"/>
        </w:rPr>
        <w:t xml:space="preserve">, il quale </w:t>
      </w:r>
      <w:r w:rsidR="00B85A6F">
        <w:rPr>
          <w:sz w:val="28"/>
          <w:szCs w:val="28"/>
        </w:rPr>
        <w:t xml:space="preserve">ha </w:t>
      </w:r>
      <w:r w:rsidRPr="00AD66BF">
        <w:rPr>
          <w:sz w:val="28"/>
          <w:szCs w:val="28"/>
        </w:rPr>
        <w:t>annulla</w:t>
      </w:r>
      <w:r w:rsidR="00B85A6F">
        <w:rPr>
          <w:sz w:val="28"/>
          <w:szCs w:val="28"/>
        </w:rPr>
        <w:t>to</w:t>
      </w:r>
      <w:r w:rsidRPr="00AD66BF">
        <w:rPr>
          <w:sz w:val="28"/>
          <w:szCs w:val="28"/>
        </w:rPr>
        <w:t xml:space="preserve"> la sanzione con riferimento alla pratica b)</w:t>
      </w:r>
      <w:r w:rsidR="007E687A">
        <w:rPr>
          <w:sz w:val="28"/>
          <w:szCs w:val="28"/>
        </w:rPr>
        <w:t>,</w:t>
      </w:r>
      <w:r w:rsidRPr="00AD66BF">
        <w:rPr>
          <w:sz w:val="28"/>
          <w:szCs w:val="28"/>
        </w:rPr>
        <w:t xml:space="preserve"> perché</w:t>
      </w:r>
      <w:r w:rsidR="00B85A6F">
        <w:rPr>
          <w:sz w:val="28"/>
          <w:szCs w:val="28"/>
        </w:rPr>
        <w:t xml:space="preserve"> </w:t>
      </w:r>
      <w:r w:rsidRPr="00AD66BF">
        <w:rPr>
          <w:sz w:val="28"/>
          <w:szCs w:val="28"/>
        </w:rPr>
        <w:t xml:space="preserve">non </w:t>
      </w:r>
      <w:r w:rsidR="00B85A6F">
        <w:rPr>
          <w:sz w:val="28"/>
          <w:szCs w:val="28"/>
        </w:rPr>
        <w:t>ha ritenuto sussistenti</w:t>
      </w:r>
      <w:r w:rsidRPr="00AD66BF">
        <w:rPr>
          <w:sz w:val="28"/>
          <w:szCs w:val="28"/>
        </w:rPr>
        <w:t xml:space="preserve"> elementi sufficienti a dimostrare la natura aggressiva della pratica commerciale</w:t>
      </w:r>
      <w:r w:rsidR="00B85A6F">
        <w:rPr>
          <w:sz w:val="28"/>
          <w:szCs w:val="28"/>
        </w:rPr>
        <w:t xml:space="preserve">; </w:t>
      </w:r>
      <w:r w:rsidR="007E687A">
        <w:rPr>
          <w:sz w:val="28"/>
          <w:szCs w:val="28"/>
        </w:rPr>
        <w:t>tuttavia,</w:t>
      </w:r>
      <w:r w:rsidR="00B85A6F">
        <w:rPr>
          <w:sz w:val="28"/>
          <w:szCs w:val="28"/>
        </w:rPr>
        <w:t xml:space="preserve"> </w:t>
      </w:r>
      <w:r w:rsidRPr="00AD66BF">
        <w:rPr>
          <w:sz w:val="28"/>
          <w:szCs w:val="28"/>
        </w:rPr>
        <w:t>ha confermato il provvedimento dell’Autorità rispetto alla pratica a)</w:t>
      </w:r>
      <w:r w:rsidR="007E687A">
        <w:rPr>
          <w:sz w:val="28"/>
          <w:szCs w:val="28"/>
        </w:rPr>
        <w:t>.</w:t>
      </w:r>
    </w:p>
    <w:p w14:paraId="55BE9BA3" w14:textId="77777777" w:rsidR="000551DE" w:rsidRDefault="007E687A" w:rsidP="00AD66BF">
      <w:pPr>
        <w:pStyle w:val="NormaleWeb"/>
        <w:spacing w:before="0" w:beforeAutospacing="0" w:after="0" w:afterAutospacing="0"/>
        <w:jc w:val="both"/>
        <w:rPr>
          <w:sz w:val="28"/>
          <w:szCs w:val="28"/>
        </w:rPr>
      </w:pPr>
      <w:r>
        <w:rPr>
          <w:sz w:val="28"/>
          <w:szCs w:val="28"/>
        </w:rPr>
        <w:t>A quest’ultimo proposito</w:t>
      </w:r>
      <w:r w:rsidR="000551DE">
        <w:rPr>
          <w:sz w:val="28"/>
          <w:szCs w:val="28"/>
        </w:rPr>
        <w:t xml:space="preserve">, </w:t>
      </w:r>
      <w:r>
        <w:rPr>
          <w:sz w:val="28"/>
          <w:szCs w:val="28"/>
        </w:rPr>
        <w:t xml:space="preserve">l’argomento portato da </w:t>
      </w:r>
      <w:proofErr w:type="spellStart"/>
      <w:r w:rsidR="0095713B" w:rsidRPr="00AD66BF">
        <w:rPr>
          <w:sz w:val="28"/>
          <w:szCs w:val="28"/>
        </w:rPr>
        <w:t>Facebook</w:t>
      </w:r>
      <w:proofErr w:type="spellEnd"/>
      <w:r w:rsidR="0095713B" w:rsidRPr="00AD66BF">
        <w:rPr>
          <w:sz w:val="28"/>
          <w:szCs w:val="28"/>
        </w:rPr>
        <w:t>, secondo cui l’AGCM non sarebbe stata competente a pronunciarsi su una questione concernente la disciplina sulla protezione dei dati personali</w:t>
      </w:r>
      <w:r>
        <w:rPr>
          <w:sz w:val="28"/>
          <w:szCs w:val="28"/>
        </w:rPr>
        <w:t xml:space="preserve">, è stato totalmente respinto dal TAR, che ha motivato tale rigetto </w:t>
      </w:r>
      <w:r w:rsidR="0095713B" w:rsidRPr="00AD66BF">
        <w:rPr>
          <w:sz w:val="28"/>
          <w:szCs w:val="28"/>
        </w:rPr>
        <w:t>esprime</w:t>
      </w:r>
      <w:r>
        <w:rPr>
          <w:sz w:val="28"/>
          <w:szCs w:val="28"/>
        </w:rPr>
        <w:t>ndo</w:t>
      </w:r>
      <w:r w:rsidR="0095713B" w:rsidRPr="00AD66BF">
        <w:rPr>
          <w:sz w:val="28"/>
          <w:szCs w:val="28"/>
        </w:rPr>
        <w:t xml:space="preserve"> in modo chiaro la propria posizione in merito alla patrimonializzazione dei dati personali</w:t>
      </w:r>
      <w:r>
        <w:rPr>
          <w:sz w:val="28"/>
          <w:szCs w:val="28"/>
        </w:rPr>
        <w:t xml:space="preserve">. </w:t>
      </w:r>
    </w:p>
    <w:p w14:paraId="3309086D" w14:textId="77777777" w:rsidR="000551DE" w:rsidRDefault="007E687A" w:rsidP="00AD66BF">
      <w:pPr>
        <w:pStyle w:val="NormaleWeb"/>
        <w:spacing w:before="0" w:beforeAutospacing="0" w:after="0" w:afterAutospacing="0"/>
        <w:jc w:val="both"/>
        <w:rPr>
          <w:sz w:val="28"/>
          <w:szCs w:val="28"/>
        </w:rPr>
      </w:pPr>
      <w:r>
        <w:rPr>
          <w:sz w:val="28"/>
          <w:szCs w:val="28"/>
        </w:rPr>
        <w:t>I Giudici hanno spiegato che</w:t>
      </w:r>
      <w:r w:rsidR="0095713B" w:rsidRPr="00AD66BF">
        <w:rPr>
          <w:sz w:val="28"/>
          <w:szCs w:val="28"/>
        </w:rPr>
        <w:t xml:space="preserve"> la tesi </w:t>
      </w:r>
      <w:r>
        <w:rPr>
          <w:sz w:val="28"/>
          <w:szCs w:val="28"/>
        </w:rPr>
        <w:t>della società ricorrente</w:t>
      </w:r>
      <w:r w:rsidR="0095713B" w:rsidRPr="00AD66BF">
        <w:rPr>
          <w:sz w:val="28"/>
          <w:szCs w:val="28"/>
        </w:rPr>
        <w:t xml:space="preserve">, secondo cui i dati personali, in quanto oggetto di un diritto fondamentale, non potessero acquisire la funzione di corrispettivo di una prestazione, non terrebbe adeguatamente conto del valore commerciale degli stessi nel mercato digitale e nel modello di </w:t>
      </w:r>
      <w:r w:rsidR="0095713B" w:rsidRPr="007E687A">
        <w:rPr>
          <w:i/>
          <w:iCs/>
          <w:sz w:val="28"/>
          <w:szCs w:val="28"/>
        </w:rPr>
        <w:t>business</w:t>
      </w:r>
      <w:r w:rsidR="0095713B" w:rsidRPr="00AD66BF">
        <w:rPr>
          <w:sz w:val="28"/>
          <w:szCs w:val="28"/>
        </w:rPr>
        <w:t xml:space="preserve"> della società stessa.</w:t>
      </w:r>
      <w:r>
        <w:rPr>
          <w:sz w:val="28"/>
          <w:szCs w:val="28"/>
        </w:rPr>
        <w:t xml:space="preserve"> </w:t>
      </w:r>
    </w:p>
    <w:p w14:paraId="15456C8B" w14:textId="0C65A8CA" w:rsidR="0095713B" w:rsidRPr="00AD66BF" w:rsidRDefault="007E687A" w:rsidP="00AD66BF">
      <w:pPr>
        <w:pStyle w:val="NormaleWeb"/>
        <w:spacing w:before="0" w:beforeAutospacing="0" w:after="0" w:afterAutospacing="0"/>
        <w:jc w:val="both"/>
        <w:rPr>
          <w:sz w:val="28"/>
          <w:szCs w:val="28"/>
        </w:rPr>
      </w:pPr>
      <w:r>
        <w:rPr>
          <w:sz w:val="28"/>
          <w:szCs w:val="28"/>
        </w:rPr>
        <w:t>I</w:t>
      </w:r>
      <w:r w:rsidRPr="00AD66BF">
        <w:rPr>
          <w:sz w:val="28"/>
          <w:szCs w:val="28"/>
        </w:rPr>
        <w:t>l TAR ha conclus</w:t>
      </w:r>
      <w:r>
        <w:rPr>
          <w:sz w:val="28"/>
          <w:szCs w:val="28"/>
        </w:rPr>
        <w:t xml:space="preserve">o, dunque, che debba </w:t>
      </w:r>
      <w:r w:rsidR="0095713B" w:rsidRPr="00AD66BF">
        <w:rPr>
          <w:sz w:val="28"/>
          <w:szCs w:val="28"/>
        </w:rPr>
        <w:t xml:space="preserve">trovare applicazione la disciplina </w:t>
      </w:r>
      <w:r>
        <w:rPr>
          <w:sz w:val="28"/>
          <w:szCs w:val="28"/>
        </w:rPr>
        <w:t>del Codice del</w:t>
      </w:r>
      <w:r w:rsidR="0095713B" w:rsidRPr="00AD66BF">
        <w:rPr>
          <w:sz w:val="28"/>
          <w:szCs w:val="28"/>
        </w:rPr>
        <w:t xml:space="preserve"> consumo, ed in particolare le norme che impongono i caratteri di chiarezza, competenza e non ingannevolezza delle informazioni fornite.</w:t>
      </w:r>
    </w:p>
    <w:p w14:paraId="371CAA5D" w14:textId="77777777" w:rsidR="00C1263B" w:rsidRDefault="0095713B" w:rsidP="00AD66BF">
      <w:pPr>
        <w:pStyle w:val="NormaleWeb"/>
        <w:spacing w:before="0" w:beforeAutospacing="0" w:after="0" w:afterAutospacing="0"/>
        <w:jc w:val="both"/>
        <w:rPr>
          <w:sz w:val="28"/>
          <w:szCs w:val="28"/>
        </w:rPr>
      </w:pPr>
      <w:r w:rsidRPr="00AD66BF">
        <w:rPr>
          <w:sz w:val="28"/>
          <w:szCs w:val="28"/>
        </w:rPr>
        <w:t xml:space="preserve">La vicenda è </w:t>
      </w:r>
      <w:r w:rsidR="003F11FE">
        <w:rPr>
          <w:sz w:val="28"/>
          <w:szCs w:val="28"/>
        </w:rPr>
        <w:t>arrivata al</w:t>
      </w:r>
      <w:r w:rsidRPr="00AD66BF">
        <w:rPr>
          <w:sz w:val="28"/>
          <w:szCs w:val="28"/>
        </w:rPr>
        <w:t xml:space="preserve"> Consiglio di Stato</w:t>
      </w:r>
      <w:r w:rsidR="003F11FE">
        <w:rPr>
          <w:sz w:val="28"/>
          <w:szCs w:val="28"/>
        </w:rPr>
        <w:t xml:space="preserve"> che, n</w:t>
      </w:r>
      <w:r w:rsidRPr="00AD66BF">
        <w:rPr>
          <w:sz w:val="28"/>
          <w:szCs w:val="28"/>
        </w:rPr>
        <w:t xml:space="preserve">ella </w:t>
      </w:r>
      <w:r w:rsidR="003F11FE">
        <w:rPr>
          <w:sz w:val="28"/>
          <w:szCs w:val="28"/>
        </w:rPr>
        <w:t xml:space="preserve">recente </w:t>
      </w:r>
      <w:r w:rsidRPr="00AD66BF">
        <w:rPr>
          <w:sz w:val="28"/>
          <w:szCs w:val="28"/>
        </w:rPr>
        <w:t>pronuncia n. 2631/2021</w:t>
      </w:r>
      <w:r w:rsidR="00E238E7" w:rsidRPr="00AD66BF">
        <w:rPr>
          <w:rStyle w:val="Rimandonotaapidipagina"/>
          <w:sz w:val="28"/>
          <w:szCs w:val="28"/>
        </w:rPr>
        <w:footnoteReference w:id="209"/>
      </w:r>
      <w:r w:rsidRPr="00AD66BF">
        <w:rPr>
          <w:sz w:val="28"/>
          <w:szCs w:val="28"/>
        </w:rPr>
        <w:t xml:space="preserve">, </w:t>
      </w:r>
      <w:r w:rsidR="003F11FE">
        <w:rPr>
          <w:sz w:val="28"/>
          <w:szCs w:val="28"/>
        </w:rPr>
        <w:t xml:space="preserve">ha colto l’occasione per </w:t>
      </w:r>
      <w:r w:rsidRPr="00AD66BF">
        <w:rPr>
          <w:sz w:val="28"/>
          <w:szCs w:val="28"/>
        </w:rPr>
        <w:t>ribadi</w:t>
      </w:r>
      <w:r w:rsidR="003F11FE">
        <w:rPr>
          <w:sz w:val="28"/>
          <w:szCs w:val="28"/>
        </w:rPr>
        <w:t>re</w:t>
      </w:r>
      <w:r w:rsidRPr="00AD66BF">
        <w:rPr>
          <w:sz w:val="28"/>
          <w:szCs w:val="28"/>
        </w:rPr>
        <w:t xml:space="preserve"> l’erroneità della tesi sostenuta da </w:t>
      </w:r>
      <w:proofErr w:type="spellStart"/>
      <w:r w:rsidRPr="00AD66BF">
        <w:rPr>
          <w:sz w:val="28"/>
          <w:szCs w:val="28"/>
        </w:rPr>
        <w:t>Facebook</w:t>
      </w:r>
      <w:proofErr w:type="spellEnd"/>
      <w:r w:rsidRPr="00AD66BF">
        <w:rPr>
          <w:sz w:val="28"/>
          <w:szCs w:val="28"/>
        </w:rPr>
        <w:t xml:space="preserve"> in merito alla necessità di netta separazione fra la disciplina sulla tutela dei dati personali e quella contrattualistica</w:t>
      </w:r>
      <w:r w:rsidR="003F11FE">
        <w:rPr>
          <w:sz w:val="28"/>
          <w:szCs w:val="28"/>
        </w:rPr>
        <w:t xml:space="preserve">. </w:t>
      </w:r>
    </w:p>
    <w:p w14:paraId="2361D7C2" w14:textId="5AF654B6" w:rsidR="0095713B" w:rsidRPr="00AD66BF" w:rsidRDefault="003F11FE" w:rsidP="00AD66BF">
      <w:pPr>
        <w:pStyle w:val="NormaleWeb"/>
        <w:spacing w:before="0" w:beforeAutospacing="0" w:after="0" w:afterAutospacing="0"/>
        <w:jc w:val="both"/>
        <w:rPr>
          <w:sz w:val="28"/>
          <w:szCs w:val="28"/>
        </w:rPr>
      </w:pPr>
      <w:r>
        <w:rPr>
          <w:sz w:val="28"/>
          <w:szCs w:val="28"/>
        </w:rPr>
        <w:t xml:space="preserve">I Giudici del Supremo Consesso amministrativo hanno </w:t>
      </w:r>
      <w:r w:rsidR="0095713B" w:rsidRPr="00AD66BF">
        <w:rPr>
          <w:sz w:val="28"/>
          <w:szCs w:val="28"/>
        </w:rPr>
        <w:t>evidenzia</w:t>
      </w:r>
      <w:r>
        <w:rPr>
          <w:sz w:val="28"/>
          <w:szCs w:val="28"/>
        </w:rPr>
        <w:t>to</w:t>
      </w:r>
      <w:r w:rsidR="0095713B" w:rsidRPr="00AD66BF">
        <w:rPr>
          <w:sz w:val="28"/>
          <w:szCs w:val="28"/>
        </w:rPr>
        <w:t xml:space="preserve"> che</w:t>
      </w:r>
      <w:r>
        <w:rPr>
          <w:sz w:val="28"/>
          <w:szCs w:val="28"/>
        </w:rPr>
        <w:t>,</w:t>
      </w:r>
      <w:r w:rsidR="0095713B" w:rsidRPr="00AD66BF">
        <w:rPr>
          <w:sz w:val="28"/>
          <w:szCs w:val="28"/>
        </w:rPr>
        <w:t xml:space="preserve"> dal momento che tutte le azioni umane implicano il trattamento di dati personali, è ammissibile che all’applicazione della relativa disciplina si accompagni contestualmente quella di altre branche del diritto, </w:t>
      </w:r>
      <w:r>
        <w:rPr>
          <w:sz w:val="28"/>
          <w:szCs w:val="28"/>
        </w:rPr>
        <w:t>tra cui rientra sicuramente</w:t>
      </w:r>
      <w:r w:rsidR="0095713B" w:rsidRPr="00AD66BF">
        <w:rPr>
          <w:sz w:val="28"/>
          <w:szCs w:val="28"/>
        </w:rPr>
        <w:t xml:space="preserve"> quella del consumo.</w:t>
      </w:r>
      <w:r>
        <w:rPr>
          <w:sz w:val="28"/>
          <w:szCs w:val="28"/>
        </w:rPr>
        <w:t xml:space="preserve"> </w:t>
      </w:r>
      <w:r w:rsidR="0095713B" w:rsidRPr="00AD66BF">
        <w:rPr>
          <w:sz w:val="28"/>
          <w:szCs w:val="28"/>
        </w:rPr>
        <w:t>Si è parlato</w:t>
      </w:r>
      <w:r>
        <w:rPr>
          <w:sz w:val="28"/>
          <w:szCs w:val="28"/>
        </w:rPr>
        <w:t xml:space="preserve">, </w:t>
      </w:r>
      <w:r w:rsidR="0095713B" w:rsidRPr="00AD66BF">
        <w:rPr>
          <w:sz w:val="28"/>
          <w:szCs w:val="28"/>
        </w:rPr>
        <w:t>a tal proposito</w:t>
      </w:r>
      <w:r>
        <w:rPr>
          <w:sz w:val="28"/>
          <w:szCs w:val="28"/>
        </w:rPr>
        <w:t xml:space="preserve">, </w:t>
      </w:r>
      <w:r w:rsidR="0095713B" w:rsidRPr="00AD66BF">
        <w:rPr>
          <w:sz w:val="28"/>
          <w:szCs w:val="28"/>
        </w:rPr>
        <w:t>di “</w:t>
      </w:r>
      <w:r w:rsidR="0095713B" w:rsidRPr="003F11FE">
        <w:rPr>
          <w:i/>
          <w:iCs/>
          <w:sz w:val="28"/>
          <w:szCs w:val="28"/>
        </w:rPr>
        <w:t>tutele multilivello</w:t>
      </w:r>
      <w:r w:rsidR="0095713B" w:rsidRPr="00AD66BF">
        <w:rPr>
          <w:sz w:val="28"/>
          <w:szCs w:val="28"/>
        </w:rPr>
        <w:t>” garantite alle persone fisiche.</w:t>
      </w:r>
    </w:p>
    <w:p w14:paraId="7F112E1B" w14:textId="451B0BDF" w:rsidR="0095713B" w:rsidRPr="00AD66BF" w:rsidRDefault="0095713B" w:rsidP="00AD66BF">
      <w:pPr>
        <w:pStyle w:val="NormaleWeb"/>
        <w:spacing w:before="0" w:beforeAutospacing="0" w:after="0" w:afterAutospacing="0"/>
        <w:jc w:val="both"/>
        <w:rPr>
          <w:sz w:val="32"/>
          <w:szCs w:val="32"/>
        </w:rPr>
      </w:pPr>
      <w:r w:rsidRPr="00AD66BF">
        <w:rPr>
          <w:sz w:val="28"/>
          <w:szCs w:val="28"/>
        </w:rPr>
        <w:t xml:space="preserve">Il Consiglio di Stato ha </w:t>
      </w:r>
      <w:r w:rsidR="003F11FE">
        <w:rPr>
          <w:sz w:val="28"/>
          <w:szCs w:val="28"/>
        </w:rPr>
        <w:t xml:space="preserve">aderito alla posizione secondo la quale, nel caso di specie, </w:t>
      </w:r>
      <w:r w:rsidRPr="00AD66BF">
        <w:rPr>
          <w:sz w:val="28"/>
          <w:szCs w:val="28"/>
        </w:rPr>
        <w:t>le informazioni fornite agli utenti non fossero sufficientemente chiare e adeguate</w:t>
      </w:r>
      <w:r w:rsidR="003F11FE">
        <w:rPr>
          <w:sz w:val="28"/>
          <w:szCs w:val="28"/>
        </w:rPr>
        <w:t xml:space="preserve"> a permettere </w:t>
      </w:r>
      <w:r w:rsidRPr="00AD66BF">
        <w:rPr>
          <w:sz w:val="28"/>
          <w:szCs w:val="28"/>
        </w:rPr>
        <w:t xml:space="preserve">loro di assumere piena consapevolezza del fatto che i propri dati personali non vengono utilizzati esclusivamente per consentire la fruizione del servizio, ma vengono ulteriormente sfruttati a fini commerciali. </w:t>
      </w:r>
      <w:r w:rsidR="006F0AA8">
        <w:rPr>
          <w:sz w:val="28"/>
          <w:szCs w:val="28"/>
        </w:rPr>
        <w:t>Dunque</w:t>
      </w:r>
      <w:r w:rsidRPr="00AD66BF">
        <w:rPr>
          <w:sz w:val="28"/>
          <w:szCs w:val="28"/>
        </w:rPr>
        <w:t xml:space="preserve">, </w:t>
      </w:r>
      <w:r w:rsidR="006F0AA8">
        <w:rPr>
          <w:sz w:val="28"/>
          <w:szCs w:val="28"/>
        </w:rPr>
        <w:t xml:space="preserve">si conclude nel senso che </w:t>
      </w:r>
      <w:r w:rsidRPr="00AD66BF">
        <w:rPr>
          <w:sz w:val="28"/>
          <w:szCs w:val="28"/>
        </w:rPr>
        <w:t xml:space="preserve">la pratica è senz’altro da qualificarsi come </w:t>
      </w:r>
      <w:r w:rsidR="003F11FE">
        <w:rPr>
          <w:sz w:val="28"/>
          <w:szCs w:val="28"/>
        </w:rPr>
        <w:t>ingannevole.</w:t>
      </w:r>
    </w:p>
    <w:p w14:paraId="5122C468" w14:textId="377AF2A2" w:rsidR="0095713B" w:rsidRDefault="007A3CB3" w:rsidP="00AD66BF">
      <w:pPr>
        <w:pStyle w:val="NormaleWeb"/>
        <w:spacing w:before="0" w:beforeAutospacing="0" w:after="0" w:afterAutospacing="0"/>
        <w:jc w:val="both"/>
        <w:rPr>
          <w:sz w:val="28"/>
          <w:szCs w:val="28"/>
        </w:rPr>
      </w:pPr>
      <w:r w:rsidRPr="00AD66BF">
        <w:rPr>
          <w:sz w:val="28"/>
          <w:szCs w:val="28"/>
        </w:rPr>
        <w:lastRenderedPageBreak/>
        <w:t xml:space="preserve">Se è vero </w:t>
      </w:r>
      <w:r w:rsidR="0092292E" w:rsidRPr="00AD66BF">
        <w:rPr>
          <w:sz w:val="28"/>
          <w:szCs w:val="28"/>
        </w:rPr>
        <w:t>che nel</w:t>
      </w:r>
      <w:r w:rsidR="0095713B" w:rsidRPr="00AD66BF">
        <w:rPr>
          <w:sz w:val="28"/>
          <w:szCs w:val="28"/>
        </w:rPr>
        <w:t xml:space="preserve"> </w:t>
      </w:r>
      <w:r w:rsidR="0095713B" w:rsidRPr="006F0AA8">
        <w:rPr>
          <w:i/>
          <w:iCs/>
          <w:sz w:val="28"/>
          <w:szCs w:val="28"/>
        </w:rPr>
        <w:t>business model</w:t>
      </w:r>
      <w:r w:rsidR="0095713B" w:rsidRPr="00AD66BF">
        <w:rPr>
          <w:sz w:val="28"/>
          <w:szCs w:val="28"/>
        </w:rPr>
        <w:t xml:space="preserve"> di </w:t>
      </w:r>
      <w:proofErr w:type="spellStart"/>
      <w:r w:rsidR="0095713B" w:rsidRPr="00AD66BF">
        <w:rPr>
          <w:sz w:val="28"/>
          <w:szCs w:val="28"/>
        </w:rPr>
        <w:t>Facebook</w:t>
      </w:r>
      <w:proofErr w:type="spellEnd"/>
      <w:r w:rsidR="0095713B" w:rsidRPr="00AD66BF">
        <w:rPr>
          <w:sz w:val="28"/>
          <w:szCs w:val="28"/>
        </w:rPr>
        <w:t xml:space="preserve"> i dati vengono utilizzati per fini commerciali, </w:t>
      </w:r>
      <w:r w:rsidRPr="00AD66BF">
        <w:rPr>
          <w:sz w:val="28"/>
          <w:szCs w:val="28"/>
        </w:rPr>
        <w:t>è certamente discutibile</w:t>
      </w:r>
      <w:r w:rsidR="0095713B" w:rsidRPr="00AD66BF">
        <w:rPr>
          <w:sz w:val="28"/>
          <w:szCs w:val="28"/>
        </w:rPr>
        <w:t xml:space="preserve"> </w:t>
      </w:r>
      <w:r w:rsidRPr="00AD66BF">
        <w:rPr>
          <w:sz w:val="28"/>
          <w:szCs w:val="28"/>
        </w:rPr>
        <w:t>l</w:t>
      </w:r>
      <w:r w:rsidR="0095713B" w:rsidRPr="00AD66BF">
        <w:rPr>
          <w:sz w:val="28"/>
          <w:szCs w:val="28"/>
        </w:rPr>
        <w:t>a possibilità di attribuire loro la qualificazione giuridica di corrispettivo della controprestazione.</w:t>
      </w:r>
    </w:p>
    <w:p w14:paraId="02BB011B" w14:textId="77777777" w:rsidR="00222772" w:rsidRPr="00AD66BF" w:rsidRDefault="00222772" w:rsidP="00AD66BF">
      <w:pPr>
        <w:pStyle w:val="NormaleWeb"/>
        <w:spacing w:before="0" w:beforeAutospacing="0" w:after="0" w:afterAutospacing="0"/>
        <w:jc w:val="both"/>
        <w:rPr>
          <w:sz w:val="28"/>
          <w:szCs w:val="28"/>
        </w:rPr>
      </w:pPr>
    </w:p>
    <w:p w14:paraId="5D6EACD8" w14:textId="77777777" w:rsidR="00222772" w:rsidRDefault="006F0AA8" w:rsidP="00AD66BF">
      <w:pPr>
        <w:pStyle w:val="NormaleWeb"/>
        <w:spacing w:before="0" w:beforeAutospacing="0" w:after="0" w:afterAutospacing="0"/>
        <w:jc w:val="both"/>
        <w:rPr>
          <w:sz w:val="28"/>
          <w:szCs w:val="28"/>
        </w:rPr>
      </w:pPr>
      <w:r>
        <w:rPr>
          <w:sz w:val="28"/>
          <w:szCs w:val="28"/>
        </w:rPr>
        <w:t>Si consideri che i</w:t>
      </w:r>
      <w:r w:rsidR="0095713B" w:rsidRPr="00AD66BF">
        <w:rPr>
          <w:sz w:val="28"/>
          <w:szCs w:val="28"/>
        </w:rPr>
        <w:t xml:space="preserve"> dati forniti dagli utenti</w:t>
      </w:r>
      <w:r>
        <w:rPr>
          <w:sz w:val="28"/>
          <w:szCs w:val="28"/>
        </w:rPr>
        <w:t xml:space="preserve">-consumatori </w:t>
      </w:r>
      <w:r w:rsidR="0095713B" w:rsidRPr="00AD66BF">
        <w:rPr>
          <w:sz w:val="28"/>
          <w:szCs w:val="28"/>
        </w:rPr>
        <w:t xml:space="preserve">sono generalmente raccolti </w:t>
      </w:r>
      <w:r>
        <w:rPr>
          <w:sz w:val="28"/>
          <w:szCs w:val="28"/>
        </w:rPr>
        <w:t>sul</w:t>
      </w:r>
      <w:r w:rsidR="0095713B" w:rsidRPr="00AD66BF">
        <w:rPr>
          <w:sz w:val="28"/>
          <w:szCs w:val="28"/>
        </w:rPr>
        <w:t xml:space="preserve">la base giuridica di cui all’art. 6, para 1, </w:t>
      </w:r>
      <w:proofErr w:type="spellStart"/>
      <w:r w:rsidR="0095713B" w:rsidRPr="00AD66BF">
        <w:rPr>
          <w:sz w:val="28"/>
          <w:szCs w:val="28"/>
        </w:rPr>
        <w:t>lett</w:t>
      </w:r>
      <w:proofErr w:type="spellEnd"/>
      <w:r w:rsidR="0095713B" w:rsidRPr="00AD66BF">
        <w:rPr>
          <w:sz w:val="28"/>
          <w:szCs w:val="28"/>
        </w:rPr>
        <w:t xml:space="preserve">. b) del GDPR, in quanto necessari all’esecuzione </w:t>
      </w:r>
      <w:r>
        <w:rPr>
          <w:sz w:val="28"/>
          <w:szCs w:val="28"/>
        </w:rPr>
        <w:t>del</w:t>
      </w:r>
      <w:r w:rsidR="0095713B" w:rsidRPr="00AD66BF">
        <w:rPr>
          <w:sz w:val="28"/>
          <w:szCs w:val="28"/>
        </w:rPr>
        <w:t xml:space="preserve"> contratto</w:t>
      </w:r>
      <w:r>
        <w:rPr>
          <w:sz w:val="28"/>
          <w:szCs w:val="28"/>
        </w:rPr>
        <w:t xml:space="preserve"> digitale</w:t>
      </w:r>
      <w:r w:rsidR="0095713B" w:rsidRPr="00AD66BF">
        <w:rPr>
          <w:sz w:val="28"/>
          <w:szCs w:val="28"/>
        </w:rPr>
        <w:t xml:space="preserve">. </w:t>
      </w:r>
    </w:p>
    <w:p w14:paraId="3DD5BAB3" w14:textId="00FC5F6E" w:rsidR="0095713B" w:rsidRPr="00AD66BF" w:rsidRDefault="0095713B" w:rsidP="00AD66BF">
      <w:pPr>
        <w:pStyle w:val="NormaleWeb"/>
        <w:spacing w:before="0" w:beforeAutospacing="0" w:after="0" w:afterAutospacing="0"/>
        <w:jc w:val="both"/>
        <w:rPr>
          <w:sz w:val="28"/>
          <w:szCs w:val="28"/>
        </w:rPr>
      </w:pPr>
      <w:r w:rsidRPr="00AD66BF">
        <w:rPr>
          <w:sz w:val="28"/>
          <w:szCs w:val="28"/>
        </w:rPr>
        <w:t>A</w:t>
      </w:r>
      <w:r w:rsidR="006F0AA8">
        <w:rPr>
          <w:sz w:val="28"/>
          <w:szCs w:val="28"/>
        </w:rPr>
        <w:t>nche a</w:t>
      </w:r>
      <w:r w:rsidRPr="00AD66BF">
        <w:rPr>
          <w:sz w:val="28"/>
          <w:szCs w:val="28"/>
        </w:rPr>
        <w:t xml:space="preserve">mmettendo che tutti i dati raccolti </w:t>
      </w:r>
      <w:r w:rsidR="006F0AA8">
        <w:rPr>
          <w:sz w:val="28"/>
          <w:szCs w:val="28"/>
        </w:rPr>
        <w:t xml:space="preserve">dalla società </w:t>
      </w:r>
      <w:r w:rsidRPr="00AD66BF">
        <w:rPr>
          <w:sz w:val="28"/>
          <w:szCs w:val="28"/>
        </w:rPr>
        <w:t>siano effettivamente indispensabili a tal fine, la loro dazione</w:t>
      </w:r>
      <w:r w:rsidR="001620AE">
        <w:rPr>
          <w:sz w:val="28"/>
          <w:szCs w:val="28"/>
        </w:rPr>
        <w:t xml:space="preserve"> da parte degli utenti</w:t>
      </w:r>
      <w:r w:rsidRPr="00AD66BF">
        <w:rPr>
          <w:sz w:val="28"/>
          <w:szCs w:val="28"/>
        </w:rPr>
        <w:t xml:space="preserve"> non potrebbe qualificarsi come corrispettivo della prestazione</w:t>
      </w:r>
      <w:r w:rsidR="001620AE">
        <w:rPr>
          <w:sz w:val="28"/>
          <w:szCs w:val="28"/>
        </w:rPr>
        <w:t xml:space="preserve">; </w:t>
      </w:r>
      <w:r w:rsidRPr="00AD66BF">
        <w:rPr>
          <w:sz w:val="28"/>
          <w:szCs w:val="28"/>
        </w:rPr>
        <w:t xml:space="preserve">piuttosto </w:t>
      </w:r>
      <w:r w:rsidR="001620AE">
        <w:rPr>
          <w:sz w:val="28"/>
          <w:szCs w:val="28"/>
        </w:rPr>
        <w:t xml:space="preserve">dovrebbe essere considerato </w:t>
      </w:r>
      <w:r w:rsidR="001620AE" w:rsidRPr="00AD66BF">
        <w:rPr>
          <w:sz w:val="28"/>
          <w:szCs w:val="28"/>
        </w:rPr>
        <w:t>come</w:t>
      </w:r>
      <w:r w:rsidR="001620AE">
        <w:rPr>
          <w:sz w:val="28"/>
          <w:szCs w:val="28"/>
        </w:rPr>
        <w:t xml:space="preserve"> </w:t>
      </w:r>
      <w:r w:rsidRPr="00AD66BF">
        <w:rPr>
          <w:sz w:val="28"/>
          <w:szCs w:val="28"/>
        </w:rPr>
        <w:t xml:space="preserve">suo presupposto. </w:t>
      </w:r>
      <w:r w:rsidR="001620AE">
        <w:rPr>
          <w:sz w:val="28"/>
          <w:szCs w:val="28"/>
        </w:rPr>
        <w:t>Allo stesso modo</w:t>
      </w:r>
      <w:r w:rsidRPr="00AD66BF">
        <w:rPr>
          <w:sz w:val="28"/>
          <w:szCs w:val="28"/>
        </w:rPr>
        <w:t xml:space="preserve">, se i dati raccolti </w:t>
      </w:r>
      <w:r w:rsidR="001620AE">
        <w:rPr>
          <w:sz w:val="28"/>
          <w:szCs w:val="28"/>
        </w:rPr>
        <w:t>fossero</w:t>
      </w:r>
      <w:r w:rsidRPr="00AD66BF">
        <w:rPr>
          <w:sz w:val="28"/>
          <w:szCs w:val="28"/>
        </w:rPr>
        <w:t xml:space="preserve"> utilizzati per finalità diverse o ulteriori, non potrebbero comunque </w:t>
      </w:r>
      <w:r w:rsidR="001620AE">
        <w:rPr>
          <w:sz w:val="28"/>
          <w:szCs w:val="28"/>
        </w:rPr>
        <w:t>essere considerati</w:t>
      </w:r>
      <w:r w:rsidRPr="00AD66BF">
        <w:rPr>
          <w:sz w:val="28"/>
          <w:szCs w:val="28"/>
        </w:rPr>
        <w:t xml:space="preserve"> come </w:t>
      </w:r>
      <w:r w:rsidR="001620AE">
        <w:rPr>
          <w:sz w:val="28"/>
          <w:szCs w:val="28"/>
        </w:rPr>
        <w:t xml:space="preserve">un </w:t>
      </w:r>
      <w:r w:rsidRPr="00AD66BF">
        <w:rPr>
          <w:sz w:val="28"/>
          <w:szCs w:val="28"/>
        </w:rPr>
        <w:t>corrispettivo, in quanto ciò presuppone che il versamento avvenga consapevolmente.</w:t>
      </w:r>
    </w:p>
    <w:p w14:paraId="44AD50D5" w14:textId="77777777" w:rsidR="00222772" w:rsidRDefault="001620AE" w:rsidP="00AD66BF">
      <w:pPr>
        <w:pStyle w:val="NormaleWeb"/>
        <w:spacing w:before="0" w:beforeAutospacing="0" w:after="0" w:afterAutospacing="0"/>
        <w:jc w:val="both"/>
        <w:rPr>
          <w:sz w:val="28"/>
          <w:szCs w:val="28"/>
        </w:rPr>
      </w:pPr>
      <w:r>
        <w:rPr>
          <w:sz w:val="28"/>
          <w:szCs w:val="28"/>
        </w:rPr>
        <w:t xml:space="preserve">Viene anche analizzata </w:t>
      </w:r>
      <w:r w:rsidR="0095713B" w:rsidRPr="00AD66BF">
        <w:rPr>
          <w:sz w:val="28"/>
          <w:szCs w:val="28"/>
        </w:rPr>
        <w:t>l’ipotesi del ricorso al consenso come base giuridica</w:t>
      </w:r>
      <w:r>
        <w:rPr>
          <w:sz w:val="28"/>
          <w:szCs w:val="28"/>
        </w:rPr>
        <w:t>. T</w:t>
      </w:r>
      <w:r w:rsidR="0095713B" w:rsidRPr="00AD66BF">
        <w:rPr>
          <w:sz w:val="28"/>
          <w:szCs w:val="28"/>
        </w:rPr>
        <w:t>uttavia, affinché il consenso sia libero, in assenza di esso non potrebbe comunque essere negata l’erogazione del servizio all’utente</w:t>
      </w:r>
      <w:r>
        <w:rPr>
          <w:sz w:val="28"/>
          <w:szCs w:val="28"/>
        </w:rPr>
        <w:t xml:space="preserve">. </w:t>
      </w:r>
    </w:p>
    <w:p w14:paraId="4B68349A" w14:textId="6CE5BDC0" w:rsidR="0095713B" w:rsidRPr="00AD66BF" w:rsidRDefault="001620AE" w:rsidP="00AD66BF">
      <w:pPr>
        <w:pStyle w:val="NormaleWeb"/>
        <w:spacing w:before="0" w:beforeAutospacing="0" w:after="0" w:afterAutospacing="0"/>
        <w:jc w:val="both"/>
        <w:rPr>
          <w:sz w:val="28"/>
          <w:szCs w:val="28"/>
        </w:rPr>
      </w:pPr>
      <w:r>
        <w:rPr>
          <w:sz w:val="28"/>
          <w:szCs w:val="28"/>
        </w:rPr>
        <w:t>Ciò</w:t>
      </w:r>
      <w:r w:rsidR="0095713B" w:rsidRPr="00AD66BF">
        <w:rPr>
          <w:sz w:val="28"/>
          <w:szCs w:val="28"/>
        </w:rPr>
        <w:t xml:space="preserve"> porta ad escludere l’ammissibilità della tesi dei dati come corrispettivo.</w:t>
      </w:r>
    </w:p>
    <w:p w14:paraId="77B6CE09" w14:textId="70C0241F" w:rsidR="0095713B" w:rsidRPr="00AD66BF" w:rsidRDefault="00DC61CD" w:rsidP="00AD66BF">
      <w:pPr>
        <w:pStyle w:val="NormaleWeb"/>
        <w:spacing w:before="0" w:beforeAutospacing="0" w:after="0" w:afterAutospacing="0"/>
        <w:jc w:val="both"/>
        <w:rPr>
          <w:sz w:val="28"/>
          <w:szCs w:val="28"/>
        </w:rPr>
      </w:pPr>
      <w:r>
        <w:rPr>
          <w:sz w:val="28"/>
          <w:szCs w:val="28"/>
        </w:rPr>
        <w:t>Si tenga presente che il</w:t>
      </w:r>
      <w:r w:rsidR="0095713B" w:rsidRPr="00AD66BF">
        <w:rPr>
          <w:sz w:val="28"/>
          <w:szCs w:val="28"/>
        </w:rPr>
        <w:t xml:space="preserve"> Governo ha</w:t>
      </w:r>
      <w:r w:rsidR="001620AE">
        <w:rPr>
          <w:sz w:val="28"/>
          <w:szCs w:val="28"/>
        </w:rPr>
        <w:t xml:space="preserve"> </w:t>
      </w:r>
      <w:r w:rsidR="0095713B" w:rsidRPr="00AD66BF">
        <w:rPr>
          <w:sz w:val="28"/>
          <w:szCs w:val="28"/>
        </w:rPr>
        <w:t>adottato</w:t>
      </w:r>
      <w:r>
        <w:rPr>
          <w:sz w:val="28"/>
          <w:szCs w:val="28"/>
        </w:rPr>
        <w:t xml:space="preserve"> </w:t>
      </w:r>
      <w:r w:rsidR="0095064C" w:rsidRPr="00920436">
        <w:rPr>
          <w:sz w:val="28"/>
          <w:szCs w:val="28"/>
        </w:rPr>
        <w:t>il decreto legislativo</w:t>
      </w:r>
      <w:r w:rsidR="0095064C">
        <w:rPr>
          <w:sz w:val="28"/>
          <w:szCs w:val="28"/>
        </w:rPr>
        <w:t xml:space="preserve"> 4 novembre 2021, n. 170, pubblicato il 25 novembre scorso</w:t>
      </w:r>
      <w:r w:rsidR="0095064C" w:rsidRPr="00920436">
        <w:rPr>
          <w:sz w:val="28"/>
          <w:szCs w:val="28"/>
        </w:rPr>
        <w:t>, di attuazione della Direttiva 77</w:t>
      </w:r>
      <w:r w:rsidR="0095064C">
        <w:rPr>
          <w:sz w:val="28"/>
          <w:szCs w:val="28"/>
        </w:rPr>
        <w:t>0</w:t>
      </w:r>
      <w:r w:rsidR="0095064C" w:rsidRPr="00920436">
        <w:rPr>
          <w:sz w:val="28"/>
          <w:szCs w:val="28"/>
        </w:rPr>
        <w:t>/2019</w:t>
      </w:r>
      <w:r w:rsidR="0095713B" w:rsidRPr="00AD66BF">
        <w:rPr>
          <w:sz w:val="28"/>
          <w:szCs w:val="28"/>
        </w:rPr>
        <w:t>, che introduce</w:t>
      </w:r>
      <w:r w:rsidR="00222772">
        <w:rPr>
          <w:sz w:val="28"/>
          <w:szCs w:val="28"/>
        </w:rPr>
        <w:t xml:space="preserve"> </w:t>
      </w:r>
      <w:r w:rsidR="0095713B" w:rsidRPr="00AD66BF">
        <w:rPr>
          <w:sz w:val="28"/>
          <w:szCs w:val="28"/>
        </w:rPr>
        <w:t>nel Codice del Consumo</w:t>
      </w:r>
      <w:r w:rsidR="00222772">
        <w:rPr>
          <w:sz w:val="28"/>
          <w:szCs w:val="28"/>
        </w:rPr>
        <w:t xml:space="preserve"> </w:t>
      </w:r>
      <w:r w:rsidR="0095713B" w:rsidRPr="00AD66BF">
        <w:rPr>
          <w:sz w:val="28"/>
          <w:szCs w:val="28"/>
        </w:rPr>
        <w:t>un nuovo Capo I-bis nella parte IV, Titolo III, volto appunto a regolamentare i contratti aventi ad oggetto contenuti e servizi digitali</w:t>
      </w:r>
      <w:r w:rsidR="00E238E7" w:rsidRPr="00AD66BF">
        <w:rPr>
          <w:rStyle w:val="Rimandonotaapidipagina"/>
          <w:sz w:val="28"/>
          <w:szCs w:val="28"/>
        </w:rPr>
        <w:footnoteReference w:id="210"/>
      </w:r>
      <w:r w:rsidR="00E238E7" w:rsidRPr="00AD66BF">
        <w:rPr>
          <w:sz w:val="28"/>
          <w:szCs w:val="28"/>
        </w:rPr>
        <w:t>.</w:t>
      </w:r>
    </w:p>
    <w:p w14:paraId="3B0B2429" w14:textId="77777777" w:rsidR="0095713B" w:rsidRPr="00AD66BF" w:rsidRDefault="0095713B" w:rsidP="00AD66BF">
      <w:pPr>
        <w:pStyle w:val="NormaleWeb"/>
        <w:spacing w:before="0" w:beforeAutospacing="0" w:after="0" w:afterAutospacing="0"/>
        <w:jc w:val="both"/>
        <w:rPr>
          <w:i/>
          <w:iCs/>
          <w:sz w:val="28"/>
          <w:szCs w:val="28"/>
        </w:rPr>
      </w:pPr>
      <w:r w:rsidRPr="00AD66BF">
        <w:rPr>
          <w:sz w:val="28"/>
          <w:szCs w:val="28"/>
        </w:rPr>
        <w:t>Il testo individua l’ambito di applicazione della nuova disciplina, includendovi le ipotesi in cui “</w:t>
      </w:r>
      <w:r w:rsidRPr="00AD66BF">
        <w:rPr>
          <w:i/>
          <w:iCs/>
          <w:sz w:val="28"/>
          <w:szCs w:val="28"/>
        </w:rPr>
        <w:t>il professionista fornisce o si impegna a fornire contenuto digitale o un servizio digitale al consumatore e il consumatore fornisce o si impegna a fornire dati personali al professionista, fatto salvo il caso in cui i dati personali forniti dal consumatore siano trattati esclusivamente dal professionista ai fini della fornitura del contenuto digitale o del servizio digitale […] o per consentire l’assolvimento degli obblighi di legge cui è soggetto l’operatore economico</w:t>
      </w:r>
      <w:r w:rsidRPr="00CA4AAF">
        <w:rPr>
          <w:sz w:val="28"/>
          <w:szCs w:val="28"/>
        </w:rPr>
        <w:t>”.</w:t>
      </w:r>
    </w:p>
    <w:p w14:paraId="3576FA28" w14:textId="06FAFFF4" w:rsidR="0095713B" w:rsidRPr="00AD66BF" w:rsidRDefault="0095713B" w:rsidP="00AD66BF">
      <w:pPr>
        <w:pStyle w:val="NormaleWeb"/>
        <w:spacing w:before="0" w:beforeAutospacing="0" w:after="0" w:afterAutospacing="0"/>
        <w:jc w:val="both"/>
        <w:rPr>
          <w:sz w:val="28"/>
          <w:szCs w:val="28"/>
        </w:rPr>
      </w:pPr>
      <w:r w:rsidRPr="00AD66BF">
        <w:rPr>
          <w:sz w:val="28"/>
          <w:szCs w:val="28"/>
        </w:rPr>
        <w:t xml:space="preserve">Viene qui richiamato quanto previsto dal </w:t>
      </w:r>
      <w:r w:rsidR="00CA4AAF">
        <w:rPr>
          <w:sz w:val="28"/>
          <w:szCs w:val="28"/>
        </w:rPr>
        <w:t>C</w:t>
      </w:r>
      <w:r w:rsidRPr="00AD66BF">
        <w:rPr>
          <w:sz w:val="28"/>
          <w:szCs w:val="28"/>
        </w:rPr>
        <w:t>onsiderando 14 della Direttiva, il quale specifica che quest</w:t>
      </w:r>
      <w:r w:rsidR="00CA4AAF">
        <w:rPr>
          <w:sz w:val="28"/>
          <w:szCs w:val="28"/>
        </w:rPr>
        <w:t>’ultima</w:t>
      </w:r>
      <w:r w:rsidRPr="00AD66BF">
        <w:rPr>
          <w:sz w:val="28"/>
          <w:szCs w:val="28"/>
        </w:rPr>
        <w:t xml:space="preserve"> non </w:t>
      </w:r>
      <w:r w:rsidR="00CA4AAF">
        <w:rPr>
          <w:sz w:val="28"/>
          <w:szCs w:val="28"/>
        </w:rPr>
        <w:t>può</w:t>
      </w:r>
      <w:r w:rsidRPr="00AD66BF">
        <w:rPr>
          <w:sz w:val="28"/>
          <w:szCs w:val="28"/>
        </w:rPr>
        <w:t xml:space="preserve"> trovare applicazione nelle ipotesi in cui il professionista sia entrato nella disponibilità dei dati senza che il consumatore glieli abbia forniti “attivamente” (</w:t>
      </w:r>
      <w:r w:rsidR="00CA4AAF">
        <w:rPr>
          <w:sz w:val="28"/>
          <w:szCs w:val="28"/>
        </w:rPr>
        <w:t xml:space="preserve">ad </w:t>
      </w:r>
      <w:r w:rsidRPr="00AD66BF">
        <w:rPr>
          <w:sz w:val="28"/>
          <w:szCs w:val="28"/>
        </w:rPr>
        <w:t xml:space="preserve">es. mediante l’utilizzo di </w:t>
      </w:r>
      <w:r w:rsidRPr="00CA4AAF">
        <w:rPr>
          <w:i/>
          <w:iCs/>
          <w:sz w:val="28"/>
          <w:szCs w:val="28"/>
        </w:rPr>
        <w:t>cookies</w:t>
      </w:r>
      <w:r w:rsidRPr="00AD66BF">
        <w:rPr>
          <w:sz w:val="28"/>
          <w:szCs w:val="28"/>
        </w:rPr>
        <w:t>).</w:t>
      </w:r>
    </w:p>
    <w:p w14:paraId="3067B264" w14:textId="40986ACF" w:rsidR="0095713B" w:rsidRPr="00AD66BF" w:rsidRDefault="0095713B" w:rsidP="00AD66BF">
      <w:pPr>
        <w:pStyle w:val="NormaleWeb"/>
        <w:spacing w:before="0" w:beforeAutospacing="0" w:after="0" w:afterAutospacing="0"/>
        <w:jc w:val="both"/>
        <w:rPr>
          <w:sz w:val="28"/>
          <w:szCs w:val="28"/>
        </w:rPr>
      </w:pPr>
      <w:r w:rsidRPr="00AD66BF">
        <w:rPr>
          <w:sz w:val="28"/>
          <w:szCs w:val="28"/>
        </w:rPr>
        <w:t>Le</w:t>
      </w:r>
      <w:r w:rsidR="00CA4AAF">
        <w:rPr>
          <w:sz w:val="28"/>
          <w:szCs w:val="28"/>
        </w:rPr>
        <w:t xml:space="preserve"> </w:t>
      </w:r>
      <w:r w:rsidRPr="00AD66BF">
        <w:rPr>
          <w:sz w:val="28"/>
          <w:szCs w:val="28"/>
        </w:rPr>
        <w:t xml:space="preserve">disposizioni </w:t>
      </w:r>
      <w:r w:rsidR="00CA4AAF">
        <w:rPr>
          <w:sz w:val="28"/>
          <w:szCs w:val="28"/>
        </w:rPr>
        <w:t xml:space="preserve">di nuova introduzione </w:t>
      </w:r>
      <w:r w:rsidRPr="00AD66BF">
        <w:rPr>
          <w:sz w:val="28"/>
          <w:szCs w:val="28"/>
        </w:rPr>
        <w:t>intervengono</w:t>
      </w:r>
      <w:r w:rsidR="00CA4AAF">
        <w:rPr>
          <w:sz w:val="28"/>
          <w:szCs w:val="28"/>
        </w:rPr>
        <w:t>,</w:t>
      </w:r>
      <w:r w:rsidRPr="00AD66BF">
        <w:rPr>
          <w:sz w:val="28"/>
          <w:szCs w:val="28"/>
        </w:rPr>
        <w:t xml:space="preserve"> dunque</w:t>
      </w:r>
      <w:r w:rsidR="00CA4AAF">
        <w:rPr>
          <w:sz w:val="28"/>
          <w:szCs w:val="28"/>
        </w:rPr>
        <w:t>,</w:t>
      </w:r>
      <w:r w:rsidRPr="00AD66BF">
        <w:rPr>
          <w:sz w:val="28"/>
          <w:szCs w:val="28"/>
        </w:rPr>
        <w:t xml:space="preserve"> su un profilo specifico</w:t>
      </w:r>
      <w:r w:rsidR="00CA4AAF">
        <w:rPr>
          <w:sz w:val="28"/>
          <w:szCs w:val="28"/>
        </w:rPr>
        <w:t>,</w:t>
      </w:r>
      <w:r w:rsidRPr="00AD66BF">
        <w:rPr>
          <w:sz w:val="28"/>
          <w:szCs w:val="28"/>
        </w:rPr>
        <w:t xml:space="preserve"> e </w:t>
      </w:r>
      <w:r w:rsidR="00CA4AAF">
        <w:rPr>
          <w:sz w:val="28"/>
          <w:szCs w:val="28"/>
        </w:rPr>
        <w:t>puntano</w:t>
      </w:r>
      <w:r w:rsidRPr="00AD66BF">
        <w:rPr>
          <w:sz w:val="28"/>
          <w:szCs w:val="28"/>
        </w:rPr>
        <w:t xml:space="preserve"> ad estendere la tutela prevista dall’ordinamento in favore dei consumatori</w:t>
      </w:r>
      <w:r w:rsidR="00CA4AAF">
        <w:rPr>
          <w:sz w:val="28"/>
          <w:szCs w:val="28"/>
        </w:rPr>
        <w:t xml:space="preserve"> – </w:t>
      </w:r>
      <w:r w:rsidRPr="00AD66BF">
        <w:rPr>
          <w:sz w:val="28"/>
          <w:szCs w:val="28"/>
        </w:rPr>
        <w:lastRenderedPageBreak/>
        <w:t xml:space="preserve">quali </w:t>
      </w:r>
      <w:r w:rsidR="003846B8">
        <w:rPr>
          <w:sz w:val="28"/>
          <w:szCs w:val="28"/>
        </w:rPr>
        <w:t xml:space="preserve">noti </w:t>
      </w:r>
      <w:r w:rsidRPr="00AD66BF">
        <w:rPr>
          <w:sz w:val="28"/>
          <w:szCs w:val="28"/>
        </w:rPr>
        <w:t>soggetti deboli nel rapporto contrattuale</w:t>
      </w:r>
      <w:r w:rsidR="00CA4AAF">
        <w:rPr>
          <w:sz w:val="28"/>
          <w:szCs w:val="28"/>
        </w:rPr>
        <w:t xml:space="preserve"> – </w:t>
      </w:r>
      <w:r w:rsidRPr="00AD66BF">
        <w:rPr>
          <w:sz w:val="28"/>
          <w:szCs w:val="28"/>
        </w:rPr>
        <w:t>anche a quei contratti nei quali, pur non essendo</w:t>
      </w:r>
      <w:r w:rsidR="003846B8">
        <w:rPr>
          <w:sz w:val="28"/>
          <w:szCs w:val="28"/>
        </w:rPr>
        <w:t>ci</w:t>
      </w:r>
      <w:r w:rsidRPr="00AD66BF">
        <w:rPr>
          <w:sz w:val="28"/>
          <w:szCs w:val="28"/>
        </w:rPr>
        <w:t xml:space="preserve"> la corresponsione di una somma di denaro, sorge in capo al consumatore un’obbligazione, consistente appunto nella cessione dei propri dati personali.</w:t>
      </w:r>
    </w:p>
    <w:p w14:paraId="15336259" w14:textId="61D10285" w:rsidR="0095713B" w:rsidRPr="00AD66BF" w:rsidRDefault="003846B8" w:rsidP="00AD66BF">
      <w:pPr>
        <w:pStyle w:val="NormaleWeb"/>
        <w:spacing w:before="0" w:beforeAutospacing="0" w:after="0" w:afterAutospacing="0"/>
        <w:jc w:val="both"/>
        <w:rPr>
          <w:sz w:val="28"/>
          <w:szCs w:val="28"/>
        </w:rPr>
      </w:pPr>
      <w:r>
        <w:rPr>
          <w:sz w:val="28"/>
          <w:szCs w:val="28"/>
        </w:rPr>
        <w:t>È essenziale comprendere, però, che ciò</w:t>
      </w:r>
      <w:r w:rsidR="0095713B" w:rsidRPr="00AD66BF">
        <w:rPr>
          <w:sz w:val="28"/>
          <w:szCs w:val="28"/>
        </w:rPr>
        <w:t xml:space="preserve"> non è sufficiente ad affermare che i dati personali abbiano assunto il valore di controprestazione, con tutte le altre conseguenze </w:t>
      </w:r>
      <w:r>
        <w:rPr>
          <w:sz w:val="28"/>
          <w:szCs w:val="28"/>
        </w:rPr>
        <w:t>in tema</w:t>
      </w:r>
      <w:r w:rsidR="0095713B" w:rsidRPr="00AD66BF">
        <w:rPr>
          <w:sz w:val="28"/>
          <w:szCs w:val="28"/>
        </w:rPr>
        <w:t xml:space="preserve"> di sinallagma contrattuale.</w:t>
      </w:r>
    </w:p>
    <w:p w14:paraId="6F50B6C3" w14:textId="5DC4AE1F" w:rsidR="0095713B" w:rsidRDefault="0095713B" w:rsidP="00AD66BF">
      <w:pPr>
        <w:pStyle w:val="NormaleWeb"/>
        <w:spacing w:before="0" w:beforeAutospacing="0" w:after="0" w:afterAutospacing="0"/>
        <w:jc w:val="both"/>
        <w:rPr>
          <w:sz w:val="28"/>
          <w:szCs w:val="28"/>
        </w:rPr>
      </w:pPr>
      <w:r w:rsidRPr="00AD66BF">
        <w:rPr>
          <w:sz w:val="28"/>
          <w:szCs w:val="28"/>
        </w:rPr>
        <w:t xml:space="preserve">Un altro passaggio interessante del decreto riguarda il rapporto fra la disciplina in esame e le disposizioni nazionali e dell’Unione Europea in materia di protezione dei dati personali. </w:t>
      </w:r>
      <w:r w:rsidR="003846B8">
        <w:rPr>
          <w:sz w:val="28"/>
          <w:szCs w:val="28"/>
        </w:rPr>
        <w:t xml:space="preserve">Il </w:t>
      </w:r>
      <w:r w:rsidRPr="00AD66BF">
        <w:rPr>
          <w:sz w:val="28"/>
          <w:szCs w:val="28"/>
        </w:rPr>
        <w:t xml:space="preserve">nuovo Capo I-bis del Codice del Consumo </w:t>
      </w:r>
      <w:r w:rsidR="003846B8">
        <w:rPr>
          <w:sz w:val="28"/>
          <w:szCs w:val="28"/>
        </w:rPr>
        <w:t xml:space="preserve">– viene specificato – </w:t>
      </w:r>
      <w:r w:rsidRPr="00AD66BF">
        <w:rPr>
          <w:sz w:val="28"/>
          <w:szCs w:val="28"/>
        </w:rPr>
        <w:t>trov</w:t>
      </w:r>
      <w:r w:rsidR="003846B8">
        <w:rPr>
          <w:sz w:val="28"/>
          <w:szCs w:val="28"/>
        </w:rPr>
        <w:t xml:space="preserve">a </w:t>
      </w:r>
      <w:r w:rsidRPr="00AD66BF">
        <w:rPr>
          <w:sz w:val="28"/>
          <w:szCs w:val="28"/>
        </w:rPr>
        <w:t xml:space="preserve">applicazione con riferimento a qualsiasi dato personale trattato in relazione a contratti in cui il professionista fornisce un contenuto digitale o un servizio digitale al consumatore e che, in caso di conflitto, </w:t>
      </w:r>
      <w:r w:rsidR="003846B8">
        <w:rPr>
          <w:sz w:val="28"/>
          <w:szCs w:val="28"/>
        </w:rPr>
        <w:t>prevalgano</w:t>
      </w:r>
      <w:r w:rsidRPr="00AD66BF">
        <w:rPr>
          <w:sz w:val="28"/>
          <w:szCs w:val="28"/>
        </w:rPr>
        <w:t xml:space="preserve"> le norme in materia di protezione dei dati.</w:t>
      </w:r>
    </w:p>
    <w:p w14:paraId="37996E28" w14:textId="77777777" w:rsidR="004950AF" w:rsidRDefault="004950AF" w:rsidP="00AD66BF">
      <w:pPr>
        <w:pStyle w:val="NormaleWeb"/>
        <w:spacing w:before="0" w:beforeAutospacing="0" w:after="0" w:afterAutospacing="0"/>
        <w:jc w:val="both"/>
        <w:rPr>
          <w:sz w:val="28"/>
          <w:szCs w:val="28"/>
        </w:rPr>
      </w:pPr>
    </w:p>
    <w:p w14:paraId="4C63E83A" w14:textId="77777777" w:rsidR="004950AF" w:rsidRDefault="004950AF" w:rsidP="00AD66BF">
      <w:pPr>
        <w:pStyle w:val="NormaleWeb"/>
        <w:spacing w:before="0" w:beforeAutospacing="0" w:after="0" w:afterAutospacing="0"/>
        <w:jc w:val="both"/>
        <w:rPr>
          <w:sz w:val="28"/>
          <w:szCs w:val="28"/>
        </w:rPr>
      </w:pPr>
      <w:r>
        <w:rPr>
          <w:sz w:val="28"/>
          <w:szCs w:val="28"/>
        </w:rPr>
        <w:t xml:space="preserve">Passando ad esaminare il </w:t>
      </w:r>
      <w:r w:rsidR="0095713B" w:rsidRPr="00AD66BF">
        <w:rPr>
          <w:sz w:val="28"/>
          <w:szCs w:val="28"/>
        </w:rPr>
        <w:t>diritto all’immagine</w:t>
      </w:r>
      <w:r>
        <w:rPr>
          <w:sz w:val="28"/>
          <w:szCs w:val="28"/>
        </w:rPr>
        <w:t>, di</w:t>
      </w:r>
      <w:r w:rsidR="0095713B" w:rsidRPr="00AD66BF">
        <w:rPr>
          <w:sz w:val="28"/>
          <w:szCs w:val="28"/>
        </w:rPr>
        <w:t xml:space="preserve"> rango di diritto fondamentale</w:t>
      </w:r>
      <w:r>
        <w:rPr>
          <w:sz w:val="28"/>
          <w:szCs w:val="28"/>
        </w:rPr>
        <w:t xml:space="preserve"> – </w:t>
      </w:r>
      <w:r w:rsidR="0095713B" w:rsidRPr="00AD66BF">
        <w:rPr>
          <w:sz w:val="28"/>
          <w:szCs w:val="28"/>
        </w:rPr>
        <w:t>ed in quanto tale inalienabile</w:t>
      </w:r>
      <w:r>
        <w:rPr>
          <w:sz w:val="28"/>
          <w:szCs w:val="28"/>
        </w:rPr>
        <w:t xml:space="preserve"> – si ammette </w:t>
      </w:r>
      <w:r w:rsidR="0095713B" w:rsidRPr="00AD66BF">
        <w:rPr>
          <w:sz w:val="28"/>
          <w:szCs w:val="28"/>
        </w:rPr>
        <w:t xml:space="preserve">la possibilità di cedere il diritto di riproduzione della stessa, previo consenso dell’interessato. </w:t>
      </w:r>
    </w:p>
    <w:p w14:paraId="4D789056" w14:textId="77777777" w:rsidR="00222772" w:rsidRDefault="0095713B" w:rsidP="00AD66BF">
      <w:pPr>
        <w:pStyle w:val="NormaleWeb"/>
        <w:spacing w:before="0" w:beforeAutospacing="0" w:after="0" w:afterAutospacing="0"/>
        <w:jc w:val="both"/>
        <w:rPr>
          <w:sz w:val="28"/>
          <w:szCs w:val="28"/>
        </w:rPr>
      </w:pPr>
      <w:r w:rsidRPr="00AD66BF">
        <w:rPr>
          <w:sz w:val="28"/>
          <w:szCs w:val="28"/>
        </w:rPr>
        <w:t xml:space="preserve">Alla regola del consenso fanno eccezione </w:t>
      </w:r>
      <w:r w:rsidR="004950AF">
        <w:rPr>
          <w:sz w:val="28"/>
          <w:szCs w:val="28"/>
        </w:rPr>
        <w:t>le</w:t>
      </w:r>
      <w:r w:rsidRPr="00AD66BF">
        <w:rPr>
          <w:sz w:val="28"/>
          <w:szCs w:val="28"/>
        </w:rPr>
        <w:t xml:space="preserve"> ipotesi espressamente previste dalla L. n. 633 del 1941, </w:t>
      </w:r>
      <w:r w:rsidR="004950AF">
        <w:rPr>
          <w:sz w:val="28"/>
          <w:szCs w:val="28"/>
        </w:rPr>
        <w:t>tra cui vi è il caso del</w:t>
      </w:r>
      <w:r w:rsidRPr="00AD66BF">
        <w:rPr>
          <w:sz w:val="28"/>
          <w:szCs w:val="28"/>
        </w:rPr>
        <w:t>l’esercizio del diritto di cronaca</w:t>
      </w:r>
      <w:r w:rsidR="004950AF">
        <w:rPr>
          <w:sz w:val="28"/>
          <w:szCs w:val="28"/>
        </w:rPr>
        <w:t xml:space="preserve"> – </w:t>
      </w:r>
      <w:r w:rsidRPr="00AD66BF">
        <w:rPr>
          <w:sz w:val="28"/>
          <w:szCs w:val="28"/>
        </w:rPr>
        <w:t>nel caso in cui la pubblicazione della foto risponda ad esigenze di pubblico interesse e sia comunque necessaria ai fini di completezza e chiarezza della notizia divulgata.</w:t>
      </w:r>
      <w:r w:rsidR="004950AF">
        <w:rPr>
          <w:sz w:val="28"/>
          <w:szCs w:val="28"/>
        </w:rPr>
        <w:t xml:space="preserve"> </w:t>
      </w:r>
    </w:p>
    <w:p w14:paraId="2860C38E" w14:textId="0028674C" w:rsidR="00BD05AE" w:rsidRDefault="004950AF" w:rsidP="00AD66BF">
      <w:pPr>
        <w:pStyle w:val="NormaleWeb"/>
        <w:spacing w:before="0" w:beforeAutospacing="0" w:after="0" w:afterAutospacing="0"/>
        <w:jc w:val="both"/>
        <w:rPr>
          <w:sz w:val="28"/>
          <w:szCs w:val="28"/>
        </w:rPr>
      </w:pPr>
      <w:r>
        <w:rPr>
          <w:sz w:val="28"/>
          <w:szCs w:val="28"/>
        </w:rPr>
        <w:t>Sul tema,</w:t>
      </w:r>
      <w:r w:rsidR="0095713B" w:rsidRPr="00AD66BF">
        <w:rPr>
          <w:sz w:val="28"/>
          <w:szCs w:val="28"/>
        </w:rPr>
        <w:t xml:space="preserve"> la Corte</w:t>
      </w:r>
      <w:r>
        <w:rPr>
          <w:sz w:val="28"/>
          <w:szCs w:val="28"/>
        </w:rPr>
        <w:t xml:space="preserve"> di Cassazione</w:t>
      </w:r>
      <w:r w:rsidR="00B20566" w:rsidRPr="00AD66BF">
        <w:rPr>
          <w:rStyle w:val="Rimandonotaapidipagina"/>
          <w:sz w:val="28"/>
          <w:szCs w:val="28"/>
        </w:rPr>
        <w:footnoteReference w:id="211"/>
      </w:r>
      <w:r w:rsidR="0095713B" w:rsidRPr="00AD66BF">
        <w:rPr>
          <w:sz w:val="28"/>
          <w:szCs w:val="28"/>
        </w:rPr>
        <w:t xml:space="preserve"> ha stabilito </w:t>
      </w:r>
      <w:r>
        <w:rPr>
          <w:sz w:val="28"/>
          <w:szCs w:val="28"/>
        </w:rPr>
        <w:t>che è necessario</w:t>
      </w:r>
      <w:r w:rsidR="0095713B" w:rsidRPr="00AD66BF">
        <w:rPr>
          <w:sz w:val="28"/>
          <w:szCs w:val="28"/>
        </w:rPr>
        <w:t xml:space="preserve"> che vi sia uno specifico ed autonomo interesse pubblico alla conoscenza delle fattezze della persona ritratta</w:t>
      </w:r>
      <w:r w:rsidR="00B20566">
        <w:rPr>
          <w:sz w:val="28"/>
          <w:szCs w:val="28"/>
        </w:rPr>
        <w:t>.</w:t>
      </w:r>
    </w:p>
    <w:p w14:paraId="74DA105E" w14:textId="1FDB6705" w:rsidR="0095713B" w:rsidRPr="00AD66BF" w:rsidRDefault="00BD05AE" w:rsidP="00AD66BF">
      <w:pPr>
        <w:pStyle w:val="NormaleWeb"/>
        <w:spacing w:before="0" w:beforeAutospacing="0" w:after="0" w:afterAutospacing="0"/>
        <w:jc w:val="both"/>
        <w:rPr>
          <w:sz w:val="28"/>
          <w:szCs w:val="28"/>
        </w:rPr>
      </w:pPr>
      <w:r>
        <w:rPr>
          <w:sz w:val="28"/>
          <w:szCs w:val="28"/>
        </w:rPr>
        <w:t>Con la</w:t>
      </w:r>
      <w:r w:rsidR="0095713B" w:rsidRPr="00AD66BF">
        <w:rPr>
          <w:sz w:val="28"/>
          <w:szCs w:val="28"/>
        </w:rPr>
        <w:t xml:space="preserve"> sentenza n. 29583/2020</w:t>
      </w:r>
      <w:r w:rsidR="00E7511E" w:rsidRPr="00AD66BF">
        <w:rPr>
          <w:rStyle w:val="Rimandonotaapidipagina"/>
          <w:sz w:val="28"/>
          <w:szCs w:val="28"/>
        </w:rPr>
        <w:footnoteReference w:id="212"/>
      </w:r>
      <w:r w:rsidR="004950AF">
        <w:rPr>
          <w:sz w:val="28"/>
          <w:szCs w:val="28"/>
        </w:rPr>
        <w:t>,</w:t>
      </w:r>
      <w:r w:rsidR="0095713B" w:rsidRPr="00AD66BF">
        <w:rPr>
          <w:sz w:val="28"/>
          <w:szCs w:val="28"/>
        </w:rPr>
        <w:t xml:space="preserve"> </w:t>
      </w:r>
      <w:r>
        <w:rPr>
          <w:sz w:val="28"/>
          <w:szCs w:val="28"/>
        </w:rPr>
        <w:t xml:space="preserve">inoltre, </w:t>
      </w:r>
      <w:r w:rsidR="0095713B" w:rsidRPr="00AD66BF">
        <w:rPr>
          <w:sz w:val="28"/>
          <w:szCs w:val="28"/>
        </w:rPr>
        <w:t xml:space="preserve">i giudici di legittimità hanno chiarito che la nozione di interesse pubblico </w:t>
      </w:r>
      <w:r>
        <w:rPr>
          <w:sz w:val="28"/>
          <w:szCs w:val="28"/>
        </w:rPr>
        <w:t>deve essere</w:t>
      </w:r>
      <w:r w:rsidR="0095713B" w:rsidRPr="00AD66BF">
        <w:rPr>
          <w:sz w:val="28"/>
          <w:szCs w:val="28"/>
        </w:rPr>
        <w:t xml:space="preserve"> intesa in senso ampio e </w:t>
      </w:r>
      <w:r>
        <w:rPr>
          <w:sz w:val="28"/>
          <w:szCs w:val="28"/>
        </w:rPr>
        <w:t xml:space="preserve">che </w:t>
      </w:r>
      <w:r w:rsidR="0095713B" w:rsidRPr="00AD66BF">
        <w:rPr>
          <w:sz w:val="28"/>
          <w:szCs w:val="28"/>
        </w:rPr>
        <w:t>la sussistenza del diritto di cronaca, nonché della necessità di rappresentare l’immagine della persona protagonista della vicenda, deve essere</w:t>
      </w:r>
      <w:r>
        <w:rPr>
          <w:sz w:val="28"/>
          <w:szCs w:val="28"/>
        </w:rPr>
        <w:t xml:space="preserve"> comunque</w:t>
      </w:r>
      <w:r w:rsidR="0095713B" w:rsidRPr="00AD66BF">
        <w:rPr>
          <w:sz w:val="28"/>
          <w:szCs w:val="28"/>
        </w:rPr>
        <w:t xml:space="preserve"> valutata alla luce del tipo di pubblicazione e della natura dell’attività giornalistica svolta.</w:t>
      </w:r>
    </w:p>
    <w:p w14:paraId="6CB2D1EE" w14:textId="1622A30A" w:rsidR="0095713B" w:rsidRPr="00AD66BF" w:rsidRDefault="0095713B" w:rsidP="00AD66BF">
      <w:pPr>
        <w:pStyle w:val="NormaleWeb"/>
        <w:spacing w:before="0" w:beforeAutospacing="0" w:after="0" w:afterAutospacing="0"/>
        <w:jc w:val="both"/>
        <w:rPr>
          <w:sz w:val="28"/>
          <w:szCs w:val="28"/>
        </w:rPr>
      </w:pPr>
      <w:r w:rsidRPr="00AD66BF">
        <w:rPr>
          <w:sz w:val="28"/>
          <w:szCs w:val="28"/>
        </w:rPr>
        <w:t xml:space="preserve">Nel caso </w:t>
      </w:r>
      <w:r w:rsidR="00BD05AE">
        <w:rPr>
          <w:sz w:val="28"/>
          <w:szCs w:val="28"/>
        </w:rPr>
        <w:t>che ha dato origine alla pronuncia</w:t>
      </w:r>
      <w:r w:rsidRPr="00AD66BF">
        <w:rPr>
          <w:sz w:val="28"/>
          <w:szCs w:val="28"/>
        </w:rPr>
        <w:t>, infatti, la Corte ha accolto il ricorso contro la sentenza del Tribunale di Milano</w:t>
      </w:r>
      <w:r w:rsidR="008C2A68">
        <w:rPr>
          <w:sz w:val="28"/>
          <w:szCs w:val="28"/>
        </w:rPr>
        <w:t>,</w:t>
      </w:r>
      <w:r w:rsidRPr="00AD66BF">
        <w:rPr>
          <w:sz w:val="28"/>
          <w:szCs w:val="28"/>
        </w:rPr>
        <w:t xml:space="preserve"> che riconosceva l’illiceità della pubblicazione</w:t>
      </w:r>
      <w:r w:rsidR="00BD05AE">
        <w:rPr>
          <w:sz w:val="28"/>
          <w:szCs w:val="28"/>
        </w:rPr>
        <w:t>,</w:t>
      </w:r>
      <w:r w:rsidRPr="00AD66BF">
        <w:rPr>
          <w:sz w:val="28"/>
          <w:szCs w:val="28"/>
        </w:rPr>
        <w:t xml:space="preserve"> su un settimanale</w:t>
      </w:r>
      <w:r w:rsidR="00BD05AE">
        <w:rPr>
          <w:sz w:val="28"/>
          <w:szCs w:val="28"/>
        </w:rPr>
        <w:t>,</w:t>
      </w:r>
      <w:r w:rsidRPr="00AD66BF">
        <w:rPr>
          <w:sz w:val="28"/>
          <w:szCs w:val="28"/>
        </w:rPr>
        <w:t xml:space="preserve"> di </w:t>
      </w:r>
      <w:r w:rsidR="00BD05AE">
        <w:rPr>
          <w:sz w:val="28"/>
          <w:szCs w:val="28"/>
        </w:rPr>
        <w:t>alcune</w:t>
      </w:r>
      <w:r w:rsidRPr="00AD66BF">
        <w:rPr>
          <w:sz w:val="28"/>
          <w:szCs w:val="28"/>
        </w:rPr>
        <w:t xml:space="preserve"> fotografie</w:t>
      </w:r>
      <w:r w:rsidR="00BD05AE">
        <w:rPr>
          <w:sz w:val="28"/>
          <w:szCs w:val="28"/>
        </w:rPr>
        <w:t>, nello specifico sette,</w:t>
      </w:r>
      <w:r w:rsidRPr="00AD66BF">
        <w:rPr>
          <w:sz w:val="28"/>
          <w:szCs w:val="28"/>
        </w:rPr>
        <w:t xml:space="preserve"> ritraenti un personaggio pubblico in vacanza alle Maldive. I ricorrenti </w:t>
      </w:r>
      <w:r w:rsidR="00BD05AE">
        <w:rPr>
          <w:sz w:val="28"/>
          <w:szCs w:val="28"/>
        </w:rPr>
        <w:t xml:space="preserve">lesi </w:t>
      </w:r>
      <w:r w:rsidRPr="00AD66BF">
        <w:rPr>
          <w:sz w:val="28"/>
          <w:szCs w:val="28"/>
        </w:rPr>
        <w:t xml:space="preserve">lamentavano la violazione degli artt. 136 e 137 del </w:t>
      </w:r>
      <w:r w:rsidR="00BD05AE">
        <w:rPr>
          <w:sz w:val="28"/>
          <w:szCs w:val="28"/>
        </w:rPr>
        <w:t xml:space="preserve">Codice </w:t>
      </w:r>
      <w:r w:rsidR="008C2A68">
        <w:rPr>
          <w:sz w:val="28"/>
          <w:szCs w:val="28"/>
        </w:rPr>
        <w:t>P</w:t>
      </w:r>
      <w:r w:rsidRPr="00AD66BF">
        <w:rPr>
          <w:sz w:val="28"/>
          <w:szCs w:val="28"/>
        </w:rPr>
        <w:t>rivacy, dell’art. 6 del codice deontologico dei giornalisti, e dell’art. 21 della Cost</w:t>
      </w:r>
      <w:r w:rsidR="00BD05AE">
        <w:rPr>
          <w:sz w:val="28"/>
          <w:szCs w:val="28"/>
        </w:rPr>
        <w:t>ituzione.</w:t>
      </w:r>
    </w:p>
    <w:p w14:paraId="1C403B3E" w14:textId="77777777" w:rsidR="008C2A68" w:rsidRDefault="0095713B" w:rsidP="00AD66BF">
      <w:pPr>
        <w:pStyle w:val="NormaleWeb"/>
        <w:spacing w:before="0" w:beforeAutospacing="0" w:after="0" w:afterAutospacing="0"/>
        <w:jc w:val="both"/>
        <w:rPr>
          <w:sz w:val="28"/>
          <w:szCs w:val="28"/>
        </w:rPr>
      </w:pPr>
      <w:r w:rsidRPr="00AD66BF">
        <w:rPr>
          <w:sz w:val="28"/>
          <w:szCs w:val="28"/>
        </w:rPr>
        <w:lastRenderedPageBreak/>
        <w:t xml:space="preserve">La </w:t>
      </w:r>
      <w:r w:rsidR="00BD05AE">
        <w:rPr>
          <w:sz w:val="28"/>
          <w:szCs w:val="28"/>
        </w:rPr>
        <w:t xml:space="preserve">Suprema </w:t>
      </w:r>
      <w:r w:rsidRPr="00AD66BF">
        <w:rPr>
          <w:sz w:val="28"/>
          <w:szCs w:val="28"/>
        </w:rPr>
        <w:t xml:space="preserve">Corte </w:t>
      </w:r>
      <w:r w:rsidR="00BD05AE">
        <w:rPr>
          <w:sz w:val="28"/>
          <w:szCs w:val="28"/>
        </w:rPr>
        <w:t>ha riconosciuto la fondatezza delle</w:t>
      </w:r>
      <w:r w:rsidRPr="00AD66BF">
        <w:rPr>
          <w:sz w:val="28"/>
          <w:szCs w:val="28"/>
        </w:rPr>
        <w:t xml:space="preserve"> argomentazioni addotte da</w:t>
      </w:r>
      <w:r w:rsidR="003D55F1">
        <w:rPr>
          <w:sz w:val="28"/>
          <w:szCs w:val="28"/>
        </w:rPr>
        <w:t xml:space="preserve"> chi faceva valere il suo diritto di cronaca</w:t>
      </w:r>
      <w:r w:rsidRPr="00AD66BF">
        <w:rPr>
          <w:sz w:val="28"/>
          <w:szCs w:val="28"/>
        </w:rPr>
        <w:t xml:space="preserve">, </w:t>
      </w:r>
      <w:r w:rsidR="003D55F1">
        <w:rPr>
          <w:sz w:val="28"/>
          <w:szCs w:val="28"/>
        </w:rPr>
        <w:t>e ha ritenuto</w:t>
      </w:r>
      <w:r w:rsidRPr="00AD66BF">
        <w:rPr>
          <w:sz w:val="28"/>
          <w:szCs w:val="28"/>
        </w:rPr>
        <w:t xml:space="preserve"> che le circostanze del caso</w:t>
      </w:r>
      <w:r w:rsidR="003D55F1">
        <w:rPr>
          <w:sz w:val="28"/>
          <w:szCs w:val="28"/>
        </w:rPr>
        <w:t xml:space="preserve"> concreto</w:t>
      </w:r>
      <w:r w:rsidRPr="00AD66BF">
        <w:rPr>
          <w:sz w:val="28"/>
          <w:szCs w:val="28"/>
        </w:rPr>
        <w:t xml:space="preserve"> permettessero di applicare l’esimente del diritto di cronaca</w:t>
      </w:r>
      <w:r w:rsidR="003D55F1">
        <w:rPr>
          <w:sz w:val="28"/>
          <w:szCs w:val="28"/>
        </w:rPr>
        <w:t xml:space="preserve">. </w:t>
      </w:r>
    </w:p>
    <w:p w14:paraId="55C3DEC6" w14:textId="77777777" w:rsidR="008C2A68" w:rsidRDefault="003D55F1" w:rsidP="00AD66BF">
      <w:pPr>
        <w:pStyle w:val="NormaleWeb"/>
        <w:spacing w:before="0" w:beforeAutospacing="0" w:after="0" w:afterAutospacing="0"/>
        <w:jc w:val="both"/>
        <w:rPr>
          <w:sz w:val="28"/>
          <w:szCs w:val="28"/>
        </w:rPr>
      </w:pPr>
      <w:r>
        <w:rPr>
          <w:sz w:val="28"/>
          <w:szCs w:val="28"/>
        </w:rPr>
        <w:t>N</w:t>
      </w:r>
      <w:r w:rsidR="0095713B" w:rsidRPr="00AD66BF">
        <w:rPr>
          <w:sz w:val="28"/>
          <w:szCs w:val="28"/>
        </w:rPr>
        <w:t xml:space="preserve">on </w:t>
      </w:r>
      <w:r>
        <w:rPr>
          <w:sz w:val="28"/>
          <w:szCs w:val="28"/>
        </w:rPr>
        <w:t>poteva, infatti – ad avviso dell’organo giudicante –</w:t>
      </w:r>
      <w:r w:rsidR="0095713B" w:rsidRPr="00AD66BF">
        <w:rPr>
          <w:sz w:val="28"/>
          <w:szCs w:val="28"/>
        </w:rPr>
        <w:t xml:space="preserve"> ravvisarsi alcuna lesione dei diritti fondamentali, dal momento che la pubblicazione delle foto era giustificata </w:t>
      </w:r>
      <w:r>
        <w:rPr>
          <w:sz w:val="28"/>
          <w:szCs w:val="28"/>
        </w:rPr>
        <w:t>da vari elementi quali: la</w:t>
      </w:r>
      <w:r w:rsidR="0095713B" w:rsidRPr="00AD66BF">
        <w:rPr>
          <w:sz w:val="28"/>
          <w:szCs w:val="28"/>
        </w:rPr>
        <w:t xml:space="preserve"> notorietà del soggetto, la tipologia di cronaca, </w:t>
      </w:r>
      <w:r>
        <w:rPr>
          <w:sz w:val="28"/>
          <w:szCs w:val="28"/>
        </w:rPr>
        <w:t>il</w:t>
      </w:r>
      <w:r w:rsidR="0095713B" w:rsidRPr="00AD66BF">
        <w:rPr>
          <w:sz w:val="28"/>
          <w:szCs w:val="28"/>
        </w:rPr>
        <w:t xml:space="preserve"> fatto che i soggetti si trovassero in un luogo pubblico e, soprattutto, </w:t>
      </w:r>
      <w:r>
        <w:rPr>
          <w:sz w:val="28"/>
          <w:szCs w:val="28"/>
        </w:rPr>
        <w:t>la</w:t>
      </w:r>
      <w:r w:rsidR="0095713B" w:rsidRPr="00AD66BF">
        <w:rPr>
          <w:sz w:val="28"/>
          <w:szCs w:val="28"/>
        </w:rPr>
        <w:t xml:space="preserve"> considerazione che la narrazione non avesse travalicato i limiti della continenza, non recando danno </w:t>
      </w:r>
      <w:r>
        <w:rPr>
          <w:sz w:val="28"/>
          <w:szCs w:val="28"/>
        </w:rPr>
        <w:t xml:space="preserve">alcuno </w:t>
      </w:r>
      <w:r w:rsidR="0095713B" w:rsidRPr="00AD66BF">
        <w:rPr>
          <w:sz w:val="28"/>
          <w:szCs w:val="28"/>
        </w:rPr>
        <w:t>alla reputazione del soggetto</w:t>
      </w:r>
      <w:r>
        <w:rPr>
          <w:sz w:val="28"/>
          <w:szCs w:val="28"/>
        </w:rPr>
        <w:t xml:space="preserve"> ripreso</w:t>
      </w:r>
      <w:r w:rsidR="0095713B" w:rsidRPr="00AD66BF">
        <w:rPr>
          <w:sz w:val="28"/>
          <w:szCs w:val="28"/>
        </w:rPr>
        <w:t>.</w:t>
      </w:r>
      <w:r>
        <w:rPr>
          <w:sz w:val="28"/>
          <w:szCs w:val="28"/>
        </w:rPr>
        <w:t xml:space="preserve"> </w:t>
      </w:r>
    </w:p>
    <w:p w14:paraId="7F927436" w14:textId="56462FD0" w:rsidR="0095713B" w:rsidRDefault="003D55F1" w:rsidP="00AD66BF">
      <w:pPr>
        <w:pStyle w:val="NormaleWeb"/>
        <w:spacing w:before="0" w:beforeAutospacing="0" w:after="0" w:afterAutospacing="0"/>
        <w:jc w:val="both"/>
        <w:rPr>
          <w:sz w:val="28"/>
          <w:szCs w:val="28"/>
        </w:rPr>
      </w:pPr>
      <w:r>
        <w:rPr>
          <w:sz w:val="28"/>
          <w:szCs w:val="28"/>
        </w:rPr>
        <w:t>I Giudici hanno, dunque,</w:t>
      </w:r>
      <w:r w:rsidR="0095713B" w:rsidRPr="00AD66BF">
        <w:rPr>
          <w:sz w:val="28"/>
          <w:szCs w:val="28"/>
        </w:rPr>
        <w:t xml:space="preserve"> concluso nel senso di ammettere la liceità della pubblicazione, anche se </w:t>
      </w:r>
      <w:r>
        <w:rPr>
          <w:sz w:val="28"/>
          <w:szCs w:val="28"/>
        </w:rPr>
        <w:t>mancava</w:t>
      </w:r>
      <w:r w:rsidR="0095713B" w:rsidRPr="00AD66BF">
        <w:rPr>
          <w:sz w:val="28"/>
          <w:szCs w:val="28"/>
        </w:rPr>
        <w:t xml:space="preserve"> del consenso delle parti.</w:t>
      </w:r>
    </w:p>
    <w:p w14:paraId="5DA52F41" w14:textId="77777777" w:rsidR="008C2A68" w:rsidRPr="00AD66BF" w:rsidRDefault="008C2A68" w:rsidP="00AD66BF">
      <w:pPr>
        <w:pStyle w:val="NormaleWeb"/>
        <w:spacing w:before="0" w:beforeAutospacing="0" w:after="0" w:afterAutospacing="0"/>
        <w:jc w:val="both"/>
        <w:rPr>
          <w:sz w:val="28"/>
          <w:szCs w:val="28"/>
        </w:rPr>
      </w:pPr>
    </w:p>
    <w:p w14:paraId="30812AD0" w14:textId="45C00F79" w:rsidR="0095713B" w:rsidRPr="00AD66BF" w:rsidRDefault="003D55F1" w:rsidP="00AD66BF">
      <w:pPr>
        <w:pStyle w:val="NormaleWeb"/>
        <w:spacing w:before="0" w:beforeAutospacing="0" w:after="0" w:afterAutospacing="0"/>
        <w:jc w:val="both"/>
        <w:rPr>
          <w:sz w:val="28"/>
          <w:szCs w:val="28"/>
        </w:rPr>
      </w:pPr>
      <w:r>
        <w:rPr>
          <w:sz w:val="28"/>
          <w:szCs w:val="28"/>
        </w:rPr>
        <w:t>Per quanto concerne</w:t>
      </w:r>
      <w:r w:rsidR="0095713B" w:rsidRPr="00AD66BF">
        <w:rPr>
          <w:sz w:val="28"/>
          <w:szCs w:val="28"/>
        </w:rPr>
        <w:t xml:space="preserve"> </w:t>
      </w:r>
      <w:r>
        <w:rPr>
          <w:sz w:val="28"/>
          <w:szCs w:val="28"/>
        </w:rPr>
        <w:t>il</w:t>
      </w:r>
      <w:r w:rsidR="0095713B" w:rsidRPr="00AD66BF">
        <w:rPr>
          <w:sz w:val="28"/>
          <w:szCs w:val="28"/>
        </w:rPr>
        <w:t xml:space="preserve"> consenso</w:t>
      </w:r>
      <w:r w:rsidR="00007F15">
        <w:rPr>
          <w:rStyle w:val="Rimandonotaapidipagina"/>
          <w:sz w:val="28"/>
          <w:szCs w:val="28"/>
        </w:rPr>
        <w:footnoteReference w:id="213"/>
      </w:r>
      <w:r w:rsidR="0095713B" w:rsidRPr="00AD66BF">
        <w:rPr>
          <w:sz w:val="28"/>
          <w:szCs w:val="28"/>
        </w:rPr>
        <w:t xml:space="preserve">, sono </w:t>
      </w:r>
      <w:r w:rsidRPr="00AD66BF">
        <w:rPr>
          <w:sz w:val="28"/>
          <w:szCs w:val="28"/>
        </w:rPr>
        <w:t xml:space="preserve">diversi </w:t>
      </w:r>
      <w:r w:rsidR="0095713B" w:rsidRPr="00AD66BF">
        <w:rPr>
          <w:sz w:val="28"/>
          <w:szCs w:val="28"/>
        </w:rPr>
        <w:t xml:space="preserve">gli aspetti </w:t>
      </w:r>
      <w:r>
        <w:rPr>
          <w:sz w:val="28"/>
          <w:szCs w:val="28"/>
        </w:rPr>
        <w:t>da evidenziare</w:t>
      </w:r>
      <w:r w:rsidR="0095713B" w:rsidRPr="00AD66BF">
        <w:rPr>
          <w:sz w:val="28"/>
          <w:szCs w:val="28"/>
        </w:rPr>
        <w:t xml:space="preserve">, </w:t>
      </w:r>
      <w:r>
        <w:rPr>
          <w:sz w:val="28"/>
          <w:szCs w:val="28"/>
        </w:rPr>
        <w:t>partendo</w:t>
      </w:r>
      <w:r w:rsidR="0095713B" w:rsidRPr="00AD66BF">
        <w:rPr>
          <w:sz w:val="28"/>
          <w:szCs w:val="28"/>
        </w:rPr>
        <w:t xml:space="preserve"> dalle forme con cui può essere prestato, sino alle questioni concernenti la sua validità, alla luce anche di un’eventuale revoca dello stesso.</w:t>
      </w:r>
    </w:p>
    <w:p w14:paraId="54656DE0" w14:textId="26DFF1C1" w:rsidR="00C7799C" w:rsidRDefault="0095713B" w:rsidP="00AD66BF">
      <w:pPr>
        <w:pStyle w:val="NormaleWeb"/>
        <w:spacing w:before="0" w:beforeAutospacing="0" w:after="0" w:afterAutospacing="0"/>
        <w:jc w:val="both"/>
        <w:rPr>
          <w:sz w:val="28"/>
          <w:szCs w:val="28"/>
        </w:rPr>
      </w:pPr>
      <w:r w:rsidRPr="00AD66BF">
        <w:rPr>
          <w:sz w:val="28"/>
          <w:szCs w:val="28"/>
        </w:rPr>
        <w:t xml:space="preserve">La succitata legge non richiede che il consenso </w:t>
      </w:r>
      <w:r w:rsidR="003D55F1">
        <w:rPr>
          <w:sz w:val="28"/>
          <w:szCs w:val="28"/>
        </w:rPr>
        <w:t>venga</w:t>
      </w:r>
      <w:r w:rsidRPr="00AD66BF">
        <w:rPr>
          <w:sz w:val="28"/>
          <w:szCs w:val="28"/>
        </w:rPr>
        <w:t xml:space="preserve"> </w:t>
      </w:r>
      <w:r w:rsidR="003D55F1">
        <w:rPr>
          <w:sz w:val="28"/>
          <w:szCs w:val="28"/>
        </w:rPr>
        <w:t>fornito</w:t>
      </w:r>
      <w:r w:rsidRPr="00AD66BF">
        <w:rPr>
          <w:sz w:val="28"/>
          <w:szCs w:val="28"/>
        </w:rPr>
        <w:t xml:space="preserve"> in una forma specifica</w:t>
      </w:r>
      <w:r w:rsidR="003D55F1">
        <w:rPr>
          <w:sz w:val="28"/>
          <w:szCs w:val="28"/>
        </w:rPr>
        <w:t>: infatti,</w:t>
      </w:r>
      <w:r w:rsidRPr="00AD66BF">
        <w:rPr>
          <w:sz w:val="28"/>
          <w:szCs w:val="28"/>
        </w:rPr>
        <w:t xml:space="preserve"> la giurisprudenza</w:t>
      </w:r>
      <w:r w:rsidR="008C2A68" w:rsidRPr="00AD66BF">
        <w:rPr>
          <w:rStyle w:val="Rimandonotaapidipagina"/>
          <w:sz w:val="28"/>
          <w:szCs w:val="28"/>
        </w:rPr>
        <w:footnoteReference w:id="214"/>
      </w:r>
      <w:r w:rsidRPr="00AD66BF">
        <w:rPr>
          <w:sz w:val="28"/>
          <w:szCs w:val="28"/>
        </w:rPr>
        <w:t xml:space="preserve"> </w:t>
      </w:r>
      <w:r w:rsidR="00C7799C">
        <w:rPr>
          <w:sz w:val="28"/>
          <w:szCs w:val="28"/>
        </w:rPr>
        <w:t>ha ammesso</w:t>
      </w:r>
      <w:r w:rsidRPr="00AD66BF">
        <w:rPr>
          <w:sz w:val="28"/>
          <w:szCs w:val="28"/>
        </w:rPr>
        <w:t xml:space="preserve"> la</w:t>
      </w:r>
      <w:r w:rsidR="00C7799C">
        <w:rPr>
          <w:sz w:val="28"/>
          <w:szCs w:val="28"/>
        </w:rPr>
        <w:t xml:space="preserve"> sua</w:t>
      </w:r>
      <w:r w:rsidRPr="00AD66BF">
        <w:rPr>
          <w:sz w:val="28"/>
          <w:szCs w:val="28"/>
        </w:rPr>
        <w:t xml:space="preserve"> rilevanza anche nelle ipotesi in cui questo fosse soltanto implicito</w:t>
      </w:r>
      <w:r w:rsidR="008C2A68">
        <w:rPr>
          <w:sz w:val="28"/>
          <w:szCs w:val="28"/>
        </w:rPr>
        <w:t>.</w:t>
      </w:r>
    </w:p>
    <w:p w14:paraId="0EF50367" w14:textId="77777777" w:rsidR="00551136" w:rsidRDefault="0095713B" w:rsidP="00AD66BF">
      <w:pPr>
        <w:pStyle w:val="NormaleWeb"/>
        <w:spacing w:before="0" w:beforeAutospacing="0" w:after="0" w:afterAutospacing="0"/>
        <w:jc w:val="both"/>
        <w:rPr>
          <w:sz w:val="28"/>
          <w:szCs w:val="28"/>
        </w:rPr>
      </w:pPr>
      <w:r w:rsidRPr="00AD66BF">
        <w:rPr>
          <w:sz w:val="28"/>
          <w:szCs w:val="28"/>
        </w:rPr>
        <w:t xml:space="preserve">La </w:t>
      </w:r>
      <w:r w:rsidR="00C7799C">
        <w:rPr>
          <w:sz w:val="28"/>
          <w:szCs w:val="28"/>
        </w:rPr>
        <w:t>forma scritta è necessaria,</w:t>
      </w:r>
      <w:r w:rsidRPr="00AD66BF">
        <w:rPr>
          <w:sz w:val="28"/>
          <w:szCs w:val="28"/>
        </w:rPr>
        <w:t xml:space="preserve"> infatti</w:t>
      </w:r>
      <w:r w:rsidR="00C7799C">
        <w:rPr>
          <w:sz w:val="28"/>
          <w:szCs w:val="28"/>
        </w:rPr>
        <w:t xml:space="preserve">, </w:t>
      </w:r>
      <w:r w:rsidRPr="00AD66BF">
        <w:rPr>
          <w:sz w:val="28"/>
          <w:szCs w:val="28"/>
        </w:rPr>
        <w:t xml:space="preserve">al </w:t>
      </w:r>
      <w:r w:rsidR="00C7799C" w:rsidRPr="00AD66BF">
        <w:rPr>
          <w:sz w:val="28"/>
          <w:szCs w:val="28"/>
        </w:rPr>
        <w:t xml:space="preserve">solo </w:t>
      </w:r>
      <w:r w:rsidRPr="00AD66BF">
        <w:rPr>
          <w:sz w:val="28"/>
          <w:szCs w:val="28"/>
        </w:rPr>
        <w:t xml:space="preserve">fine di dirimere eventuali controversie concernenti la sussistenza del diritto alla divulgazione dell’immagine conteso fra soggetti diversi. </w:t>
      </w:r>
    </w:p>
    <w:p w14:paraId="6FEFA463" w14:textId="7A64FAC3" w:rsidR="0095713B" w:rsidRPr="00AD66BF" w:rsidRDefault="00C7799C" w:rsidP="00AD66BF">
      <w:pPr>
        <w:pStyle w:val="NormaleWeb"/>
        <w:spacing w:before="0" w:beforeAutospacing="0" w:after="0" w:afterAutospacing="0"/>
        <w:jc w:val="both"/>
        <w:rPr>
          <w:sz w:val="28"/>
          <w:szCs w:val="28"/>
        </w:rPr>
      </w:pPr>
      <w:r>
        <w:rPr>
          <w:sz w:val="28"/>
          <w:szCs w:val="28"/>
        </w:rPr>
        <w:t>Ad ogni modo</w:t>
      </w:r>
      <w:r w:rsidR="0095713B" w:rsidRPr="00AD66BF">
        <w:rPr>
          <w:sz w:val="28"/>
          <w:szCs w:val="28"/>
        </w:rPr>
        <w:t>, il consenso alla pubblicazione può essere oggetto di specifico accordo</w:t>
      </w:r>
      <w:r w:rsidR="00E7511E" w:rsidRPr="00AD66BF">
        <w:rPr>
          <w:sz w:val="28"/>
          <w:szCs w:val="28"/>
        </w:rPr>
        <w:t xml:space="preserve"> </w:t>
      </w:r>
      <w:r w:rsidR="0095713B" w:rsidRPr="00AD66BF">
        <w:rPr>
          <w:sz w:val="28"/>
          <w:szCs w:val="28"/>
        </w:rPr>
        <w:t xml:space="preserve">contrattuale fra le parti, </w:t>
      </w:r>
      <w:r>
        <w:rPr>
          <w:sz w:val="28"/>
          <w:szCs w:val="28"/>
        </w:rPr>
        <w:t>e</w:t>
      </w:r>
      <w:r w:rsidR="0095713B" w:rsidRPr="00AD66BF">
        <w:rPr>
          <w:sz w:val="28"/>
          <w:szCs w:val="28"/>
        </w:rPr>
        <w:t xml:space="preserve"> la conseguenza </w:t>
      </w:r>
      <w:r>
        <w:rPr>
          <w:sz w:val="28"/>
          <w:szCs w:val="28"/>
        </w:rPr>
        <w:t xml:space="preserve">è che </w:t>
      </w:r>
      <w:r w:rsidR="0095713B" w:rsidRPr="00AD66BF">
        <w:rPr>
          <w:sz w:val="28"/>
          <w:szCs w:val="28"/>
        </w:rPr>
        <w:t xml:space="preserve">una sua eventuale violazione </w:t>
      </w:r>
      <w:r>
        <w:rPr>
          <w:sz w:val="28"/>
          <w:szCs w:val="28"/>
        </w:rPr>
        <w:t>fa</w:t>
      </w:r>
      <w:r w:rsidR="0095713B" w:rsidRPr="00AD66BF">
        <w:rPr>
          <w:sz w:val="28"/>
          <w:szCs w:val="28"/>
        </w:rPr>
        <w:t xml:space="preserve"> insorgere il relativo regime di responsabilità.</w:t>
      </w:r>
    </w:p>
    <w:p w14:paraId="3F6418AD" w14:textId="77777777" w:rsidR="00C7799C" w:rsidRDefault="0095713B" w:rsidP="00AD66BF">
      <w:pPr>
        <w:pStyle w:val="NormaleWeb"/>
        <w:spacing w:before="0" w:beforeAutospacing="0" w:after="0" w:afterAutospacing="0"/>
        <w:jc w:val="both"/>
        <w:rPr>
          <w:sz w:val="28"/>
          <w:szCs w:val="28"/>
        </w:rPr>
      </w:pPr>
      <w:r w:rsidRPr="00AD66BF">
        <w:rPr>
          <w:sz w:val="28"/>
          <w:szCs w:val="28"/>
        </w:rPr>
        <w:t>La C</w:t>
      </w:r>
      <w:r w:rsidR="00C7799C">
        <w:rPr>
          <w:sz w:val="28"/>
          <w:szCs w:val="28"/>
        </w:rPr>
        <w:t>orte di C</w:t>
      </w:r>
      <w:r w:rsidRPr="00AD66BF">
        <w:rPr>
          <w:sz w:val="28"/>
          <w:szCs w:val="28"/>
        </w:rPr>
        <w:t xml:space="preserve">assazione ha affrontato il tema del consenso prestato mediante accordo contrattuale nella </w:t>
      </w:r>
      <w:r w:rsidR="00C7799C">
        <w:rPr>
          <w:sz w:val="28"/>
          <w:szCs w:val="28"/>
        </w:rPr>
        <w:t xml:space="preserve">sentenza </w:t>
      </w:r>
      <w:r w:rsidRPr="00AD66BF">
        <w:rPr>
          <w:sz w:val="28"/>
          <w:szCs w:val="28"/>
        </w:rPr>
        <w:t xml:space="preserve">n. 10957/2010, attinente al diritto di sfruttamento commerciale di alcune pose di nudo di un’attrice esordiente da parte di un fotografo. </w:t>
      </w:r>
      <w:r w:rsidR="00C7799C">
        <w:rPr>
          <w:sz w:val="28"/>
          <w:szCs w:val="28"/>
        </w:rPr>
        <w:t>Dal canto suo, l</w:t>
      </w:r>
      <w:r w:rsidRPr="00AD66BF">
        <w:rPr>
          <w:sz w:val="28"/>
          <w:szCs w:val="28"/>
        </w:rPr>
        <w:t>’attrice sosteneva che non vi fosse alcun rapporto contrattuale intercorrente fra le parti, e l’autorizzazione a disporre delle foto fosse stata concessa mediante atto unilaterale recettizio, da intendersi revocato alla luce di una serie di emergenze istruttorie. Della revoca</w:t>
      </w:r>
      <w:r w:rsidR="00C7799C">
        <w:rPr>
          <w:sz w:val="28"/>
          <w:szCs w:val="28"/>
        </w:rPr>
        <w:t>, poi,</w:t>
      </w:r>
      <w:r w:rsidRPr="00AD66BF">
        <w:rPr>
          <w:sz w:val="28"/>
          <w:szCs w:val="28"/>
        </w:rPr>
        <w:t xml:space="preserve"> erano state rese edotte, mediante lettere di </w:t>
      </w:r>
      <w:r w:rsidRPr="00AD66BF">
        <w:rPr>
          <w:sz w:val="28"/>
          <w:szCs w:val="28"/>
        </w:rPr>
        <w:lastRenderedPageBreak/>
        <w:t>diffida, altre due società convenute in giudizio, responsabili dell’ulteriore diffusione delle immagini sulla base</w:t>
      </w:r>
      <w:r w:rsidR="00C7799C">
        <w:rPr>
          <w:sz w:val="28"/>
          <w:szCs w:val="28"/>
        </w:rPr>
        <w:t xml:space="preserve"> </w:t>
      </w:r>
      <w:r w:rsidRPr="00AD66BF">
        <w:rPr>
          <w:sz w:val="28"/>
          <w:szCs w:val="28"/>
        </w:rPr>
        <w:t xml:space="preserve">del diritto di disposizione delle stesse, acquisito dal </w:t>
      </w:r>
      <w:proofErr w:type="gramStart"/>
      <w:r w:rsidRPr="00AD66BF">
        <w:rPr>
          <w:sz w:val="28"/>
          <w:szCs w:val="28"/>
        </w:rPr>
        <w:t>predetto</w:t>
      </w:r>
      <w:proofErr w:type="gramEnd"/>
      <w:r w:rsidRPr="00AD66BF">
        <w:rPr>
          <w:sz w:val="28"/>
          <w:szCs w:val="28"/>
        </w:rPr>
        <w:t xml:space="preserve"> fotografo. </w:t>
      </w:r>
      <w:r w:rsidR="00C7799C">
        <w:rPr>
          <w:sz w:val="28"/>
          <w:szCs w:val="28"/>
        </w:rPr>
        <w:t>L</w:t>
      </w:r>
      <w:r w:rsidR="00C7799C" w:rsidRPr="00AD66BF">
        <w:rPr>
          <w:sz w:val="28"/>
          <w:szCs w:val="28"/>
        </w:rPr>
        <w:t>a</w:t>
      </w:r>
      <w:r w:rsidR="00C7799C">
        <w:rPr>
          <w:sz w:val="28"/>
          <w:szCs w:val="28"/>
        </w:rPr>
        <w:t xml:space="preserve"> Corte di</w:t>
      </w:r>
      <w:r w:rsidR="00C7799C" w:rsidRPr="00AD66BF">
        <w:rPr>
          <w:sz w:val="28"/>
          <w:szCs w:val="28"/>
        </w:rPr>
        <w:t xml:space="preserve"> Cassazione</w:t>
      </w:r>
      <w:r w:rsidR="00C7799C">
        <w:rPr>
          <w:sz w:val="28"/>
          <w:szCs w:val="28"/>
        </w:rPr>
        <w:t xml:space="preserve">, </w:t>
      </w:r>
      <w:r w:rsidRPr="00AD66BF">
        <w:rPr>
          <w:sz w:val="28"/>
          <w:szCs w:val="28"/>
        </w:rPr>
        <w:t>pronuncia</w:t>
      </w:r>
      <w:r w:rsidR="00C7799C">
        <w:rPr>
          <w:sz w:val="28"/>
          <w:szCs w:val="28"/>
        </w:rPr>
        <w:t xml:space="preserve">ndosi </w:t>
      </w:r>
      <w:r w:rsidRPr="00AD66BF">
        <w:rPr>
          <w:sz w:val="28"/>
          <w:szCs w:val="28"/>
        </w:rPr>
        <w:t>sulla sussistenza e</w:t>
      </w:r>
      <w:r w:rsidR="00C7799C">
        <w:rPr>
          <w:sz w:val="28"/>
          <w:szCs w:val="28"/>
        </w:rPr>
        <w:t xml:space="preserve"> sull</w:t>
      </w:r>
      <w:r w:rsidRPr="00AD66BF">
        <w:rPr>
          <w:sz w:val="28"/>
          <w:szCs w:val="28"/>
        </w:rPr>
        <w:t xml:space="preserve">a validità o meno del consenso prestato dall’attrice, ha </w:t>
      </w:r>
      <w:r w:rsidR="00C7799C">
        <w:rPr>
          <w:sz w:val="28"/>
          <w:szCs w:val="28"/>
        </w:rPr>
        <w:t>per prima cosa</w:t>
      </w:r>
      <w:r w:rsidRPr="00AD66BF">
        <w:rPr>
          <w:sz w:val="28"/>
          <w:szCs w:val="28"/>
        </w:rPr>
        <w:t xml:space="preserve"> ribadito quanto detto sopra in merito alla rilevanza del consenso anche se prestato solo tacitamente. </w:t>
      </w:r>
    </w:p>
    <w:p w14:paraId="7194C5FE" w14:textId="77777777" w:rsidR="00C171F4" w:rsidRDefault="0095713B" w:rsidP="00AD66BF">
      <w:pPr>
        <w:pStyle w:val="NormaleWeb"/>
        <w:spacing w:before="0" w:beforeAutospacing="0" w:after="0" w:afterAutospacing="0"/>
        <w:jc w:val="both"/>
        <w:rPr>
          <w:sz w:val="28"/>
          <w:szCs w:val="28"/>
        </w:rPr>
      </w:pPr>
      <w:r w:rsidRPr="00AD66BF">
        <w:rPr>
          <w:sz w:val="28"/>
          <w:szCs w:val="28"/>
        </w:rPr>
        <w:t xml:space="preserve">Inoltre, </w:t>
      </w:r>
      <w:r w:rsidR="00C7799C">
        <w:rPr>
          <w:sz w:val="28"/>
          <w:szCs w:val="28"/>
        </w:rPr>
        <w:t>si è chiarit</w:t>
      </w:r>
      <w:r w:rsidR="00C171F4">
        <w:rPr>
          <w:sz w:val="28"/>
          <w:szCs w:val="28"/>
        </w:rPr>
        <w:t>a</w:t>
      </w:r>
      <w:r w:rsidRPr="00AD66BF">
        <w:rPr>
          <w:sz w:val="28"/>
          <w:szCs w:val="28"/>
        </w:rPr>
        <w:t xml:space="preserve"> la disciplina del consenso</w:t>
      </w:r>
      <w:r w:rsidR="00C171F4">
        <w:rPr>
          <w:sz w:val="28"/>
          <w:szCs w:val="28"/>
        </w:rPr>
        <w:t xml:space="preserve">, che </w:t>
      </w:r>
      <w:r w:rsidR="00C171F4" w:rsidRPr="00AD66BF">
        <w:rPr>
          <w:sz w:val="28"/>
          <w:szCs w:val="28"/>
        </w:rPr>
        <w:t>sarà volto esclusivamente a delineare le condizioni e i limiti entro i quali il suddetto diritto potrà legittimamente essere esercitato</w:t>
      </w:r>
      <w:r w:rsidR="00C171F4">
        <w:rPr>
          <w:sz w:val="28"/>
          <w:szCs w:val="28"/>
        </w:rPr>
        <w:t xml:space="preserve"> </w:t>
      </w:r>
      <w:r w:rsidR="00C7799C">
        <w:rPr>
          <w:sz w:val="28"/>
          <w:szCs w:val="28"/>
        </w:rPr>
        <w:t xml:space="preserve">– </w:t>
      </w:r>
      <w:r w:rsidRPr="00AD66BF">
        <w:rPr>
          <w:sz w:val="28"/>
          <w:szCs w:val="28"/>
        </w:rPr>
        <w:t xml:space="preserve">specificando che anche nell’ipotesi in cui il diritto di disporre dell’immagine divenga oggetto di un rapporto contrattuale fra le parti, il consenso </w:t>
      </w:r>
      <w:r w:rsidR="00C171F4">
        <w:rPr>
          <w:sz w:val="28"/>
          <w:szCs w:val="28"/>
        </w:rPr>
        <w:t>rimane</w:t>
      </w:r>
      <w:r w:rsidRPr="00AD66BF">
        <w:rPr>
          <w:sz w:val="28"/>
          <w:szCs w:val="28"/>
        </w:rPr>
        <w:t xml:space="preserve"> comunque elemento esterno rispetto a tale rapporto</w:t>
      </w:r>
      <w:r w:rsidR="00C171F4">
        <w:rPr>
          <w:sz w:val="28"/>
          <w:szCs w:val="28"/>
        </w:rPr>
        <w:t>.</w:t>
      </w:r>
      <w:r w:rsidRPr="00AD66BF">
        <w:rPr>
          <w:sz w:val="28"/>
          <w:szCs w:val="28"/>
        </w:rPr>
        <w:t xml:space="preserve"> </w:t>
      </w:r>
    </w:p>
    <w:p w14:paraId="018B068A" w14:textId="77777777" w:rsidR="00551136" w:rsidRDefault="00C171F4" w:rsidP="00AD66BF">
      <w:pPr>
        <w:pStyle w:val="NormaleWeb"/>
        <w:spacing w:before="0" w:beforeAutospacing="0" w:after="0" w:afterAutospacing="0"/>
        <w:jc w:val="both"/>
        <w:rPr>
          <w:sz w:val="28"/>
          <w:szCs w:val="28"/>
        </w:rPr>
      </w:pPr>
      <w:r>
        <w:rPr>
          <w:sz w:val="28"/>
          <w:szCs w:val="28"/>
        </w:rPr>
        <w:t>Conseguenza di ciò</w:t>
      </w:r>
      <w:r w:rsidR="0095713B" w:rsidRPr="00AD66BF">
        <w:rPr>
          <w:sz w:val="28"/>
          <w:szCs w:val="28"/>
        </w:rPr>
        <w:t xml:space="preserve"> è che il contratto ha il consenso quale suo presupposto e che, una volta stipulato, “</w:t>
      </w:r>
      <w:r w:rsidR="0095713B" w:rsidRPr="00C171F4">
        <w:rPr>
          <w:i/>
          <w:iCs/>
          <w:sz w:val="28"/>
          <w:szCs w:val="28"/>
        </w:rPr>
        <w:t>questo non possa di norma essere revocato fino a che l’utilizzazione entro i limiti stabiliti dal rapporto contrattuale sia possibile e/o non sia ancora stata realizzata</w:t>
      </w:r>
      <w:r w:rsidR="0095713B" w:rsidRPr="00AD66BF">
        <w:rPr>
          <w:sz w:val="28"/>
          <w:szCs w:val="28"/>
        </w:rPr>
        <w:t xml:space="preserve">”. </w:t>
      </w:r>
    </w:p>
    <w:p w14:paraId="57826525" w14:textId="689043EF" w:rsidR="0095713B" w:rsidRPr="00AD66BF" w:rsidRDefault="0095713B" w:rsidP="00AD66BF">
      <w:pPr>
        <w:pStyle w:val="NormaleWeb"/>
        <w:spacing w:before="0" w:beforeAutospacing="0" w:after="0" w:afterAutospacing="0"/>
        <w:jc w:val="both"/>
        <w:rPr>
          <w:sz w:val="28"/>
          <w:szCs w:val="28"/>
        </w:rPr>
      </w:pPr>
      <w:r w:rsidRPr="00AD66BF">
        <w:rPr>
          <w:sz w:val="28"/>
          <w:szCs w:val="28"/>
        </w:rPr>
        <w:t>Nel caso di specie</w:t>
      </w:r>
      <w:r w:rsidR="00C171F4">
        <w:rPr>
          <w:sz w:val="28"/>
          <w:szCs w:val="28"/>
        </w:rPr>
        <w:t>,</w:t>
      </w:r>
      <w:r w:rsidRPr="00AD66BF">
        <w:rPr>
          <w:sz w:val="28"/>
          <w:szCs w:val="28"/>
        </w:rPr>
        <w:t xml:space="preserve"> questo rileva in quanto </w:t>
      </w:r>
      <w:r w:rsidR="00C171F4" w:rsidRPr="00AD66BF">
        <w:rPr>
          <w:sz w:val="28"/>
          <w:szCs w:val="28"/>
        </w:rPr>
        <w:t xml:space="preserve">la cessione del diritto di disposizione delle immagini a soggetti terzi </w:t>
      </w:r>
      <w:r w:rsidRPr="00AD66BF">
        <w:rPr>
          <w:sz w:val="28"/>
          <w:szCs w:val="28"/>
        </w:rPr>
        <w:t xml:space="preserve">era stata oggetto di contestazione. </w:t>
      </w:r>
      <w:r w:rsidR="00C171F4">
        <w:rPr>
          <w:sz w:val="28"/>
          <w:szCs w:val="28"/>
        </w:rPr>
        <w:t>Per</w:t>
      </w:r>
      <w:r w:rsidRPr="00AD66BF">
        <w:rPr>
          <w:sz w:val="28"/>
          <w:szCs w:val="28"/>
        </w:rPr>
        <w:t xml:space="preserve"> giustificare la legittimità di tale condotta, si sarebbe dovuta dimostrare non soltanto l’esistenza di un rapporto contrattuale, ma anche il fatto che questo disciplinasse il profilo della cessione a terzi del diritto.</w:t>
      </w:r>
    </w:p>
    <w:p w14:paraId="406F2DF5" w14:textId="552CF68D" w:rsidR="0095713B" w:rsidRPr="00AD66BF" w:rsidRDefault="00C171F4" w:rsidP="00AD66BF">
      <w:pPr>
        <w:pStyle w:val="NormaleWeb"/>
        <w:spacing w:before="0" w:beforeAutospacing="0" w:after="0" w:afterAutospacing="0"/>
        <w:jc w:val="both"/>
        <w:rPr>
          <w:sz w:val="28"/>
          <w:szCs w:val="28"/>
        </w:rPr>
      </w:pPr>
      <w:r>
        <w:rPr>
          <w:sz w:val="28"/>
          <w:szCs w:val="28"/>
        </w:rPr>
        <w:t>È necessario</w:t>
      </w:r>
      <w:r w:rsidR="0095713B" w:rsidRPr="00AD66BF">
        <w:rPr>
          <w:sz w:val="28"/>
          <w:szCs w:val="28"/>
        </w:rPr>
        <w:t xml:space="preserve"> porre l’accento su quel “</w:t>
      </w:r>
      <w:r w:rsidR="0095713B" w:rsidRPr="00C171F4">
        <w:rPr>
          <w:i/>
          <w:iCs/>
          <w:sz w:val="28"/>
          <w:szCs w:val="28"/>
        </w:rPr>
        <w:t>di norma</w:t>
      </w:r>
      <w:r w:rsidR="0095713B" w:rsidRPr="00AD66BF">
        <w:rPr>
          <w:sz w:val="28"/>
          <w:szCs w:val="28"/>
        </w:rPr>
        <w:t>” utilizzato dalla Corte nella succitata pronuncia, dal momento che un orientamento più risalente</w:t>
      </w:r>
      <w:r>
        <w:rPr>
          <w:rStyle w:val="Rimandonotaapidipagina"/>
          <w:sz w:val="28"/>
          <w:szCs w:val="28"/>
        </w:rPr>
        <w:footnoteReference w:id="215"/>
      </w:r>
      <w:r w:rsidR="0095713B" w:rsidRPr="00AD66BF">
        <w:rPr>
          <w:sz w:val="28"/>
          <w:szCs w:val="28"/>
        </w:rPr>
        <w:t xml:space="preserve"> aveva stabilito che il consenso alla pubblicazione della propria immagine, in quanto negozio unilaterale, fosse “</w:t>
      </w:r>
      <w:r w:rsidR="0095713B" w:rsidRPr="00C171F4">
        <w:rPr>
          <w:i/>
          <w:iCs/>
          <w:sz w:val="28"/>
          <w:szCs w:val="28"/>
        </w:rPr>
        <w:t>revocabile in ogni tempo, anche in difformità di quanto pattuito contrattualmente salvo, in questo caso, il diritto dell’altra parte al risarcimento del danno</w:t>
      </w:r>
      <w:r w:rsidR="0095713B" w:rsidRPr="00AD66BF">
        <w:rPr>
          <w:sz w:val="28"/>
          <w:szCs w:val="28"/>
        </w:rPr>
        <w:t>”.</w:t>
      </w:r>
    </w:p>
    <w:p w14:paraId="3BEA403F" w14:textId="77777777" w:rsidR="00551136" w:rsidRDefault="00C171F4" w:rsidP="00AD66BF">
      <w:pPr>
        <w:pStyle w:val="NormaleWeb"/>
        <w:spacing w:before="0" w:beforeAutospacing="0" w:after="0" w:afterAutospacing="0"/>
        <w:jc w:val="both"/>
        <w:rPr>
          <w:sz w:val="28"/>
          <w:szCs w:val="28"/>
        </w:rPr>
      </w:pPr>
      <w:r>
        <w:rPr>
          <w:sz w:val="28"/>
          <w:szCs w:val="28"/>
        </w:rPr>
        <w:t>Ultimamente, i</w:t>
      </w:r>
      <w:r w:rsidR="0095713B" w:rsidRPr="00AD66BF">
        <w:rPr>
          <w:sz w:val="28"/>
          <w:szCs w:val="28"/>
        </w:rPr>
        <w:t xml:space="preserve">l tema della revoca </w:t>
      </w:r>
      <w:r>
        <w:rPr>
          <w:sz w:val="28"/>
          <w:szCs w:val="28"/>
        </w:rPr>
        <w:t xml:space="preserve">del consenso </w:t>
      </w:r>
      <w:r w:rsidR="0095713B" w:rsidRPr="00AD66BF">
        <w:rPr>
          <w:sz w:val="28"/>
          <w:szCs w:val="28"/>
        </w:rPr>
        <w:t>è tornato a far discutere</w:t>
      </w:r>
      <w:r w:rsidR="007A4C8C">
        <w:rPr>
          <w:sz w:val="28"/>
          <w:szCs w:val="28"/>
        </w:rPr>
        <w:t>,</w:t>
      </w:r>
      <w:r w:rsidR="0095713B" w:rsidRPr="00AD66BF">
        <w:rPr>
          <w:sz w:val="28"/>
          <w:szCs w:val="28"/>
        </w:rPr>
        <w:t xml:space="preserve"> </w:t>
      </w:r>
      <w:r>
        <w:rPr>
          <w:sz w:val="28"/>
          <w:szCs w:val="28"/>
        </w:rPr>
        <w:t xml:space="preserve">perché una </w:t>
      </w:r>
      <w:r w:rsidR="0095713B" w:rsidRPr="00AD66BF">
        <w:rPr>
          <w:sz w:val="28"/>
          <w:szCs w:val="28"/>
        </w:rPr>
        <w:t>sentenza della Corte d’Appello di Milano</w:t>
      </w:r>
      <w:r>
        <w:rPr>
          <w:rStyle w:val="Rimandonotaapidipagina"/>
          <w:sz w:val="28"/>
          <w:szCs w:val="28"/>
        </w:rPr>
        <w:footnoteReference w:id="216"/>
      </w:r>
      <w:r w:rsidR="007A4C8C">
        <w:rPr>
          <w:sz w:val="28"/>
          <w:szCs w:val="28"/>
        </w:rPr>
        <w:t xml:space="preserve"> </w:t>
      </w:r>
      <w:r w:rsidR="0095713B" w:rsidRPr="00AD66BF">
        <w:rPr>
          <w:sz w:val="28"/>
          <w:szCs w:val="28"/>
        </w:rPr>
        <w:t xml:space="preserve">ha ribaltato quanto stabilito dai giudici di primo grado, affermando la revocabilità del consenso in qualunque momento. </w:t>
      </w:r>
    </w:p>
    <w:p w14:paraId="1AD82A7D" w14:textId="71E2B501" w:rsidR="00551136" w:rsidRDefault="0095713B" w:rsidP="00551136">
      <w:pPr>
        <w:pStyle w:val="NormaleWeb"/>
        <w:spacing w:before="0" w:beforeAutospacing="0" w:after="0" w:afterAutospacing="0"/>
        <w:jc w:val="both"/>
        <w:rPr>
          <w:sz w:val="28"/>
          <w:szCs w:val="28"/>
        </w:rPr>
      </w:pPr>
      <w:r w:rsidRPr="00AD66BF">
        <w:rPr>
          <w:sz w:val="28"/>
          <w:szCs w:val="28"/>
        </w:rPr>
        <w:t xml:space="preserve">Nel caso di specie, riguardante la pubblicazione delle foto di due attori, congiuntamente ad un’intervista sulla loro vita sentimentale, </w:t>
      </w:r>
      <w:r w:rsidR="007A4C8C">
        <w:rPr>
          <w:sz w:val="28"/>
          <w:szCs w:val="28"/>
        </w:rPr>
        <w:t>i Giudici hanno</w:t>
      </w:r>
      <w:r w:rsidRPr="00AD66BF">
        <w:rPr>
          <w:sz w:val="28"/>
          <w:szCs w:val="28"/>
        </w:rPr>
        <w:t xml:space="preserve"> richiamato il principio già affermato dalla Cassazione secondo cui la sussistenza del consenso alla pubblicazione della propria immagine, è sempre necessario ed imprescindibile</w:t>
      </w:r>
      <w:r w:rsidR="007A4C8C" w:rsidRPr="007A4C8C">
        <w:rPr>
          <w:sz w:val="28"/>
          <w:szCs w:val="28"/>
        </w:rPr>
        <w:t xml:space="preserve"> </w:t>
      </w:r>
      <w:r w:rsidR="007A4C8C">
        <w:rPr>
          <w:sz w:val="28"/>
          <w:szCs w:val="28"/>
        </w:rPr>
        <w:t xml:space="preserve">anche </w:t>
      </w:r>
      <w:r w:rsidR="007A4C8C" w:rsidRPr="00AD66BF">
        <w:rPr>
          <w:sz w:val="28"/>
          <w:szCs w:val="28"/>
        </w:rPr>
        <w:t>al momento della pubblicazione stessa</w:t>
      </w:r>
      <w:r w:rsidRPr="00AD66BF">
        <w:rPr>
          <w:sz w:val="28"/>
          <w:szCs w:val="28"/>
        </w:rPr>
        <w:t xml:space="preserve">. </w:t>
      </w:r>
      <w:r w:rsidR="007A4C8C">
        <w:rPr>
          <w:sz w:val="28"/>
          <w:szCs w:val="28"/>
        </w:rPr>
        <w:t>Quindi</w:t>
      </w:r>
      <w:r w:rsidRPr="00AD66BF">
        <w:rPr>
          <w:sz w:val="28"/>
          <w:szCs w:val="28"/>
        </w:rPr>
        <w:t xml:space="preserve">, a prescindere dagli accordi contrattuali originariamente raggiunti fra le parti, l’intervento della revoca prima dell’avvenuta pubblicazione fa venire </w:t>
      </w:r>
      <w:r w:rsidR="007A4C8C">
        <w:rPr>
          <w:sz w:val="28"/>
          <w:szCs w:val="28"/>
        </w:rPr>
        <w:t>senz’altro</w:t>
      </w:r>
      <w:r w:rsidRPr="00AD66BF">
        <w:rPr>
          <w:sz w:val="28"/>
          <w:szCs w:val="28"/>
        </w:rPr>
        <w:t xml:space="preserve"> meno </w:t>
      </w:r>
      <w:r w:rsidR="007A4C8C">
        <w:rPr>
          <w:sz w:val="28"/>
          <w:szCs w:val="28"/>
        </w:rPr>
        <w:t xml:space="preserve">il </w:t>
      </w:r>
      <w:r w:rsidRPr="00AD66BF">
        <w:rPr>
          <w:sz w:val="28"/>
          <w:szCs w:val="28"/>
        </w:rPr>
        <w:t>presupposto della sua legittimità.</w:t>
      </w:r>
    </w:p>
    <w:p w14:paraId="3F8C2AA7" w14:textId="77777777" w:rsidR="0092292E" w:rsidRDefault="0092292E">
      <w:pPr>
        <w:rPr>
          <w:sz w:val="28"/>
          <w:szCs w:val="28"/>
        </w:rPr>
      </w:pPr>
    </w:p>
    <w:p w14:paraId="4F2E6B8E" w14:textId="7F4D15FE" w:rsidR="0092292E" w:rsidRDefault="0092292E">
      <w:pPr>
        <w:rPr>
          <w:rFonts w:ascii="Times New Roman" w:eastAsia="Times New Roman" w:hAnsi="Times New Roman" w:cs="Times New Roman"/>
          <w:sz w:val="28"/>
          <w:szCs w:val="28"/>
          <w:lang w:eastAsia="it-IT"/>
        </w:rPr>
      </w:pPr>
      <w:r>
        <w:rPr>
          <w:sz w:val="28"/>
          <w:szCs w:val="28"/>
        </w:rPr>
        <w:br w:type="page"/>
      </w:r>
    </w:p>
    <w:p w14:paraId="6ADC19A2" w14:textId="30B3B697" w:rsidR="00B57511" w:rsidRPr="00B57511" w:rsidRDefault="00B57511" w:rsidP="0095713B">
      <w:pPr>
        <w:pStyle w:val="NormaleWeb"/>
        <w:jc w:val="both"/>
        <w:rPr>
          <w:b/>
          <w:bCs/>
          <w:sz w:val="32"/>
          <w:szCs w:val="32"/>
        </w:rPr>
      </w:pPr>
      <w:r w:rsidRPr="00B57511">
        <w:rPr>
          <w:b/>
          <w:bCs/>
          <w:sz w:val="32"/>
          <w:szCs w:val="32"/>
        </w:rPr>
        <w:lastRenderedPageBreak/>
        <w:t>Capitolo</w:t>
      </w:r>
      <w:r w:rsidR="008F4198" w:rsidRPr="008F4198">
        <w:rPr>
          <w:b/>
          <w:bCs/>
          <w:sz w:val="32"/>
          <w:szCs w:val="32"/>
        </w:rPr>
        <w:t xml:space="preserve"> </w:t>
      </w:r>
      <w:r w:rsidR="008F4198">
        <w:rPr>
          <w:b/>
          <w:bCs/>
          <w:sz w:val="32"/>
          <w:szCs w:val="32"/>
        </w:rPr>
        <w:t>XIII</w:t>
      </w:r>
      <w:r w:rsidR="0095713B" w:rsidRPr="00B57511">
        <w:rPr>
          <w:b/>
          <w:bCs/>
          <w:sz w:val="32"/>
          <w:szCs w:val="32"/>
        </w:rPr>
        <w:tab/>
      </w:r>
    </w:p>
    <w:p w14:paraId="314BEB15" w14:textId="61B36EE5" w:rsidR="0095713B" w:rsidRPr="00E7511E" w:rsidRDefault="00EE48FF" w:rsidP="0095713B">
      <w:pPr>
        <w:pStyle w:val="NormaleWeb"/>
        <w:jc w:val="both"/>
        <w:rPr>
          <w:sz w:val="32"/>
          <w:szCs w:val="32"/>
        </w:rPr>
      </w:pPr>
      <w:r>
        <w:rPr>
          <w:b/>
          <w:bCs/>
          <w:sz w:val="32"/>
          <w:szCs w:val="32"/>
        </w:rPr>
        <w:t>La</w:t>
      </w:r>
      <w:r w:rsidR="0095713B" w:rsidRPr="00B57511">
        <w:rPr>
          <w:b/>
          <w:bCs/>
          <w:sz w:val="32"/>
          <w:szCs w:val="32"/>
        </w:rPr>
        <w:t xml:space="preserve"> tutela dei minori</w:t>
      </w:r>
      <w:r w:rsidR="00201418">
        <w:rPr>
          <w:b/>
          <w:bCs/>
          <w:sz w:val="32"/>
          <w:szCs w:val="32"/>
        </w:rPr>
        <w:t xml:space="preserve"> e </w:t>
      </w:r>
      <w:r w:rsidR="008F4198">
        <w:rPr>
          <w:b/>
          <w:bCs/>
          <w:sz w:val="32"/>
          <w:szCs w:val="32"/>
        </w:rPr>
        <w:t xml:space="preserve">il </w:t>
      </w:r>
      <w:r w:rsidR="00201418">
        <w:rPr>
          <w:b/>
          <w:bCs/>
          <w:sz w:val="32"/>
          <w:szCs w:val="32"/>
        </w:rPr>
        <w:t>diritto all’oblio</w:t>
      </w:r>
    </w:p>
    <w:p w14:paraId="714FE685" w14:textId="78DFAF8D" w:rsidR="00DC4778" w:rsidRDefault="00DC4778" w:rsidP="00FA625D">
      <w:pPr>
        <w:pStyle w:val="NormaleWeb"/>
        <w:spacing w:before="0" w:beforeAutospacing="0" w:after="0" w:afterAutospacing="0"/>
        <w:jc w:val="both"/>
        <w:rPr>
          <w:sz w:val="28"/>
          <w:szCs w:val="28"/>
        </w:rPr>
      </w:pPr>
      <w:r>
        <w:rPr>
          <w:sz w:val="28"/>
          <w:szCs w:val="28"/>
        </w:rPr>
        <w:t>Anche nei casi</w:t>
      </w:r>
      <w:r w:rsidRPr="00FA625D">
        <w:rPr>
          <w:sz w:val="28"/>
          <w:szCs w:val="28"/>
        </w:rPr>
        <w:t xml:space="preserve"> in cui l’immagine ritragga soggetti</w:t>
      </w:r>
      <w:r>
        <w:rPr>
          <w:sz w:val="28"/>
          <w:szCs w:val="28"/>
        </w:rPr>
        <w:t xml:space="preserve"> minori viene in rilievo l</w:t>
      </w:r>
      <w:r w:rsidR="0095713B" w:rsidRPr="00FA625D">
        <w:rPr>
          <w:sz w:val="28"/>
          <w:szCs w:val="28"/>
        </w:rPr>
        <w:t xml:space="preserve">a tutela della reputazione altrui, dovendosi comunque ritenere </w:t>
      </w:r>
      <w:r>
        <w:rPr>
          <w:sz w:val="28"/>
          <w:szCs w:val="28"/>
        </w:rPr>
        <w:t>lecita, qualora</w:t>
      </w:r>
      <w:r w:rsidRPr="00FA625D">
        <w:rPr>
          <w:sz w:val="28"/>
          <w:szCs w:val="28"/>
        </w:rPr>
        <w:t xml:space="preserve"> sussista una delle ipotesi previste dalla legge e non sia recato pregiudizio alla persona</w:t>
      </w:r>
      <w:r>
        <w:rPr>
          <w:sz w:val="28"/>
          <w:szCs w:val="28"/>
        </w:rPr>
        <w:t>,</w:t>
      </w:r>
      <w:r w:rsidRPr="00FA625D">
        <w:rPr>
          <w:sz w:val="28"/>
          <w:szCs w:val="28"/>
        </w:rPr>
        <w:t xml:space="preserve"> </w:t>
      </w:r>
      <w:r w:rsidR="0095713B" w:rsidRPr="00FA625D">
        <w:rPr>
          <w:sz w:val="28"/>
          <w:szCs w:val="28"/>
        </w:rPr>
        <w:t xml:space="preserve">la pubblicazione in assenza di consenso. </w:t>
      </w:r>
    </w:p>
    <w:p w14:paraId="0FFF5C11" w14:textId="60DA7172" w:rsidR="0095713B" w:rsidRPr="00FA625D" w:rsidRDefault="00DC4778" w:rsidP="00FA625D">
      <w:pPr>
        <w:pStyle w:val="NormaleWeb"/>
        <w:spacing w:before="0" w:beforeAutospacing="0" w:after="0" w:afterAutospacing="0"/>
        <w:jc w:val="both"/>
        <w:rPr>
          <w:sz w:val="28"/>
          <w:szCs w:val="28"/>
        </w:rPr>
      </w:pPr>
      <w:r>
        <w:rPr>
          <w:sz w:val="28"/>
          <w:szCs w:val="28"/>
        </w:rPr>
        <w:t>Ciò</w:t>
      </w:r>
      <w:r w:rsidR="0095713B" w:rsidRPr="00FA625D">
        <w:rPr>
          <w:sz w:val="28"/>
          <w:szCs w:val="28"/>
        </w:rPr>
        <w:t xml:space="preserve"> è</w:t>
      </w:r>
      <w:r w:rsidR="00E7511E" w:rsidRPr="00FA625D">
        <w:rPr>
          <w:sz w:val="28"/>
          <w:szCs w:val="28"/>
        </w:rPr>
        <w:t xml:space="preserve"> </w:t>
      </w:r>
      <w:r>
        <w:rPr>
          <w:sz w:val="28"/>
          <w:szCs w:val="28"/>
        </w:rPr>
        <w:t>stato</w:t>
      </w:r>
      <w:r w:rsidR="0095713B" w:rsidRPr="00FA625D">
        <w:rPr>
          <w:sz w:val="28"/>
          <w:szCs w:val="28"/>
        </w:rPr>
        <w:t xml:space="preserve"> affermato dalla </w:t>
      </w:r>
      <w:r>
        <w:rPr>
          <w:sz w:val="28"/>
          <w:szCs w:val="28"/>
        </w:rPr>
        <w:t xml:space="preserve">Corte di </w:t>
      </w:r>
      <w:r w:rsidR="0095713B" w:rsidRPr="00FA625D">
        <w:rPr>
          <w:sz w:val="28"/>
          <w:szCs w:val="28"/>
        </w:rPr>
        <w:t>Cassazione nella pronuncia n. 8880/2020</w:t>
      </w:r>
      <w:r w:rsidR="00E7511E" w:rsidRPr="00FA625D">
        <w:rPr>
          <w:rStyle w:val="Rimandonotaapidipagina"/>
          <w:sz w:val="28"/>
          <w:szCs w:val="28"/>
        </w:rPr>
        <w:footnoteReference w:id="217"/>
      </w:r>
      <w:r w:rsidR="0095713B" w:rsidRPr="00FA625D">
        <w:rPr>
          <w:sz w:val="28"/>
          <w:szCs w:val="28"/>
        </w:rPr>
        <w:t xml:space="preserve">, </w:t>
      </w:r>
      <w:r>
        <w:rPr>
          <w:sz w:val="28"/>
          <w:szCs w:val="28"/>
        </w:rPr>
        <w:t>che ha concluso che nel caso di specie</w:t>
      </w:r>
      <w:r w:rsidR="0095713B" w:rsidRPr="00FA625D">
        <w:rPr>
          <w:sz w:val="28"/>
          <w:szCs w:val="28"/>
        </w:rPr>
        <w:t xml:space="preserve"> “</w:t>
      </w:r>
      <w:r w:rsidR="0095713B" w:rsidRPr="00DC4778">
        <w:rPr>
          <w:i/>
          <w:iCs/>
          <w:sz w:val="28"/>
          <w:szCs w:val="28"/>
        </w:rPr>
        <w:t>le fotografie che ritraevano le minori (…), le quali partecipavano ad una manifestazione di massa in occasione dell’inaugurazione di uno scivolo gonfiabile, di certo non era lesiva della reputazione o dell’onore, posto che non è disdicevole o disonorevole, o contraria a qualsivoglia disposizione di ordine pubblico o buon costume, l’utilizzo di uno scivolo</w:t>
      </w:r>
      <w:r w:rsidR="0095713B" w:rsidRPr="00FA625D">
        <w:rPr>
          <w:sz w:val="28"/>
          <w:szCs w:val="28"/>
        </w:rPr>
        <w:t>”.</w:t>
      </w:r>
    </w:p>
    <w:p w14:paraId="0BA2BE71" w14:textId="7D70BE1A" w:rsidR="00A171E1" w:rsidRPr="00FA625D" w:rsidRDefault="00DC4778" w:rsidP="00FA625D">
      <w:pPr>
        <w:pStyle w:val="NormaleWeb"/>
        <w:spacing w:before="0" w:beforeAutospacing="0" w:after="0" w:afterAutospacing="0"/>
        <w:jc w:val="both"/>
        <w:rPr>
          <w:sz w:val="28"/>
          <w:szCs w:val="28"/>
        </w:rPr>
      </w:pPr>
      <w:r>
        <w:rPr>
          <w:sz w:val="28"/>
          <w:szCs w:val="28"/>
        </w:rPr>
        <w:t>Parimenti, può essere affermato</w:t>
      </w:r>
      <w:r w:rsidR="0095713B" w:rsidRPr="00FA625D">
        <w:rPr>
          <w:sz w:val="28"/>
          <w:szCs w:val="28"/>
        </w:rPr>
        <w:t xml:space="preserve"> </w:t>
      </w:r>
      <w:r>
        <w:rPr>
          <w:sz w:val="28"/>
          <w:szCs w:val="28"/>
        </w:rPr>
        <w:t xml:space="preserve">che </w:t>
      </w:r>
      <w:r w:rsidR="0095713B" w:rsidRPr="00FA625D">
        <w:rPr>
          <w:sz w:val="28"/>
          <w:szCs w:val="28"/>
        </w:rPr>
        <w:t>l’elemento dell’interesse pubblico</w:t>
      </w:r>
      <w:r>
        <w:rPr>
          <w:sz w:val="28"/>
          <w:szCs w:val="28"/>
        </w:rPr>
        <w:t xml:space="preserve"> </w:t>
      </w:r>
      <w:r w:rsidR="0095713B" w:rsidRPr="00FA625D">
        <w:rPr>
          <w:sz w:val="28"/>
          <w:szCs w:val="28"/>
        </w:rPr>
        <w:t xml:space="preserve">giustifica la pubblicazione dell’immagine di un minore </w:t>
      </w:r>
      <w:r w:rsidR="00A171E1">
        <w:rPr>
          <w:sz w:val="28"/>
          <w:szCs w:val="28"/>
        </w:rPr>
        <w:t>solo se</w:t>
      </w:r>
      <w:r w:rsidR="0095713B" w:rsidRPr="00FA625D">
        <w:rPr>
          <w:sz w:val="28"/>
          <w:szCs w:val="28"/>
        </w:rPr>
        <w:t xml:space="preserve"> vi è la necessità “</w:t>
      </w:r>
      <w:r w:rsidR="0095713B" w:rsidRPr="00DC4778">
        <w:rPr>
          <w:i/>
          <w:iCs/>
          <w:sz w:val="28"/>
          <w:szCs w:val="28"/>
        </w:rPr>
        <w:t>di conoscere le fattezze dei protagonisti della vicenda narrata ai fini della completezza e correttezza della divulgazione della notizia (…)</w:t>
      </w:r>
      <w:r w:rsidR="0095713B" w:rsidRPr="00FA625D">
        <w:rPr>
          <w:sz w:val="28"/>
          <w:szCs w:val="28"/>
        </w:rPr>
        <w:t>”</w:t>
      </w:r>
      <w:r w:rsidR="00205FDB" w:rsidRPr="00FA625D">
        <w:rPr>
          <w:rStyle w:val="Rimandonotaapidipagina"/>
          <w:sz w:val="28"/>
          <w:szCs w:val="28"/>
        </w:rPr>
        <w:footnoteReference w:id="218"/>
      </w:r>
      <w:r w:rsidR="0095713B" w:rsidRPr="00FA625D">
        <w:rPr>
          <w:sz w:val="28"/>
          <w:szCs w:val="28"/>
        </w:rPr>
        <w:t>.</w:t>
      </w:r>
    </w:p>
    <w:p w14:paraId="1C205A11" w14:textId="011E0D6C" w:rsidR="0095713B" w:rsidRPr="00FA625D" w:rsidRDefault="00DC4778" w:rsidP="00FA625D">
      <w:pPr>
        <w:pStyle w:val="NormaleWeb"/>
        <w:spacing w:before="0" w:beforeAutospacing="0" w:after="0" w:afterAutospacing="0"/>
        <w:jc w:val="both"/>
        <w:rPr>
          <w:sz w:val="28"/>
          <w:szCs w:val="28"/>
        </w:rPr>
      </w:pPr>
      <w:r>
        <w:rPr>
          <w:sz w:val="28"/>
          <w:szCs w:val="28"/>
        </w:rPr>
        <w:t>Tuttavia, la</w:t>
      </w:r>
      <w:r w:rsidR="0095713B" w:rsidRPr="00FA625D">
        <w:rPr>
          <w:sz w:val="28"/>
          <w:szCs w:val="28"/>
        </w:rPr>
        <w:t xml:space="preserve"> questione </w:t>
      </w:r>
      <w:r>
        <w:rPr>
          <w:sz w:val="28"/>
          <w:szCs w:val="28"/>
        </w:rPr>
        <w:t xml:space="preserve">diventa più problematica quando, invece che avvenire </w:t>
      </w:r>
      <w:r w:rsidRPr="00FA625D">
        <w:rPr>
          <w:sz w:val="28"/>
          <w:szCs w:val="28"/>
        </w:rPr>
        <w:t>su una testata giornalistica</w:t>
      </w:r>
      <w:r>
        <w:rPr>
          <w:sz w:val="28"/>
          <w:szCs w:val="28"/>
        </w:rPr>
        <w:t xml:space="preserve"> – t</w:t>
      </w:r>
      <w:r w:rsidRPr="00FA625D">
        <w:rPr>
          <w:sz w:val="28"/>
          <w:szCs w:val="28"/>
        </w:rPr>
        <w:t>rovando</w:t>
      </w:r>
      <w:r>
        <w:rPr>
          <w:sz w:val="28"/>
          <w:szCs w:val="28"/>
        </w:rPr>
        <w:t xml:space="preserve"> così</w:t>
      </w:r>
      <w:r w:rsidRPr="00FA625D">
        <w:rPr>
          <w:sz w:val="28"/>
          <w:szCs w:val="28"/>
        </w:rPr>
        <w:t xml:space="preserve"> pacificamente applicazione l’esimente del diritto di cronaca</w:t>
      </w:r>
      <w:r>
        <w:rPr>
          <w:sz w:val="28"/>
          <w:szCs w:val="28"/>
        </w:rPr>
        <w:t xml:space="preserve"> – </w:t>
      </w:r>
      <w:r w:rsidR="0095713B" w:rsidRPr="00FA625D">
        <w:rPr>
          <w:sz w:val="28"/>
          <w:szCs w:val="28"/>
        </w:rPr>
        <w:t xml:space="preserve">la pubblicazione dell’immagine altrui </w:t>
      </w:r>
      <w:r>
        <w:rPr>
          <w:sz w:val="28"/>
          <w:szCs w:val="28"/>
        </w:rPr>
        <w:t xml:space="preserve">abbia luogo </w:t>
      </w:r>
      <w:r w:rsidR="0095713B" w:rsidRPr="00FA625D">
        <w:rPr>
          <w:sz w:val="28"/>
          <w:szCs w:val="28"/>
        </w:rPr>
        <w:t xml:space="preserve">sui </w:t>
      </w:r>
      <w:r w:rsidR="0095713B" w:rsidRPr="00DC4778">
        <w:rPr>
          <w:i/>
          <w:iCs/>
          <w:sz w:val="28"/>
          <w:szCs w:val="28"/>
        </w:rPr>
        <w:t>social network</w:t>
      </w:r>
      <w:r w:rsidR="0095713B" w:rsidRPr="00FA625D">
        <w:rPr>
          <w:sz w:val="28"/>
          <w:szCs w:val="28"/>
        </w:rPr>
        <w:t>.</w:t>
      </w:r>
    </w:p>
    <w:p w14:paraId="202C10C0" w14:textId="3E2EF860" w:rsidR="0095713B" w:rsidRPr="00FA625D" w:rsidRDefault="00DC4778" w:rsidP="00FA625D">
      <w:pPr>
        <w:pStyle w:val="NormaleWeb"/>
        <w:spacing w:before="0" w:beforeAutospacing="0" w:after="0" w:afterAutospacing="0"/>
        <w:jc w:val="both"/>
        <w:rPr>
          <w:sz w:val="28"/>
          <w:szCs w:val="28"/>
        </w:rPr>
      </w:pPr>
      <w:r>
        <w:rPr>
          <w:sz w:val="28"/>
          <w:szCs w:val="28"/>
        </w:rPr>
        <w:t>La</w:t>
      </w:r>
      <w:r w:rsidR="0095713B" w:rsidRPr="00FA625D">
        <w:rPr>
          <w:sz w:val="28"/>
          <w:szCs w:val="28"/>
        </w:rPr>
        <w:t xml:space="preserve"> C</w:t>
      </w:r>
      <w:r w:rsidR="00205FDB">
        <w:rPr>
          <w:sz w:val="28"/>
          <w:szCs w:val="28"/>
        </w:rPr>
        <w:t>orte EDU</w:t>
      </w:r>
      <w:r w:rsidR="0095713B" w:rsidRPr="00FA625D">
        <w:rPr>
          <w:sz w:val="28"/>
          <w:szCs w:val="28"/>
        </w:rPr>
        <w:t xml:space="preserve"> ha ritenuto che </w:t>
      </w:r>
      <w:r w:rsidR="00205FDB" w:rsidRPr="00FA625D">
        <w:rPr>
          <w:sz w:val="28"/>
          <w:szCs w:val="28"/>
        </w:rPr>
        <w:t>“</w:t>
      </w:r>
      <w:r w:rsidR="00205FDB" w:rsidRPr="00205FDB">
        <w:rPr>
          <w:i/>
          <w:iCs/>
          <w:sz w:val="28"/>
          <w:szCs w:val="28"/>
        </w:rPr>
        <w:t>la pubblicazione di un’immagine manipolata sul social network Instagram</w:t>
      </w:r>
      <w:r w:rsidR="00205FDB" w:rsidRPr="00FA625D">
        <w:rPr>
          <w:sz w:val="28"/>
          <w:szCs w:val="28"/>
        </w:rPr>
        <w:t>”</w:t>
      </w:r>
      <w:r w:rsidR="00205FDB">
        <w:rPr>
          <w:sz w:val="28"/>
          <w:szCs w:val="28"/>
        </w:rPr>
        <w:t xml:space="preserve"> </w:t>
      </w:r>
      <w:r w:rsidR="0095713B" w:rsidRPr="00FA625D">
        <w:rPr>
          <w:sz w:val="28"/>
          <w:szCs w:val="28"/>
        </w:rPr>
        <w:t>integri la violazione dell’art. 8 della Carta Europea sui diritti dell’Uom</w:t>
      </w:r>
      <w:r w:rsidR="00205FDB">
        <w:rPr>
          <w:sz w:val="28"/>
          <w:szCs w:val="28"/>
        </w:rPr>
        <w:t xml:space="preserve">o, posto a </w:t>
      </w:r>
      <w:r w:rsidR="0095713B" w:rsidRPr="00FA625D">
        <w:rPr>
          <w:sz w:val="28"/>
          <w:szCs w:val="28"/>
        </w:rPr>
        <w:t xml:space="preserve">tutela </w:t>
      </w:r>
      <w:r w:rsidR="00205FDB">
        <w:rPr>
          <w:sz w:val="28"/>
          <w:szCs w:val="28"/>
        </w:rPr>
        <w:t>del</w:t>
      </w:r>
      <w:r w:rsidR="0095713B" w:rsidRPr="00FA625D">
        <w:rPr>
          <w:sz w:val="28"/>
          <w:szCs w:val="28"/>
        </w:rPr>
        <w:t xml:space="preserve"> diritto al rispetto della vita privata, incluso quello alla reputazione</w:t>
      </w:r>
      <w:r w:rsidR="00205FDB">
        <w:rPr>
          <w:sz w:val="28"/>
          <w:szCs w:val="28"/>
        </w:rPr>
        <w:t>.</w:t>
      </w:r>
      <w:r w:rsidR="0095713B" w:rsidRPr="00FA625D">
        <w:rPr>
          <w:sz w:val="28"/>
          <w:szCs w:val="28"/>
        </w:rPr>
        <w:t xml:space="preserve"> </w:t>
      </w:r>
      <w:r w:rsidR="00205FDB">
        <w:rPr>
          <w:sz w:val="28"/>
          <w:szCs w:val="28"/>
        </w:rPr>
        <w:t>A Strasburgo si è infatti</w:t>
      </w:r>
      <w:r w:rsidR="0095713B" w:rsidRPr="00FA625D">
        <w:rPr>
          <w:sz w:val="28"/>
          <w:szCs w:val="28"/>
        </w:rPr>
        <w:t xml:space="preserve"> spiegato che la tutela alla reputazione deve essere garantita anche a </w:t>
      </w:r>
      <w:r w:rsidR="00205FDB">
        <w:rPr>
          <w:sz w:val="28"/>
          <w:szCs w:val="28"/>
        </w:rPr>
        <w:t>coloro che</w:t>
      </w:r>
      <w:r w:rsidR="0095713B" w:rsidRPr="00FA625D">
        <w:rPr>
          <w:sz w:val="28"/>
          <w:szCs w:val="28"/>
        </w:rPr>
        <w:t xml:space="preserve"> subisc</w:t>
      </w:r>
      <w:r w:rsidR="00205FDB">
        <w:rPr>
          <w:sz w:val="28"/>
          <w:szCs w:val="28"/>
        </w:rPr>
        <w:t>ono</w:t>
      </w:r>
      <w:r w:rsidR="0095713B" w:rsidRPr="00FA625D">
        <w:rPr>
          <w:sz w:val="28"/>
          <w:szCs w:val="28"/>
        </w:rPr>
        <w:t xml:space="preserve"> </w:t>
      </w:r>
      <w:r w:rsidR="00205FDB">
        <w:rPr>
          <w:sz w:val="28"/>
          <w:szCs w:val="28"/>
        </w:rPr>
        <w:t xml:space="preserve">diffamazione </w:t>
      </w:r>
      <w:r w:rsidR="0095713B" w:rsidRPr="00FA625D">
        <w:rPr>
          <w:sz w:val="28"/>
          <w:szCs w:val="28"/>
        </w:rPr>
        <w:t xml:space="preserve">sui </w:t>
      </w:r>
      <w:r w:rsidR="0095713B" w:rsidRPr="00205FDB">
        <w:rPr>
          <w:i/>
          <w:iCs/>
          <w:sz w:val="28"/>
          <w:szCs w:val="28"/>
        </w:rPr>
        <w:t>social</w:t>
      </w:r>
      <w:r w:rsidR="0095713B" w:rsidRPr="00FA625D">
        <w:rPr>
          <w:sz w:val="28"/>
          <w:szCs w:val="28"/>
        </w:rPr>
        <w:t>, dovendosi garantire</w:t>
      </w:r>
      <w:r w:rsidR="00205FDB">
        <w:rPr>
          <w:sz w:val="28"/>
          <w:szCs w:val="28"/>
        </w:rPr>
        <w:t xml:space="preserve"> un equo</w:t>
      </w:r>
      <w:r w:rsidR="0095713B" w:rsidRPr="00FA625D">
        <w:rPr>
          <w:sz w:val="28"/>
          <w:szCs w:val="28"/>
        </w:rPr>
        <w:t xml:space="preserve"> bilanciamento fra il diritto alla libertà di espressione e la tutela della reputazione privata</w:t>
      </w:r>
      <w:r w:rsidR="00205FDB" w:rsidRPr="00FA625D">
        <w:rPr>
          <w:rStyle w:val="Rimandonotaapidipagina"/>
          <w:sz w:val="28"/>
          <w:szCs w:val="28"/>
        </w:rPr>
        <w:footnoteReference w:id="219"/>
      </w:r>
      <w:r w:rsidR="00205FDB">
        <w:rPr>
          <w:sz w:val="28"/>
          <w:szCs w:val="28"/>
        </w:rPr>
        <w:t>.</w:t>
      </w:r>
    </w:p>
    <w:p w14:paraId="558B4FAB" w14:textId="023D612F" w:rsidR="0095713B" w:rsidRPr="00FA625D" w:rsidRDefault="00205FDB" w:rsidP="00FA625D">
      <w:pPr>
        <w:pStyle w:val="NormaleWeb"/>
        <w:spacing w:before="0" w:beforeAutospacing="0" w:after="0" w:afterAutospacing="0"/>
        <w:jc w:val="both"/>
        <w:rPr>
          <w:sz w:val="28"/>
          <w:szCs w:val="28"/>
        </w:rPr>
      </w:pPr>
      <w:r>
        <w:rPr>
          <w:sz w:val="28"/>
          <w:szCs w:val="28"/>
        </w:rPr>
        <w:t>Ovviamente, n</w:t>
      </w:r>
      <w:r w:rsidRPr="00FA625D">
        <w:rPr>
          <w:sz w:val="28"/>
          <w:szCs w:val="28"/>
        </w:rPr>
        <w:t>e</w:t>
      </w:r>
      <w:r>
        <w:rPr>
          <w:sz w:val="28"/>
          <w:szCs w:val="28"/>
        </w:rPr>
        <w:t xml:space="preserve">i casi in cui ad essere ritratto è un minore, la situazione diviene </w:t>
      </w:r>
      <w:r w:rsidR="0095713B" w:rsidRPr="00FA625D">
        <w:rPr>
          <w:sz w:val="28"/>
          <w:szCs w:val="28"/>
        </w:rPr>
        <w:t>più delicat</w:t>
      </w:r>
      <w:r w:rsidR="00405AAA">
        <w:rPr>
          <w:sz w:val="28"/>
          <w:szCs w:val="28"/>
        </w:rPr>
        <w:t xml:space="preserve">a; </w:t>
      </w:r>
      <w:r w:rsidR="0095713B" w:rsidRPr="00FA625D">
        <w:rPr>
          <w:sz w:val="28"/>
          <w:szCs w:val="28"/>
        </w:rPr>
        <w:t xml:space="preserve">le </w:t>
      </w:r>
      <w:r w:rsidR="00405AAA" w:rsidRPr="00FA625D">
        <w:rPr>
          <w:sz w:val="28"/>
          <w:szCs w:val="28"/>
        </w:rPr>
        <w:t xml:space="preserve">sempre più numerose </w:t>
      </w:r>
      <w:r w:rsidR="0095713B" w:rsidRPr="00FA625D">
        <w:rPr>
          <w:sz w:val="28"/>
          <w:szCs w:val="28"/>
        </w:rPr>
        <w:t xml:space="preserve">pronunce giurisprudenziali </w:t>
      </w:r>
      <w:r w:rsidR="00405AAA">
        <w:rPr>
          <w:sz w:val="28"/>
          <w:szCs w:val="28"/>
        </w:rPr>
        <w:t xml:space="preserve">al riguardo </w:t>
      </w:r>
      <w:r w:rsidR="0095713B" w:rsidRPr="00FA625D">
        <w:rPr>
          <w:sz w:val="28"/>
          <w:szCs w:val="28"/>
        </w:rPr>
        <w:t xml:space="preserve">sono accomunate dalla prevalenza della tutela del minore sulla libertà di espressione </w:t>
      </w:r>
      <w:r w:rsidR="00405AAA">
        <w:rPr>
          <w:sz w:val="28"/>
          <w:szCs w:val="28"/>
        </w:rPr>
        <w:t>altrui.</w:t>
      </w:r>
    </w:p>
    <w:p w14:paraId="295986FC" w14:textId="77777777" w:rsidR="00405AAA" w:rsidRDefault="0095713B" w:rsidP="00FA625D">
      <w:pPr>
        <w:pStyle w:val="NormaleWeb"/>
        <w:spacing w:before="0" w:beforeAutospacing="0" w:after="0" w:afterAutospacing="0"/>
        <w:jc w:val="both"/>
        <w:rPr>
          <w:sz w:val="28"/>
          <w:szCs w:val="28"/>
        </w:rPr>
      </w:pPr>
      <w:r w:rsidRPr="00FA625D">
        <w:rPr>
          <w:sz w:val="28"/>
          <w:szCs w:val="28"/>
        </w:rPr>
        <w:t>La questione è stata affrontata dal Trib</w:t>
      </w:r>
      <w:r w:rsidR="00405AAA">
        <w:rPr>
          <w:sz w:val="28"/>
          <w:szCs w:val="28"/>
        </w:rPr>
        <w:t>unale</w:t>
      </w:r>
      <w:r w:rsidRPr="00FA625D">
        <w:rPr>
          <w:sz w:val="28"/>
          <w:szCs w:val="28"/>
        </w:rPr>
        <w:t xml:space="preserve"> di Rieti </w:t>
      </w:r>
      <w:r w:rsidR="00405AAA" w:rsidRPr="00FA625D">
        <w:rPr>
          <w:sz w:val="28"/>
          <w:szCs w:val="28"/>
        </w:rPr>
        <w:t>nel marzo del 2019</w:t>
      </w:r>
      <w:r w:rsidR="00405AAA" w:rsidRPr="00FA625D">
        <w:rPr>
          <w:rStyle w:val="Rimandonotaapidipagina"/>
          <w:sz w:val="28"/>
          <w:szCs w:val="28"/>
        </w:rPr>
        <w:footnoteReference w:id="220"/>
      </w:r>
      <w:r w:rsidR="00405AAA">
        <w:rPr>
          <w:sz w:val="28"/>
          <w:szCs w:val="28"/>
        </w:rPr>
        <w:t>.</w:t>
      </w:r>
    </w:p>
    <w:p w14:paraId="5C7C3C9E" w14:textId="6CBA3BF8" w:rsidR="0095713B" w:rsidRPr="00FA625D" w:rsidRDefault="00405AAA" w:rsidP="00FA625D">
      <w:pPr>
        <w:pStyle w:val="NormaleWeb"/>
        <w:spacing w:before="0" w:beforeAutospacing="0" w:after="0" w:afterAutospacing="0"/>
        <w:jc w:val="both"/>
        <w:rPr>
          <w:sz w:val="28"/>
          <w:szCs w:val="28"/>
        </w:rPr>
      </w:pPr>
      <w:r>
        <w:rPr>
          <w:sz w:val="28"/>
          <w:szCs w:val="28"/>
        </w:rPr>
        <w:lastRenderedPageBreak/>
        <w:t>I Giudici si sono</w:t>
      </w:r>
      <w:r w:rsidRPr="00FA625D">
        <w:rPr>
          <w:sz w:val="28"/>
          <w:szCs w:val="28"/>
        </w:rPr>
        <w:t xml:space="preserve"> </w:t>
      </w:r>
      <w:r w:rsidR="0095713B" w:rsidRPr="00FA625D">
        <w:rPr>
          <w:sz w:val="28"/>
          <w:szCs w:val="28"/>
        </w:rPr>
        <w:t xml:space="preserve">trovati a </w:t>
      </w:r>
      <w:r>
        <w:rPr>
          <w:sz w:val="28"/>
          <w:szCs w:val="28"/>
        </w:rPr>
        <w:t>risolvere</w:t>
      </w:r>
      <w:r w:rsidR="0095713B" w:rsidRPr="00FA625D">
        <w:rPr>
          <w:sz w:val="28"/>
          <w:szCs w:val="28"/>
        </w:rPr>
        <w:t xml:space="preserve"> una controversia </w:t>
      </w:r>
      <w:r>
        <w:rPr>
          <w:sz w:val="28"/>
          <w:szCs w:val="28"/>
        </w:rPr>
        <w:t>riguardante</w:t>
      </w:r>
      <w:r w:rsidR="0095713B" w:rsidRPr="00FA625D">
        <w:rPr>
          <w:sz w:val="28"/>
          <w:szCs w:val="28"/>
        </w:rPr>
        <w:t xml:space="preserve"> la liceità della pubblicazione di foto ritraenti soggetti </w:t>
      </w:r>
      <w:r>
        <w:rPr>
          <w:sz w:val="28"/>
          <w:szCs w:val="28"/>
        </w:rPr>
        <w:t>di minore età</w:t>
      </w:r>
      <w:r w:rsidR="0095713B" w:rsidRPr="00FA625D">
        <w:rPr>
          <w:sz w:val="28"/>
          <w:szCs w:val="28"/>
        </w:rPr>
        <w:t xml:space="preserve">, </w:t>
      </w:r>
      <w:r>
        <w:rPr>
          <w:sz w:val="28"/>
          <w:szCs w:val="28"/>
        </w:rPr>
        <w:t xml:space="preserve">nel caso di specie </w:t>
      </w:r>
      <w:r w:rsidR="0095713B" w:rsidRPr="00FA625D">
        <w:rPr>
          <w:sz w:val="28"/>
          <w:szCs w:val="28"/>
        </w:rPr>
        <w:t>figli di genitori divorziati, da parte della nuova compagna del padre.</w:t>
      </w:r>
    </w:p>
    <w:p w14:paraId="478A20E9" w14:textId="77777777" w:rsidR="002659DB" w:rsidRDefault="0095713B" w:rsidP="00FA625D">
      <w:pPr>
        <w:pStyle w:val="NormaleWeb"/>
        <w:spacing w:before="0" w:beforeAutospacing="0" w:after="0" w:afterAutospacing="0"/>
        <w:jc w:val="both"/>
        <w:rPr>
          <w:sz w:val="28"/>
          <w:szCs w:val="28"/>
        </w:rPr>
      </w:pPr>
      <w:r w:rsidRPr="00FA625D">
        <w:rPr>
          <w:sz w:val="28"/>
          <w:szCs w:val="28"/>
        </w:rPr>
        <w:t>Con ricorso ex art. 700 c.p.c.</w:t>
      </w:r>
      <w:r w:rsidR="00405AAA">
        <w:rPr>
          <w:sz w:val="28"/>
          <w:szCs w:val="28"/>
        </w:rPr>
        <w:t>,</w:t>
      </w:r>
      <w:r w:rsidRPr="00FA625D">
        <w:rPr>
          <w:sz w:val="28"/>
          <w:szCs w:val="28"/>
        </w:rPr>
        <w:t xml:space="preserve"> il tribunale è stato adito dalla madre</w:t>
      </w:r>
      <w:r w:rsidR="00405AAA">
        <w:rPr>
          <w:sz w:val="28"/>
          <w:szCs w:val="28"/>
        </w:rPr>
        <w:t xml:space="preserve"> </w:t>
      </w:r>
      <w:r w:rsidRPr="00FA625D">
        <w:rPr>
          <w:sz w:val="28"/>
          <w:szCs w:val="28"/>
        </w:rPr>
        <w:t xml:space="preserve">dei </w:t>
      </w:r>
      <w:r w:rsidR="00405AAA">
        <w:rPr>
          <w:sz w:val="28"/>
          <w:szCs w:val="28"/>
        </w:rPr>
        <w:t>minorenni</w:t>
      </w:r>
      <w:r w:rsidRPr="00FA625D">
        <w:rPr>
          <w:sz w:val="28"/>
          <w:szCs w:val="28"/>
        </w:rPr>
        <w:t xml:space="preserve">, </w:t>
      </w:r>
      <w:r w:rsidR="00405AAA" w:rsidRPr="00FA625D">
        <w:rPr>
          <w:sz w:val="28"/>
          <w:szCs w:val="28"/>
        </w:rPr>
        <w:t>affinché</w:t>
      </w:r>
      <w:r w:rsidRPr="00FA625D">
        <w:rPr>
          <w:sz w:val="28"/>
          <w:szCs w:val="28"/>
        </w:rPr>
        <w:t xml:space="preserve"> ordinasse alla nuova compagna del padre l</w:t>
      </w:r>
      <w:r w:rsidR="00405AAA">
        <w:rPr>
          <w:sz w:val="28"/>
          <w:szCs w:val="28"/>
        </w:rPr>
        <w:t>’immediata</w:t>
      </w:r>
      <w:r w:rsidRPr="00FA625D">
        <w:rPr>
          <w:sz w:val="28"/>
          <w:szCs w:val="28"/>
        </w:rPr>
        <w:t xml:space="preserve"> rimozione dai </w:t>
      </w:r>
      <w:r w:rsidRPr="00405AAA">
        <w:rPr>
          <w:i/>
          <w:iCs/>
          <w:sz w:val="28"/>
          <w:szCs w:val="28"/>
        </w:rPr>
        <w:t xml:space="preserve">social </w:t>
      </w:r>
      <w:r w:rsidR="00405AAA">
        <w:rPr>
          <w:i/>
          <w:iCs/>
          <w:sz w:val="28"/>
          <w:szCs w:val="28"/>
        </w:rPr>
        <w:t>media</w:t>
      </w:r>
      <w:r w:rsidRPr="00FA625D">
        <w:rPr>
          <w:sz w:val="28"/>
          <w:szCs w:val="28"/>
        </w:rPr>
        <w:t xml:space="preserve"> </w:t>
      </w:r>
      <w:r w:rsidR="00405AAA">
        <w:rPr>
          <w:sz w:val="28"/>
          <w:szCs w:val="28"/>
        </w:rPr>
        <w:t xml:space="preserve">delle </w:t>
      </w:r>
      <w:r w:rsidR="00405AAA" w:rsidRPr="00FA625D">
        <w:rPr>
          <w:sz w:val="28"/>
          <w:szCs w:val="28"/>
        </w:rPr>
        <w:t>immagini che ritraevano i propri figli</w:t>
      </w:r>
      <w:r w:rsidR="00405AAA">
        <w:rPr>
          <w:sz w:val="28"/>
          <w:szCs w:val="28"/>
        </w:rPr>
        <w:t xml:space="preserve">, nonché </w:t>
      </w:r>
      <w:r w:rsidR="00A40A29">
        <w:rPr>
          <w:sz w:val="28"/>
          <w:szCs w:val="28"/>
        </w:rPr>
        <w:t xml:space="preserve">inibisse </w:t>
      </w:r>
      <w:r w:rsidR="00405AAA">
        <w:rPr>
          <w:sz w:val="28"/>
          <w:szCs w:val="28"/>
        </w:rPr>
        <w:t>la</w:t>
      </w:r>
      <w:r w:rsidR="00405AAA" w:rsidRPr="00FA625D">
        <w:rPr>
          <w:sz w:val="28"/>
          <w:szCs w:val="28"/>
        </w:rPr>
        <w:t xml:space="preserve"> </w:t>
      </w:r>
      <w:r w:rsidRPr="00FA625D">
        <w:rPr>
          <w:sz w:val="28"/>
          <w:szCs w:val="28"/>
        </w:rPr>
        <w:t>generale diffusione delle</w:t>
      </w:r>
      <w:r w:rsidR="00405AAA">
        <w:rPr>
          <w:sz w:val="28"/>
          <w:szCs w:val="28"/>
        </w:rPr>
        <w:t xml:space="preserve"> medesime foto</w:t>
      </w:r>
      <w:r w:rsidRPr="00FA625D">
        <w:rPr>
          <w:sz w:val="28"/>
          <w:szCs w:val="28"/>
        </w:rPr>
        <w:t xml:space="preserve">. </w:t>
      </w:r>
    </w:p>
    <w:p w14:paraId="18A1AF57" w14:textId="77777777" w:rsidR="002659DB" w:rsidRDefault="0095713B" w:rsidP="00FA625D">
      <w:pPr>
        <w:pStyle w:val="NormaleWeb"/>
        <w:spacing w:before="0" w:beforeAutospacing="0" w:after="0" w:afterAutospacing="0"/>
        <w:jc w:val="both"/>
        <w:rPr>
          <w:sz w:val="28"/>
          <w:szCs w:val="28"/>
        </w:rPr>
      </w:pPr>
      <w:r w:rsidRPr="00FA625D">
        <w:rPr>
          <w:sz w:val="28"/>
          <w:szCs w:val="28"/>
        </w:rPr>
        <w:t>Il ricorso era giunto</w:t>
      </w:r>
      <w:r w:rsidR="00A40A29">
        <w:rPr>
          <w:sz w:val="28"/>
          <w:szCs w:val="28"/>
        </w:rPr>
        <w:t xml:space="preserve"> al Tribunale</w:t>
      </w:r>
      <w:r w:rsidRPr="00FA625D">
        <w:rPr>
          <w:sz w:val="28"/>
          <w:szCs w:val="28"/>
        </w:rPr>
        <w:t xml:space="preserve"> dopo una </w:t>
      </w:r>
      <w:r w:rsidR="00A40A29">
        <w:rPr>
          <w:sz w:val="28"/>
          <w:szCs w:val="28"/>
        </w:rPr>
        <w:t>preliminare</w:t>
      </w:r>
      <w:r w:rsidRPr="00FA625D">
        <w:rPr>
          <w:sz w:val="28"/>
          <w:szCs w:val="28"/>
        </w:rPr>
        <w:t xml:space="preserve"> diffida, a seguito della quale il comportamento </w:t>
      </w:r>
      <w:r w:rsidR="00A40A29">
        <w:rPr>
          <w:sz w:val="28"/>
          <w:szCs w:val="28"/>
        </w:rPr>
        <w:t xml:space="preserve">della convenuta </w:t>
      </w:r>
      <w:r w:rsidRPr="00FA625D">
        <w:rPr>
          <w:sz w:val="28"/>
          <w:szCs w:val="28"/>
        </w:rPr>
        <w:t xml:space="preserve">era cessato solo temporaneamente, salvo poi riprendere, tanto </w:t>
      </w:r>
      <w:r w:rsidR="00A40A29">
        <w:rPr>
          <w:sz w:val="28"/>
          <w:szCs w:val="28"/>
        </w:rPr>
        <w:t>che i</w:t>
      </w:r>
      <w:r w:rsidRPr="00FA625D">
        <w:rPr>
          <w:sz w:val="28"/>
          <w:szCs w:val="28"/>
        </w:rPr>
        <w:t xml:space="preserve"> genitori </w:t>
      </w:r>
      <w:r w:rsidR="00A40A29">
        <w:rPr>
          <w:sz w:val="28"/>
          <w:szCs w:val="28"/>
        </w:rPr>
        <w:t xml:space="preserve">sono stati costretti </w:t>
      </w:r>
      <w:r w:rsidRPr="00FA625D">
        <w:rPr>
          <w:sz w:val="28"/>
          <w:szCs w:val="28"/>
        </w:rPr>
        <w:t xml:space="preserve">a convenire in sede di divorzio che la pubblicazione delle immagini dei </w:t>
      </w:r>
      <w:r w:rsidR="00A40A29">
        <w:rPr>
          <w:sz w:val="28"/>
          <w:szCs w:val="28"/>
        </w:rPr>
        <w:t xml:space="preserve">propri </w:t>
      </w:r>
      <w:r w:rsidRPr="00FA625D">
        <w:rPr>
          <w:sz w:val="28"/>
          <w:szCs w:val="28"/>
        </w:rPr>
        <w:t>figli sarebbe stata consentita</w:t>
      </w:r>
      <w:r w:rsidR="00A40A29">
        <w:rPr>
          <w:sz w:val="28"/>
          <w:szCs w:val="28"/>
        </w:rPr>
        <w:t xml:space="preserve">, </w:t>
      </w:r>
      <w:r w:rsidRPr="00FA625D">
        <w:rPr>
          <w:sz w:val="28"/>
          <w:szCs w:val="28"/>
        </w:rPr>
        <w:t>sia ai genitori che ai terzi, soltanto previo consenso espresso di entrambi.</w:t>
      </w:r>
      <w:r w:rsidR="00A40A29">
        <w:rPr>
          <w:sz w:val="28"/>
          <w:szCs w:val="28"/>
        </w:rPr>
        <w:t xml:space="preserve"> </w:t>
      </w:r>
    </w:p>
    <w:p w14:paraId="5619F083" w14:textId="191D6B14" w:rsidR="00A40A29" w:rsidRDefault="0095713B" w:rsidP="00FA625D">
      <w:pPr>
        <w:pStyle w:val="NormaleWeb"/>
        <w:spacing w:before="0" w:beforeAutospacing="0" w:after="0" w:afterAutospacing="0"/>
        <w:jc w:val="both"/>
        <w:rPr>
          <w:sz w:val="28"/>
          <w:szCs w:val="28"/>
        </w:rPr>
      </w:pPr>
      <w:r w:rsidRPr="00FA625D">
        <w:rPr>
          <w:sz w:val="28"/>
          <w:szCs w:val="28"/>
        </w:rPr>
        <w:t>L’intervento del tribunale è scaturito dall’inosservanza d</w:t>
      </w:r>
      <w:r w:rsidR="00A40A29">
        <w:rPr>
          <w:sz w:val="28"/>
          <w:szCs w:val="28"/>
        </w:rPr>
        <w:t>i tale accordo.</w:t>
      </w:r>
    </w:p>
    <w:p w14:paraId="33059181" w14:textId="2BEFE1D8" w:rsidR="0095713B" w:rsidRPr="00FA625D" w:rsidRDefault="00A40A29" w:rsidP="00FA625D">
      <w:pPr>
        <w:pStyle w:val="NormaleWeb"/>
        <w:spacing w:before="0" w:beforeAutospacing="0" w:after="0" w:afterAutospacing="0"/>
        <w:jc w:val="both"/>
        <w:rPr>
          <w:sz w:val="28"/>
          <w:szCs w:val="28"/>
        </w:rPr>
      </w:pPr>
      <w:r>
        <w:rPr>
          <w:sz w:val="28"/>
          <w:szCs w:val="28"/>
        </w:rPr>
        <w:t>I</w:t>
      </w:r>
      <w:r w:rsidRPr="00FA625D">
        <w:rPr>
          <w:sz w:val="28"/>
          <w:szCs w:val="28"/>
        </w:rPr>
        <w:t>l collegio</w:t>
      </w:r>
      <w:r>
        <w:rPr>
          <w:sz w:val="28"/>
          <w:szCs w:val="28"/>
        </w:rPr>
        <w:t xml:space="preserve"> giudicante,</w:t>
      </w:r>
      <w:r w:rsidRPr="00FA625D">
        <w:rPr>
          <w:sz w:val="28"/>
          <w:szCs w:val="28"/>
        </w:rPr>
        <w:t xml:space="preserve"> </w:t>
      </w:r>
      <w:r>
        <w:rPr>
          <w:sz w:val="28"/>
          <w:szCs w:val="28"/>
        </w:rPr>
        <w:t>n</w:t>
      </w:r>
      <w:r w:rsidR="0095713B" w:rsidRPr="00FA625D">
        <w:rPr>
          <w:sz w:val="28"/>
          <w:szCs w:val="28"/>
        </w:rPr>
        <w:t>ella propria</w:t>
      </w:r>
      <w:r w:rsidR="00E7511E" w:rsidRPr="00FA625D">
        <w:rPr>
          <w:sz w:val="28"/>
          <w:szCs w:val="28"/>
        </w:rPr>
        <w:t xml:space="preserve"> </w:t>
      </w:r>
      <w:r w:rsidR="0095713B" w:rsidRPr="00FA625D">
        <w:rPr>
          <w:sz w:val="28"/>
          <w:szCs w:val="28"/>
        </w:rPr>
        <w:t>argomentazione</w:t>
      </w:r>
      <w:r>
        <w:rPr>
          <w:sz w:val="28"/>
          <w:szCs w:val="28"/>
        </w:rPr>
        <w:t>,</w:t>
      </w:r>
      <w:r w:rsidR="0095713B" w:rsidRPr="00FA625D">
        <w:rPr>
          <w:sz w:val="28"/>
          <w:szCs w:val="28"/>
        </w:rPr>
        <w:t xml:space="preserve"> ha ripreso il principio che subordina l’utilizzo di un’immagine ritraente un</w:t>
      </w:r>
      <w:r w:rsidR="00E7511E" w:rsidRPr="00FA625D">
        <w:rPr>
          <w:sz w:val="28"/>
          <w:szCs w:val="28"/>
        </w:rPr>
        <w:t xml:space="preserve"> </w:t>
      </w:r>
      <w:r w:rsidR="0095713B" w:rsidRPr="00FA625D">
        <w:rPr>
          <w:sz w:val="28"/>
          <w:szCs w:val="28"/>
        </w:rPr>
        <w:t xml:space="preserve">soggetto </w:t>
      </w:r>
      <w:r>
        <w:rPr>
          <w:sz w:val="28"/>
          <w:szCs w:val="28"/>
        </w:rPr>
        <w:t>minorenne</w:t>
      </w:r>
      <w:r w:rsidR="0095713B" w:rsidRPr="00FA625D">
        <w:rPr>
          <w:sz w:val="28"/>
          <w:szCs w:val="28"/>
        </w:rPr>
        <w:t xml:space="preserve"> al previo consenso degli esercenti la responsabilità genitoriale</w:t>
      </w:r>
      <w:r>
        <w:rPr>
          <w:sz w:val="28"/>
          <w:szCs w:val="28"/>
        </w:rPr>
        <w:t xml:space="preserve"> – </w:t>
      </w:r>
      <w:r w:rsidR="0095713B" w:rsidRPr="00FA625D">
        <w:rPr>
          <w:sz w:val="28"/>
          <w:szCs w:val="28"/>
        </w:rPr>
        <w:t xml:space="preserve">richiamando sia le norme nazionali </w:t>
      </w:r>
      <w:r>
        <w:rPr>
          <w:sz w:val="28"/>
          <w:szCs w:val="28"/>
        </w:rPr>
        <w:t>che quell</w:t>
      </w:r>
      <w:r w:rsidR="0095713B" w:rsidRPr="00FA625D">
        <w:rPr>
          <w:sz w:val="28"/>
          <w:szCs w:val="28"/>
        </w:rPr>
        <w:t>e sovranazionali rilevanti in materia (</w:t>
      </w:r>
      <w:r>
        <w:rPr>
          <w:sz w:val="28"/>
          <w:szCs w:val="28"/>
        </w:rPr>
        <w:t>tra cui rientrano l’</w:t>
      </w:r>
      <w:r w:rsidR="0095713B" w:rsidRPr="00FA625D">
        <w:rPr>
          <w:sz w:val="28"/>
          <w:szCs w:val="28"/>
        </w:rPr>
        <w:t xml:space="preserve">art. 10 c.c., </w:t>
      </w:r>
      <w:r>
        <w:rPr>
          <w:sz w:val="28"/>
          <w:szCs w:val="28"/>
        </w:rPr>
        <w:t xml:space="preserve">gli </w:t>
      </w:r>
      <w:r w:rsidR="0095713B" w:rsidRPr="00FA625D">
        <w:rPr>
          <w:sz w:val="28"/>
          <w:szCs w:val="28"/>
        </w:rPr>
        <w:t>artt.</w:t>
      </w:r>
      <w:r>
        <w:rPr>
          <w:sz w:val="28"/>
          <w:szCs w:val="28"/>
        </w:rPr>
        <w:t xml:space="preserve"> </w:t>
      </w:r>
      <w:r w:rsidR="0095713B" w:rsidRPr="00FA625D">
        <w:rPr>
          <w:sz w:val="28"/>
          <w:szCs w:val="28"/>
        </w:rPr>
        <w:t>4,</w:t>
      </w:r>
      <w:r>
        <w:rPr>
          <w:sz w:val="28"/>
          <w:szCs w:val="28"/>
        </w:rPr>
        <w:t xml:space="preserve"> </w:t>
      </w:r>
      <w:r w:rsidR="0095713B" w:rsidRPr="00FA625D">
        <w:rPr>
          <w:sz w:val="28"/>
          <w:szCs w:val="28"/>
        </w:rPr>
        <w:t>7,</w:t>
      </w:r>
      <w:r>
        <w:rPr>
          <w:sz w:val="28"/>
          <w:szCs w:val="28"/>
        </w:rPr>
        <w:t xml:space="preserve"> </w:t>
      </w:r>
      <w:r w:rsidR="0095713B" w:rsidRPr="00FA625D">
        <w:rPr>
          <w:sz w:val="28"/>
          <w:szCs w:val="28"/>
        </w:rPr>
        <w:t xml:space="preserve">8 e 145 </w:t>
      </w:r>
      <w:r>
        <w:rPr>
          <w:sz w:val="28"/>
          <w:szCs w:val="28"/>
        </w:rPr>
        <w:t xml:space="preserve">del </w:t>
      </w:r>
      <w:r w:rsidR="0095713B" w:rsidRPr="00FA625D">
        <w:rPr>
          <w:sz w:val="28"/>
          <w:szCs w:val="28"/>
        </w:rPr>
        <w:t xml:space="preserve">Codice </w:t>
      </w:r>
      <w:r>
        <w:rPr>
          <w:sz w:val="28"/>
          <w:szCs w:val="28"/>
        </w:rPr>
        <w:t xml:space="preserve">della </w:t>
      </w:r>
      <w:r w:rsidR="0095713B" w:rsidRPr="00FA625D">
        <w:rPr>
          <w:sz w:val="28"/>
          <w:szCs w:val="28"/>
        </w:rPr>
        <w:t xml:space="preserve">Privacy e </w:t>
      </w:r>
      <w:r>
        <w:rPr>
          <w:sz w:val="28"/>
          <w:szCs w:val="28"/>
        </w:rPr>
        <w:t xml:space="preserve">la </w:t>
      </w:r>
      <w:r w:rsidR="0095713B" w:rsidRPr="00FA625D">
        <w:rPr>
          <w:sz w:val="28"/>
          <w:szCs w:val="28"/>
        </w:rPr>
        <w:t xml:space="preserve">Convenzione di New York del 20 novembre 1989) </w:t>
      </w:r>
      <w:r>
        <w:rPr>
          <w:sz w:val="28"/>
          <w:szCs w:val="28"/>
        </w:rPr>
        <w:t xml:space="preserve">– </w:t>
      </w:r>
      <w:r w:rsidR="0095713B" w:rsidRPr="00FA625D">
        <w:rPr>
          <w:sz w:val="28"/>
          <w:szCs w:val="28"/>
        </w:rPr>
        <w:t xml:space="preserve">e </w:t>
      </w:r>
      <w:r>
        <w:rPr>
          <w:sz w:val="28"/>
          <w:szCs w:val="28"/>
        </w:rPr>
        <w:t xml:space="preserve">ha così </w:t>
      </w:r>
      <w:r w:rsidR="0095713B" w:rsidRPr="00FA625D">
        <w:rPr>
          <w:sz w:val="28"/>
          <w:szCs w:val="28"/>
        </w:rPr>
        <w:t>condanna</w:t>
      </w:r>
      <w:r>
        <w:rPr>
          <w:sz w:val="28"/>
          <w:szCs w:val="28"/>
        </w:rPr>
        <w:t>to</w:t>
      </w:r>
      <w:r w:rsidR="0095713B" w:rsidRPr="00FA625D">
        <w:rPr>
          <w:sz w:val="28"/>
          <w:szCs w:val="28"/>
        </w:rPr>
        <w:t xml:space="preserve"> la convenuta alla rimozione dei contenuti esistenti </w:t>
      </w:r>
      <w:r>
        <w:rPr>
          <w:sz w:val="28"/>
          <w:szCs w:val="28"/>
        </w:rPr>
        <w:t xml:space="preserve">sui </w:t>
      </w:r>
      <w:r w:rsidRPr="00A40A29">
        <w:rPr>
          <w:i/>
          <w:iCs/>
          <w:sz w:val="28"/>
          <w:szCs w:val="28"/>
        </w:rPr>
        <w:t>social</w:t>
      </w:r>
      <w:r>
        <w:rPr>
          <w:sz w:val="28"/>
          <w:szCs w:val="28"/>
        </w:rPr>
        <w:t xml:space="preserve">, vietandole altresì </w:t>
      </w:r>
      <w:r w:rsidR="0095713B" w:rsidRPr="00FA625D">
        <w:rPr>
          <w:sz w:val="28"/>
          <w:szCs w:val="28"/>
        </w:rPr>
        <w:t xml:space="preserve">di </w:t>
      </w:r>
      <w:r>
        <w:rPr>
          <w:sz w:val="28"/>
          <w:szCs w:val="28"/>
        </w:rPr>
        <w:t>pubblicare</w:t>
      </w:r>
      <w:r w:rsidR="0095713B" w:rsidRPr="00FA625D">
        <w:rPr>
          <w:sz w:val="28"/>
          <w:szCs w:val="28"/>
        </w:rPr>
        <w:t xml:space="preserve"> ulterior</w:t>
      </w:r>
      <w:r>
        <w:rPr>
          <w:sz w:val="28"/>
          <w:szCs w:val="28"/>
        </w:rPr>
        <w:t>mente simili immagini.</w:t>
      </w:r>
    </w:p>
    <w:p w14:paraId="77ABC033" w14:textId="2B49C132" w:rsidR="0095713B" w:rsidRPr="00FA625D" w:rsidRDefault="00201418" w:rsidP="00FA625D">
      <w:pPr>
        <w:pStyle w:val="NormaleWeb"/>
        <w:spacing w:before="0" w:beforeAutospacing="0" w:after="0" w:afterAutospacing="0"/>
        <w:jc w:val="both"/>
        <w:rPr>
          <w:sz w:val="28"/>
          <w:szCs w:val="28"/>
        </w:rPr>
      </w:pPr>
      <w:r>
        <w:rPr>
          <w:sz w:val="28"/>
          <w:szCs w:val="28"/>
        </w:rPr>
        <w:t>Elemento interessante della pronuncia è stata l’</w:t>
      </w:r>
      <w:r w:rsidR="0095713B" w:rsidRPr="00FA625D">
        <w:rPr>
          <w:sz w:val="28"/>
          <w:szCs w:val="28"/>
        </w:rPr>
        <w:t>applica</w:t>
      </w:r>
      <w:r>
        <w:rPr>
          <w:sz w:val="28"/>
          <w:szCs w:val="28"/>
        </w:rPr>
        <w:t>zione</w:t>
      </w:r>
      <w:r w:rsidR="0095713B" w:rsidRPr="00FA625D">
        <w:rPr>
          <w:sz w:val="28"/>
          <w:szCs w:val="28"/>
        </w:rPr>
        <w:t xml:space="preserve"> </w:t>
      </w:r>
      <w:r>
        <w:rPr>
          <w:sz w:val="28"/>
          <w:szCs w:val="28"/>
        </w:rPr>
        <w:t>del</w:t>
      </w:r>
      <w:r w:rsidR="0095713B" w:rsidRPr="00FA625D">
        <w:rPr>
          <w:sz w:val="28"/>
          <w:szCs w:val="28"/>
        </w:rPr>
        <w:t xml:space="preserve">l’art. 614-bis </w:t>
      </w:r>
      <w:r w:rsidR="002659DB" w:rsidRPr="00FA625D">
        <w:rPr>
          <w:sz w:val="28"/>
          <w:szCs w:val="28"/>
        </w:rPr>
        <w:t>c.p.c.</w:t>
      </w:r>
      <w:r>
        <w:rPr>
          <w:sz w:val="28"/>
          <w:szCs w:val="28"/>
        </w:rPr>
        <w:t xml:space="preserve">: i Giudici hanno </w:t>
      </w:r>
      <w:r w:rsidR="0095713B" w:rsidRPr="00FA625D">
        <w:rPr>
          <w:sz w:val="28"/>
          <w:szCs w:val="28"/>
        </w:rPr>
        <w:t>fissa</w:t>
      </w:r>
      <w:r>
        <w:rPr>
          <w:sz w:val="28"/>
          <w:szCs w:val="28"/>
        </w:rPr>
        <w:t>to</w:t>
      </w:r>
      <w:r w:rsidR="0095713B" w:rsidRPr="00FA625D">
        <w:rPr>
          <w:sz w:val="28"/>
          <w:szCs w:val="28"/>
        </w:rPr>
        <w:t xml:space="preserve"> in 50,00</w:t>
      </w:r>
      <w:r w:rsidR="002659DB">
        <w:rPr>
          <w:sz w:val="28"/>
          <w:szCs w:val="28"/>
        </w:rPr>
        <w:t xml:space="preserve"> euro</w:t>
      </w:r>
      <w:r w:rsidR="0095713B" w:rsidRPr="00FA625D">
        <w:rPr>
          <w:sz w:val="28"/>
          <w:szCs w:val="28"/>
        </w:rPr>
        <w:t xml:space="preserve"> la somma dovuta per ogni giorno di ritardo nell’esecuzione dell’ordine di rimozione e per ogni successiva violazione dell’inibitoria.</w:t>
      </w:r>
    </w:p>
    <w:p w14:paraId="64B8A69D" w14:textId="77777777" w:rsidR="002659DB" w:rsidRDefault="0095713B" w:rsidP="00FA625D">
      <w:pPr>
        <w:pStyle w:val="NormaleWeb"/>
        <w:spacing w:before="0" w:beforeAutospacing="0" w:after="0" w:afterAutospacing="0"/>
        <w:jc w:val="both"/>
        <w:rPr>
          <w:sz w:val="28"/>
          <w:szCs w:val="28"/>
        </w:rPr>
      </w:pPr>
      <w:r w:rsidRPr="00FA625D">
        <w:rPr>
          <w:sz w:val="28"/>
          <w:szCs w:val="28"/>
        </w:rPr>
        <w:t>A</w:t>
      </w:r>
      <w:r w:rsidR="00201418">
        <w:rPr>
          <w:sz w:val="28"/>
          <w:szCs w:val="28"/>
        </w:rPr>
        <w:t>nche a</w:t>
      </w:r>
      <w:r w:rsidRPr="00FA625D">
        <w:rPr>
          <w:sz w:val="28"/>
          <w:szCs w:val="28"/>
        </w:rPr>
        <w:t xml:space="preserve">ltre pronunce più risalenti </w:t>
      </w:r>
      <w:r w:rsidR="00201418">
        <w:rPr>
          <w:sz w:val="28"/>
          <w:szCs w:val="28"/>
        </w:rPr>
        <w:t>si sono espresse sul tema della diffusione di immagini di minori in assenza del consenso dell’esercente la responsabilità genitoriale, in particolare in casi di</w:t>
      </w:r>
      <w:r w:rsidRPr="00FA625D">
        <w:rPr>
          <w:sz w:val="28"/>
          <w:szCs w:val="28"/>
        </w:rPr>
        <w:t xml:space="preserve"> pubblicazione</w:t>
      </w:r>
      <w:r w:rsidR="00201418">
        <w:rPr>
          <w:sz w:val="28"/>
          <w:szCs w:val="28"/>
        </w:rPr>
        <w:t xml:space="preserve"> di immagini,</w:t>
      </w:r>
      <w:r w:rsidRPr="00FA625D">
        <w:rPr>
          <w:sz w:val="28"/>
          <w:szCs w:val="28"/>
        </w:rPr>
        <w:t xml:space="preserve"> da parte di uno dei due genitori, in assenza del consenso dell’altro.</w:t>
      </w:r>
      <w:r w:rsidR="00201418">
        <w:rPr>
          <w:sz w:val="28"/>
          <w:szCs w:val="28"/>
        </w:rPr>
        <w:t xml:space="preserve"> </w:t>
      </w:r>
    </w:p>
    <w:p w14:paraId="12F96987" w14:textId="47856D23" w:rsidR="0095713B" w:rsidRDefault="00201418" w:rsidP="00FA625D">
      <w:pPr>
        <w:pStyle w:val="NormaleWeb"/>
        <w:spacing w:before="0" w:beforeAutospacing="0" w:after="0" w:afterAutospacing="0"/>
        <w:jc w:val="both"/>
        <w:rPr>
          <w:sz w:val="28"/>
          <w:szCs w:val="28"/>
        </w:rPr>
      </w:pPr>
      <w:r>
        <w:rPr>
          <w:sz w:val="28"/>
          <w:szCs w:val="28"/>
        </w:rPr>
        <w:t>Ad esempio, n</w:t>
      </w:r>
      <w:r w:rsidR="0095713B" w:rsidRPr="00FA625D">
        <w:rPr>
          <w:sz w:val="28"/>
          <w:szCs w:val="28"/>
        </w:rPr>
        <w:t xml:space="preserve">el 2017 il </w:t>
      </w:r>
      <w:r>
        <w:rPr>
          <w:sz w:val="28"/>
          <w:szCs w:val="28"/>
        </w:rPr>
        <w:t>T</w:t>
      </w:r>
      <w:r w:rsidR="0095713B" w:rsidRPr="00FA625D">
        <w:rPr>
          <w:sz w:val="28"/>
          <w:szCs w:val="28"/>
        </w:rPr>
        <w:t>rib</w:t>
      </w:r>
      <w:r>
        <w:rPr>
          <w:sz w:val="28"/>
          <w:szCs w:val="28"/>
        </w:rPr>
        <w:t>unale d</w:t>
      </w:r>
      <w:r w:rsidR="0095713B" w:rsidRPr="00FA625D">
        <w:rPr>
          <w:sz w:val="28"/>
          <w:szCs w:val="28"/>
        </w:rPr>
        <w:t>i Mantova</w:t>
      </w:r>
      <w:r w:rsidR="00E7511E" w:rsidRPr="00FA625D">
        <w:rPr>
          <w:rStyle w:val="Rimandonotaapidipagina"/>
          <w:sz w:val="28"/>
          <w:szCs w:val="28"/>
        </w:rPr>
        <w:footnoteReference w:id="221"/>
      </w:r>
      <w:r w:rsidR="0095713B" w:rsidRPr="00FA625D">
        <w:rPr>
          <w:sz w:val="28"/>
          <w:szCs w:val="28"/>
        </w:rPr>
        <w:t xml:space="preserve">, all’interno di un giudizio di separazione, aveva inibito alla madre la diffusione delle immagini dei figli in assenza del consenso del padre. </w:t>
      </w:r>
      <w:r>
        <w:rPr>
          <w:sz w:val="28"/>
          <w:szCs w:val="28"/>
        </w:rPr>
        <w:t>Proprio n</w:t>
      </w:r>
      <w:r w:rsidR="0095713B" w:rsidRPr="00FA625D">
        <w:rPr>
          <w:sz w:val="28"/>
          <w:szCs w:val="28"/>
        </w:rPr>
        <w:t>ello stesso anno, il Trib</w:t>
      </w:r>
      <w:r>
        <w:rPr>
          <w:sz w:val="28"/>
          <w:szCs w:val="28"/>
        </w:rPr>
        <w:t>unale d</w:t>
      </w:r>
      <w:r w:rsidR="0095713B" w:rsidRPr="00FA625D">
        <w:rPr>
          <w:sz w:val="28"/>
          <w:szCs w:val="28"/>
        </w:rPr>
        <w:t>i Roma</w:t>
      </w:r>
      <w:r w:rsidR="00E7511E" w:rsidRPr="00FA625D">
        <w:rPr>
          <w:rStyle w:val="Rimandonotaapidipagina"/>
          <w:sz w:val="28"/>
          <w:szCs w:val="28"/>
        </w:rPr>
        <w:footnoteReference w:id="222"/>
      </w:r>
      <w:r w:rsidR="0095713B" w:rsidRPr="00FA625D">
        <w:rPr>
          <w:sz w:val="28"/>
          <w:szCs w:val="28"/>
        </w:rPr>
        <w:t xml:space="preserve"> si è spinto oltre, ordinando contestualmente la rimozione dei contenuti già pubblicati e applicando l’art. 614-bis c.</w:t>
      </w:r>
      <w:r>
        <w:rPr>
          <w:sz w:val="28"/>
          <w:szCs w:val="28"/>
        </w:rPr>
        <w:t>p</w:t>
      </w:r>
      <w:r w:rsidR="0095713B" w:rsidRPr="00FA625D">
        <w:rPr>
          <w:sz w:val="28"/>
          <w:szCs w:val="28"/>
        </w:rPr>
        <w:t>.</w:t>
      </w:r>
      <w:r>
        <w:rPr>
          <w:sz w:val="28"/>
          <w:szCs w:val="28"/>
        </w:rPr>
        <w:t>c</w:t>
      </w:r>
      <w:r w:rsidR="0095713B" w:rsidRPr="00FA625D">
        <w:rPr>
          <w:sz w:val="28"/>
          <w:szCs w:val="28"/>
        </w:rPr>
        <w:t>.</w:t>
      </w:r>
    </w:p>
    <w:p w14:paraId="23E16AD2" w14:textId="77777777" w:rsidR="00201418" w:rsidRPr="00FA625D" w:rsidRDefault="00201418" w:rsidP="00FA625D">
      <w:pPr>
        <w:pStyle w:val="NormaleWeb"/>
        <w:spacing w:before="0" w:beforeAutospacing="0" w:after="0" w:afterAutospacing="0"/>
        <w:jc w:val="both"/>
        <w:rPr>
          <w:sz w:val="28"/>
          <w:szCs w:val="28"/>
        </w:rPr>
      </w:pPr>
    </w:p>
    <w:p w14:paraId="4133C27B" w14:textId="3EA4DA22" w:rsidR="00201418" w:rsidRDefault="00201418" w:rsidP="00FA625D">
      <w:pPr>
        <w:pStyle w:val="NormaleWeb"/>
        <w:spacing w:before="0" w:beforeAutospacing="0" w:after="0" w:afterAutospacing="0"/>
        <w:jc w:val="both"/>
        <w:rPr>
          <w:sz w:val="28"/>
          <w:szCs w:val="28"/>
        </w:rPr>
      </w:pPr>
      <w:r>
        <w:rPr>
          <w:sz w:val="28"/>
          <w:szCs w:val="28"/>
        </w:rPr>
        <w:t>Tema interessante è anche quello del diritto al</w:t>
      </w:r>
      <w:r w:rsidR="0095713B" w:rsidRPr="00FA625D">
        <w:rPr>
          <w:sz w:val="28"/>
          <w:szCs w:val="28"/>
        </w:rPr>
        <w:t xml:space="preserve">l’oblio, riconosciuto agli interessati </w:t>
      </w:r>
      <w:r>
        <w:rPr>
          <w:sz w:val="28"/>
          <w:szCs w:val="28"/>
        </w:rPr>
        <w:t>da</w:t>
      </w:r>
      <w:r w:rsidR="0095713B" w:rsidRPr="00FA625D">
        <w:rPr>
          <w:sz w:val="28"/>
          <w:szCs w:val="28"/>
        </w:rPr>
        <w:t xml:space="preserve">ll’art. 17 del GDPR, </w:t>
      </w:r>
      <w:r>
        <w:rPr>
          <w:sz w:val="28"/>
          <w:szCs w:val="28"/>
        </w:rPr>
        <w:t xml:space="preserve">che </w:t>
      </w:r>
      <w:r w:rsidR="0095713B" w:rsidRPr="00FA625D">
        <w:rPr>
          <w:sz w:val="28"/>
          <w:szCs w:val="28"/>
        </w:rPr>
        <w:t>ha rappresentato, sin dall’entrata in vigore del Regolamento, uno degli aspetti maggiormente problematici nella</w:t>
      </w:r>
      <w:r w:rsidR="00D74901">
        <w:rPr>
          <w:sz w:val="28"/>
          <w:szCs w:val="28"/>
        </w:rPr>
        <w:t xml:space="preserve"> emergente</w:t>
      </w:r>
      <w:r w:rsidR="0095713B" w:rsidRPr="00FA625D">
        <w:rPr>
          <w:sz w:val="28"/>
          <w:szCs w:val="28"/>
        </w:rPr>
        <w:t xml:space="preserve"> realtà digitale</w:t>
      </w:r>
      <w:r>
        <w:rPr>
          <w:sz w:val="28"/>
          <w:szCs w:val="28"/>
        </w:rPr>
        <w:t>.</w:t>
      </w:r>
    </w:p>
    <w:p w14:paraId="1739C21F" w14:textId="4A412BA3" w:rsidR="0095713B" w:rsidRPr="00FA625D" w:rsidRDefault="00201418" w:rsidP="00FA625D">
      <w:pPr>
        <w:pStyle w:val="NormaleWeb"/>
        <w:spacing w:before="0" w:beforeAutospacing="0" w:after="0" w:afterAutospacing="0"/>
        <w:jc w:val="both"/>
        <w:rPr>
          <w:sz w:val="28"/>
          <w:szCs w:val="28"/>
        </w:rPr>
      </w:pPr>
      <w:r>
        <w:rPr>
          <w:sz w:val="28"/>
          <w:szCs w:val="28"/>
        </w:rPr>
        <w:lastRenderedPageBreak/>
        <w:t>Ciò è causato,</w:t>
      </w:r>
      <w:r w:rsidR="0095713B" w:rsidRPr="00FA625D">
        <w:rPr>
          <w:sz w:val="28"/>
          <w:szCs w:val="28"/>
        </w:rPr>
        <w:t xml:space="preserve"> </w:t>
      </w:r>
      <w:r>
        <w:rPr>
          <w:sz w:val="28"/>
          <w:szCs w:val="28"/>
        </w:rPr>
        <w:t xml:space="preserve">da un lato, </w:t>
      </w:r>
      <w:r w:rsidR="00D74901">
        <w:rPr>
          <w:sz w:val="28"/>
          <w:szCs w:val="28"/>
        </w:rPr>
        <w:t>dal</w:t>
      </w:r>
      <w:r w:rsidR="00D74901" w:rsidRPr="00FA625D">
        <w:rPr>
          <w:sz w:val="28"/>
          <w:szCs w:val="28"/>
        </w:rPr>
        <w:t>la</w:t>
      </w:r>
      <w:r w:rsidR="00D74901">
        <w:rPr>
          <w:sz w:val="28"/>
          <w:szCs w:val="28"/>
        </w:rPr>
        <w:t xml:space="preserve"> </w:t>
      </w:r>
      <w:r w:rsidR="0095713B" w:rsidRPr="00FA625D">
        <w:rPr>
          <w:sz w:val="28"/>
          <w:szCs w:val="28"/>
        </w:rPr>
        <w:t xml:space="preserve">difficoltà </w:t>
      </w:r>
      <w:r w:rsidR="00D74901">
        <w:rPr>
          <w:sz w:val="28"/>
          <w:szCs w:val="28"/>
        </w:rPr>
        <w:t>di</w:t>
      </w:r>
      <w:r w:rsidR="0095713B" w:rsidRPr="00FA625D">
        <w:rPr>
          <w:sz w:val="28"/>
          <w:szCs w:val="28"/>
        </w:rPr>
        <w:t xml:space="preserve"> garantirne l’effettività, </w:t>
      </w:r>
      <w:r w:rsidR="006E7EF0">
        <w:rPr>
          <w:sz w:val="28"/>
          <w:szCs w:val="28"/>
        </w:rPr>
        <w:t xml:space="preserve">e </w:t>
      </w:r>
      <w:r w:rsidR="00D74901">
        <w:rPr>
          <w:sz w:val="28"/>
          <w:szCs w:val="28"/>
        </w:rPr>
        <w:t>dall’altro,</w:t>
      </w:r>
      <w:r w:rsidR="0095713B" w:rsidRPr="00FA625D">
        <w:rPr>
          <w:sz w:val="28"/>
          <w:szCs w:val="28"/>
        </w:rPr>
        <w:t xml:space="preserve"> </w:t>
      </w:r>
      <w:r w:rsidR="00D74901">
        <w:rPr>
          <w:sz w:val="28"/>
          <w:szCs w:val="28"/>
        </w:rPr>
        <w:t>dal</w:t>
      </w:r>
      <w:r w:rsidR="0095713B" w:rsidRPr="00FA625D">
        <w:rPr>
          <w:sz w:val="28"/>
          <w:szCs w:val="28"/>
        </w:rPr>
        <w:t>la necessità di bilanciare correttamente tale diritto con gli altri interessi in gioco.</w:t>
      </w:r>
    </w:p>
    <w:p w14:paraId="3C32CA9D" w14:textId="3EE7678E" w:rsidR="00D74901" w:rsidRPr="006671C7" w:rsidRDefault="0095713B" w:rsidP="00FA625D">
      <w:pPr>
        <w:pStyle w:val="NormaleWeb"/>
        <w:spacing w:before="0" w:beforeAutospacing="0" w:after="0" w:afterAutospacing="0"/>
        <w:jc w:val="both"/>
        <w:rPr>
          <w:sz w:val="28"/>
          <w:szCs w:val="28"/>
        </w:rPr>
      </w:pPr>
      <w:r w:rsidRPr="00FA625D">
        <w:rPr>
          <w:sz w:val="28"/>
          <w:szCs w:val="28"/>
        </w:rPr>
        <w:t>Il diritto all’oblio</w:t>
      </w:r>
      <w:r w:rsidR="00D74901">
        <w:rPr>
          <w:sz w:val="28"/>
          <w:szCs w:val="28"/>
        </w:rPr>
        <w:t xml:space="preserve"> può </w:t>
      </w:r>
      <w:r w:rsidRPr="00FA625D">
        <w:rPr>
          <w:sz w:val="28"/>
          <w:szCs w:val="28"/>
        </w:rPr>
        <w:t xml:space="preserve">essere esercitato solo nei casi previsti dall’art. 17 e </w:t>
      </w:r>
      <w:r w:rsidR="00D74901" w:rsidRPr="00FA625D">
        <w:rPr>
          <w:sz w:val="28"/>
          <w:szCs w:val="28"/>
        </w:rPr>
        <w:t>purché</w:t>
      </w:r>
      <w:r w:rsidRPr="00FA625D">
        <w:rPr>
          <w:sz w:val="28"/>
          <w:szCs w:val="28"/>
        </w:rPr>
        <w:t xml:space="preserve"> sussistano circostanze idonee a dimostrare che l’interessato si trovi in una situazione particolare</w:t>
      </w:r>
      <w:r w:rsidR="00D74901">
        <w:rPr>
          <w:sz w:val="28"/>
          <w:szCs w:val="28"/>
        </w:rPr>
        <w:t xml:space="preserve">. Tale diritto è venuto in rilievo nel </w:t>
      </w:r>
      <w:r w:rsidRPr="00FA625D">
        <w:rPr>
          <w:sz w:val="28"/>
          <w:szCs w:val="28"/>
        </w:rPr>
        <w:t xml:space="preserve">caso </w:t>
      </w:r>
      <w:r w:rsidRPr="00D74901">
        <w:rPr>
          <w:i/>
          <w:iCs/>
          <w:sz w:val="28"/>
          <w:szCs w:val="28"/>
        </w:rPr>
        <w:t xml:space="preserve">Google </w:t>
      </w:r>
      <w:proofErr w:type="spellStart"/>
      <w:r w:rsidRPr="00D74901">
        <w:rPr>
          <w:i/>
          <w:iCs/>
          <w:sz w:val="28"/>
          <w:szCs w:val="28"/>
        </w:rPr>
        <w:t>Spain</w:t>
      </w:r>
      <w:proofErr w:type="spellEnd"/>
      <w:r w:rsidR="006671C7" w:rsidRPr="006671C7">
        <w:rPr>
          <w:rStyle w:val="Rimandonotaapidipagina"/>
          <w:sz w:val="28"/>
          <w:szCs w:val="28"/>
        </w:rPr>
        <w:footnoteReference w:id="223"/>
      </w:r>
      <w:r w:rsidR="00D74901" w:rsidRPr="006671C7">
        <w:rPr>
          <w:sz w:val="28"/>
          <w:szCs w:val="28"/>
        </w:rPr>
        <w:t>.</w:t>
      </w:r>
    </w:p>
    <w:p w14:paraId="1DD8F030" w14:textId="638F45EF" w:rsidR="0095713B" w:rsidRPr="00FA625D" w:rsidRDefault="00D74901" w:rsidP="00FA625D">
      <w:pPr>
        <w:pStyle w:val="NormaleWeb"/>
        <w:spacing w:before="0" w:beforeAutospacing="0" w:after="0" w:afterAutospacing="0"/>
        <w:jc w:val="both"/>
        <w:rPr>
          <w:sz w:val="28"/>
          <w:szCs w:val="28"/>
        </w:rPr>
      </w:pPr>
      <w:r>
        <w:rPr>
          <w:sz w:val="28"/>
          <w:szCs w:val="28"/>
        </w:rPr>
        <w:t>La</w:t>
      </w:r>
      <w:r w:rsidR="0095713B" w:rsidRPr="00FA625D">
        <w:rPr>
          <w:sz w:val="28"/>
          <w:szCs w:val="28"/>
        </w:rPr>
        <w:t xml:space="preserve"> C</w:t>
      </w:r>
      <w:r>
        <w:rPr>
          <w:sz w:val="28"/>
          <w:szCs w:val="28"/>
        </w:rPr>
        <w:t>orte di Giustizia</w:t>
      </w:r>
      <w:r w:rsidR="0095713B" w:rsidRPr="00FA625D">
        <w:rPr>
          <w:sz w:val="28"/>
          <w:szCs w:val="28"/>
        </w:rPr>
        <w:t xml:space="preserve"> ha selezionato diversi elementi da tenere in </w:t>
      </w:r>
      <w:r>
        <w:rPr>
          <w:sz w:val="28"/>
          <w:szCs w:val="28"/>
        </w:rPr>
        <w:t>mente</w:t>
      </w:r>
      <w:r w:rsidR="0095713B" w:rsidRPr="00FA625D">
        <w:rPr>
          <w:sz w:val="28"/>
          <w:szCs w:val="28"/>
        </w:rPr>
        <w:t xml:space="preserve"> </w:t>
      </w:r>
      <w:r>
        <w:rPr>
          <w:sz w:val="28"/>
          <w:szCs w:val="28"/>
        </w:rPr>
        <w:t>quando si procede</w:t>
      </w:r>
      <w:r w:rsidR="0095713B" w:rsidRPr="00FA625D">
        <w:rPr>
          <w:sz w:val="28"/>
          <w:szCs w:val="28"/>
        </w:rPr>
        <w:t xml:space="preserve"> </w:t>
      </w:r>
      <w:r>
        <w:rPr>
          <w:sz w:val="28"/>
          <w:szCs w:val="28"/>
        </w:rPr>
        <w:t>ad una tale</w:t>
      </w:r>
      <w:r w:rsidR="0095713B" w:rsidRPr="00FA625D">
        <w:rPr>
          <w:sz w:val="28"/>
          <w:szCs w:val="28"/>
        </w:rPr>
        <w:t xml:space="preserve"> valutazione, </w:t>
      </w:r>
      <w:r>
        <w:rPr>
          <w:sz w:val="28"/>
          <w:szCs w:val="28"/>
        </w:rPr>
        <w:t xml:space="preserve">elementi </w:t>
      </w:r>
      <w:r w:rsidR="0095713B" w:rsidRPr="00FA625D">
        <w:rPr>
          <w:sz w:val="28"/>
          <w:szCs w:val="28"/>
        </w:rPr>
        <w:t xml:space="preserve">che sono stati ampiamente condivisi anche dalla giurisprudenza </w:t>
      </w:r>
      <w:r>
        <w:rPr>
          <w:sz w:val="28"/>
          <w:szCs w:val="28"/>
        </w:rPr>
        <w:t>interna</w:t>
      </w:r>
      <w:r w:rsidR="0095713B" w:rsidRPr="00FA625D">
        <w:rPr>
          <w:sz w:val="28"/>
          <w:szCs w:val="28"/>
        </w:rPr>
        <w:t>, come emerge dall’analisi delle sentenze più rilevanti degli ultimi anni</w:t>
      </w:r>
      <w:r>
        <w:rPr>
          <w:sz w:val="28"/>
          <w:szCs w:val="28"/>
        </w:rPr>
        <w:t xml:space="preserve"> </w:t>
      </w:r>
      <w:r w:rsidR="0095713B" w:rsidRPr="00FA625D">
        <w:rPr>
          <w:sz w:val="28"/>
          <w:szCs w:val="28"/>
        </w:rPr>
        <w:t xml:space="preserve">(es. l’interessato è un personaggio pubblico, i fatti riportati sono inaccurati </w:t>
      </w:r>
      <w:proofErr w:type="spellStart"/>
      <w:r w:rsidR="0095713B" w:rsidRPr="00FA625D">
        <w:rPr>
          <w:sz w:val="28"/>
          <w:szCs w:val="28"/>
        </w:rPr>
        <w:t>e</w:t>
      </w:r>
      <w:r>
        <w:rPr>
          <w:sz w:val="28"/>
          <w:szCs w:val="28"/>
        </w:rPr>
        <w:t>c</w:t>
      </w:r>
      <w:r w:rsidR="0095713B" w:rsidRPr="00FA625D">
        <w:rPr>
          <w:sz w:val="28"/>
          <w:szCs w:val="28"/>
        </w:rPr>
        <w:t>c</w:t>
      </w:r>
      <w:proofErr w:type="spellEnd"/>
      <w:r w:rsidR="0095713B" w:rsidRPr="00FA625D">
        <w:rPr>
          <w:sz w:val="28"/>
          <w:szCs w:val="28"/>
        </w:rPr>
        <w:t xml:space="preserve">). </w:t>
      </w:r>
      <w:r>
        <w:rPr>
          <w:sz w:val="28"/>
          <w:szCs w:val="28"/>
        </w:rPr>
        <w:t>Si badi che</w:t>
      </w:r>
      <w:r w:rsidR="0095713B" w:rsidRPr="00FA625D">
        <w:rPr>
          <w:sz w:val="28"/>
          <w:szCs w:val="28"/>
        </w:rPr>
        <w:t xml:space="preserve"> fra i suddetti elementi figura anche il caso in cui l’informazione riportata sia qualificabile come </w:t>
      </w:r>
      <w:proofErr w:type="spellStart"/>
      <w:r w:rsidR="0095713B" w:rsidRPr="00D74901">
        <w:rPr>
          <w:i/>
          <w:iCs/>
          <w:sz w:val="28"/>
          <w:szCs w:val="28"/>
        </w:rPr>
        <w:t>hate</w:t>
      </w:r>
      <w:proofErr w:type="spellEnd"/>
      <w:r w:rsidR="0095713B" w:rsidRPr="00D74901">
        <w:rPr>
          <w:i/>
          <w:iCs/>
          <w:sz w:val="28"/>
          <w:szCs w:val="28"/>
        </w:rPr>
        <w:t xml:space="preserve"> </w:t>
      </w:r>
      <w:proofErr w:type="spellStart"/>
      <w:r w:rsidR="0095713B" w:rsidRPr="00D74901">
        <w:rPr>
          <w:i/>
          <w:iCs/>
          <w:sz w:val="28"/>
          <w:szCs w:val="28"/>
        </w:rPr>
        <w:t>speech</w:t>
      </w:r>
      <w:proofErr w:type="spellEnd"/>
      <w:r w:rsidR="0095713B" w:rsidRPr="00FA625D">
        <w:rPr>
          <w:sz w:val="28"/>
          <w:szCs w:val="28"/>
        </w:rPr>
        <w:t>.</w:t>
      </w:r>
    </w:p>
    <w:p w14:paraId="26831B82" w14:textId="3185E650" w:rsidR="0095713B" w:rsidRPr="00FA625D" w:rsidRDefault="00C12BF2" w:rsidP="00FA625D">
      <w:pPr>
        <w:pStyle w:val="NormaleWeb"/>
        <w:spacing w:before="0" w:beforeAutospacing="0" w:after="0" w:afterAutospacing="0"/>
        <w:jc w:val="both"/>
        <w:rPr>
          <w:sz w:val="28"/>
          <w:szCs w:val="28"/>
        </w:rPr>
      </w:pPr>
      <w:r>
        <w:rPr>
          <w:sz w:val="28"/>
          <w:szCs w:val="28"/>
        </w:rPr>
        <w:t>Anzitutto, secondo la</w:t>
      </w:r>
      <w:r w:rsidRPr="00FA625D">
        <w:rPr>
          <w:sz w:val="28"/>
          <w:szCs w:val="28"/>
        </w:rPr>
        <w:t xml:space="preserve"> Suprema Corte</w:t>
      </w:r>
      <w:r>
        <w:rPr>
          <w:sz w:val="28"/>
          <w:szCs w:val="28"/>
        </w:rPr>
        <w:t xml:space="preserve">, il diritto all’oblio </w:t>
      </w:r>
      <w:r w:rsidR="0095713B" w:rsidRPr="00FA625D">
        <w:rPr>
          <w:sz w:val="28"/>
          <w:szCs w:val="28"/>
        </w:rPr>
        <w:t>consiste “</w:t>
      </w:r>
      <w:r w:rsidR="0095713B" w:rsidRPr="00C12BF2">
        <w:rPr>
          <w:i/>
          <w:iCs/>
          <w:sz w:val="28"/>
          <w:szCs w:val="28"/>
        </w:rPr>
        <w:t>nel non rimanere esposti senza limiti di tempo ad una rappresentazione non più attuale della propria persona con pregiudizio alla reputazione ed alla riservatezza</w:t>
      </w:r>
      <w:r w:rsidR="0095713B" w:rsidRPr="00FA625D">
        <w:rPr>
          <w:sz w:val="28"/>
          <w:szCs w:val="28"/>
        </w:rPr>
        <w:t>”</w:t>
      </w:r>
      <w:r w:rsidRPr="00C12BF2">
        <w:rPr>
          <w:rStyle w:val="Rimandonotaapidipagina"/>
          <w:sz w:val="28"/>
          <w:szCs w:val="28"/>
        </w:rPr>
        <w:t xml:space="preserve"> </w:t>
      </w:r>
      <w:r w:rsidRPr="00FA625D">
        <w:rPr>
          <w:rStyle w:val="Rimandonotaapidipagina"/>
          <w:sz w:val="28"/>
          <w:szCs w:val="28"/>
        </w:rPr>
        <w:footnoteReference w:id="224"/>
      </w:r>
      <w:r>
        <w:rPr>
          <w:sz w:val="28"/>
          <w:szCs w:val="28"/>
        </w:rPr>
        <w:t>.</w:t>
      </w:r>
    </w:p>
    <w:p w14:paraId="2033E9A2" w14:textId="77777777" w:rsidR="00F45A74" w:rsidRDefault="0095713B" w:rsidP="00FA625D">
      <w:pPr>
        <w:pStyle w:val="NormaleWeb"/>
        <w:spacing w:before="0" w:beforeAutospacing="0" w:after="0" w:afterAutospacing="0"/>
        <w:jc w:val="both"/>
        <w:rPr>
          <w:sz w:val="28"/>
          <w:szCs w:val="28"/>
        </w:rPr>
      </w:pPr>
      <w:r w:rsidRPr="00FA625D">
        <w:rPr>
          <w:sz w:val="28"/>
          <w:szCs w:val="28"/>
        </w:rPr>
        <w:t xml:space="preserve">La pronuncia rientra nell’ambito di quella </w:t>
      </w:r>
      <w:r w:rsidR="00C12BF2">
        <w:rPr>
          <w:sz w:val="28"/>
          <w:szCs w:val="28"/>
        </w:rPr>
        <w:t>che viene considerata, da parte della dottrina, la</w:t>
      </w:r>
      <w:r w:rsidRPr="00FA625D">
        <w:rPr>
          <w:sz w:val="28"/>
          <w:szCs w:val="28"/>
        </w:rPr>
        <w:t xml:space="preserve"> seconda accezione del diritto all’oblio,</w:t>
      </w:r>
      <w:r w:rsidR="00C12BF2">
        <w:rPr>
          <w:sz w:val="28"/>
          <w:szCs w:val="28"/>
        </w:rPr>
        <w:t xml:space="preserve"> </w:t>
      </w:r>
      <w:r w:rsidRPr="00FA625D">
        <w:rPr>
          <w:sz w:val="28"/>
          <w:szCs w:val="28"/>
        </w:rPr>
        <w:t>concerne</w:t>
      </w:r>
      <w:r w:rsidR="00C12BF2">
        <w:rPr>
          <w:sz w:val="28"/>
          <w:szCs w:val="28"/>
        </w:rPr>
        <w:t>nte</w:t>
      </w:r>
      <w:r w:rsidRPr="00FA625D">
        <w:rPr>
          <w:sz w:val="28"/>
          <w:szCs w:val="28"/>
        </w:rPr>
        <w:t xml:space="preserve"> la tutela dell’identità personale. In quest’ottica, il bene giuridico tutelato è più ampio rispetto al singolo dato personale, mirando a tutelare </w:t>
      </w:r>
      <w:r w:rsidR="00C12BF2">
        <w:rPr>
          <w:sz w:val="28"/>
          <w:szCs w:val="28"/>
        </w:rPr>
        <w:t>nel complesso</w:t>
      </w:r>
      <w:r w:rsidRPr="00FA625D">
        <w:rPr>
          <w:sz w:val="28"/>
          <w:szCs w:val="28"/>
        </w:rPr>
        <w:t xml:space="preserve"> la dignità della persona. </w:t>
      </w:r>
    </w:p>
    <w:p w14:paraId="3B6959CC" w14:textId="5B27C816" w:rsidR="0095713B" w:rsidRPr="00FA625D" w:rsidRDefault="0095713B" w:rsidP="00FA625D">
      <w:pPr>
        <w:pStyle w:val="NormaleWeb"/>
        <w:spacing w:before="0" w:beforeAutospacing="0" w:after="0" w:afterAutospacing="0"/>
        <w:jc w:val="both"/>
        <w:rPr>
          <w:sz w:val="28"/>
          <w:szCs w:val="28"/>
        </w:rPr>
      </w:pPr>
      <w:r w:rsidRPr="00FA625D">
        <w:rPr>
          <w:sz w:val="28"/>
          <w:szCs w:val="28"/>
        </w:rPr>
        <w:t xml:space="preserve">Ne discende la necessità di contestualizzare le informazioni, valutando l’impatto di queste sull’individuo in relazione alla situazione nella quale egli si trova in </w:t>
      </w:r>
      <w:r w:rsidR="00C12BF2">
        <w:rPr>
          <w:sz w:val="28"/>
          <w:szCs w:val="28"/>
        </w:rPr>
        <w:t>un dato</w:t>
      </w:r>
      <w:r w:rsidRPr="00FA625D">
        <w:rPr>
          <w:sz w:val="28"/>
          <w:szCs w:val="28"/>
        </w:rPr>
        <w:t xml:space="preserve"> momento.</w:t>
      </w:r>
    </w:p>
    <w:p w14:paraId="686DDF8C" w14:textId="77777777" w:rsidR="00F45A74" w:rsidRDefault="0095713B" w:rsidP="00FA625D">
      <w:pPr>
        <w:pStyle w:val="NormaleWeb"/>
        <w:spacing w:before="0" w:beforeAutospacing="0" w:after="0" w:afterAutospacing="0"/>
        <w:jc w:val="both"/>
        <w:rPr>
          <w:sz w:val="28"/>
          <w:szCs w:val="28"/>
        </w:rPr>
      </w:pPr>
      <w:r w:rsidRPr="00FA625D">
        <w:rPr>
          <w:sz w:val="28"/>
          <w:szCs w:val="28"/>
        </w:rPr>
        <w:t>Nella medesima pronuncia</w:t>
      </w:r>
      <w:r w:rsidR="00B5439D">
        <w:rPr>
          <w:sz w:val="28"/>
          <w:szCs w:val="28"/>
        </w:rPr>
        <w:t>,</w:t>
      </w:r>
      <w:r w:rsidRPr="00FA625D">
        <w:rPr>
          <w:sz w:val="28"/>
          <w:szCs w:val="28"/>
        </w:rPr>
        <w:t xml:space="preserve"> </w:t>
      </w:r>
      <w:r w:rsidR="00C12BF2">
        <w:rPr>
          <w:sz w:val="28"/>
          <w:szCs w:val="28"/>
        </w:rPr>
        <w:t>i Giudici</w:t>
      </w:r>
      <w:r w:rsidRPr="00FA625D">
        <w:rPr>
          <w:sz w:val="28"/>
          <w:szCs w:val="28"/>
        </w:rPr>
        <w:t xml:space="preserve"> affronta</w:t>
      </w:r>
      <w:r w:rsidR="00C12BF2">
        <w:rPr>
          <w:sz w:val="28"/>
          <w:szCs w:val="28"/>
        </w:rPr>
        <w:t>no</w:t>
      </w:r>
      <w:r w:rsidRPr="00FA625D">
        <w:rPr>
          <w:sz w:val="28"/>
          <w:szCs w:val="28"/>
        </w:rPr>
        <w:t xml:space="preserve"> il tema del </w:t>
      </w:r>
      <w:r w:rsidR="00C12BF2">
        <w:rPr>
          <w:sz w:val="28"/>
          <w:szCs w:val="28"/>
        </w:rPr>
        <w:t>complesso</w:t>
      </w:r>
      <w:r w:rsidRPr="00FA625D">
        <w:rPr>
          <w:sz w:val="28"/>
          <w:szCs w:val="28"/>
        </w:rPr>
        <w:t xml:space="preserve"> bilanciamento fra il diritto all’oblio e il diritto di cronaca</w:t>
      </w:r>
      <w:r w:rsidR="001233D8">
        <w:rPr>
          <w:sz w:val="28"/>
          <w:szCs w:val="28"/>
        </w:rPr>
        <w:t xml:space="preserve"> </w:t>
      </w:r>
      <w:r w:rsidR="00B5439D">
        <w:rPr>
          <w:sz w:val="28"/>
          <w:szCs w:val="28"/>
        </w:rPr>
        <w:t>(</w:t>
      </w:r>
      <w:r w:rsidR="001233D8">
        <w:rPr>
          <w:sz w:val="28"/>
          <w:szCs w:val="28"/>
        </w:rPr>
        <w:t>e informazione</w:t>
      </w:r>
      <w:r w:rsidR="00B5439D">
        <w:rPr>
          <w:sz w:val="28"/>
          <w:szCs w:val="28"/>
        </w:rPr>
        <w:t>)</w:t>
      </w:r>
      <w:r w:rsidRPr="00FA625D">
        <w:rPr>
          <w:sz w:val="28"/>
          <w:szCs w:val="28"/>
        </w:rPr>
        <w:t>, che rappresenta</w:t>
      </w:r>
      <w:r w:rsidR="00B5439D">
        <w:rPr>
          <w:sz w:val="28"/>
          <w:szCs w:val="28"/>
        </w:rPr>
        <w:t>, forse, l’aspetto</w:t>
      </w:r>
      <w:r w:rsidRPr="00FA625D">
        <w:rPr>
          <w:sz w:val="28"/>
          <w:szCs w:val="28"/>
        </w:rPr>
        <w:t xml:space="preserve"> più delicat</w:t>
      </w:r>
      <w:r w:rsidR="00B5439D">
        <w:rPr>
          <w:sz w:val="28"/>
          <w:szCs w:val="28"/>
        </w:rPr>
        <w:t>o</w:t>
      </w:r>
      <w:r w:rsidRPr="00FA625D">
        <w:rPr>
          <w:sz w:val="28"/>
          <w:szCs w:val="28"/>
        </w:rPr>
        <w:t xml:space="preserve"> e problematic</w:t>
      </w:r>
      <w:r w:rsidR="00B5439D">
        <w:rPr>
          <w:sz w:val="28"/>
          <w:szCs w:val="28"/>
        </w:rPr>
        <w:t>o</w:t>
      </w:r>
      <w:r w:rsidRPr="00FA625D">
        <w:rPr>
          <w:sz w:val="28"/>
          <w:szCs w:val="28"/>
        </w:rPr>
        <w:t xml:space="preserve"> dell’attuazione di questa disposizione. </w:t>
      </w:r>
    </w:p>
    <w:p w14:paraId="53A6C4C5" w14:textId="5A25E3FD" w:rsidR="0095713B" w:rsidRPr="00FA625D" w:rsidRDefault="0095713B" w:rsidP="00FA625D">
      <w:pPr>
        <w:pStyle w:val="NormaleWeb"/>
        <w:spacing w:before="0" w:beforeAutospacing="0" w:after="0" w:afterAutospacing="0"/>
        <w:jc w:val="both"/>
        <w:rPr>
          <w:sz w:val="28"/>
          <w:szCs w:val="28"/>
        </w:rPr>
      </w:pPr>
      <w:r w:rsidRPr="00FA625D">
        <w:rPr>
          <w:sz w:val="28"/>
          <w:szCs w:val="28"/>
        </w:rPr>
        <w:t xml:space="preserve">A norma dell’art. 17, comma 3, </w:t>
      </w:r>
      <w:proofErr w:type="spellStart"/>
      <w:r w:rsidRPr="00FA625D">
        <w:rPr>
          <w:sz w:val="28"/>
          <w:szCs w:val="28"/>
        </w:rPr>
        <w:t>lett</w:t>
      </w:r>
      <w:proofErr w:type="spellEnd"/>
      <w:r w:rsidRPr="00FA625D">
        <w:rPr>
          <w:sz w:val="28"/>
          <w:szCs w:val="28"/>
        </w:rPr>
        <w:t>. a)</w:t>
      </w:r>
      <w:r w:rsidR="00F45A74">
        <w:rPr>
          <w:sz w:val="28"/>
          <w:szCs w:val="28"/>
        </w:rPr>
        <w:t>,</w:t>
      </w:r>
      <w:r w:rsidRPr="00FA625D">
        <w:rPr>
          <w:sz w:val="28"/>
          <w:szCs w:val="28"/>
        </w:rPr>
        <w:t xml:space="preserve"> l’esercizio della libertà di espressione e di informazione costituisce una delle eccezioni che consentono di escludere l’esercizio del diritto all’oblio, </w:t>
      </w:r>
      <w:r w:rsidR="00B5439D">
        <w:rPr>
          <w:sz w:val="28"/>
          <w:szCs w:val="28"/>
        </w:rPr>
        <w:t>configurando come</w:t>
      </w:r>
      <w:r w:rsidRPr="00FA625D">
        <w:rPr>
          <w:sz w:val="28"/>
          <w:szCs w:val="28"/>
        </w:rPr>
        <w:t xml:space="preserve"> necessaria un’analisi svolta caso per caso e </w:t>
      </w:r>
      <w:r w:rsidR="00B5439D">
        <w:rPr>
          <w:sz w:val="28"/>
          <w:szCs w:val="28"/>
        </w:rPr>
        <w:t>finalizzata</w:t>
      </w:r>
      <w:r w:rsidRPr="00FA625D">
        <w:rPr>
          <w:sz w:val="28"/>
          <w:szCs w:val="28"/>
        </w:rPr>
        <w:t xml:space="preserve"> a valutare la prevalenza dell’uno o dell’altro</w:t>
      </w:r>
      <w:r w:rsidR="00B5439D">
        <w:rPr>
          <w:sz w:val="28"/>
          <w:szCs w:val="28"/>
        </w:rPr>
        <w:t xml:space="preserve"> diritto</w:t>
      </w:r>
      <w:r w:rsidRPr="00FA625D">
        <w:rPr>
          <w:sz w:val="28"/>
          <w:szCs w:val="28"/>
        </w:rPr>
        <w:t xml:space="preserve"> nelle circostanze concrete.</w:t>
      </w:r>
    </w:p>
    <w:p w14:paraId="23E55DC9" w14:textId="77777777" w:rsidR="00F45A74" w:rsidRDefault="0095713B" w:rsidP="00FA625D">
      <w:pPr>
        <w:pStyle w:val="NormaleWeb"/>
        <w:spacing w:before="0" w:beforeAutospacing="0" w:after="0" w:afterAutospacing="0"/>
        <w:jc w:val="both"/>
        <w:rPr>
          <w:sz w:val="28"/>
          <w:szCs w:val="28"/>
        </w:rPr>
      </w:pPr>
      <w:r w:rsidRPr="00FA625D">
        <w:rPr>
          <w:sz w:val="28"/>
          <w:szCs w:val="28"/>
        </w:rPr>
        <w:t xml:space="preserve">Nel compiere </w:t>
      </w:r>
      <w:r w:rsidR="00B5439D">
        <w:rPr>
          <w:sz w:val="28"/>
          <w:szCs w:val="28"/>
        </w:rPr>
        <w:t>tale</w:t>
      </w:r>
      <w:r w:rsidRPr="00FA625D">
        <w:rPr>
          <w:sz w:val="28"/>
          <w:szCs w:val="28"/>
        </w:rPr>
        <w:t xml:space="preserve"> valutazione, si </w:t>
      </w:r>
      <w:r w:rsidR="00B5439D">
        <w:rPr>
          <w:sz w:val="28"/>
          <w:szCs w:val="28"/>
        </w:rPr>
        <w:t>deve</w:t>
      </w:r>
      <w:r w:rsidRPr="00FA625D">
        <w:rPr>
          <w:sz w:val="28"/>
          <w:szCs w:val="28"/>
        </w:rPr>
        <w:t xml:space="preserve"> anzitutto tenere in considerazione il lasso di tempo </w:t>
      </w:r>
      <w:r w:rsidR="00B5439D">
        <w:rPr>
          <w:sz w:val="28"/>
          <w:szCs w:val="28"/>
        </w:rPr>
        <w:t>trascorso</w:t>
      </w:r>
      <w:r w:rsidRPr="00FA625D">
        <w:rPr>
          <w:sz w:val="28"/>
          <w:szCs w:val="28"/>
        </w:rPr>
        <w:t xml:space="preserve"> fra i fatti verificatisi e la persistenza della pubblicità della notizia. </w:t>
      </w:r>
    </w:p>
    <w:p w14:paraId="403D6252" w14:textId="7AA8417D" w:rsidR="00B5439D" w:rsidRDefault="00B5439D" w:rsidP="00FA625D">
      <w:pPr>
        <w:pStyle w:val="NormaleWeb"/>
        <w:spacing w:before="0" w:beforeAutospacing="0" w:after="0" w:afterAutospacing="0"/>
        <w:jc w:val="both"/>
        <w:rPr>
          <w:sz w:val="28"/>
          <w:szCs w:val="28"/>
        </w:rPr>
      </w:pPr>
      <w:r>
        <w:rPr>
          <w:sz w:val="28"/>
          <w:szCs w:val="28"/>
        </w:rPr>
        <w:t>I Giudici</w:t>
      </w:r>
      <w:r w:rsidR="0095713B" w:rsidRPr="00FA625D">
        <w:rPr>
          <w:sz w:val="28"/>
          <w:szCs w:val="28"/>
        </w:rPr>
        <w:t xml:space="preserve"> evidenzia</w:t>
      </w:r>
      <w:r>
        <w:rPr>
          <w:sz w:val="28"/>
          <w:szCs w:val="28"/>
        </w:rPr>
        <w:t>no,</w:t>
      </w:r>
      <w:r w:rsidR="0095713B" w:rsidRPr="00FA625D">
        <w:rPr>
          <w:sz w:val="28"/>
          <w:szCs w:val="28"/>
        </w:rPr>
        <w:t xml:space="preserve"> infatti</w:t>
      </w:r>
      <w:r>
        <w:rPr>
          <w:sz w:val="28"/>
          <w:szCs w:val="28"/>
        </w:rPr>
        <w:t>,</w:t>
      </w:r>
      <w:r w:rsidR="0095713B" w:rsidRPr="00FA625D">
        <w:rPr>
          <w:sz w:val="28"/>
          <w:szCs w:val="28"/>
        </w:rPr>
        <w:t xml:space="preserve"> che il pregiudizio alla reputazione e alla riservatezza dell’interessato possa </w:t>
      </w:r>
      <w:r>
        <w:rPr>
          <w:sz w:val="28"/>
          <w:szCs w:val="28"/>
        </w:rPr>
        <w:t>discendere</w:t>
      </w:r>
      <w:r w:rsidR="0095713B" w:rsidRPr="00FA625D">
        <w:rPr>
          <w:sz w:val="28"/>
          <w:szCs w:val="28"/>
        </w:rPr>
        <w:t xml:space="preserve"> dalla ripubblicazione “</w:t>
      </w:r>
      <w:r w:rsidR="0095713B" w:rsidRPr="00B5439D">
        <w:rPr>
          <w:i/>
          <w:iCs/>
          <w:sz w:val="28"/>
          <w:szCs w:val="28"/>
        </w:rPr>
        <w:t>a distanza di un importante lasso temporale di una notizia relativa ai fatti del passato</w:t>
      </w:r>
      <w:r w:rsidR="0095713B" w:rsidRPr="00FA625D">
        <w:rPr>
          <w:sz w:val="28"/>
          <w:szCs w:val="28"/>
        </w:rPr>
        <w:t xml:space="preserve">”. </w:t>
      </w:r>
    </w:p>
    <w:p w14:paraId="507A06B1" w14:textId="314BA7C9" w:rsidR="00B5439D" w:rsidRDefault="00B5439D" w:rsidP="00B5439D">
      <w:pPr>
        <w:pStyle w:val="NormaleWeb"/>
        <w:spacing w:before="0" w:beforeAutospacing="0" w:after="0" w:afterAutospacing="0"/>
        <w:jc w:val="both"/>
        <w:rPr>
          <w:sz w:val="28"/>
          <w:szCs w:val="28"/>
        </w:rPr>
      </w:pPr>
      <w:r>
        <w:rPr>
          <w:sz w:val="28"/>
          <w:szCs w:val="28"/>
        </w:rPr>
        <w:t>In un passo importante</w:t>
      </w:r>
      <w:r w:rsidR="00F45A74">
        <w:rPr>
          <w:sz w:val="28"/>
          <w:szCs w:val="28"/>
        </w:rPr>
        <w:t>,</w:t>
      </w:r>
      <w:r>
        <w:rPr>
          <w:sz w:val="28"/>
          <w:szCs w:val="28"/>
        </w:rPr>
        <w:t xml:space="preserve"> </w:t>
      </w:r>
      <w:r w:rsidRPr="00FA625D">
        <w:rPr>
          <w:sz w:val="28"/>
          <w:szCs w:val="28"/>
        </w:rPr>
        <w:t>la Corte afferma che il diritto all’oblio può dirsi garantito anche soltanto mediante la deindicizzazione di un articolo dai motori di ricerca</w:t>
      </w:r>
      <w:r>
        <w:rPr>
          <w:sz w:val="28"/>
          <w:szCs w:val="28"/>
        </w:rPr>
        <w:t>, proprio perché</w:t>
      </w:r>
      <w:r w:rsidR="0095713B" w:rsidRPr="00FA625D">
        <w:rPr>
          <w:sz w:val="28"/>
          <w:szCs w:val="28"/>
        </w:rPr>
        <w:t xml:space="preserve"> il diritto dell’interessato va comunque </w:t>
      </w:r>
      <w:r>
        <w:rPr>
          <w:sz w:val="28"/>
          <w:szCs w:val="28"/>
        </w:rPr>
        <w:t>posto</w:t>
      </w:r>
      <w:r w:rsidR="0095713B" w:rsidRPr="00FA625D">
        <w:rPr>
          <w:sz w:val="28"/>
          <w:szCs w:val="28"/>
        </w:rPr>
        <w:t xml:space="preserve"> in relazione a quello di cronaca e di conservazione della notizia per finalità storico-sociali</w:t>
      </w:r>
      <w:r>
        <w:rPr>
          <w:sz w:val="28"/>
          <w:szCs w:val="28"/>
        </w:rPr>
        <w:t xml:space="preserve">. </w:t>
      </w:r>
    </w:p>
    <w:p w14:paraId="4C898B17" w14:textId="3BD87A3C" w:rsidR="0095713B" w:rsidRPr="00FA625D" w:rsidRDefault="0095713B" w:rsidP="00B5439D">
      <w:pPr>
        <w:pStyle w:val="NormaleWeb"/>
        <w:spacing w:before="0" w:beforeAutospacing="0" w:after="0" w:afterAutospacing="0"/>
        <w:jc w:val="both"/>
        <w:rPr>
          <w:sz w:val="28"/>
          <w:szCs w:val="28"/>
        </w:rPr>
      </w:pPr>
      <w:r w:rsidRPr="00FA625D">
        <w:rPr>
          <w:sz w:val="28"/>
          <w:szCs w:val="28"/>
        </w:rPr>
        <w:lastRenderedPageBreak/>
        <w:t>Il medesimo concetto è stato ribadito nella sent</w:t>
      </w:r>
      <w:r w:rsidR="00B5439D">
        <w:rPr>
          <w:sz w:val="28"/>
          <w:szCs w:val="28"/>
        </w:rPr>
        <w:t>enza</w:t>
      </w:r>
      <w:r w:rsidRPr="00FA625D">
        <w:rPr>
          <w:sz w:val="28"/>
          <w:szCs w:val="28"/>
        </w:rPr>
        <w:t xml:space="preserve"> n. 7559</w:t>
      </w:r>
      <w:r w:rsidR="0050609A">
        <w:rPr>
          <w:sz w:val="28"/>
          <w:szCs w:val="28"/>
        </w:rPr>
        <w:t xml:space="preserve"> del 20</w:t>
      </w:r>
      <w:r w:rsidRPr="00FA625D">
        <w:rPr>
          <w:sz w:val="28"/>
          <w:szCs w:val="28"/>
        </w:rPr>
        <w:t>20</w:t>
      </w:r>
      <w:r w:rsidR="00E7511E" w:rsidRPr="00FA625D">
        <w:rPr>
          <w:rStyle w:val="Rimandonotaapidipagina"/>
          <w:sz w:val="28"/>
          <w:szCs w:val="28"/>
        </w:rPr>
        <w:footnoteReference w:id="225"/>
      </w:r>
      <w:r w:rsidRPr="00FA625D">
        <w:rPr>
          <w:sz w:val="28"/>
          <w:szCs w:val="28"/>
        </w:rPr>
        <w:t xml:space="preserve">, nella quale </w:t>
      </w:r>
      <w:r w:rsidR="0050609A">
        <w:rPr>
          <w:sz w:val="28"/>
          <w:szCs w:val="28"/>
        </w:rPr>
        <w:t>è riportato</w:t>
      </w:r>
      <w:r w:rsidRPr="00FA625D">
        <w:rPr>
          <w:sz w:val="28"/>
          <w:szCs w:val="28"/>
        </w:rPr>
        <w:t xml:space="preserve"> che la deindicizzazione di un articolo risalente nel tempo</w:t>
      </w:r>
      <w:r w:rsidR="0050609A">
        <w:rPr>
          <w:sz w:val="28"/>
          <w:szCs w:val="28"/>
        </w:rPr>
        <w:t xml:space="preserve"> – </w:t>
      </w:r>
      <w:r w:rsidRPr="00FA625D">
        <w:rPr>
          <w:sz w:val="28"/>
          <w:szCs w:val="28"/>
        </w:rPr>
        <w:t xml:space="preserve">nonostante la permanenza di quest’ultimo nell’archivio </w:t>
      </w:r>
      <w:r w:rsidRPr="0050609A">
        <w:rPr>
          <w:i/>
          <w:iCs/>
          <w:sz w:val="28"/>
          <w:szCs w:val="28"/>
        </w:rPr>
        <w:t>online</w:t>
      </w:r>
      <w:r w:rsidRPr="00FA625D">
        <w:rPr>
          <w:sz w:val="28"/>
          <w:szCs w:val="28"/>
        </w:rPr>
        <w:t xml:space="preserve"> del giornale</w:t>
      </w:r>
      <w:r w:rsidR="0050609A">
        <w:rPr>
          <w:sz w:val="28"/>
          <w:szCs w:val="28"/>
        </w:rPr>
        <w:t xml:space="preserve"> – </w:t>
      </w:r>
      <w:r w:rsidRPr="00FA625D">
        <w:rPr>
          <w:sz w:val="28"/>
          <w:szCs w:val="28"/>
        </w:rPr>
        <w:t xml:space="preserve">è idonea a garantire un corretto </w:t>
      </w:r>
      <w:proofErr w:type="spellStart"/>
      <w:r w:rsidR="0050609A" w:rsidRPr="0050609A">
        <w:rPr>
          <w:i/>
          <w:iCs/>
          <w:sz w:val="28"/>
          <w:szCs w:val="28"/>
        </w:rPr>
        <w:t>trade</w:t>
      </w:r>
      <w:proofErr w:type="spellEnd"/>
      <w:r w:rsidR="0050609A" w:rsidRPr="0050609A">
        <w:rPr>
          <w:i/>
          <w:iCs/>
          <w:sz w:val="28"/>
          <w:szCs w:val="28"/>
        </w:rPr>
        <w:t>-off</w:t>
      </w:r>
      <w:r w:rsidRPr="00FA625D">
        <w:rPr>
          <w:sz w:val="28"/>
          <w:szCs w:val="28"/>
        </w:rPr>
        <w:t xml:space="preserve"> fra il diritto all’oblio dell’interessato e l’interesse della collettività alla permanenza della notizia.</w:t>
      </w:r>
    </w:p>
    <w:p w14:paraId="23350046" w14:textId="67084A1A" w:rsidR="00D42B1D" w:rsidRDefault="0095713B" w:rsidP="00FA625D">
      <w:pPr>
        <w:pStyle w:val="NormaleWeb"/>
        <w:spacing w:before="0" w:beforeAutospacing="0" w:after="0" w:afterAutospacing="0"/>
        <w:jc w:val="both"/>
        <w:rPr>
          <w:sz w:val="28"/>
          <w:szCs w:val="28"/>
        </w:rPr>
      </w:pPr>
      <w:r w:rsidRPr="00FA625D">
        <w:rPr>
          <w:sz w:val="28"/>
          <w:szCs w:val="28"/>
        </w:rPr>
        <w:t xml:space="preserve">Sul punto </w:t>
      </w:r>
      <w:r w:rsidR="0050609A">
        <w:rPr>
          <w:sz w:val="28"/>
          <w:szCs w:val="28"/>
        </w:rPr>
        <w:t>bisogna fare almeno</w:t>
      </w:r>
      <w:r w:rsidRPr="00FA625D">
        <w:rPr>
          <w:sz w:val="28"/>
          <w:szCs w:val="28"/>
        </w:rPr>
        <w:t xml:space="preserve"> due diverse considerazioni.</w:t>
      </w:r>
    </w:p>
    <w:p w14:paraId="2BAC0B2F" w14:textId="0235DA67" w:rsidR="00D42B1D" w:rsidRPr="00FA625D" w:rsidRDefault="0095713B" w:rsidP="00FA625D">
      <w:pPr>
        <w:pStyle w:val="NormaleWeb"/>
        <w:spacing w:before="0" w:beforeAutospacing="0" w:after="0" w:afterAutospacing="0"/>
        <w:jc w:val="both"/>
        <w:rPr>
          <w:sz w:val="28"/>
          <w:szCs w:val="28"/>
        </w:rPr>
      </w:pPr>
      <w:r w:rsidRPr="00FA625D">
        <w:rPr>
          <w:sz w:val="28"/>
          <w:szCs w:val="28"/>
        </w:rPr>
        <w:t xml:space="preserve">La prima </w:t>
      </w:r>
      <w:r w:rsidR="0050609A">
        <w:rPr>
          <w:sz w:val="28"/>
          <w:szCs w:val="28"/>
        </w:rPr>
        <w:t>riflessione riguarda</w:t>
      </w:r>
      <w:r w:rsidRPr="00FA625D">
        <w:rPr>
          <w:sz w:val="28"/>
          <w:szCs w:val="28"/>
        </w:rPr>
        <w:t xml:space="preserve"> la valutazione di un “</w:t>
      </w:r>
      <w:r w:rsidR="0050609A" w:rsidRPr="0050609A">
        <w:rPr>
          <w:i/>
          <w:iCs/>
          <w:sz w:val="28"/>
          <w:szCs w:val="28"/>
        </w:rPr>
        <w:t xml:space="preserve">lasso di tempo </w:t>
      </w:r>
      <w:r w:rsidRPr="0050609A">
        <w:rPr>
          <w:i/>
          <w:iCs/>
          <w:sz w:val="28"/>
          <w:szCs w:val="28"/>
        </w:rPr>
        <w:t>idoneo</w:t>
      </w:r>
      <w:r w:rsidRPr="00FA625D">
        <w:rPr>
          <w:sz w:val="28"/>
          <w:szCs w:val="28"/>
        </w:rPr>
        <w:t xml:space="preserve">” a far venir meno l’interesse pubblico alla conoscenza della notizia. </w:t>
      </w:r>
      <w:r w:rsidR="0050609A">
        <w:rPr>
          <w:sz w:val="28"/>
          <w:szCs w:val="28"/>
        </w:rPr>
        <w:t>Tale</w:t>
      </w:r>
      <w:r w:rsidRPr="00FA625D">
        <w:rPr>
          <w:sz w:val="28"/>
          <w:szCs w:val="28"/>
        </w:rPr>
        <w:t xml:space="preserve"> criterio, infatti, sebbene </w:t>
      </w:r>
      <w:r w:rsidR="0050609A">
        <w:rPr>
          <w:sz w:val="28"/>
          <w:szCs w:val="28"/>
        </w:rPr>
        <w:t xml:space="preserve">possa sembrare </w:t>
      </w:r>
      <w:r w:rsidRPr="00FA625D">
        <w:rPr>
          <w:sz w:val="28"/>
          <w:szCs w:val="28"/>
        </w:rPr>
        <w:t xml:space="preserve">chiaro </w:t>
      </w:r>
      <w:r w:rsidR="0050609A">
        <w:rPr>
          <w:sz w:val="28"/>
          <w:szCs w:val="28"/>
        </w:rPr>
        <w:t>nella</w:t>
      </w:r>
      <w:r w:rsidRPr="00FA625D">
        <w:rPr>
          <w:sz w:val="28"/>
          <w:szCs w:val="28"/>
        </w:rPr>
        <w:t xml:space="preserve"> teoria, </w:t>
      </w:r>
      <w:r w:rsidR="0050609A">
        <w:rPr>
          <w:sz w:val="28"/>
          <w:szCs w:val="28"/>
        </w:rPr>
        <w:t xml:space="preserve">non </w:t>
      </w:r>
      <w:r w:rsidRPr="00FA625D">
        <w:rPr>
          <w:sz w:val="28"/>
          <w:szCs w:val="28"/>
        </w:rPr>
        <w:t>lo è nella pratica</w:t>
      </w:r>
      <w:r w:rsidR="00761C4E">
        <w:rPr>
          <w:sz w:val="28"/>
          <w:szCs w:val="28"/>
        </w:rPr>
        <w:t>; sono</w:t>
      </w:r>
      <w:r w:rsidRPr="00FA625D">
        <w:rPr>
          <w:sz w:val="28"/>
          <w:szCs w:val="28"/>
        </w:rPr>
        <w:t xml:space="preserve"> moltissimi</w:t>
      </w:r>
      <w:r w:rsidR="00761C4E">
        <w:rPr>
          <w:sz w:val="28"/>
          <w:szCs w:val="28"/>
        </w:rPr>
        <w:t>, infatti,</w:t>
      </w:r>
      <w:r w:rsidRPr="00FA625D">
        <w:rPr>
          <w:sz w:val="28"/>
          <w:szCs w:val="28"/>
        </w:rPr>
        <w:t xml:space="preserve"> i fattori che il giudice </w:t>
      </w:r>
      <w:r w:rsidR="00761C4E">
        <w:rPr>
          <w:sz w:val="28"/>
          <w:szCs w:val="28"/>
        </w:rPr>
        <w:t>sarà</w:t>
      </w:r>
      <w:r w:rsidRPr="00FA625D">
        <w:rPr>
          <w:sz w:val="28"/>
          <w:szCs w:val="28"/>
        </w:rPr>
        <w:t xml:space="preserve"> chiamato a valutare nel corretto bilanciamento degli interessi. Ad esempio, la Suprema Corte</w:t>
      </w:r>
      <w:r w:rsidR="00761C4E">
        <w:rPr>
          <w:sz w:val="28"/>
          <w:szCs w:val="28"/>
        </w:rPr>
        <w:t>,</w:t>
      </w:r>
      <w:r w:rsidRPr="00FA625D">
        <w:rPr>
          <w:sz w:val="28"/>
          <w:szCs w:val="28"/>
        </w:rPr>
        <w:t xml:space="preserve"> nella sent</w:t>
      </w:r>
      <w:r w:rsidR="00761C4E">
        <w:rPr>
          <w:sz w:val="28"/>
          <w:szCs w:val="28"/>
        </w:rPr>
        <w:t>enza</w:t>
      </w:r>
      <w:r w:rsidRPr="00FA625D">
        <w:rPr>
          <w:sz w:val="28"/>
          <w:szCs w:val="28"/>
        </w:rPr>
        <w:t xml:space="preserve"> n. 13161/2016</w:t>
      </w:r>
      <w:r w:rsidR="00E7511E" w:rsidRPr="00FA625D">
        <w:rPr>
          <w:rStyle w:val="Rimandonotaapidipagina"/>
          <w:sz w:val="28"/>
          <w:szCs w:val="28"/>
        </w:rPr>
        <w:footnoteReference w:id="226"/>
      </w:r>
      <w:r w:rsidR="00A306F8">
        <w:rPr>
          <w:sz w:val="28"/>
          <w:szCs w:val="28"/>
        </w:rPr>
        <w:t>,</w:t>
      </w:r>
      <w:r w:rsidRPr="00FA625D">
        <w:rPr>
          <w:sz w:val="28"/>
          <w:szCs w:val="28"/>
        </w:rPr>
        <w:t xml:space="preserve"> ha affermato che il periodo idoneo a far venir meno l’interesse per la divulgazione di un fatto di cronaca nera fosse individuabile in due anni mezzo.</w:t>
      </w:r>
      <w:r w:rsidR="00A306F8">
        <w:rPr>
          <w:sz w:val="28"/>
          <w:szCs w:val="28"/>
        </w:rPr>
        <w:t xml:space="preserve"> Tuttavia</w:t>
      </w:r>
      <w:r w:rsidRPr="00FA625D">
        <w:rPr>
          <w:sz w:val="28"/>
          <w:szCs w:val="28"/>
        </w:rPr>
        <w:t xml:space="preserve">, </w:t>
      </w:r>
      <w:r w:rsidR="00A306F8">
        <w:rPr>
          <w:sz w:val="28"/>
          <w:szCs w:val="28"/>
        </w:rPr>
        <w:t xml:space="preserve">ci si chiede </w:t>
      </w:r>
      <w:r w:rsidRPr="00FA625D">
        <w:rPr>
          <w:sz w:val="28"/>
          <w:szCs w:val="28"/>
        </w:rPr>
        <w:t>come tale criterio possa dirsi indistintamente valido per qualunque circostanza, essendo comunque sempre necessario svolgere un’analisi concreta caso per caso.</w:t>
      </w:r>
    </w:p>
    <w:p w14:paraId="24622827" w14:textId="77777777" w:rsidR="00A306F8" w:rsidRDefault="0095713B" w:rsidP="00FA625D">
      <w:pPr>
        <w:pStyle w:val="NormaleWeb"/>
        <w:spacing w:before="0" w:beforeAutospacing="0" w:after="0" w:afterAutospacing="0"/>
        <w:jc w:val="both"/>
        <w:rPr>
          <w:sz w:val="28"/>
          <w:szCs w:val="28"/>
        </w:rPr>
      </w:pPr>
      <w:r w:rsidRPr="00FA625D">
        <w:rPr>
          <w:sz w:val="28"/>
          <w:szCs w:val="28"/>
        </w:rPr>
        <w:t>La seconda considerazione</w:t>
      </w:r>
      <w:r w:rsidR="00A306F8">
        <w:rPr>
          <w:sz w:val="28"/>
          <w:szCs w:val="28"/>
        </w:rPr>
        <w:t xml:space="preserve"> da fare</w:t>
      </w:r>
      <w:r w:rsidRPr="00FA625D">
        <w:rPr>
          <w:sz w:val="28"/>
          <w:szCs w:val="28"/>
        </w:rPr>
        <w:t xml:space="preserve"> </w:t>
      </w:r>
      <w:r w:rsidR="00A306F8">
        <w:rPr>
          <w:sz w:val="28"/>
          <w:szCs w:val="28"/>
        </w:rPr>
        <w:t>concerne</w:t>
      </w:r>
      <w:r w:rsidRPr="00FA625D">
        <w:rPr>
          <w:sz w:val="28"/>
          <w:szCs w:val="28"/>
        </w:rPr>
        <w:t xml:space="preserve"> il fatto che limitare la portata del diritto all’oblio alla sola cancellazione dei dati, </w:t>
      </w:r>
      <w:r w:rsidR="00A306F8">
        <w:rPr>
          <w:sz w:val="28"/>
          <w:szCs w:val="28"/>
        </w:rPr>
        <w:t>significherebbe</w:t>
      </w:r>
      <w:r w:rsidRPr="00FA625D">
        <w:rPr>
          <w:sz w:val="28"/>
          <w:szCs w:val="28"/>
        </w:rPr>
        <w:t xml:space="preserve"> snaturare ingiustamente la disposizione. Questa, infatti, anche alla luce dell’interpretazione </w:t>
      </w:r>
      <w:r w:rsidR="00A306F8">
        <w:rPr>
          <w:sz w:val="28"/>
          <w:szCs w:val="28"/>
        </w:rPr>
        <w:t>che ne è stata data</w:t>
      </w:r>
      <w:r w:rsidRPr="00FA625D">
        <w:rPr>
          <w:sz w:val="28"/>
          <w:szCs w:val="28"/>
        </w:rPr>
        <w:t xml:space="preserve"> dalla giurisprudenza, ammette, fra le misure che ne permettono la piena attuazione,</w:t>
      </w:r>
      <w:r w:rsidR="00A306F8">
        <w:rPr>
          <w:sz w:val="28"/>
          <w:szCs w:val="28"/>
        </w:rPr>
        <w:t xml:space="preserve"> </w:t>
      </w:r>
      <w:r w:rsidRPr="00FA625D">
        <w:rPr>
          <w:sz w:val="28"/>
          <w:szCs w:val="28"/>
        </w:rPr>
        <w:t>la deindicizzazione, l’</w:t>
      </w:r>
      <w:proofErr w:type="spellStart"/>
      <w:r w:rsidRPr="00FA625D">
        <w:rPr>
          <w:sz w:val="28"/>
          <w:szCs w:val="28"/>
        </w:rPr>
        <w:t>anonimizzazione</w:t>
      </w:r>
      <w:proofErr w:type="spellEnd"/>
      <w:r w:rsidRPr="00FA625D">
        <w:rPr>
          <w:sz w:val="28"/>
          <w:szCs w:val="28"/>
        </w:rPr>
        <w:t xml:space="preserve"> dei dati e la loro esatta contestualizzazione. </w:t>
      </w:r>
    </w:p>
    <w:p w14:paraId="350481E8" w14:textId="7D9DCD65" w:rsidR="0095713B" w:rsidRPr="00FA625D" w:rsidRDefault="00A306F8" w:rsidP="00FA625D">
      <w:pPr>
        <w:pStyle w:val="NormaleWeb"/>
        <w:spacing w:before="0" w:beforeAutospacing="0" w:after="0" w:afterAutospacing="0"/>
        <w:jc w:val="both"/>
        <w:rPr>
          <w:sz w:val="28"/>
          <w:szCs w:val="28"/>
        </w:rPr>
      </w:pPr>
      <w:r>
        <w:rPr>
          <w:sz w:val="28"/>
          <w:szCs w:val="28"/>
        </w:rPr>
        <w:t xml:space="preserve">Si tratta di </w:t>
      </w:r>
      <w:r w:rsidR="0095713B" w:rsidRPr="00FA625D">
        <w:rPr>
          <w:sz w:val="28"/>
          <w:szCs w:val="28"/>
        </w:rPr>
        <w:t xml:space="preserve">elementi il cui riconoscimento assume particolare rilevanza proprio in virtù dell’avvento di Internet, </w:t>
      </w:r>
      <w:r>
        <w:rPr>
          <w:sz w:val="28"/>
          <w:szCs w:val="28"/>
        </w:rPr>
        <w:t>dato</w:t>
      </w:r>
      <w:r w:rsidR="0095713B" w:rsidRPr="00FA625D">
        <w:rPr>
          <w:sz w:val="28"/>
          <w:szCs w:val="28"/>
        </w:rPr>
        <w:t xml:space="preserve"> che assicurare la cancellazione dei dati </w:t>
      </w:r>
      <w:r>
        <w:rPr>
          <w:sz w:val="28"/>
          <w:szCs w:val="28"/>
        </w:rPr>
        <w:t>sul web</w:t>
      </w:r>
      <w:r w:rsidR="0095713B" w:rsidRPr="00FA625D">
        <w:rPr>
          <w:sz w:val="28"/>
          <w:szCs w:val="28"/>
        </w:rPr>
        <w:t xml:space="preserve"> risulta particolarmente complesso</w:t>
      </w:r>
      <w:r w:rsidRPr="00A306F8">
        <w:rPr>
          <w:sz w:val="28"/>
          <w:szCs w:val="28"/>
        </w:rPr>
        <w:t xml:space="preserve"> </w:t>
      </w:r>
      <w:r w:rsidRPr="00FA625D">
        <w:rPr>
          <w:sz w:val="28"/>
          <w:szCs w:val="28"/>
        </w:rPr>
        <w:t>in molti casi</w:t>
      </w:r>
      <w:r w:rsidR="0095713B" w:rsidRPr="00FA625D">
        <w:rPr>
          <w:sz w:val="28"/>
          <w:szCs w:val="28"/>
        </w:rPr>
        <w:t xml:space="preserve">, ma è ben possibile garantire la piena tutela dell’interessato </w:t>
      </w:r>
      <w:r>
        <w:rPr>
          <w:sz w:val="28"/>
          <w:szCs w:val="28"/>
        </w:rPr>
        <w:t xml:space="preserve">all’oblio </w:t>
      </w:r>
      <w:r w:rsidR="0095713B" w:rsidRPr="00FA625D">
        <w:rPr>
          <w:sz w:val="28"/>
          <w:szCs w:val="28"/>
        </w:rPr>
        <w:t>facendo ricorso a mezzi diversi.</w:t>
      </w:r>
    </w:p>
    <w:p w14:paraId="41296A4A" w14:textId="5AAD47D4" w:rsidR="00A306F8" w:rsidRDefault="0095713B" w:rsidP="00FA625D">
      <w:pPr>
        <w:pStyle w:val="NormaleWeb"/>
        <w:spacing w:before="0" w:beforeAutospacing="0" w:after="0" w:afterAutospacing="0"/>
        <w:jc w:val="both"/>
        <w:rPr>
          <w:sz w:val="28"/>
          <w:szCs w:val="28"/>
        </w:rPr>
      </w:pPr>
      <w:r w:rsidRPr="00FA625D">
        <w:rPr>
          <w:sz w:val="28"/>
          <w:szCs w:val="28"/>
        </w:rPr>
        <w:t>Questo concetto si ricollega a</w:t>
      </w:r>
      <w:r w:rsidR="00A306F8">
        <w:rPr>
          <w:sz w:val="28"/>
          <w:szCs w:val="28"/>
        </w:rPr>
        <w:t>nche al tema dell’</w:t>
      </w:r>
      <w:r w:rsidRPr="00FA625D">
        <w:rPr>
          <w:sz w:val="28"/>
          <w:szCs w:val="28"/>
        </w:rPr>
        <w:t xml:space="preserve">ampliamento della portata del diritto all’oblio e alla configurabilità di un vero e proprio diritto all’identità, alla quale oggi parte della dottrina si riferisce </w:t>
      </w:r>
      <w:r w:rsidR="00544EAC">
        <w:rPr>
          <w:sz w:val="28"/>
          <w:szCs w:val="28"/>
        </w:rPr>
        <w:t>con</w:t>
      </w:r>
      <w:r w:rsidRPr="00FA625D">
        <w:rPr>
          <w:sz w:val="28"/>
          <w:szCs w:val="28"/>
        </w:rPr>
        <w:t xml:space="preserve"> l’espressione “</w:t>
      </w:r>
      <w:r w:rsidRPr="00A306F8">
        <w:rPr>
          <w:i/>
          <w:iCs/>
          <w:sz w:val="28"/>
          <w:szCs w:val="28"/>
        </w:rPr>
        <w:t>identità dinamica dell’individuo</w:t>
      </w:r>
      <w:r w:rsidRPr="00FA625D">
        <w:rPr>
          <w:sz w:val="28"/>
          <w:szCs w:val="28"/>
        </w:rPr>
        <w:t>”.</w:t>
      </w:r>
    </w:p>
    <w:p w14:paraId="0FCF6EEE" w14:textId="77777777" w:rsidR="009D2402" w:rsidRDefault="00A306F8" w:rsidP="00FA625D">
      <w:pPr>
        <w:pStyle w:val="NormaleWeb"/>
        <w:spacing w:before="0" w:beforeAutospacing="0" w:after="0" w:afterAutospacing="0"/>
        <w:jc w:val="both"/>
        <w:rPr>
          <w:sz w:val="28"/>
          <w:szCs w:val="28"/>
        </w:rPr>
      </w:pPr>
      <w:r>
        <w:rPr>
          <w:sz w:val="28"/>
          <w:szCs w:val="28"/>
        </w:rPr>
        <w:t>S</w:t>
      </w:r>
      <w:r w:rsidR="0095713B" w:rsidRPr="00FA625D">
        <w:rPr>
          <w:sz w:val="28"/>
          <w:szCs w:val="28"/>
        </w:rPr>
        <w:t>i è compreso</w:t>
      </w:r>
      <w:r>
        <w:rPr>
          <w:sz w:val="28"/>
          <w:szCs w:val="28"/>
        </w:rPr>
        <w:t>, in altri termini,</w:t>
      </w:r>
      <w:r w:rsidR="0095713B" w:rsidRPr="00FA625D">
        <w:rPr>
          <w:sz w:val="28"/>
          <w:szCs w:val="28"/>
        </w:rPr>
        <w:t xml:space="preserve"> che per garantire la tutela dell’interessato non </w:t>
      </w:r>
      <w:r w:rsidR="00A92512">
        <w:rPr>
          <w:sz w:val="28"/>
          <w:szCs w:val="28"/>
        </w:rPr>
        <w:t>basta</w:t>
      </w:r>
      <w:r w:rsidR="0095713B" w:rsidRPr="00FA625D">
        <w:rPr>
          <w:sz w:val="28"/>
          <w:szCs w:val="28"/>
        </w:rPr>
        <w:t xml:space="preserve"> prevedere la cancellazione dei dati, </w:t>
      </w:r>
      <w:r w:rsidR="00A92512">
        <w:rPr>
          <w:sz w:val="28"/>
          <w:szCs w:val="28"/>
        </w:rPr>
        <w:t>bensì è necessario</w:t>
      </w:r>
      <w:r w:rsidR="0095713B" w:rsidRPr="00FA625D">
        <w:rPr>
          <w:sz w:val="28"/>
          <w:szCs w:val="28"/>
        </w:rPr>
        <w:t xml:space="preserve"> provveder</w:t>
      </w:r>
      <w:r w:rsidR="00A92512">
        <w:rPr>
          <w:sz w:val="28"/>
          <w:szCs w:val="28"/>
        </w:rPr>
        <w:t>e</w:t>
      </w:r>
      <w:r w:rsidR="0095713B" w:rsidRPr="00FA625D">
        <w:rPr>
          <w:sz w:val="28"/>
          <w:szCs w:val="28"/>
        </w:rPr>
        <w:t xml:space="preserve"> all’attuazione di misure ulteriori, prime fra tutte il loro continuo aggiornamento e la loro contestualizzazione. </w:t>
      </w:r>
    </w:p>
    <w:p w14:paraId="05F182A8" w14:textId="74D17756" w:rsidR="0095713B" w:rsidRDefault="0095713B" w:rsidP="00FA625D">
      <w:pPr>
        <w:pStyle w:val="NormaleWeb"/>
        <w:spacing w:before="0" w:beforeAutospacing="0" w:after="0" w:afterAutospacing="0"/>
        <w:jc w:val="both"/>
        <w:rPr>
          <w:sz w:val="28"/>
          <w:szCs w:val="28"/>
        </w:rPr>
      </w:pPr>
      <w:r w:rsidRPr="00FA625D">
        <w:rPr>
          <w:sz w:val="28"/>
          <w:szCs w:val="28"/>
        </w:rPr>
        <w:t xml:space="preserve">Sul </w:t>
      </w:r>
      <w:r w:rsidR="009D2402">
        <w:rPr>
          <w:sz w:val="28"/>
          <w:szCs w:val="28"/>
        </w:rPr>
        <w:t>tema,</w:t>
      </w:r>
      <w:r w:rsidRPr="00FA625D">
        <w:rPr>
          <w:sz w:val="28"/>
          <w:szCs w:val="28"/>
        </w:rPr>
        <w:t xml:space="preserve"> si </w:t>
      </w:r>
      <w:r w:rsidR="009D2402">
        <w:rPr>
          <w:sz w:val="28"/>
          <w:szCs w:val="28"/>
        </w:rPr>
        <w:t>rimanda alla giurisprudenza della Corte di Cassazione</w:t>
      </w:r>
      <w:r w:rsidR="00E7511E" w:rsidRPr="00FA625D">
        <w:rPr>
          <w:rStyle w:val="Rimandonotaapidipagina"/>
          <w:sz w:val="28"/>
          <w:szCs w:val="28"/>
        </w:rPr>
        <w:footnoteReference w:id="227"/>
      </w:r>
      <w:r w:rsidRPr="00FA625D">
        <w:rPr>
          <w:sz w:val="28"/>
          <w:szCs w:val="28"/>
        </w:rPr>
        <w:t>, c</w:t>
      </w:r>
      <w:r w:rsidR="009D2402">
        <w:rPr>
          <w:sz w:val="28"/>
          <w:szCs w:val="28"/>
        </w:rPr>
        <w:t xml:space="preserve">he </w:t>
      </w:r>
      <w:r w:rsidRPr="00FA625D">
        <w:rPr>
          <w:sz w:val="28"/>
          <w:szCs w:val="28"/>
        </w:rPr>
        <w:t>ha anzitutto riconosciuto</w:t>
      </w:r>
      <w:r w:rsidR="00E7511E" w:rsidRPr="00FA625D">
        <w:rPr>
          <w:sz w:val="28"/>
          <w:szCs w:val="28"/>
        </w:rPr>
        <w:t xml:space="preserve"> </w:t>
      </w:r>
      <w:r w:rsidRPr="00FA625D">
        <w:rPr>
          <w:sz w:val="28"/>
          <w:szCs w:val="28"/>
        </w:rPr>
        <w:t xml:space="preserve">all’interessato il diritto di rivolgersi direttamente al sito che manteneva la notizia disponibile </w:t>
      </w:r>
      <w:r w:rsidRPr="009D2402">
        <w:rPr>
          <w:i/>
          <w:iCs/>
          <w:sz w:val="28"/>
          <w:szCs w:val="28"/>
        </w:rPr>
        <w:t>online</w:t>
      </w:r>
      <w:r w:rsidRPr="00FA625D">
        <w:rPr>
          <w:sz w:val="28"/>
          <w:szCs w:val="28"/>
        </w:rPr>
        <w:t xml:space="preserve"> e non al motore di ricerca, affermando al contempo che al </w:t>
      </w:r>
      <w:r w:rsidRPr="00FA625D">
        <w:rPr>
          <w:sz w:val="28"/>
          <w:szCs w:val="28"/>
        </w:rPr>
        <w:lastRenderedPageBreak/>
        <w:t>fine di garantire un corretto bilanciamento fra il diritto d’informazione e il diritto all’oblio, si sarebbe dovuto garantire l’aggiornamento delle notizie riportate.</w:t>
      </w:r>
    </w:p>
    <w:p w14:paraId="22DC0B57" w14:textId="77777777" w:rsidR="00D42B1D" w:rsidRPr="00FA625D" w:rsidRDefault="00D42B1D" w:rsidP="00FA625D">
      <w:pPr>
        <w:pStyle w:val="NormaleWeb"/>
        <w:spacing w:before="0" w:beforeAutospacing="0" w:after="0" w:afterAutospacing="0"/>
        <w:jc w:val="both"/>
        <w:rPr>
          <w:sz w:val="28"/>
          <w:szCs w:val="28"/>
        </w:rPr>
      </w:pPr>
    </w:p>
    <w:p w14:paraId="1D2E1BA2" w14:textId="132A64E2" w:rsidR="0095713B" w:rsidRPr="00FA625D" w:rsidRDefault="009D2402" w:rsidP="00FA625D">
      <w:pPr>
        <w:pStyle w:val="NormaleWeb"/>
        <w:spacing w:before="0" w:beforeAutospacing="0" w:after="0" w:afterAutospacing="0"/>
        <w:jc w:val="both"/>
        <w:rPr>
          <w:sz w:val="28"/>
          <w:szCs w:val="28"/>
        </w:rPr>
      </w:pPr>
      <w:r>
        <w:rPr>
          <w:sz w:val="28"/>
          <w:szCs w:val="28"/>
        </w:rPr>
        <w:t>Tra gli</w:t>
      </w:r>
      <w:r w:rsidR="0095713B" w:rsidRPr="00FA625D">
        <w:rPr>
          <w:sz w:val="28"/>
          <w:szCs w:val="28"/>
        </w:rPr>
        <w:t xml:space="preserve"> elementi rilevanti nel bilanciamento fra il diritto all’oblio e quello all’informazione, </w:t>
      </w:r>
      <w:r>
        <w:rPr>
          <w:sz w:val="28"/>
          <w:szCs w:val="28"/>
        </w:rPr>
        <w:t>è da</w:t>
      </w:r>
      <w:r w:rsidR="0095713B" w:rsidRPr="00FA625D">
        <w:rPr>
          <w:sz w:val="28"/>
          <w:szCs w:val="28"/>
        </w:rPr>
        <w:t xml:space="preserve"> tenere in considerazione </w:t>
      </w:r>
      <w:r>
        <w:rPr>
          <w:sz w:val="28"/>
          <w:szCs w:val="28"/>
        </w:rPr>
        <w:t xml:space="preserve">la </w:t>
      </w:r>
      <w:r w:rsidR="0095713B" w:rsidRPr="00FA625D">
        <w:rPr>
          <w:sz w:val="28"/>
          <w:szCs w:val="28"/>
        </w:rPr>
        <w:t>notorietà del soggetto interessato.</w:t>
      </w:r>
    </w:p>
    <w:p w14:paraId="2A4BCC6C" w14:textId="77777777" w:rsidR="00D42B1D" w:rsidRDefault="0095713B" w:rsidP="00FA625D">
      <w:pPr>
        <w:pStyle w:val="NormaleWeb"/>
        <w:spacing w:before="0" w:beforeAutospacing="0" w:after="0" w:afterAutospacing="0"/>
        <w:jc w:val="both"/>
        <w:rPr>
          <w:sz w:val="28"/>
          <w:szCs w:val="28"/>
        </w:rPr>
      </w:pPr>
      <w:r w:rsidRPr="00FA625D">
        <w:rPr>
          <w:sz w:val="28"/>
          <w:szCs w:val="28"/>
        </w:rPr>
        <w:t>A tal proposito</w:t>
      </w:r>
      <w:r w:rsidR="009D2402">
        <w:rPr>
          <w:sz w:val="28"/>
          <w:szCs w:val="28"/>
        </w:rPr>
        <w:t>,</w:t>
      </w:r>
      <w:r w:rsidRPr="00FA625D">
        <w:rPr>
          <w:sz w:val="28"/>
          <w:szCs w:val="28"/>
        </w:rPr>
        <w:t xml:space="preserve"> deve </w:t>
      </w:r>
      <w:r w:rsidR="009D2402">
        <w:rPr>
          <w:sz w:val="28"/>
          <w:szCs w:val="28"/>
        </w:rPr>
        <w:t>richiamarsi</w:t>
      </w:r>
      <w:r w:rsidRPr="00FA625D">
        <w:rPr>
          <w:sz w:val="28"/>
          <w:szCs w:val="28"/>
        </w:rPr>
        <w:t xml:space="preserve"> la </w:t>
      </w:r>
      <w:r w:rsidR="009D2402">
        <w:rPr>
          <w:sz w:val="28"/>
          <w:szCs w:val="28"/>
        </w:rPr>
        <w:t>pronuncia</w:t>
      </w:r>
      <w:r w:rsidR="00E7511E" w:rsidRPr="00FA625D">
        <w:rPr>
          <w:rStyle w:val="Rimandonotaapidipagina"/>
          <w:sz w:val="28"/>
          <w:szCs w:val="28"/>
        </w:rPr>
        <w:footnoteReference w:id="228"/>
      </w:r>
      <w:r w:rsidR="009D2402">
        <w:rPr>
          <w:sz w:val="28"/>
          <w:szCs w:val="28"/>
        </w:rPr>
        <w:t xml:space="preserve"> </w:t>
      </w:r>
      <w:r w:rsidRPr="00FA625D">
        <w:rPr>
          <w:sz w:val="28"/>
          <w:szCs w:val="28"/>
        </w:rPr>
        <w:t xml:space="preserve">con </w:t>
      </w:r>
      <w:r w:rsidR="009D2402">
        <w:rPr>
          <w:sz w:val="28"/>
          <w:szCs w:val="28"/>
        </w:rPr>
        <w:t>cui la</w:t>
      </w:r>
      <w:r w:rsidRPr="00FA625D">
        <w:rPr>
          <w:sz w:val="28"/>
          <w:szCs w:val="28"/>
        </w:rPr>
        <w:t xml:space="preserve"> Corte</w:t>
      </w:r>
      <w:r w:rsidR="009D2402">
        <w:rPr>
          <w:sz w:val="28"/>
          <w:szCs w:val="28"/>
        </w:rPr>
        <w:t xml:space="preserve"> di legittimità</w:t>
      </w:r>
      <w:r w:rsidRPr="00FA625D">
        <w:rPr>
          <w:sz w:val="28"/>
          <w:szCs w:val="28"/>
        </w:rPr>
        <w:t xml:space="preserve">, ribaltando la decisione della Corte d’Appello, ha riconosciuto il diritto di un imprenditore ad ottenere la deindicizzazione da un motore di ricerca di un articolo nel quale venivano riportate intercettazioni telefoniche di terzi che riferivano di una presunta vicinanza dello stesso a </w:t>
      </w:r>
      <w:r w:rsidR="009D2402">
        <w:rPr>
          <w:sz w:val="28"/>
          <w:szCs w:val="28"/>
        </w:rPr>
        <w:t>gruppi</w:t>
      </w:r>
      <w:r w:rsidRPr="00FA625D">
        <w:rPr>
          <w:sz w:val="28"/>
          <w:szCs w:val="28"/>
        </w:rPr>
        <w:t xml:space="preserve"> mafiosi. </w:t>
      </w:r>
    </w:p>
    <w:p w14:paraId="0CE6DCF6" w14:textId="440FB97D" w:rsidR="0095713B" w:rsidRPr="00FA625D" w:rsidRDefault="0095713B" w:rsidP="00FA625D">
      <w:pPr>
        <w:pStyle w:val="NormaleWeb"/>
        <w:spacing w:before="0" w:beforeAutospacing="0" w:after="0" w:afterAutospacing="0"/>
        <w:jc w:val="both"/>
        <w:rPr>
          <w:sz w:val="28"/>
          <w:szCs w:val="28"/>
        </w:rPr>
      </w:pPr>
      <w:r w:rsidRPr="00FA625D">
        <w:rPr>
          <w:sz w:val="28"/>
          <w:szCs w:val="28"/>
        </w:rPr>
        <w:t>Nel caso di specie, i giudici</w:t>
      </w:r>
      <w:r w:rsidR="009D2402">
        <w:rPr>
          <w:sz w:val="28"/>
          <w:szCs w:val="28"/>
        </w:rPr>
        <w:t xml:space="preserve"> </w:t>
      </w:r>
      <w:r w:rsidRPr="00FA625D">
        <w:rPr>
          <w:sz w:val="28"/>
          <w:szCs w:val="28"/>
        </w:rPr>
        <w:t xml:space="preserve">hanno ritenuto prevalente il diritto all’oblio dell’interessato, </w:t>
      </w:r>
      <w:r w:rsidR="00820347">
        <w:rPr>
          <w:sz w:val="28"/>
          <w:szCs w:val="28"/>
        </w:rPr>
        <w:t>dato</w:t>
      </w:r>
      <w:r w:rsidRPr="00FA625D">
        <w:rPr>
          <w:sz w:val="28"/>
          <w:szCs w:val="28"/>
        </w:rPr>
        <w:t xml:space="preserve"> che quest’ultimo non </w:t>
      </w:r>
      <w:r w:rsidR="00820347">
        <w:rPr>
          <w:sz w:val="28"/>
          <w:szCs w:val="28"/>
        </w:rPr>
        <w:t>era</w:t>
      </w:r>
      <w:r w:rsidRPr="00FA625D">
        <w:rPr>
          <w:sz w:val="28"/>
          <w:szCs w:val="28"/>
        </w:rPr>
        <w:t xml:space="preserve"> un personaggio pubblico e </w:t>
      </w:r>
      <w:r w:rsidR="007C6572">
        <w:rPr>
          <w:sz w:val="28"/>
          <w:szCs w:val="28"/>
        </w:rPr>
        <w:t>godeva</w:t>
      </w:r>
      <w:r w:rsidRPr="00FA625D">
        <w:rPr>
          <w:sz w:val="28"/>
          <w:szCs w:val="28"/>
        </w:rPr>
        <w:t xml:space="preserve"> di notorietà solo a livello locale. A parere della Corte, negare la deindicizzazione avrebbe infatti </w:t>
      </w:r>
      <w:r w:rsidR="007C6572">
        <w:rPr>
          <w:sz w:val="28"/>
          <w:szCs w:val="28"/>
        </w:rPr>
        <w:t>comportato</w:t>
      </w:r>
      <w:r w:rsidRPr="00FA625D">
        <w:rPr>
          <w:sz w:val="28"/>
          <w:szCs w:val="28"/>
        </w:rPr>
        <w:t xml:space="preserve"> una lesione del diritto dell’interessato “</w:t>
      </w:r>
      <w:r w:rsidRPr="00820347">
        <w:rPr>
          <w:i/>
          <w:iCs/>
          <w:sz w:val="28"/>
          <w:szCs w:val="28"/>
        </w:rPr>
        <w:t>a non vedersi attribuita reiteratamente una biografia telematica, diversa da quella reale e oggetto di notizie ormai superate</w:t>
      </w:r>
      <w:r w:rsidRPr="00FA625D">
        <w:rPr>
          <w:sz w:val="28"/>
          <w:szCs w:val="28"/>
        </w:rPr>
        <w:t>”.</w:t>
      </w:r>
    </w:p>
    <w:p w14:paraId="0FB78B4F" w14:textId="5C96A5D3" w:rsidR="0095713B" w:rsidRPr="00FA625D" w:rsidRDefault="0095713B" w:rsidP="00FA625D">
      <w:pPr>
        <w:pStyle w:val="NormaleWeb"/>
        <w:spacing w:before="0" w:beforeAutospacing="0" w:after="0" w:afterAutospacing="0"/>
        <w:jc w:val="both"/>
        <w:rPr>
          <w:sz w:val="28"/>
          <w:szCs w:val="28"/>
        </w:rPr>
      </w:pPr>
      <w:r w:rsidRPr="00FA625D">
        <w:rPr>
          <w:sz w:val="28"/>
          <w:szCs w:val="28"/>
        </w:rPr>
        <w:t xml:space="preserve">La </w:t>
      </w:r>
      <w:r w:rsidR="007C6572">
        <w:rPr>
          <w:sz w:val="28"/>
          <w:szCs w:val="28"/>
        </w:rPr>
        <w:t>Corte di Giustizia</w:t>
      </w:r>
      <w:r w:rsidRPr="00FA625D">
        <w:rPr>
          <w:sz w:val="28"/>
          <w:szCs w:val="28"/>
        </w:rPr>
        <w:t xml:space="preserve"> </w:t>
      </w:r>
      <w:r w:rsidR="007C6572">
        <w:rPr>
          <w:sz w:val="28"/>
          <w:szCs w:val="28"/>
        </w:rPr>
        <w:t>si è</w:t>
      </w:r>
      <w:r w:rsidR="00D42B1D">
        <w:rPr>
          <w:sz w:val="28"/>
          <w:szCs w:val="28"/>
        </w:rPr>
        <w:t>,</w:t>
      </w:r>
      <w:r w:rsidR="007C6572">
        <w:rPr>
          <w:sz w:val="28"/>
          <w:szCs w:val="28"/>
        </w:rPr>
        <w:t xml:space="preserve"> altresì</w:t>
      </w:r>
      <w:r w:rsidR="00D42B1D">
        <w:rPr>
          <w:sz w:val="28"/>
          <w:szCs w:val="28"/>
        </w:rPr>
        <w:t>,</w:t>
      </w:r>
      <w:r w:rsidR="007C6572">
        <w:rPr>
          <w:sz w:val="28"/>
          <w:szCs w:val="28"/>
        </w:rPr>
        <w:t xml:space="preserve"> focalizzata sull’elemento della </w:t>
      </w:r>
      <w:r w:rsidRPr="00FA625D">
        <w:rPr>
          <w:sz w:val="28"/>
          <w:szCs w:val="28"/>
        </w:rPr>
        <w:t>natura</w:t>
      </w:r>
      <w:r w:rsidR="007C6572">
        <w:rPr>
          <w:sz w:val="28"/>
          <w:szCs w:val="28"/>
        </w:rPr>
        <w:t xml:space="preserve"> </w:t>
      </w:r>
      <w:r w:rsidRPr="00FA625D">
        <w:rPr>
          <w:sz w:val="28"/>
          <w:szCs w:val="28"/>
        </w:rPr>
        <w:t>della notizia, affermando che il diritto all</w:t>
      </w:r>
      <w:r w:rsidR="007C6572">
        <w:rPr>
          <w:sz w:val="28"/>
          <w:szCs w:val="28"/>
        </w:rPr>
        <w:t>a cronaca e all</w:t>
      </w:r>
      <w:r w:rsidRPr="00FA625D">
        <w:rPr>
          <w:sz w:val="28"/>
          <w:szCs w:val="28"/>
        </w:rPr>
        <w:t>’informazione preval</w:t>
      </w:r>
      <w:r w:rsidR="007C6572">
        <w:rPr>
          <w:sz w:val="28"/>
          <w:szCs w:val="28"/>
        </w:rPr>
        <w:t>gono</w:t>
      </w:r>
      <w:r w:rsidRPr="00FA625D">
        <w:rPr>
          <w:sz w:val="28"/>
          <w:szCs w:val="28"/>
        </w:rPr>
        <w:t xml:space="preserve">, nonostante il trascorrere di un lungo lasso di tempo, nel caso di notizie relative a procedimenti penali. Il caso </w:t>
      </w:r>
      <w:r w:rsidR="007C6572">
        <w:rPr>
          <w:sz w:val="28"/>
          <w:szCs w:val="28"/>
        </w:rPr>
        <w:t xml:space="preserve">di specie </w:t>
      </w:r>
      <w:r w:rsidRPr="00FA625D">
        <w:rPr>
          <w:sz w:val="28"/>
          <w:szCs w:val="28"/>
        </w:rPr>
        <w:t xml:space="preserve">esaminato </w:t>
      </w:r>
      <w:r w:rsidR="007C6572">
        <w:rPr>
          <w:sz w:val="28"/>
          <w:szCs w:val="28"/>
        </w:rPr>
        <w:t>dai giudici di Lussemburgo concerneva</w:t>
      </w:r>
      <w:r w:rsidRPr="00FA625D">
        <w:rPr>
          <w:sz w:val="28"/>
          <w:szCs w:val="28"/>
        </w:rPr>
        <w:t xml:space="preserve"> la condanna all’ergastolo per omicidio di due cittadini tedeschi</w:t>
      </w:r>
      <w:r w:rsidR="007C6572">
        <w:rPr>
          <w:sz w:val="28"/>
          <w:szCs w:val="28"/>
        </w:rPr>
        <w:t xml:space="preserve">: la Corte </w:t>
      </w:r>
      <w:r w:rsidRPr="00FA625D">
        <w:rPr>
          <w:sz w:val="28"/>
          <w:szCs w:val="28"/>
        </w:rPr>
        <w:t>ha ritenuto che “</w:t>
      </w:r>
      <w:r w:rsidRPr="007C6572">
        <w:rPr>
          <w:i/>
          <w:iCs/>
          <w:sz w:val="28"/>
          <w:szCs w:val="28"/>
        </w:rPr>
        <w:t>gli archivi online di giornali e radio sono un bene da proteggere perché garantiscono il diritto della collettività a ricevere notizie di interesse generale, che non è attenuato dal passare del tempo</w:t>
      </w:r>
      <w:r w:rsidRPr="00FA625D">
        <w:rPr>
          <w:sz w:val="28"/>
          <w:szCs w:val="28"/>
        </w:rPr>
        <w:t>”</w:t>
      </w:r>
      <w:r w:rsidR="007C6572" w:rsidRPr="00FA625D">
        <w:rPr>
          <w:rStyle w:val="Rimandonotaapidipagina"/>
          <w:sz w:val="28"/>
          <w:szCs w:val="28"/>
        </w:rPr>
        <w:footnoteReference w:id="229"/>
      </w:r>
      <w:r w:rsidR="00BC654D">
        <w:rPr>
          <w:sz w:val="28"/>
          <w:szCs w:val="28"/>
        </w:rPr>
        <w:t>.</w:t>
      </w:r>
    </w:p>
    <w:p w14:paraId="4ECC92A6" w14:textId="77777777" w:rsidR="00D42B1D" w:rsidRDefault="0095713B" w:rsidP="00FA625D">
      <w:pPr>
        <w:pStyle w:val="NormaleWeb"/>
        <w:spacing w:before="0" w:beforeAutospacing="0" w:after="0" w:afterAutospacing="0"/>
        <w:jc w:val="both"/>
        <w:rPr>
          <w:sz w:val="28"/>
          <w:szCs w:val="28"/>
        </w:rPr>
      </w:pPr>
      <w:r w:rsidRPr="00FA625D">
        <w:rPr>
          <w:sz w:val="28"/>
          <w:szCs w:val="28"/>
        </w:rPr>
        <w:t xml:space="preserve">La giurisprudenza </w:t>
      </w:r>
      <w:r w:rsidR="00BC654D">
        <w:rPr>
          <w:sz w:val="28"/>
          <w:szCs w:val="28"/>
        </w:rPr>
        <w:t>della Cassazione</w:t>
      </w:r>
      <w:r w:rsidRPr="00FA625D">
        <w:rPr>
          <w:sz w:val="28"/>
          <w:szCs w:val="28"/>
        </w:rPr>
        <w:t xml:space="preserve"> si è pronunciata anche sul contenuto della domanda di deindicizzazione rivolta ai motori di ricerca, sottolineando che</w:t>
      </w:r>
      <w:r w:rsidR="00BC654D">
        <w:rPr>
          <w:sz w:val="28"/>
          <w:szCs w:val="28"/>
        </w:rPr>
        <w:t>, in questo caso, si richiede</w:t>
      </w:r>
      <w:r w:rsidRPr="00FA625D">
        <w:rPr>
          <w:sz w:val="28"/>
          <w:szCs w:val="28"/>
        </w:rPr>
        <w:t xml:space="preserve"> </w:t>
      </w:r>
      <w:r w:rsidR="00BC654D">
        <w:rPr>
          <w:sz w:val="28"/>
          <w:szCs w:val="28"/>
        </w:rPr>
        <w:t>la</w:t>
      </w:r>
      <w:r w:rsidRPr="00FA625D">
        <w:rPr>
          <w:sz w:val="28"/>
          <w:szCs w:val="28"/>
        </w:rPr>
        <w:t xml:space="preserve"> precisa individuazione dei risultati della ricerca che l’attore </w:t>
      </w:r>
      <w:r w:rsidR="00BC654D">
        <w:rPr>
          <w:sz w:val="28"/>
          <w:szCs w:val="28"/>
        </w:rPr>
        <w:t>intende</w:t>
      </w:r>
      <w:r w:rsidRPr="00FA625D">
        <w:rPr>
          <w:sz w:val="28"/>
          <w:szCs w:val="28"/>
        </w:rPr>
        <w:t xml:space="preserve"> rimuovere (generalmente </w:t>
      </w:r>
      <w:r w:rsidR="00BC654D">
        <w:rPr>
          <w:sz w:val="28"/>
          <w:szCs w:val="28"/>
        </w:rPr>
        <w:t>serve l’</w:t>
      </w:r>
      <w:r w:rsidRPr="00FA625D">
        <w:rPr>
          <w:sz w:val="28"/>
          <w:szCs w:val="28"/>
        </w:rPr>
        <w:t xml:space="preserve">indicazione di indirizzi telematici o URL). </w:t>
      </w:r>
    </w:p>
    <w:p w14:paraId="0F68032F" w14:textId="720F44BA" w:rsidR="0095713B" w:rsidRPr="00FA625D" w:rsidRDefault="0095713B" w:rsidP="00FA625D">
      <w:pPr>
        <w:pStyle w:val="NormaleWeb"/>
        <w:spacing w:before="0" w:beforeAutospacing="0" w:after="0" w:afterAutospacing="0"/>
        <w:jc w:val="both"/>
        <w:rPr>
          <w:sz w:val="28"/>
          <w:szCs w:val="28"/>
        </w:rPr>
      </w:pPr>
      <w:r w:rsidRPr="00FA625D">
        <w:rPr>
          <w:sz w:val="28"/>
          <w:szCs w:val="28"/>
        </w:rPr>
        <w:t xml:space="preserve">Non </w:t>
      </w:r>
      <w:r w:rsidR="00BC654D">
        <w:rPr>
          <w:sz w:val="28"/>
          <w:szCs w:val="28"/>
        </w:rPr>
        <w:t>è escluso,</w:t>
      </w:r>
      <w:r w:rsidRPr="00FA625D">
        <w:rPr>
          <w:sz w:val="28"/>
          <w:szCs w:val="28"/>
        </w:rPr>
        <w:t xml:space="preserve"> comunque</w:t>
      </w:r>
      <w:r w:rsidR="00BC654D">
        <w:rPr>
          <w:sz w:val="28"/>
          <w:szCs w:val="28"/>
        </w:rPr>
        <w:t>,</w:t>
      </w:r>
      <w:r w:rsidRPr="00FA625D">
        <w:rPr>
          <w:sz w:val="28"/>
          <w:szCs w:val="28"/>
        </w:rPr>
        <w:t xml:space="preserve"> che “</w:t>
      </w:r>
      <w:r w:rsidRPr="00BC654D">
        <w:rPr>
          <w:i/>
          <w:iCs/>
          <w:sz w:val="28"/>
          <w:szCs w:val="28"/>
        </w:rPr>
        <w:t>una puntuale rappresentazione delle singole informazioni associate alle parole chiave</w:t>
      </w:r>
      <w:r w:rsidRPr="00FA625D">
        <w:rPr>
          <w:sz w:val="28"/>
          <w:szCs w:val="28"/>
        </w:rPr>
        <w:t xml:space="preserve">” possa </w:t>
      </w:r>
      <w:r w:rsidR="00BC654D">
        <w:rPr>
          <w:sz w:val="28"/>
          <w:szCs w:val="28"/>
        </w:rPr>
        <w:t>bastare</w:t>
      </w:r>
      <w:r w:rsidRPr="00FA625D">
        <w:rPr>
          <w:sz w:val="28"/>
          <w:szCs w:val="28"/>
        </w:rPr>
        <w:t xml:space="preserve"> a </w:t>
      </w:r>
      <w:r w:rsidR="00BC654D">
        <w:rPr>
          <w:sz w:val="28"/>
          <w:szCs w:val="28"/>
        </w:rPr>
        <w:t>permettere al</w:t>
      </w:r>
      <w:r w:rsidRPr="00FA625D">
        <w:rPr>
          <w:sz w:val="28"/>
          <w:szCs w:val="28"/>
        </w:rPr>
        <w:t xml:space="preserve"> motore di ricerca di adempiere all’obbligo cui è soggetto</w:t>
      </w:r>
      <w:r w:rsidR="00BC654D" w:rsidRPr="00FA625D">
        <w:rPr>
          <w:rStyle w:val="Rimandonotaapidipagina"/>
          <w:sz w:val="28"/>
          <w:szCs w:val="28"/>
        </w:rPr>
        <w:footnoteReference w:id="230"/>
      </w:r>
      <w:r w:rsidR="00BC654D">
        <w:rPr>
          <w:sz w:val="28"/>
          <w:szCs w:val="28"/>
        </w:rPr>
        <w:t>.</w:t>
      </w:r>
    </w:p>
    <w:p w14:paraId="4AB98F5C" w14:textId="2CB6D148" w:rsidR="0095713B" w:rsidRPr="00FA625D" w:rsidRDefault="00BC654D" w:rsidP="00FA625D">
      <w:pPr>
        <w:pStyle w:val="NormaleWeb"/>
        <w:spacing w:before="0" w:beforeAutospacing="0" w:after="0" w:afterAutospacing="0"/>
        <w:jc w:val="both"/>
        <w:rPr>
          <w:sz w:val="28"/>
          <w:szCs w:val="28"/>
        </w:rPr>
      </w:pPr>
      <w:r>
        <w:rPr>
          <w:sz w:val="28"/>
          <w:szCs w:val="28"/>
        </w:rPr>
        <w:t>Sul tema de</w:t>
      </w:r>
      <w:r w:rsidR="0095713B" w:rsidRPr="00FA625D">
        <w:rPr>
          <w:sz w:val="28"/>
          <w:szCs w:val="28"/>
        </w:rPr>
        <w:t xml:space="preserve">lla deindicizzazione </w:t>
      </w:r>
      <w:r>
        <w:rPr>
          <w:sz w:val="28"/>
          <w:szCs w:val="28"/>
        </w:rPr>
        <w:t xml:space="preserve">da parte dei motori di ricerca </w:t>
      </w:r>
      <w:r w:rsidR="0095713B" w:rsidRPr="00FA625D">
        <w:rPr>
          <w:sz w:val="28"/>
          <w:szCs w:val="28"/>
        </w:rPr>
        <w:t xml:space="preserve">su richiesta degli interessati, la </w:t>
      </w:r>
      <w:r>
        <w:rPr>
          <w:sz w:val="28"/>
          <w:szCs w:val="28"/>
        </w:rPr>
        <w:t>Corte europea</w:t>
      </w:r>
      <w:r w:rsidR="0095713B" w:rsidRPr="00FA625D">
        <w:rPr>
          <w:sz w:val="28"/>
          <w:szCs w:val="28"/>
        </w:rPr>
        <w:t>, nella causa C-136/2019, pur ribadendo la sussistenza</w:t>
      </w:r>
      <w:r>
        <w:rPr>
          <w:sz w:val="28"/>
          <w:szCs w:val="28"/>
        </w:rPr>
        <w:t xml:space="preserve"> di tale obbligo</w:t>
      </w:r>
      <w:r w:rsidR="0095713B" w:rsidRPr="00FA625D">
        <w:rPr>
          <w:sz w:val="28"/>
          <w:szCs w:val="28"/>
        </w:rPr>
        <w:t xml:space="preserve">, ha evidenziato che questo ha valenza solo </w:t>
      </w:r>
      <w:r>
        <w:rPr>
          <w:sz w:val="28"/>
          <w:szCs w:val="28"/>
        </w:rPr>
        <w:t>per quanto riguarda le</w:t>
      </w:r>
      <w:r w:rsidR="0095713B" w:rsidRPr="00FA625D">
        <w:rPr>
          <w:sz w:val="28"/>
          <w:szCs w:val="28"/>
        </w:rPr>
        <w:t xml:space="preserve"> versioni </w:t>
      </w:r>
      <w:r w:rsidR="0095713B" w:rsidRPr="00FA625D">
        <w:rPr>
          <w:sz w:val="28"/>
          <w:szCs w:val="28"/>
        </w:rPr>
        <w:lastRenderedPageBreak/>
        <w:t xml:space="preserve">presenti negli Stati Membri e non tutte quelle sotto il dominio dei gestori. </w:t>
      </w:r>
      <w:r w:rsidR="009D2B44">
        <w:rPr>
          <w:sz w:val="28"/>
          <w:szCs w:val="28"/>
        </w:rPr>
        <w:t xml:space="preserve">Ciò significa che </w:t>
      </w:r>
      <w:r w:rsidR="0095713B" w:rsidRPr="00FA625D">
        <w:rPr>
          <w:sz w:val="28"/>
          <w:szCs w:val="28"/>
        </w:rPr>
        <w:t xml:space="preserve">il motore di ricerca sarà tenuto a deindicizzare solo i dati presenti nei </w:t>
      </w:r>
      <w:r w:rsidR="0095713B" w:rsidRPr="009D2B44">
        <w:rPr>
          <w:i/>
          <w:iCs/>
          <w:sz w:val="28"/>
          <w:szCs w:val="28"/>
        </w:rPr>
        <w:t>server</w:t>
      </w:r>
      <w:r w:rsidR="0095713B" w:rsidRPr="00FA625D">
        <w:rPr>
          <w:sz w:val="28"/>
          <w:szCs w:val="28"/>
        </w:rPr>
        <w:t xml:space="preserve"> europei.</w:t>
      </w:r>
      <w:r w:rsidR="009D2B44">
        <w:rPr>
          <w:sz w:val="28"/>
          <w:szCs w:val="28"/>
        </w:rPr>
        <w:t xml:space="preserve"> </w:t>
      </w:r>
      <w:r w:rsidR="0095713B" w:rsidRPr="00FA625D">
        <w:rPr>
          <w:sz w:val="28"/>
          <w:szCs w:val="28"/>
        </w:rPr>
        <w:t>Questo profilo ha assunto una rilevanza sempre maggiore, tanto che lo scorso 7 luglio l’EDPB ha adottato le linee-guida 5/2019</w:t>
      </w:r>
      <w:r w:rsidR="00E7511E" w:rsidRPr="00FA625D">
        <w:rPr>
          <w:rStyle w:val="Rimandonotaapidipagina"/>
          <w:sz w:val="28"/>
          <w:szCs w:val="28"/>
        </w:rPr>
        <w:footnoteReference w:id="231"/>
      </w:r>
      <w:r w:rsidR="0095713B" w:rsidRPr="00FA625D">
        <w:rPr>
          <w:sz w:val="28"/>
          <w:szCs w:val="28"/>
        </w:rPr>
        <w:t xml:space="preserve"> relative proprio all’esercizio del diritto all’oblio nei casi </w:t>
      </w:r>
      <w:r w:rsidR="009D2B44">
        <w:rPr>
          <w:sz w:val="28"/>
          <w:szCs w:val="28"/>
        </w:rPr>
        <w:t>relativi ai</w:t>
      </w:r>
      <w:r w:rsidR="0095713B" w:rsidRPr="00FA625D">
        <w:rPr>
          <w:sz w:val="28"/>
          <w:szCs w:val="28"/>
        </w:rPr>
        <w:t xml:space="preserve"> motori di ricerca.</w:t>
      </w:r>
      <w:r w:rsidR="0041738B">
        <w:rPr>
          <w:sz w:val="28"/>
          <w:szCs w:val="28"/>
        </w:rPr>
        <w:t xml:space="preserve"> </w:t>
      </w:r>
      <w:r w:rsidR="0095713B" w:rsidRPr="00FA625D">
        <w:rPr>
          <w:sz w:val="28"/>
          <w:szCs w:val="28"/>
        </w:rPr>
        <w:t xml:space="preserve">In relazione all’art. 17 comma 1, </w:t>
      </w:r>
      <w:proofErr w:type="spellStart"/>
      <w:r w:rsidR="0095713B" w:rsidRPr="00FA625D">
        <w:rPr>
          <w:sz w:val="28"/>
          <w:szCs w:val="28"/>
        </w:rPr>
        <w:t>lett</w:t>
      </w:r>
      <w:proofErr w:type="spellEnd"/>
      <w:r w:rsidR="0095713B" w:rsidRPr="00FA625D">
        <w:rPr>
          <w:sz w:val="28"/>
          <w:szCs w:val="28"/>
        </w:rPr>
        <w:t xml:space="preserve">. b), che riconosce il diritto dell’interessato di richiedere la cancellazione dei dati nell’ipotesi in cui abbia ritirato il proprio consenso al trattamento, il documento </w:t>
      </w:r>
      <w:r w:rsidR="004F4556">
        <w:rPr>
          <w:sz w:val="28"/>
          <w:szCs w:val="28"/>
        </w:rPr>
        <w:t>evidenzia</w:t>
      </w:r>
      <w:r w:rsidR="0095713B" w:rsidRPr="00FA625D">
        <w:rPr>
          <w:sz w:val="28"/>
          <w:szCs w:val="28"/>
        </w:rPr>
        <w:t xml:space="preserve"> il fatto</w:t>
      </w:r>
      <w:r w:rsidR="00E7511E" w:rsidRPr="00FA625D">
        <w:rPr>
          <w:sz w:val="28"/>
          <w:szCs w:val="28"/>
        </w:rPr>
        <w:t xml:space="preserve"> </w:t>
      </w:r>
      <w:r w:rsidR="0095713B" w:rsidRPr="00FA625D">
        <w:rPr>
          <w:sz w:val="28"/>
          <w:szCs w:val="28"/>
        </w:rPr>
        <w:t>che</w:t>
      </w:r>
      <w:r w:rsidR="003D30F8">
        <w:rPr>
          <w:sz w:val="28"/>
          <w:szCs w:val="28"/>
        </w:rPr>
        <w:t>,</w:t>
      </w:r>
      <w:r w:rsidR="0095713B" w:rsidRPr="00FA625D">
        <w:rPr>
          <w:sz w:val="28"/>
          <w:szCs w:val="28"/>
        </w:rPr>
        <w:t xml:space="preserve"> normalmente</w:t>
      </w:r>
      <w:r w:rsidR="003D30F8">
        <w:rPr>
          <w:sz w:val="28"/>
          <w:szCs w:val="28"/>
        </w:rPr>
        <w:t>,</w:t>
      </w:r>
      <w:r w:rsidR="0095713B" w:rsidRPr="00FA625D">
        <w:rPr>
          <w:sz w:val="28"/>
          <w:szCs w:val="28"/>
        </w:rPr>
        <w:t xml:space="preserve"> il consenso è dato al </w:t>
      </w:r>
      <w:r w:rsidR="0095713B" w:rsidRPr="004F4556">
        <w:rPr>
          <w:i/>
          <w:iCs/>
          <w:sz w:val="28"/>
          <w:szCs w:val="28"/>
        </w:rPr>
        <w:t xml:space="preserve">web </w:t>
      </w:r>
      <w:proofErr w:type="spellStart"/>
      <w:r w:rsidR="0095713B" w:rsidRPr="004F4556">
        <w:rPr>
          <w:i/>
          <w:iCs/>
          <w:sz w:val="28"/>
          <w:szCs w:val="28"/>
        </w:rPr>
        <w:t>publisher</w:t>
      </w:r>
      <w:proofErr w:type="spellEnd"/>
      <w:r w:rsidR="0095713B" w:rsidRPr="00FA625D">
        <w:rPr>
          <w:sz w:val="28"/>
          <w:szCs w:val="28"/>
        </w:rPr>
        <w:t xml:space="preserve"> e non al motore di ricerca e, </w:t>
      </w:r>
      <w:r w:rsidR="004F4556">
        <w:rPr>
          <w:sz w:val="28"/>
          <w:szCs w:val="28"/>
        </w:rPr>
        <w:t>perciò</w:t>
      </w:r>
      <w:r w:rsidR="0095713B" w:rsidRPr="00FA625D">
        <w:rPr>
          <w:sz w:val="28"/>
          <w:szCs w:val="28"/>
        </w:rPr>
        <w:t xml:space="preserve">, è al primo che sarà comunicata dall’interessato la volontà di ritirare il consenso. </w:t>
      </w:r>
      <w:r w:rsidR="004F4556">
        <w:rPr>
          <w:sz w:val="28"/>
          <w:szCs w:val="28"/>
        </w:rPr>
        <w:t xml:space="preserve">Secondo </w:t>
      </w:r>
      <w:r w:rsidR="0095713B" w:rsidRPr="00FA625D">
        <w:rPr>
          <w:sz w:val="28"/>
          <w:szCs w:val="28"/>
        </w:rPr>
        <w:t>l’EDPB, in tal caso</w:t>
      </w:r>
      <w:r w:rsidR="003D30F8">
        <w:rPr>
          <w:sz w:val="28"/>
          <w:szCs w:val="28"/>
        </w:rPr>
        <w:t>,</w:t>
      </w:r>
      <w:r w:rsidR="0095713B" w:rsidRPr="00FA625D">
        <w:rPr>
          <w:sz w:val="28"/>
          <w:szCs w:val="28"/>
        </w:rPr>
        <w:t xml:space="preserve"> è onere del </w:t>
      </w:r>
      <w:r w:rsidR="0095713B" w:rsidRPr="004F4556">
        <w:rPr>
          <w:i/>
          <w:iCs/>
          <w:sz w:val="28"/>
          <w:szCs w:val="28"/>
        </w:rPr>
        <w:t xml:space="preserve">web </w:t>
      </w:r>
      <w:proofErr w:type="spellStart"/>
      <w:r w:rsidR="0095713B" w:rsidRPr="004F4556">
        <w:rPr>
          <w:i/>
          <w:iCs/>
          <w:sz w:val="28"/>
          <w:szCs w:val="28"/>
        </w:rPr>
        <w:t>publisher</w:t>
      </w:r>
      <w:proofErr w:type="spellEnd"/>
      <w:r w:rsidR="004F4556">
        <w:rPr>
          <w:sz w:val="28"/>
          <w:szCs w:val="28"/>
        </w:rPr>
        <w:t xml:space="preserve"> </w:t>
      </w:r>
      <w:r w:rsidR="004F4556" w:rsidRPr="00FA625D">
        <w:rPr>
          <w:sz w:val="28"/>
          <w:szCs w:val="28"/>
        </w:rPr>
        <w:t>informare tempestivamente il motore di ricerca e ottenere la cancellazione dei dati</w:t>
      </w:r>
      <w:r w:rsidR="004F4556">
        <w:rPr>
          <w:sz w:val="28"/>
          <w:szCs w:val="28"/>
        </w:rPr>
        <w:t xml:space="preserve">, </w:t>
      </w:r>
      <w:r w:rsidR="0095713B" w:rsidRPr="00FA625D">
        <w:rPr>
          <w:sz w:val="28"/>
          <w:szCs w:val="28"/>
        </w:rPr>
        <w:t>ai sensi del comma 2 dell’art</w:t>
      </w:r>
      <w:r w:rsidR="004F4556">
        <w:rPr>
          <w:sz w:val="28"/>
          <w:szCs w:val="28"/>
        </w:rPr>
        <w:t xml:space="preserve">. 17 GDPR. </w:t>
      </w:r>
      <w:r w:rsidR="0095713B" w:rsidRPr="00FA625D">
        <w:rPr>
          <w:sz w:val="28"/>
          <w:szCs w:val="28"/>
        </w:rPr>
        <w:t>L’interessato potrà</w:t>
      </w:r>
      <w:r w:rsidR="004F4556">
        <w:rPr>
          <w:sz w:val="28"/>
          <w:szCs w:val="28"/>
        </w:rPr>
        <w:t>,</w:t>
      </w:r>
      <w:r w:rsidR="0095713B" w:rsidRPr="00FA625D">
        <w:rPr>
          <w:sz w:val="28"/>
          <w:szCs w:val="28"/>
        </w:rPr>
        <w:t xml:space="preserve"> tuttavia</w:t>
      </w:r>
      <w:r w:rsidR="004F4556">
        <w:rPr>
          <w:sz w:val="28"/>
          <w:szCs w:val="28"/>
        </w:rPr>
        <w:t>,</w:t>
      </w:r>
      <w:r w:rsidR="0095713B" w:rsidRPr="00FA625D">
        <w:rPr>
          <w:sz w:val="28"/>
          <w:szCs w:val="28"/>
        </w:rPr>
        <w:t xml:space="preserve"> esercitare direttamente il proprio diritto, ai sensi dell’art. 17, comma 1, </w:t>
      </w:r>
      <w:proofErr w:type="spellStart"/>
      <w:r w:rsidR="0095713B" w:rsidRPr="00FA625D">
        <w:rPr>
          <w:sz w:val="28"/>
          <w:szCs w:val="28"/>
        </w:rPr>
        <w:t>lett</w:t>
      </w:r>
      <w:proofErr w:type="spellEnd"/>
      <w:r w:rsidR="0095713B" w:rsidRPr="00FA625D">
        <w:rPr>
          <w:sz w:val="28"/>
          <w:szCs w:val="28"/>
        </w:rPr>
        <w:t>. c).</w:t>
      </w:r>
      <w:r w:rsidR="00833D6B">
        <w:rPr>
          <w:sz w:val="28"/>
          <w:szCs w:val="28"/>
        </w:rPr>
        <w:t xml:space="preserve"> </w:t>
      </w:r>
      <w:r w:rsidR="0095713B" w:rsidRPr="00FA625D">
        <w:rPr>
          <w:sz w:val="28"/>
          <w:szCs w:val="28"/>
        </w:rPr>
        <w:t xml:space="preserve">La norma </w:t>
      </w:r>
      <w:r w:rsidR="004F4556">
        <w:rPr>
          <w:sz w:val="28"/>
          <w:szCs w:val="28"/>
        </w:rPr>
        <w:t>consente</w:t>
      </w:r>
      <w:r w:rsidR="004F4556" w:rsidRPr="004F4556">
        <w:rPr>
          <w:sz w:val="28"/>
          <w:szCs w:val="28"/>
        </w:rPr>
        <w:t xml:space="preserve"> </w:t>
      </w:r>
      <w:r w:rsidR="004F4556">
        <w:rPr>
          <w:sz w:val="28"/>
          <w:szCs w:val="28"/>
        </w:rPr>
        <w:t>al</w:t>
      </w:r>
      <w:r w:rsidR="004F4556" w:rsidRPr="00FA625D">
        <w:rPr>
          <w:sz w:val="28"/>
          <w:szCs w:val="28"/>
        </w:rPr>
        <w:t>l’interessato</w:t>
      </w:r>
      <w:r w:rsidR="004F4556">
        <w:rPr>
          <w:sz w:val="28"/>
          <w:szCs w:val="28"/>
        </w:rPr>
        <w:t>,</w:t>
      </w:r>
      <w:r w:rsidR="0095713B" w:rsidRPr="00FA625D">
        <w:rPr>
          <w:sz w:val="28"/>
          <w:szCs w:val="28"/>
        </w:rPr>
        <w:t xml:space="preserve"> infatti</w:t>
      </w:r>
      <w:r w:rsidR="004F4556">
        <w:rPr>
          <w:sz w:val="28"/>
          <w:szCs w:val="28"/>
        </w:rPr>
        <w:t>,</w:t>
      </w:r>
      <w:r w:rsidR="0095713B" w:rsidRPr="00FA625D">
        <w:rPr>
          <w:sz w:val="28"/>
          <w:szCs w:val="28"/>
        </w:rPr>
        <w:t xml:space="preserve"> </w:t>
      </w:r>
      <w:r w:rsidR="004F4556">
        <w:rPr>
          <w:sz w:val="28"/>
          <w:szCs w:val="28"/>
        </w:rPr>
        <w:t>di</w:t>
      </w:r>
      <w:r w:rsidR="0095713B" w:rsidRPr="00FA625D">
        <w:rPr>
          <w:sz w:val="28"/>
          <w:szCs w:val="28"/>
        </w:rPr>
        <w:t xml:space="preserve"> esercitare il diritto all’oblio altresì nell’ipotesi in cui abbia previamente esercitato il diritto di obiezione ex art. 21, comma 1 del GDPR. L’articolo pone </w:t>
      </w:r>
      <w:r w:rsidR="006A4DFC">
        <w:rPr>
          <w:sz w:val="28"/>
          <w:szCs w:val="28"/>
        </w:rPr>
        <w:t>a carico</w:t>
      </w:r>
      <w:r w:rsidR="0095713B" w:rsidRPr="00FA625D">
        <w:rPr>
          <w:sz w:val="28"/>
          <w:szCs w:val="28"/>
        </w:rPr>
        <w:t xml:space="preserve"> </w:t>
      </w:r>
      <w:r w:rsidR="006A4DFC">
        <w:rPr>
          <w:sz w:val="28"/>
          <w:szCs w:val="28"/>
        </w:rPr>
        <w:t>del</w:t>
      </w:r>
      <w:r w:rsidR="0095713B" w:rsidRPr="00FA625D">
        <w:rPr>
          <w:sz w:val="28"/>
          <w:szCs w:val="28"/>
        </w:rPr>
        <w:t xml:space="preserve"> motore di ricerca l’onere di provare la sussistenza di motivi legittimi prevalenti rispetto al diritto di obiezione.</w:t>
      </w:r>
      <w:r w:rsidR="0041738B">
        <w:rPr>
          <w:sz w:val="28"/>
          <w:szCs w:val="28"/>
        </w:rPr>
        <w:t xml:space="preserve"> </w:t>
      </w:r>
      <w:r w:rsidR="0095713B" w:rsidRPr="00FA625D">
        <w:rPr>
          <w:sz w:val="28"/>
          <w:szCs w:val="28"/>
        </w:rPr>
        <w:t xml:space="preserve">Il legame fra le due disposizioni </w:t>
      </w:r>
      <w:r w:rsidR="006A4DFC">
        <w:rPr>
          <w:sz w:val="28"/>
          <w:szCs w:val="28"/>
        </w:rPr>
        <w:t xml:space="preserve">richiamate </w:t>
      </w:r>
      <w:r w:rsidR="0095713B" w:rsidRPr="00FA625D">
        <w:rPr>
          <w:sz w:val="28"/>
          <w:szCs w:val="28"/>
        </w:rPr>
        <w:t xml:space="preserve">– come </w:t>
      </w:r>
      <w:r w:rsidR="006A4DFC">
        <w:rPr>
          <w:sz w:val="28"/>
          <w:szCs w:val="28"/>
        </w:rPr>
        <w:t>messo in luce</w:t>
      </w:r>
      <w:r w:rsidR="0095713B" w:rsidRPr="00FA625D">
        <w:rPr>
          <w:sz w:val="28"/>
          <w:szCs w:val="28"/>
        </w:rPr>
        <w:t xml:space="preserve"> dall’EDPB – </w:t>
      </w:r>
      <w:r w:rsidR="006A4DFC">
        <w:rPr>
          <w:sz w:val="28"/>
          <w:szCs w:val="28"/>
        </w:rPr>
        <w:t xml:space="preserve">comporta </w:t>
      </w:r>
      <w:r w:rsidR="0095713B" w:rsidRPr="00FA625D">
        <w:rPr>
          <w:sz w:val="28"/>
          <w:szCs w:val="28"/>
        </w:rPr>
        <w:t>che nel caso del diritto all’oblio, se il motore di ricerca non è in grado di fornire la prova richiesta, sarà obbligato ad esaudire la richiesta dell’interessato.</w:t>
      </w:r>
      <w:r w:rsidR="0041738B">
        <w:rPr>
          <w:sz w:val="28"/>
          <w:szCs w:val="28"/>
        </w:rPr>
        <w:t xml:space="preserve"> </w:t>
      </w:r>
      <w:r w:rsidR="006A4DFC">
        <w:rPr>
          <w:sz w:val="28"/>
          <w:szCs w:val="28"/>
        </w:rPr>
        <w:t>Per quanto concerne la</w:t>
      </w:r>
      <w:r w:rsidR="0095713B" w:rsidRPr="00FA625D">
        <w:rPr>
          <w:sz w:val="28"/>
          <w:szCs w:val="28"/>
        </w:rPr>
        <w:t xml:space="preserve"> legittimazione ad agire per il riconoscimento del diritto all’oblio, </w:t>
      </w:r>
      <w:r w:rsidR="006A4DFC">
        <w:rPr>
          <w:sz w:val="28"/>
          <w:szCs w:val="28"/>
        </w:rPr>
        <w:t xml:space="preserve">nell’ipotesi </w:t>
      </w:r>
      <w:r w:rsidR="0095713B" w:rsidRPr="00FA625D">
        <w:rPr>
          <w:sz w:val="28"/>
          <w:szCs w:val="28"/>
        </w:rPr>
        <w:t xml:space="preserve">di notizie riguardanti una persona deceduta, </w:t>
      </w:r>
      <w:r w:rsidR="006A4DFC">
        <w:rPr>
          <w:sz w:val="28"/>
          <w:szCs w:val="28"/>
        </w:rPr>
        <w:t xml:space="preserve">i Giudici di legittimità </w:t>
      </w:r>
      <w:r w:rsidR="0095713B" w:rsidRPr="00FA625D">
        <w:rPr>
          <w:sz w:val="28"/>
          <w:szCs w:val="28"/>
        </w:rPr>
        <w:t>ha</w:t>
      </w:r>
      <w:r w:rsidR="006A4DFC">
        <w:rPr>
          <w:sz w:val="28"/>
          <w:szCs w:val="28"/>
        </w:rPr>
        <w:t>nno</w:t>
      </w:r>
      <w:r w:rsidR="0095713B" w:rsidRPr="00FA625D">
        <w:rPr>
          <w:sz w:val="28"/>
          <w:szCs w:val="28"/>
        </w:rPr>
        <w:t xml:space="preserve"> affermato che tale diritto non può essere fatto valere dal congiunto </w:t>
      </w:r>
      <w:r w:rsidR="006A4DFC" w:rsidRPr="006A4DFC">
        <w:rPr>
          <w:i/>
          <w:iCs/>
          <w:sz w:val="28"/>
          <w:szCs w:val="28"/>
        </w:rPr>
        <w:t>iure</w:t>
      </w:r>
      <w:r w:rsidR="0095713B" w:rsidRPr="006A4DFC">
        <w:rPr>
          <w:i/>
          <w:iCs/>
          <w:sz w:val="28"/>
          <w:szCs w:val="28"/>
        </w:rPr>
        <w:t xml:space="preserve"> proprio</w:t>
      </w:r>
      <w:r w:rsidR="0095713B" w:rsidRPr="00FA625D">
        <w:rPr>
          <w:sz w:val="28"/>
          <w:szCs w:val="28"/>
        </w:rPr>
        <w:t>, ma soltanto nella sua veste di erede</w:t>
      </w:r>
      <w:r w:rsidR="006A4DFC">
        <w:rPr>
          <w:rStyle w:val="Rimandonotaapidipagina"/>
          <w:sz w:val="28"/>
          <w:szCs w:val="28"/>
        </w:rPr>
        <w:footnoteReference w:id="232"/>
      </w:r>
      <w:r w:rsidR="006A4DFC">
        <w:rPr>
          <w:sz w:val="28"/>
          <w:szCs w:val="28"/>
        </w:rPr>
        <w:t>.</w:t>
      </w:r>
    </w:p>
    <w:p w14:paraId="7B3757D0" w14:textId="2B900396" w:rsidR="0092292E" w:rsidRDefault="003D63D1" w:rsidP="005040DA">
      <w:pPr>
        <w:pStyle w:val="NormaleWeb"/>
        <w:spacing w:before="0" w:beforeAutospacing="0" w:after="0" w:afterAutospacing="0"/>
        <w:jc w:val="both"/>
        <w:rPr>
          <w:sz w:val="28"/>
          <w:szCs w:val="28"/>
        </w:rPr>
      </w:pPr>
      <w:r>
        <w:rPr>
          <w:sz w:val="28"/>
          <w:szCs w:val="28"/>
        </w:rPr>
        <w:t>Come si configura il</w:t>
      </w:r>
      <w:r w:rsidR="0095713B" w:rsidRPr="00FA625D">
        <w:rPr>
          <w:sz w:val="28"/>
          <w:szCs w:val="28"/>
        </w:rPr>
        <w:t xml:space="preserve"> risarcimento del danno derivante dalla lesione del diritto all’oblio</w:t>
      </w:r>
      <w:r>
        <w:rPr>
          <w:sz w:val="28"/>
          <w:szCs w:val="28"/>
        </w:rPr>
        <w:t>?</w:t>
      </w:r>
      <w:r w:rsidR="0095713B" w:rsidRPr="00FA625D">
        <w:rPr>
          <w:sz w:val="28"/>
          <w:szCs w:val="28"/>
        </w:rPr>
        <w:t xml:space="preserve"> La giurisprudenza</w:t>
      </w:r>
      <w:r w:rsidR="0041738B">
        <w:rPr>
          <w:sz w:val="28"/>
          <w:szCs w:val="28"/>
        </w:rPr>
        <w:t xml:space="preserve"> è </w:t>
      </w:r>
      <w:r w:rsidR="0095713B" w:rsidRPr="00FA625D">
        <w:rPr>
          <w:sz w:val="28"/>
          <w:szCs w:val="28"/>
        </w:rPr>
        <w:t>pacifica</w:t>
      </w:r>
      <w:r w:rsidR="0041738B">
        <w:rPr>
          <w:sz w:val="28"/>
          <w:szCs w:val="28"/>
        </w:rPr>
        <w:t xml:space="preserve"> nel </w:t>
      </w:r>
      <w:r w:rsidRPr="00FA625D">
        <w:rPr>
          <w:sz w:val="28"/>
          <w:szCs w:val="28"/>
        </w:rPr>
        <w:t>riconosce</w:t>
      </w:r>
      <w:r w:rsidR="0041738B">
        <w:rPr>
          <w:sz w:val="28"/>
          <w:szCs w:val="28"/>
        </w:rPr>
        <w:t>re</w:t>
      </w:r>
      <w:r w:rsidRPr="00FA625D">
        <w:rPr>
          <w:sz w:val="28"/>
          <w:szCs w:val="28"/>
        </w:rPr>
        <w:t xml:space="preserve"> </w:t>
      </w:r>
      <w:r w:rsidR="0095713B" w:rsidRPr="00FA625D">
        <w:rPr>
          <w:sz w:val="28"/>
          <w:szCs w:val="28"/>
        </w:rPr>
        <w:t>la risarcibilità di tutti i danni</w:t>
      </w:r>
      <w:r w:rsidR="0041738B">
        <w:rPr>
          <w:sz w:val="28"/>
          <w:szCs w:val="28"/>
        </w:rPr>
        <w:t xml:space="preserve">, </w:t>
      </w:r>
      <w:r w:rsidR="0095713B" w:rsidRPr="00FA625D">
        <w:rPr>
          <w:sz w:val="28"/>
          <w:szCs w:val="28"/>
        </w:rPr>
        <w:t xml:space="preserve">patrimoniali e </w:t>
      </w:r>
      <w:proofErr w:type="gramStart"/>
      <w:r w:rsidR="0095713B" w:rsidRPr="00FA625D">
        <w:rPr>
          <w:sz w:val="28"/>
          <w:szCs w:val="28"/>
        </w:rPr>
        <w:t>no</w:t>
      </w:r>
      <w:r>
        <w:rPr>
          <w:sz w:val="28"/>
          <w:szCs w:val="28"/>
        </w:rPr>
        <w:t>n</w:t>
      </w:r>
      <w:proofErr w:type="gramEnd"/>
      <w:r w:rsidR="0041738B">
        <w:rPr>
          <w:sz w:val="28"/>
          <w:szCs w:val="28"/>
        </w:rPr>
        <w:t xml:space="preserve">, </w:t>
      </w:r>
      <w:r w:rsidR="0095713B" w:rsidRPr="00FA625D">
        <w:rPr>
          <w:sz w:val="28"/>
          <w:szCs w:val="28"/>
        </w:rPr>
        <w:t xml:space="preserve">riconducibili alla violazione di tale diritto, </w:t>
      </w:r>
      <w:r>
        <w:rPr>
          <w:sz w:val="28"/>
          <w:szCs w:val="28"/>
        </w:rPr>
        <w:t xml:space="preserve">avendo il diritto all’oblio rango di </w:t>
      </w:r>
      <w:r w:rsidR="0095713B" w:rsidRPr="00FA625D">
        <w:rPr>
          <w:sz w:val="28"/>
          <w:szCs w:val="28"/>
        </w:rPr>
        <w:t>diritt</w:t>
      </w:r>
      <w:r>
        <w:rPr>
          <w:sz w:val="28"/>
          <w:szCs w:val="28"/>
        </w:rPr>
        <w:t>o</w:t>
      </w:r>
      <w:r w:rsidR="0095713B" w:rsidRPr="00FA625D">
        <w:rPr>
          <w:sz w:val="28"/>
          <w:szCs w:val="28"/>
        </w:rPr>
        <w:t xml:space="preserve"> fondamental</w:t>
      </w:r>
      <w:r>
        <w:rPr>
          <w:sz w:val="28"/>
          <w:szCs w:val="28"/>
        </w:rPr>
        <w:t>e</w:t>
      </w:r>
      <w:r w:rsidR="0095713B" w:rsidRPr="00FA625D">
        <w:rPr>
          <w:sz w:val="28"/>
          <w:szCs w:val="28"/>
        </w:rPr>
        <w:t xml:space="preserve"> della persona</w:t>
      </w:r>
      <w:r>
        <w:rPr>
          <w:sz w:val="28"/>
          <w:szCs w:val="28"/>
        </w:rPr>
        <w:t>,</w:t>
      </w:r>
      <w:r w:rsidR="0095713B" w:rsidRPr="00FA625D">
        <w:rPr>
          <w:sz w:val="28"/>
          <w:szCs w:val="28"/>
        </w:rPr>
        <w:t xml:space="preserve"> per </w:t>
      </w:r>
      <w:r>
        <w:rPr>
          <w:sz w:val="28"/>
          <w:szCs w:val="28"/>
        </w:rPr>
        <w:t>cui</w:t>
      </w:r>
      <w:r w:rsidR="0095713B" w:rsidRPr="00FA625D">
        <w:rPr>
          <w:sz w:val="28"/>
          <w:szCs w:val="28"/>
        </w:rPr>
        <w:t xml:space="preserve"> è azionabile il risarcimento per danno da fatto illecito ex art. 2043 c.c. </w:t>
      </w:r>
      <w:r w:rsidR="0041738B">
        <w:rPr>
          <w:sz w:val="28"/>
          <w:szCs w:val="28"/>
        </w:rPr>
        <w:t>Per</w:t>
      </w:r>
      <w:r w:rsidR="0095713B" w:rsidRPr="00FA625D">
        <w:rPr>
          <w:sz w:val="28"/>
          <w:szCs w:val="28"/>
        </w:rPr>
        <w:t xml:space="preserve"> vedersi riconosciuto il danno non patrimoniale, chi agisce in giudizio </w:t>
      </w:r>
      <w:r>
        <w:rPr>
          <w:sz w:val="28"/>
          <w:szCs w:val="28"/>
        </w:rPr>
        <w:t>deve</w:t>
      </w:r>
      <w:r w:rsidR="0041738B">
        <w:rPr>
          <w:sz w:val="28"/>
          <w:szCs w:val="28"/>
        </w:rPr>
        <w:t>,</w:t>
      </w:r>
      <w:r>
        <w:rPr>
          <w:sz w:val="28"/>
          <w:szCs w:val="28"/>
        </w:rPr>
        <w:t xml:space="preserve"> tuttavia</w:t>
      </w:r>
      <w:r w:rsidR="0041738B">
        <w:rPr>
          <w:sz w:val="28"/>
          <w:szCs w:val="28"/>
        </w:rPr>
        <w:t>,</w:t>
      </w:r>
      <w:r>
        <w:rPr>
          <w:sz w:val="28"/>
          <w:szCs w:val="28"/>
        </w:rPr>
        <w:t xml:space="preserve"> </w:t>
      </w:r>
      <w:r w:rsidR="0095713B" w:rsidRPr="00FA625D">
        <w:rPr>
          <w:sz w:val="28"/>
          <w:szCs w:val="28"/>
        </w:rPr>
        <w:t>allega</w:t>
      </w:r>
      <w:r>
        <w:rPr>
          <w:sz w:val="28"/>
          <w:szCs w:val="28"/>
        </w:rPr>
        <w:t>re</w:t>
      </w:r>
      <w:r w:rsidR="0095713B" w:rsidRPr="00FA625D">
        <w:rPr>
          <w:sz w:val="28"/>
          <w:szCs w:val="28"/>
        </w:rPr>
        <w:t xml:space="preserve"> e prova</w:t>
      </w:r>
      <w:r>
        <w:rPr>
          <w:sz w:val="28"/>
          <w:szCs w:val="28"/>
        </w:rPr>
        <w:t>re tale danno</w:t>
      </w:r>
      <w:r w:rsidR="00225EF9" w:rsidRPr="00FA625D">
        <w:rPr>
          <w:rStyle w:val="Rimandonotaapidipagina"/>
          <w:sz w:val="28"/>
          <w:szCs w:val="28"/>
        </w:rPr>
        <w:footnoteReference w:id="233"/>
      </w:r>
      <w:r>
        <w:rPr>
          <w:sz w:val="28"/>
          <w:szCs w:val="28"/>
        </w:rPr>
        <w:t xml:space="preserve">. </w:t>
      </w:r>
      <w:r w:rsidR="0095713B" w:rsidRPr="00FA625D">
        <w:rPr>
          <w:sz w:val="28"/>
          <w:szCs w:val="28"/>
        </w:rPr>
        <w:t>Sotto il profilo della quantificazion</w:t>
      </w:r>
      <w:r>
        <w:rPr>
          <w:sz w:val="28"/>
          <w:szCs w:val="28"/>
        </w:rPr>
        <w:t>e</w:t>
      </w:r>
      <w:r w:rsidR="0095713B" w:rsidRPr="00FA625D">
        <w:rPr>
          <w:sz w:val="28"/>
          <w:szCs w:val="28"/>
        </w:rPr>
        <w:t>,</w:t>
      </w:r>
      <w:r>
        <w:rPr>
          <w:sz w:val="28"/>
          <w:szCs w:val="28"/>
        </w:rPr>
        <w:t xml:space="preserve"> il danno è</w:t>
      </w:r>
      <w:r w:rsidR="0095713B" w:rsidRPr="00FA625D">
        <w:rPr>
          <w:sz w:val="28"/>
          <w:szCs w:val="28"/>
        </w:rPr>
        <w:t xml:space="preserve"> calcolato perlopiù in via equitativa ex art. 1226 c.c.</w:t>
      </w:r>
      <w:r w:rsidR="00833D6B" w:rsidRPr="00FA625D">
        <w:rPr>
          <w:rStyle w:val="Rimandonotaapidipagina"/>
          <w:sz w:val="28"/>
          <w:szCs w:val="28"/>
        </w:rPr>
        <w:footnoteReference w:id="234"/>
      </w:r>
      <w:r w:rsidR="0095713B" w:rsidRPr="00FA625D">
        <w:rPr>
          <w:sz w:val="28"/>
          <w:szCs w:val="28"/>
        </w:rPr>
        <w:t>.</w:t>
      </w:r>
      <w:r w:rsidR="0092292E">
        <w:rPr>
          <w:sz w:val="28"/>
          <w:szCs w:val="28"/>
        </w:rPr>
        <w:br w:type="page"/>
      </w:r>
    </w:p>
    <w:p w14:paraId="09418DB6" w14:textId="2D1C479A" w:rsidR="00B57511" w:rsidRPr="00B57511" w:rsidRDefault="00B57511" w:rsidP="0095713B">
      <w:pPr>
        <w:pStyle w:val="NormaleWeb"/>
        <w:jc w:val="both"/>
        <w:rPr>
          <w:b/>
          <w:bCs/>
          <w:sz w:val="32"/>
          <w:szCs w:val="32"/>
        </w:rPr>
      </w:pPr>
      <w:r w:rsidRPr="00B57511">
        <w:rPr>
          <w:b/>
          <w:bCs/>
          <w:sz w:val="32"/>
          <w:szCs w:val="32"/>
        </w:rPr>
        <w:lastRenderedPageBreak/>
        <w:t>Capitolo</w:t>
      </w:r>
      <w:r w:rsidR="008F4198" w:rsidRPr="008F4198">
        <w:rPr>
          <w:b/>
          <w:bCs/>
          <w:sz w:val="32"/>
          <w:szCs w:val="32"/>
        </w:rPr>
        <w:t xml:space="preserve"> </w:t>
      </w:r>
      <w:r w:rsidR="008F4198">
        <w:rPr>
          <w:b/>
          <w:bCs/>
          <w:sz w:val="32"/>
          <w:szCs w:val="32"/>
        </w:rPr>
        <w:t>XIV</w:t>
      </w:r>
    </w:p>
    <w:p w14:paraId="7ECE1CC0" w14:textId="232A2B73" w:rsidR="00FA625D" w:rsidRPr="00C00FC1" w:rsidRDefault="00A12445" w:rsidP="00C00FC1">
      <w:pPr>
        <w:pStyle w:val="NormaleWeb"/>
        <w:jc w:val="both"/>
        <w:rPr>
          <w:b/>
          <w:bCs/>
          <w:sz w:val="32"/>
          <w:szCs w:val="32"/>
        </w:rPr>
      </w:pPr>
      <w:r>
        <w:rPr>
          <w:b/>
          <w:bCs/>
          <w:sz w:val="32"/>
          <w:szCs w:val="32"/>
        </w:rPr>
        <w:t>L</w:t>
      </w:r>
      <w:r w:rsidR="00B207E8">
        <w:rPr>
          <w:b/>
          <w:bCs/>
          <w:sz w:val="32"/>
          <w:szCs w:val="32"/>
        </w:rPr>
        <w:t>’“</w:t>
      </w:r>
      <w:r w:rsidR="00F805F6">
        <w:rPr>
          <w:b/>
          <w:bCs/>
          <w:sz w:val="32"/>
          <w:szCs w:val="32"/>
        </w:rPr>
        <w:t>eredità digitale</w:t>
      </w:r>
      <w:r w:rsidR="00B207E8">
        <w:rPr>
          <w:b/>
          <w:bCs/>
          <w:sz w:val="32"/>
          <w:szCs w:val="32"/>
        </w:rPr>
        <w:t>”</w:t>
      </w:r>
    </w:p>
    <w:p w14:paraId="3FCA77BB" w14:textId="1F04407F" w:rsidR="0095713B" w:rsidRPr="00484B4C" w:rsidRDefault="00EE1900" w:rsidP="00FA625D">
      <w:pPr>
        <w:pStyle w:val="NormaleWeb"/>
        <w:spacing w:before="0" w:beforeAutospacing="0" w:after="0" w:afterAutospacing="0"/>
        <w:jc w:val="both"/>
        <w:rPr>
          <w:sz w:val="28"/>
          <w:szCs w:val="28"/>
        </w:rPr>
      </w:pPr>
      <w:r>
        <w:rPr>
          <w:sz w:val="28"/>
          <w:szCs w:val="28"/>
        </w:rPr>
        <w:t xml:space="preserve">Infine, molto interessante è anche </w:t>
      </w:r>
      <w:r w:rsidR="00FA625D" w:rsidRPr="00484B4C">
        <w:rPr>
          <w:sz w:val="28"/>
          <w:szCs w:val="28"/>
        </w:rPr>
        <w:t>il tema dell’a</w:t>
      </w:r>
      <w:r w:rsidR="0095713B" w:rsidRPr="00484B4C">
        <w:rPr>
          <w:sz w:val="28"/>
          <w:szCs w:val="28"/>
        </w:rPr>
        <w:t xml:space="preserve">ccesso e </w:t>
      </w:r>
      <w:r>
        <w:rPr>
          <w:sz w:val="28"/>
          <w:szCs w:val="28"/>
        </w:rPr>
        <w:t xml:space="preserve">del </w:t>
      </w:r>
      <w:r w:rsidR="0095713B" w:rsidRPr="00484B4C">
        <w:rPr>
          <w:sz w:val="28"/>
          <w:szCs w:val="28"/>
        </w:rPr>
        <w:t>trasferimento dei dati di una persona deceduta</w:t>
      </w:r>
      <w:r w:rsidR="00FA625D" w:rsidRPr="00484B4C">
        <w:rPr>
          <w:sz w:val="28"/>
          <w:szCs w:val="28"/>
        </w:rPr>
        <w:t xml:space="preserve"> </w:t>
      </w:r>
      <w:r w:rsidR="00484B4C">
        <w:rPr>
          <w:sz w:val="28"/>
          <w:szCs w:val="28"/>
        </w:rPr>
        <w:t>(c.d.</w:t>
      </w:r>
      <w:r w:rsidR="00FA625D" w:rsidRPr="00484B4C">
        <w:rPr>
          <w:sz w:val="28"/>
          <w:szCs w:val="28"/>
        </w:rPr>
        <w:t xml:space="preserve"> “</w:t>
      </w:r>
      <w:r w:rsidR="00FA625D" w:rsidRPr="00484B4C">
        <w:rPr>
          <w:i/>
          <w:iCs/>
          <w:sz w:val="28"/>
          <w:szCs w:val="28"/>
        </w:rPr>
        <w:t>eredità digitale</w:t>
      </w:r>
      <w:r w:rsidR="00FA625D" w:rsidRPr="00484B4C">
        <w:rPr>
          <w:sz w:val="28"/>
          <w:szCs w:val="28"/>
        </w:rPr>
        <w:t>”</w:t>
      </w:r>
      <w:r w:rsidR="00484B4C">
        <w:rPr>
          <w:sz w:val="28"/>
          <w:szCs w:val="28"/>
        </w:rPr>
        <w:t>),</w:t>
      </w:r>
      <w:r w:rsidR="00484B4C" w:rsidRPr="00484B4C">
        <w:rPr>
          <w:sz w:val="28"/>
          <w:szCs w:val="28"/>
        </w:rPr>
        <w:t xml:space="preserve"> questione emersa </w:t>
      </w:r>
      <w:r>
        <w:rPr>
          <w:sz w:val="28"/>
          <w:szCs w:val="28"/>
        </w:rPr>
        <w:t>con l</w:t>
      </w:r>
      <w:r w:rsidR="0095713B" w:rsidRPr="00484B4C">
        <w:rPr>
          <w:sz w:val="28"/>
          <w:szCs w:val="28"/>
        </w:rPr>
        <w:t>’avvento</w:t>
      </w:r>
      <w:r>
        <w:rPr>
          <w:sz w:val="28"/>
          <w:szCs w:val="28"/>
        </w:rPr>
        <w:t xml:space="preserve"> e la diffusione</w:t>
      </w:r>
      <w:r w:rsidR="0095713B" w:rsidRPr="00484B4C">
        <w:rPr>
          <w:sz w:val="28"/>
          <w:szCs w:val="28"/>
        </w:rPr>
        <w:t xml:space="preserve"> della società digitale</w:t>
      </w:r>
      <w:r w:rsidR="00484B4C" w:rsidRPr="00484B4C">
        <w:rPr>
          <w:sz w:val="28"/>
          <w:szCs w:val="28"/>
        </w:rPr>
        <w:t xml:space="preserve">. </w:t>
      </w:r>
      <w:r>
        <w:rPr>
          <w:sz w:val="28"/>
          <w:szCs w:val="28"/>
        </w:rPr>
        <w:t xml:space="preserve">L’esigenza principale che pone la questione è quella di </w:t>
      </w:r>
      <w:r w:rsidR="0095713B" w:rsidRPr="00484B4C">
        <w:rPr>
          <w:sz w:val="28"/>
          <w:szCs w:val="28"/>
        </w:rPr>
        <w:t xml:space="preserve">stabilire </w:t>
      </w:r>
      <w:r>
        <w:rPr>
          <w:sz w:val="28"/>
          <w:szCs w:val="28"/>
        </w:rPr>
        <w:t>quali sono i soggetti che abbiano – e a</w:t>
      </w:r>
      <w:r w:rsidR="0095713B" w:rsidRPr="00484B4C">
        <w:rPr>
          <w:sz w:val="28"/>
          <w:szCs w:val="28"/>
        </w:rPr>
        <w:t xml:space="preserve"> quali condizioni</w:t>
      </w:r>
      <w:r>
        <w:rPr>
          <w:sz w:val="28"/>
          <w:szCs w:val="28"/>
        </w:rPr>
        <w:t xml:space="preserve"> –</w:t>
      </w:r>
      <w:r w:rsidR="0095713B" w:rsidRPr="00484B4C">
        <w:rPr>
          <w:sz w:val="28"/>
          <w:szCs w:val="28"/>
        </w:rPr>
        <w:t xml:space="preserve"> il diritto di accedere ai dati personali </w:t>
      </w:r>
      <w:r w:rsidR="0095713B" w:rsidRPr="00484B4C">
        <w:rPr>
          <w:i/>
          <w:iCs/>
          <w:sz w:val="28"/>
          <w:szCs w:val="28"/>
        </w:rPr>
        <w:t>online</w:t>
      </w:r>
      <w:r w:rsidR="0095713B" w:rsidRPr="00484B4C">
        <w:rPr>
          <w:sz w:val="28"/>
          <w:szCs w:val="28"/>
        </w:rPr>
        <w:t xml:space="preserve"> di una persona deceduta.</w:t>
      </w:r>
    </w:p>
    <w:p w14:paraId="6605789B" w14:textId="3D3916F5" w:rsidR="0095713B" w:rsidRPr="00FA625D" w:rsidRDefault="0095713B" w:rsidP="00FA625D">
      <w:pPr>
        <w:pStyle w:val="NormaleWeb"/>
        <w:spacing w:before="0" w:beforeAutospacing="0" w:after="0" w:afterAutospacing="0"/>
        <w:jc w:val="both"/>
        <w:rPr>
          <w:sz w:val="28"/>
          <w:szCs w:val="28"/>
        </w:rPr>
      </w:pPr>
      <w:r w:rsidRPr="00FA625D">
        <w:rPr>
          <w:sz w:val="28"/>
          <w:szCs w:val="28"/>
        </w:rPr>
        <w:t xml:space="preserve">Il fenomeno della </w:t>
      </w:r>
      <w:r w:rsidR="00885462">
        <w:rPr>
          <w:sz w:val="28"/>
          <w:szCs w:val="28"/>
        </w:rPr>
        <w:t>c.d.</w:t>
      </w:r>
      <w:r w:rsidRPr="00FA625D">
        <w:rPr>
          <w:sz w:val="28"/>
          <w:szCs w:val="28"/>
        </w:rPr>
        <w:t xml:space="preserve"> “</w:t>
      </w:r>
      <w:r w:rsidRPr="00885462">
        <w:rPr>
          <w:i/>
          <w:iCs/>
          <w:sz w:val="28"/>
          <w:szCs w:val="28"/>
        </w:rPr>
        <w:t>digitalizzazione</w:t>
      </w:r>
      <w:r w:rsidRPr="00FA625D">
        <w:rPr>
          <w:sz w:val="28"/>
          <w:szCs w:val="28"/>
        </w:rPr>
        <w:t xml:space="preserve">” dell’economia ha </w:t>
      </w:r>
      <w:r w:rsidR="00885462">
        <w:rPr>
          <w:sz w:val="28"/>
          <w:szCs w:val="28"/>
        </w:rPr>
        <w:t>comportato</w:t>
      </w:r>
      <w:r w:rsidRPr="00FA625D">
        <w:rPr>
          <w:sz w:val="28"/>
          <w:szCs w:val="28"/>
        </w:rPr>
        <w:t xml:space="preserve"> che </w:t>
      </w:r>
      <w:r w:rsidR="00885462">
        <w:rPr>
          <w:sz w:val="28"/>
          <w:szCs w:val="28"/>
        </w:rPr>
        <w:t xml:space="preserve">i </w:t>
      </w:r>
      <w:r w:rsidRPr="00FA625D">
        <w:rPr>
          <w:sz w:val="28"/>
          <w:szCs w:val="28"/>
        </w:rPr>
        <w:t xml:space="preserve">beni immateriali e </w:t>
      </w:r>
      <w:r w:rsidR="00885462">
        <w:rPr>
          <w:sz w:val="28"/>
          <w:szCs w:val="28"/>
        </w:rPr>
        <w:t xml:space="preserve">gli </w:t>
      </w:r>
      <w:proofErr w:type="spellStart"/>
      <w:r w:rsidRPr="00885462">
        <w:rPr>
          <w:i/>
          <w:iCs/>
          <w:sz w:val="28"/>
          <w:szCs w:val="28"/>
        </w:rPr>
        <w:t>asset</w:t>
      </w:r>
      <w:proofErr w:type="spellEnd"/>
      <w:r w:rsidRPr="00FA625D">
        <w:rPr>
          <w:sz w:val="28"/>
          <w:szCs w:val="28"/>
        </w:rPr>
        <w:t xml:space="preserve"> intangibili </w:t>
      </w:r>
      <w:r w:rsidR="00885462">
        <w:rPr>
          <w:sz w:val="28"/>
          <w:szCs w:val="28"/>
        </w:rPr>
        <w:t>sono entrati</w:t>
      </w:r>
      <w:r w:rsidRPr="00FA625D">
        <w:rPr>
          <w:sz w:val="28"/>
          <w:szCs w:val="28"/>
        </w:rPr>
        <w:t xml:space="preserve"> a far parte della massa ereditaria, </w:t>
      </w:r>
      <w:r w:rsidR="00885462">
        <w:rPr>
          <w:sz w:val="28"/>
          <w:szCs w:val="28"/>
        </w:rPr>
        <w:t>creando</w:t>
      </w:r>
      <w:r w:rsidRPr="00FA625D">
        <w:rPr>
          <w:sz w:val="28"/>
          <w:szCs w:val="28"/>
        </w:rPr>
        <w:t xml:space="preserve"> il problema </w:t>
      </w:r>
      <w:r w:rsidR="00885462">
        <w:rPr>
          <w:sz w:val="28"/>
          <w:szCs w:val="28"/>
        </w:rPr>
        <w:t>relativo all’individuazione dell</w:t>
      </w:r>
      <w:r w:rsidRPr="00FA625D">
        <w:rPr>
          <w:sz w:val="28"/>
          <w:szCs w:val="28"/>
        </w:rPr>
        <w:t xml:space="preserve">e regole di ripartizione della stessa. Inoltre, soprattutto a causa dell’avvento dei </w:t>
      </w:r>
      <w:r w:rsidRPr="00885462">
        <w:rPr>
          <w:i/>
          <w:iCs/>
          <w:sz w:val="28"/>
          <w:szCs w:val="28"/>
        </w:rPr>
        <w:t>social media</w:t>
      </w:r>
      <w:r w:rsidRPr="00FA625D">
        <w:rPr>
          <w:sz w:val="28"/>
          <w:szCs w:val="28"/>
        </w:rPr>
        <w:t>, un’enorme quantità di</w:t>
      </w:r>
      <w:r w:rsidR="002D29DD" w:rsidRPr="00FA625D">
        <w:rPr>
          <w:sz w:val="28"/>
          <w:szCs w:val="28"/>
        </w:rPr>
        <w:t xml:space="preserve"> </w:t>
      </w:r>
      <w:r w:rsidRPr="00FA625D">
        <w:rPr>
          <w:sz w:val="28"/>
          <w:szCs w:val="28"/>
        </w:rPr>
        <w:t xml:space="preserve">dati personali resta disponibile </w:t>
      </w:r>
      <w:r w:rsidRPr="00885462">
        <w:rPr>
          <w:i/>
          <w:iCs/>
          <w:sz w:val="28"/>
          <w:szCs w:val="28"/>
        </w:rPr>
        <w:t>online</w:t>
      </w:r>
      <w:r w:rsidRPr="00FA625D">
        <w:rPr>
          <w:sz w:val="28"/>
          <w:szCs w:val="28"/>
        </w:rPr>
        <w:t xml:space="preserve"> </w:t>
      </w:r>
      <w:r w:rsidR="00885462">
        <w:rPr>
          <w:sz w:val="28"/>
          <w:szCs w:val="28"/>
        </w:rPr>
        <w:t xml:space="preserve">sul web </w:t>
      </w:r>
      <w:r w:rsidRPr="00FA625D">
        <w:rPr>
          <w:sz w:val="28"/>
          <w:szCs w:val="28"/>
        </w:rPr>
        <w:t xml:space="preserve">anche </w:t>
      </w:r>
      <w:r w:rsidR="00885462">
        <w:rPr>
          <w:sz w:val="28"/>
          <w:szCs w:val="28"/>
        </w:rPr>
        <w:t>durante la</w:t>
      </w:r>
      <w:r w:rsidRPr="00FA625D">
        <w:rPr>
          <w:sz w:val="28"/>
          <w:szCs w:val="28"/>
        </w:rPr>
        <w:t xml:space="preserve"> fase </w:t>
      </w:r>
      <w:r w:rsidRPr="00885462">
        <w:rPr>
          <w:i/>
          <w:iCs/>
          <w:sz w:val="28"/>
          <w:szCs w:val="28"/>
        </w:rPr>
        <w:t xml:space="preserve">post </w:t>
      </w:r>
      <w:proofErr w:type="spellStart"/>
      <w:r w:rsidRPr="00885462">
        <w:rPr>
          <w:i/>
          <w:iCs/>
          <w:sz w:val="28"/>
          <w:szCs w:val="28"/>
        </w:rPr>
        <w:t>mortem</w:t>
      </w:r>
      <w:proofErr w:type="spellEnd"/>
      <w:r w:rsidRPr="00FA625D">
        <w:rPr>
          <w:sz w:val="28"/>
          <w:szCs w:val="28"/>
        </w:rPr>
        <w:t xml:space="preserve">, </w:t>
      </w:r>
      <w:r w:rsidR="00885462">
        <w:rPr>
          <w:sz w:val="28"/>
          <w:szCs w:val="28"/>
        </w:rPr>
        <w:t>facendo sorgere</w:t>
      </w:r>
      <w:r w:rsidRPr="00FA625D">
        <w:rPr>
          <w:sz w:val="28"/>
          <w:szCs w:val="28"/>
        </w:rPr>
        <w:t xml:space="preserve"> </w:t>
      </w:r>
      <w:r w:rsidR="00EB0DE5">
        <w:rPr>
          <w:sz w:val="28"/>
          <w:szCs w:val="28"/>
        </w:rPr>
        <w:t>anche la problematica</w:t>
      </w:r>
      <w:r w:rsidRPr="00FA625D">
        <w:rPr>
          <w:sz w:val="28"/>
          <w:szCs w:val="28"/>
        </w:rPr>
        <w:t xml:space="preserve"> </w:t>
      </w:r>
      <w:r w:rsidR="00EB0DE5">
        <w:rPr>
          <w:sz w:val="28"/>
          <w:szCs w:val="28"/>
        </w:rPr>
        <w:t>concernente</w:t>
      </w:r>
      <w:r w:rsidRPr="00FA625D">
        <w:rPr>
          <w:sz w:val="28"/>
          <w:szCs w:val="28"/>
        </w:rPr>
        <w:t xml:space="preserve"> </w:t>
      </w:r>
      <w:r w:rsidR="00EB0DE5">
        <w:rPr>
          <w:sz w:val="28"/>
          <w:szCs w:val="28"/>
        </w:rPr>
        <w:t>il</w:t>
      </w:r>
      <w:r w:rsidRPr="00FA625D">
        <w:rPr>
          <w:sz w:val="28"/>
          <w:szCs w:val="28"/>
        </w:rPr>
        <w:t xml:space="preserve"> controllo di tali dati. </w:t>
      </w:r>
      <w:r w:rsidR="00EB0DE5">
        <w:rPr>
          <w:sz w:val="28"/>
          <w:szCs w:val="28"/>
        </w:rPr>
        <w:t xml:space="preserve">Il fulcro della questione è che i </w:t>
      </w:r>
      <w:r w:rsidRPr="00FA625D">
        <w:rPr>
          <w:sz w:val="28"/>
          <w:szCs w:val="28"/>
        </w:rPr>
        <w:t xml:space="preserve">dati </w:t>
      </w:r>
      <w:r w:rsidR="00EB0DE5">
        <w:rPr>
          <w:sz w:val="28"/>
          <w:szCs w:val="28"/>
        </w:rPr>
        <w:t>vengono</w:t>
      </w:r>
      <w:r w:rsidR="00AB39B5">
        <w:rPr>
          <w:sz w:val="28"/>
          <w:szCs w:val="28"/>
        </w:rPr>
        <w:t xml:space="preserve"> </w:t>
      </w:r>
      <w:r w:rsidRPr="00FA625D">
        <w:rPr>
          <w:sz w:val="28"/>
          <w:szCs w:val="28"/>
        </w:rPr>
        <w:t xml:space="preserve">affidati </w:t>
      </w:r>
      <w:r w:rsidR="00EB0DE5">
        <w:rPr>
          <w:sz w:val="28"/>
          <w:szCs w:val="28"/>
        </w:rPr>
        <w:t>all’intermediario</w:t>
      </w:r>
      <w:r w:rsidRPr="00FA625D">
        <w:rPr>
          <w:sz w:val="28"/>
          <w:szCs w:val="28"/>
        </w:rPr>
        <w:t xml:space="preserve"> professionista (</w:t>
      </w:r>
      <w:r w:rsidR="00EB0DE5">
        <w:rPr>
          <w:sz w:val="28"/>
          <w:szCs w:val="28"/>
        </w:rPr>
        <w:t xml:space="preserve">ossia </w:t>
      </w:r>
      <w:r w:rsidRPr="00FA625D">
        <w:rPr>
          <w:sz w:val="28"/>
          <w:szCs w:val="28"/>
        </w:rPr>
        <w:t>la piattaforma)</w:t>
      </w:r>
      <w:r w:rsidR="00AB39B5">
        <w:rPr>
          <w:sz w:val="28"/>
          <w:szCs w:val="28"/>
        </w:rPr>
        <w:t xml:space="preserve">, </w:t>
      </w:r>
      <w:r w:rsidRPr="00FA625D">
        <w:rPr>
          <w:sz w:val="28"/>
          <w:szCs w:val="28"/>
        </w:rPr>
        <w:t>in virtù di accordi contrattuali che</w:t>
      </w:r>
      <w:r w:rsidR="00AB39B5">
        <w:rPr>
          <w:sz w:val="28"/>
          <w:szCs w:val="28"/>
        </w:rPr>
        <w:t>, tuttavia,</w:t>
      </w:r>
      <w:r w:rsidRPr="00FA625D">
        <w:rPr>
          <w:sz w:val="28"/>
          <w:szCs w:val="28"/>
        </w:rPr>
        <w:t xml:space="preserve"> in molti casi prevedono espressamente la loro </w:t>
      </w:r>
      <w:proofErr w:type="spellStart"/>
      <w:r w:rsidRPr="00AB39B5">
        <w:rPr>
          <w:i/>
          <w:iCs/>
          <w:sz w:val="28"/>
          <w:szCs w:val="28"/>
        </w:rPr>
        <w:t>intrasmissibilità</w:t>
      </w:r>
      <w:proofErr w:type="spellEnd"/>
      <w:r w:rsidRPr="00AB39B5">
        <w:rPr>
          <w:i/>
          <w:iCs/>
          <w:sz w:val="28"/>
          <w:szCs w:val="28"/>
        </w:rPr>
        <w:t xml:space="preserve"> </w:t>
      </w:r>
      <w:proofErr w:type="spellStart"/>
      <w:r w:rsidRPr="00AB39B5">
        <w:rPr>
          <w:i/>
          <w:iCs/>
          <w:sz w:val="28"/>
          <w:szCs w:val="28"/>
        </w:rPr>
        <w:t>mortis</w:t>
      </w:r>
      <w:proofErr w:type="spellEnd"/>
      <w:r w:rsidRPr="00AB39B5">
        <w:rPr>
          <w:i/>
          <w:iCs/>
          <w:sz w:val="28"/>
          <w:szCs w:val="28"/>
        </w:rPr>
        <w:t xml:space="preserve"> causa</w:t>
      </w:r>
      <w:r w:rsidRPr="00FA625D">
        <w:rPr>
          <w:sz w:val="28"/>
          <w:szCs w:val="28"/>
        </w:rPr>
        <w:t>, in contrasto con la disciplina in materia di successioni.</w:t>
      </w:r>
    </w:p>
    <w:p w14:paraId="4195FB03" w14:textId="77777777" w:rsidR="002B4945" w:rsidRDefault="00AB39B5" w:rsidP="00FA625D">
      <w:pPr>
        <w:pStyle w:val="NormaleWeb"/>
        <w:spacing w:before="0" w:beforeAutospacing="0" w:after="0" w:afterAutospacing="0"/>
        <w:jc w:val="both"/>
        <w:rPr>
          <w:sz w:val="28"/>
          <w:szCs w:val="28"/>
        </w:rPr>
      </w:pPr>
      <w:r>
        <w:rPr>
          <w:sz w:val="28"/>
          <w:szCs w:val="28"/>
        </w:rPr>
        <w:t xml:space="preserve">Inoltre, un altro problema </w:t>
      </w:r>
      <w:r w:rsidR="0095713B" w:rsidRPr="00FA625D">
        <w:rPr>
          <w:sz w:val="28"/>
          <w:szCs w:val="28"/>
        </w:rPr>
        <w:t xml:space="preserve">è </w:t>
      </w:r>
      <w:r>
        <w:rPr>
          <w:sz w:val="28"/>
          <w:szCs w:val="28"/>
        </w:rPr>
        <w:t xml:space="preserve">quello </w:t>
      </w:r>
      <w:r w:rsidR="0095713B" w:rsidRPr="00FA625D">
        <w:rPr>
          <w:sz w:val="28"/>
          <w:szCs w:val="28"/>
        </w:rPr>
        <w:t xml:space="preserve">legato all’eterogeneità dei beni qualificabili come facenti parte dell’eredità digitale. </w:t>
      </w:r>
      <w:r>
        <w:rPr>
          <w:sz w:val="28"/>
          <w:szCs w:val="28"/>
        </w:rPr>
        <w:t>Infatti, oltre</w:t>
      </w:r>
      <w:r w:rsidR="0095713B" w:rsidRPr="00FA625D">
        <w:rPr>
          <w:sz w:val="28"/>
          <w:szCs w:val="28"/>
        </w:rPr>
        <w:t xml:space="preserve"> ai dati presenti sui </w:t>
      </w:r>
      <w:r w:rsidR="0095713B" w:rsidRPr="00EB5A71">
        <w:rPr>
          <w:i/>
          <w:iCs/>
          <w:sz w:val="28"/>
          <w:szCs w:val="28"/>
        </w:rPr>
        <w:t>social media</w:t>
      </w:r>
      <w:r w:rsidR="0095713B" w:rsidRPr="00FA625D">
        <w:rPr>
          <w:sz w:val="28"/>
          <w:szCs w:val="28"/>
        </w:rPr>
        <w:t xml:space="preserve">, vi rientrerebbero, ad esempio, i documenti digitali </w:t>
      </w:r>
      <w:r w:rsidR="0095713B" w:rsidRPr="00EB5A71">
        <w:rPr>
          <w:i/>
          <w:iCs/>
          <w:sz w:val="28"/>
          <w:szCs w:val="28"/>
        </w:rPr>
        <w:t>offline</w:t>
      </w:r>
      <w:r w:rsidR="0095713B" w:rsidRPr="00FA625D">
        <w:rPr>
          <w:sz w:val="28"/>
          <w:szCs w:val="28"/>
        </w:rPr>
        <w:t xml:space="preserve"> e quelli conservati grazie a servizi di </w:t>
      </w:r>
      <w:proofErr w:type="spellStart"/>
      <w:r w:rsidR="0095713B" w:rsidRPr="00EB5A71">
        <w:rPr>
          <w:i/>
          <w:iCs/>
          <w:sz w:val="28"/>
          <w:szCs w:val="28"/>
        </w:rPr>
        <w:t>cloud</w:t>
      </w:r>
      <w:proofErr w:type="spellEnd"/>
      <w:r w:rsidR="0095713B" w:rsidRPr="00EB5A71">
        <w:rPr>
          <w:i/>
          <w:iCs/>
          <w:sz w:val="28"/>
          <w:szCs w:val="28"/>
        </w:rPr>
        <w:t xml:space="preserve"> </w:t>
      </w:r>
      <w:proofErr w:type="spellStart"/>
      <w:r w:rsidR="0095713B" w:rsidRPr="00EB5A71">
        <w:rPr>
          <w:i/>
          <w:iCs/>
          <w:sz w:val="28"/>
          <w:szCs w:val="28"/>
        </w:rPr>
        <w:t>computing</w:t>
      </w:r>
      <w:proofErr w:type="spellEnd"/>
      <w:r w:rsidR="0095713B" w:rsidRPr="00FA625D">
        <w:rPr>
          <w:sz w:val="28"/>
          <w:szCs w:val="28"/>
        </w:rPr>
        <w:t xml:space="preserve">, i profili </w:t>
      </w:r>
      <w:r w:rsidR="0095713B" w:rsidRPr="00EB5A71">
        <w:rPr>
          <w:i/>
          <w:iCs/>
          <w:sz w:val="28"/>
          <w:szCs w:val="28"/>
        </w:rPr>
        <w:t>online</w:t>
      </w:r>
      <w:r w:rsidR="0095713B" w:rsidRPr="00FA625D">
        <w:rPr>
          <w:sz w:val="28"/>
          <w:szCs w:val="28"/>
        </w:rPr>
        <w:t xml:space="preserve">, sia professionali che personali, i dati relativi a giochi virtuali, gli </w:t>
      </w:r>
      <w:r w:rsidR="0095713B" w:rsidRPr="00EB5A71">
        <w:rPr>
          <w:i/>
          <w:iCs/>
          <w:sz w:val="28"/>
          <w:szCs w:val="28"/>
        </w:rPr>
        <w:t>accounts</w:t>
      </w:r>
      <w:r w:rsidR="0095713B" w:rsidRPr="00FA625D">
        <w:rPr>
          <w:sz w:val="28"/>
          <w:szCs w:val="28"/>
        </w:rPr>
        <w:t xml:space="preserve">, le </w:t>
      </w:r>
      <w:proofErr w:type="spellStart"/>
      <w:r w:rsidR="0095713B" w:rsidRPr="00FA625D">
        <w:rPr>
          <w:sz w:val="28"/>
          <w:szCs w:val="28"/>
        </w:rPr>
        <w:t>criptovalute</w:t>
      </w:r>
      <w:proofErr w:type="spellEnd"/>
      <w:r w:rsidR="0095713B" w:rsidRPr="00FA625D">
        <w:rPr>
          <w:sz w:val="28"/>
          <w:szCs w:val="28"/>
        </w:rPr>
        <w:t xml:space="preserve">, i nomi di dominio. </w:t>
      </w:r>
      <w:r w:rsidR="00EB5A71">
        <w:rPr>
          <w:sz w:val="28"/>
          <w:szCs w:val="28"/>
        </w:rPr>
        <w:t>Per</w:t>
      </w:r>
      <w:r w:rsidR="0095713B" w:rsidRPr="00FA625D">
        <w:rPr>
          <w:sz w:val="28"/>
          <w:szCs w:val="28"/>
        </w:rPr>
        <w:t xml:space="preserve"> fare chiarezza sulla questione, si </w:t>
      </w:r>
      <w:r w:rsidR="00EB5A71">
        <w:rPr>
          <w:sz w:val="28"/>
          <w:szCs w:val="28"/>
        </w:rPr>
        <w:t>possono</w:t>
      </w:r>
      <w:r w:rsidR="002B4945">
        <w:rPr>
          <w:sz w:val="28"/>
          <w:szCs w:val="28"/>
        </w:rPr>
        <w:t xml:space="preserve"> </w:t>
      </w:r>
      <w:r w:rsidR="0095713B" w:rsidRPr="00FA625D">
        <w:rPr>
          <w:sz w:val="28"/>
          <w:szCs w:val="28"/>
        </w:rPr>
        <w:t xml:space="preserve">suddividere tutti questi elementi in </w:t>
      </w:r>
      <w:r w:rsidR="00EB5A71" w:rsidRPr="00FA625D">
        <w:rPr>
          <w:sz w:val="28"/>
          <w:szCs w:val="28"/>
        </w:rPr>
        <w:t xml:space="preserve">almeno </w:t>
      </w:r>
      <w:r w:rsidR="0095713B" w:rsidRPr="00FA625D">
        <w:rPr>
          <w:sz w:val="28"/>
          <w:szCs w:val="28"/>
        </w:rPr>
        <w:t>due categorie</w:t>
      </w:r>
      <w:r w:rsidR="002B4945">
        <w:rPr>
          <w:sz w:val="28"/>
          <w:szCs w:val="28"/>
        </w:rPr>
        <w:t>.</w:t>
      </w:r>
    </w:p>
    <w:p w14:paraId="4E3DAC25" w14:textId="2F01D7B1" w:rsidR="002B4945" w:rsidRDefault="002B4945" w:rsidP="00FA625D">
      <w:pPr>
        <w:pStyle w:val="NormaleWeb"/>
        <w:spacing w:before="0" w:beforeAutospacing="0" w:after="0" w:afterAutospacing="0"/>
        <w:jc w:val="both"/>
        <w:rPr>
          <w:sz w:val="28"/>
          <w:szCs w:val="28"/>
        </w:rPr>
      </w:pPr>
      <w:r>
        <w:rPr>
          <w:sz w:val="28"/>
          <w:szCs w:val="28"/>
        </w:rPr>
        <w:t>Da un lato, vi sono i</w:t>
      </w:r>
      <w:r w:rsidR="0095713B" w:rsidRPr="00FA625D">
        <w:rPr>
          <w:sz w:val="28"/>
          <w:szCs w:val="28"/>
        </w:rPr>
        <w:t xml:space="preserve"> beni a connotazione prettamente patrimoniale (es. le </w:t>
      </w:r>
      <w:proofErr w:type="spellStart"/>
      <w:r w:rsidR="0095713B" w:rsidRPr="00FA625D">
        <w:rPr>
          <w:sz w:val="28"/>
          <w:szCs w:val="28"/>
        </w:rPr>
        <w:t>criptovalute</w:t>
      </w:r>
      <w:proofErr w:type="spellEnd"/>
      <w:r w:rsidR="0095713B" w:rsidRPr="00FA625D">
        <w:rPr>
          <w:sz w:val="28"/>
          <w:szCs w:val="28"/>
        </w:rPr>
        <w:t>) e</w:t>
      </w:r>
      <w:r>
        <w:rPr>
          <w:sz w:val="28"/>
          <w:szCs w:val="28"/>
        </w:rPr>
        <w:t xml:space="preserve"> dall’altro,</w:t>
      </w:r>
      <w:r w:rsidR="0095713B" w:rsidRPr="00FA625D">
        <w:rPr>
          <w:sz w:val="28"/>
          <w:szCs w:val="28"/>
        </w:rPr>
        <w:t xml:space="preserve"> quelli di carattere personale (es. profili </w:t>
      </w:r>
      <w:r w:rsidR="0095713B" w:rsidRPr="002B4945">
        <w:rPr>
          <w:i/>
          <w:iCs/>
          <w:sz w:val="28"/>
          <w:szCs w:val="28"/>
        </w:rPr>
        <w:t>social</w:t>
      </w:r>
      <w:r w:rsidR="0095713B" w:rsidRPr="00FA625D">
        <w:rPr>
          <w:sz w:val="28"/>
          <w:szCs w:val="28"/>
        </w:rPr>
        <w:t>).</w:t>
      </w:r>
    </w:p>
    <w:p w14:paraId="418DB24D" w14:textId="77777777" w:rsidR="00130F6D" w:rsidRDefault="0095713B" w:rsidP="00FA625D">
      <w:pPr>
        <w:pStyle w:val="NormaleWeb"/>
        <w:spacing w:before="0" w:beforeAutospacing="0" w:after="0" w:afterAutospacing="0"/>
        <w:jc w:val="both"/>
        <w:rPr>
          <w:sz w:val="28"/>
          <w:szCs w:val="28"/>
        </w:rPr>
      </w:pPr>
      <w:r w:rsidRPr="00FA625D">
        <w:rPr>
          <w:sz w:val="28"/>
          <w:szCs w:val="28"/>
        </w:rPr>
        <w:t xml:space="preserve">Da questa distinzione deriverebbe l’applicabilità di regole diverse per l’una e l’altra categoria, individuate sulla base delle caratteristiche dei beni. </w:t>
      </w:r>
    </w:p>
    <w:p w14:paraId="71D3E3D2" w14:textId="77777777" w:rsidR="00130F6D" w:rsidRDefault="0078547A" w:rsidP="00FA625D">
      <w:pPr>
        <w:pStyle w:val="NormaleWeb"/>
        <w:spacing w:before="0" w:beforeAutospacing="0" w:after="0" w:afterAutospacing="0"/>
        <w:jc w:val="both"/>
        <w:rPr>
          <w:sz w:val="28"/>
          <w:szCs w:val="28"/>
        </w:rPr>
      </w:pPr>
      <w:r>
        <w:rPr>
          <w:sz w:val="28"/>
          <w:szCs w:val="28"/>
        </w:rPr>
        <w:t>È</w:t>
      </w:r>
      <w:r w:rsidR="0095713B" w:rsidRPr="00FA625D">
        <w:rPr>
          <w:sz w:val="28"/>
          <w:szCs w:val="28"/>
        </w:rPr>
        <w:t xml:space="preserve"> una distinzione </w:t>
      </w:r>
      <w:r>
        <w:rPr>
          <w:sz w:val="28"/>
          <w:szCs w:val="28"/>
        </w:rPr>
        <w:t xml:space="preserve">apparentemente </w:t>
      </w:r>
      <w:r w:rsidR="0095713B" w:rsidRPr="00FA625D">
        <w:rPr>
          <w:sz w:val="28"/>
          <w:szCs w:val="28"/>
        </w:rPr>
        <w:t xml:space="preserve">semplice </w:t>
      </w:r>
      <w:r>
        <w:rPr>
          <w:sz w:val="28"/>
          <w:szCs w:val="28"/>
        </w:rPr>
        <w:t>in teoria, ma più complicata da effettuare nella pratica</w:t>
      </w:r>
      <w:r w:rsidR="0095713B" w:rsidRPr="00FA625D">
        <w:rPr>
          <w:sz w:val="28"/>
          <w:szCs w:val="28"/>
        </w:rPr>
        <w:t xml:space="preserve">, dal momento che in molti casi vi è una sovrapposizione dei caratteri. </w:t>
      </w:r>
    </w:p>
    <w:p w14:paraId="3CE39F5A" w14:textId="036511AC" w:rsidR="00130F6D" w:rsidRPr="00FA625D" w:rsidRDefault="0078547A" w:rsidP="00FA625D">
      <w:pPr>
        <w:pStyle w:val="NormaleWeb"/>
        <w:spacing w:before="0" w:beforeAutospacing="0" w:after="0" w:afterAutospacing="0"/>
        <w:jc w:val="both"/>
        <w:rPr>
          <w:sz w:val="28"/>
          <w:szCs w:val="28"/>
        </w:rPr>
      </w:pPr>
      <w:r>
        <w:rPr>
          <w:sz w:val="28"/>
          <w:szCs w:val="28"/>
        </w:rPr>
        <w:t>Si</w:t>
      </w:r>
      <w:r w:rsidR="0095713B" w:rsidRPr="00FA625D">
        <w:rPr>
          <w:sz w:val="28"/>
          <w:szCs w:val="28"/>
        </w:rPr>
        <w:t xml:space="preserve"> aggiung</w:t>
      </w:r>
      <w:r>
        <w:rPr>
          <w:sz w:val="28"/>
          <w:szCs w:val="28"/>
        </w:rPr>
        <w:t>o</w:t>
      </w:r>
      <w:r w:rsidR="0095713B" w:rsidRPr="00FA625D">
        <w:rPr>
          <w:sz w:val="28"/>
          <w:szCs w:val="28"/>
        </w:rPr>
        <w:t>no gli ormai noti problemi legati al carattere transnazionale delle questioni.</w:t>
      </w:r>
    </w:p>
    <w:p w14:paraId="28CBF0CD" w14:textId="77777777" w:rsidR="00130F6D" w:rsidRDefault="0078547A" w:rsidP="00FA625D">
      <w:pPr>
        <w:pStyle w:val="NormaleWeb"/>
        <w:spacing w:before="0" w:beforeAutospacing="0" w:after="0" w:afterAutospacing="0"/>
        <w:jc w:val="both"/>
        <w:rPr>
          <w:sz w:val="28"/>
          <w:szCs w:val="28"/>
        </w:rPr>
      </w:pPr>
      <w:r>
        <w:rPr>
          <w:sz w:val="28"/>
          <w:szCs w:val="28"/>
        </w:rPr>
        <w:t>Con</w:t>
      </w:r>
      <w:r w:rsidR="0095713B" w:rsidRPr="00FA625D">
        <w:rPr>
          <w:sz w:val="28"/>
          <w:szCs w:val="28"/>
        </w:rPr>
        <w:t xml:space="preserve"> il </w:t>
      </w:r>
      <w:r>
        <w:rPr>
          <w:sz w:val="28"/>
          <w:szCs w:val="28"/>
        </w:rPr>
        <w:t>D</w:t>
      </w:r>
      <w:r w:rsidR="0095713B" w:rsidRPr="00FA625D">
        <w:rPr>
          <w:sz w:val="28"/>
          <w:szCs w:val="28"/>
        </w:rPr>
        <w:t xml:space="preserve">.lgs. n. 101 del 2018, che ha novellato il Codice </w:t>
      </w:r>
      <w:r>
        <w:rPr>
          <w:sz w:val="28"/>
          <w:szCs w:val="28"/>
        </w:rPr>
        <w:t xml:space="preserve">della </w:t>
      </w:r>
      <w:r w:rsidR="0095713B" w:rsidRPr="00FA625D">
        <w:rPr>
          <w:sz w:val="28"/>
          <w:szCs w:val="28"/>
        </w:rPr>
        <w:t xml:space="preserve">Privacy, il legislatore </w:t>
      </w:r>
      <w:r>
        <w:rPr>
          <w:sz w:val="28"/>
          <w:szCs w:val="28"/>
        </w:rPr>
        <w:t xml:space="preserve">italiano </w:t>
      </w:r>
      <w:r w:rsidR="0095713B" w:rsidRPr="00FA625D">
        <w:rPr>
          <w:sz w:val="28"/>
          <w:szCs w:val="28"/>
        </w:rPr>
        <w:t>è intervenuto sul tema introducendo l’art. 2</w:t>
      </w:r>
      <w:r w:rsidR="00130F6D">
        <w:rPr>
          <w:sz w:val="28"/>
          <w:szCs w:val="28"/>
        </w:rPr>
        <w:t>-</w:t>
      </w:r>
      <w:r w:rsidR="0095713B" w:rsidRPr="00FA625D">
        <w:rPr>
          <w:sz w:val="28"/>
          <w:szCs w:val="28"/>
        </w:rPr>
        <w:t>terdecies</w:t>
      </w:r>
      <w:r w:rsidR="00220ABC">
        <w:rPr>
          <w:rStyle w:val="Rimandonotaapidipagina"/>
          <w:sz w:val="28"/>
          <w:szCs w:val="28"/>
        </w:rPr>
        <w:footnoteReference w:id="235"/>
      </w:r>
      <w:r w:rsidR="0095713B" w:rsidRPr="00FA625D">
        <w:rPr>
          <w:sz w:val="28"/>
          <w:szCs w:val="28"/>
        </w:rPr>
        <w:t xml:space="preserve">. </w:t>
      </w:r>
    </w:p>
    <w:p w14:paraId="006D43EF" w14:textId="1A1C11E9" w:rsidR="0095713B" w:rsidRPr="00FA625D" w:rsidRDefault="00BE41D9" w:rsidP="00FA625D">
      <w:pPr>
        <w:pStyle w:val="NormaleWeb"/>
        <w:spacing w:before="0" w:beforeAutospacing="0" w:after="0" w:afterAutospacing="0"/>
        <w:jc w:val="both"/>
        <w:rPr>
          <w:sz w:val="28"/>
          <w:szCs w:val="28"/>
        </w:rPr>
      </w:pPr>
      <w:r>
        <w:rPr>
          <w:sz w:val="28"/>
          <w:szCs w:val="28"/>
        </w:rPr>
        <w:lastRenderedPageBreak/>
        <w:t>È</w:t>
      </w:r>
      <w:r w:rsidR="0095713B" w:rsidRPr="00FA625D">
        <w:rPr>
          <w:sz w:val="28"/>
          <w:szCs w:val="28"/>
        </w:rPr>
        <w:t xml:space="preserve"> una norma molto rilevante</w:t>
      </w:r>
      <w:r w:rsidR="00220ABC">
        <w:rPr>
          <w:sz w:val="28"/>
          <w:szCs w:val="28"/>
        </w:rPr>
        <w:t>,</w:t>
      </w:r>
      <w:r w:rsidR="0095713B" w:rsidRPr="00FA625D">
        <w:rPr>
          <w:sz w:val="28"/>
          <w:szCs w:val="28"/>
        </w:rPr>
        <w:t xml:space="preserve"> anche </w:t>
      </w:r>
      <w:r w:rsidR="00220ABC">
        <w:rPr>
          <w:sz w:val="28"/>
          <w:szCs w:val="28"/>
        </w:rPr>
        <w:t xml:space="preserve">perché </w:t>
      </w:r>
      <w:r w:rsidR="0095713B" w:rsidRPr="00FA625D">
        <w:rPr>
          <w:sz w:val="28"/>
          <w:szCs w:val="28"/>
        </w:rPr>
        <w:t xml:space="preserve">il </w:t>
      </w:r>
      <w:r w:rsidR="00130F6D">
        <w:rPr>
          <w:sz w:val="28"/>
          <w:szCs w:val="28"/>
        </w:rPr>
        <w:t>C</w:t>
      </w:r>
      <w:r w:rsidR="0095713B" w:rsidRPr="00FA625D">
        <w:rPr>
          <w:sz w:val="28"/>
          <w:szCs w:val="28"/>
        </w:rPr>
        <w:t>onsiderando 27 del GDPR afferm</w:t>
      </w:r>
      <w:r w:rsidR="00220ABC">
        <w:rPr>
          <w:sz w:val="28"/>
          <w:szCs w:val="28"/>
        </w:rPr>
        <w:t>a</w:t>
      </w:r>
      <w:r w:rsidR="0095713B" w:rsidRPr="00FA625D">
        <w:rPr>
          <w:sz w:val="28"/>
          <w:szCs w:val="28"/>
        </w:rPr>
        <w:t xml:space="preserve"> chiaramente che il Regolamento non si applica ai dati delle persone decedute, lasciando agli Stati membri la possibilità di introdurre regole proprio su questo profilo.</w:t>
      </w:r>
    </w:p>
    <w:p w14:paraId="7AD3DF7E" w14:textId="65D60178" w:rsidR="0095713B" w:rsidRPr="00FA625D" w:rsidRDefault="00220ABC" w:rsidP="00FA625D">
      <w:pPr>
        <w:pStyle w:val="NormaleWeb"/>
        <w:spacing w:before="0" w:beforeAutospacing="0" w:after="0" w:afterAutospacing="0"/>
        <w:jc w:val="both"/>
        <w:rPr>
          <w:sz w:val="28"/>
          <w:szCs w:val="28"/>
        </w:rPr>
      </w:pPr>
      <w:r>
        <w:rPr>
          <w:sz w:val="28"/>
          <w:szCs w:val="28"/>
        </w:rPr>
        <w:t>La</w:t>
      </w:r>
      <w:r w:rsidR="0095713B" w:rsidRPr="00FA625D">
        <w:rPr>
          <w:sz w:val="28"/>
          <w:szCs w:val="28"/>
        </w:rPr>
        <w:t xml:space="preserve"> norma non </w:t>
      </w:r>
      <w:r>
        <w:rPr>
          <w:sz w:val="28"/>
          <w:szCs w:val="28"/>
        </w:rPr>
        <w:t>chiarisce</w:t>
      </w:r>
      <w:r w:rsidR="0095713B" w:rsidRPr="00FA625D">
        <w:rPr>
          <w:sz w:val="28"/>
          <w:szCs w:val="28"/>
        </w:rPr>
        <w:t xml:space="preserve"> se i soggetti legittimati all’esercizio dei diritti del </w:t>
      </w:r>
      <w:r w:rsidR="0095713B" w:rsidRPr="00220ABC">
        <w:rPr>
          <w:i/>
          <w:iCs/>
          <w:sz w:val="28"/>
          <w:szCs w:val="28"/>
        </w:rPr>
        <w:t xml:space="preserve">de </w:t>
      </w:r>
      <w:proofErr w:type="spellStart"/>
      <w:r w:rsidR="0095713B" w:rsidRPr="00220ABC">
        <w:rPr>
          <w:i/>
          <w:iCs/>
          <w:sz w:val="28"/>
          <w:szCs w:val="28"/>
        </w:rPr>
        <w:t>cuius</w:t>
      </w:r>
      <w:proofErr w:type="spellEnd"/>
      <w:r w:rsidR="0095713B" w:rsidRPr="00FA625D">
        <w:rPr>
          <w:sz w:val="28"/>
          <w:szCs w:val="28"/>
        </w:rPr>
        <w:t xml:space="preserve"> agiscano in virtù di un acquisto </w:t>
      </w:r>
      <w:proofErr w:type="spellStart"/>
      <w:r w:rsidR="0095713B" w:rsidRPr="00BE41D9">
        <w:rPr>
          <w:i/>
          <w:iCs/>
          <w:sz w:val="28"/>
          <w:szCs w:val="28"/>
        </w:rPr>
        <w:t>mortis</w:t>
      </w:r>
      <w:proofErr w:type="spellEnd"/>
      <w:r w:rsidR="0095713B" w:rsidRPr="00BE41D9">
        <w:rPr>
          <w:i/>
          <w:iCs/>
          <w:sz w:val="28"/>
          <w:szCs w:val="28"/>
        </w:rPr>
        <w:t xml:space="preserve"> causa</w:t>
      </w:r>
      <w:r w:rsidR="00C75B90">
        <w:rPr>
          <w:i/>
          <w:iCs/>
          <w:sz w:val="28"/>
          <w:szCs w:val="28"/>
        </w:rPr>
        <w:t>,</w:t>
      </w:r>
      <w:r w:rsidR="0095713B" w:rsidRPr="00FA625D">
        <w:rPr>
          <w:sz w:val="28"/>
          <w:szCs w:val="28"/>
        </w:rPr>
        <w:t xml:space="preserve"> o</w:t>
      </w:r>
      <w:r w:rsidR="00C75B90">
        <w:rPr>
          <w:sz w:val="28"/>
          <w:szCs w:val="28"/>
        </w:rPr>
        <w:t>ppure</w:t>
      </w:r>
      <w:r w:rsidR="0095713B" w:rsidRPr="00FA625D">
        <w:rPr>
          <w:sz w:val="28"/>
          <w:szCs w:val="28"/>
        </w:rPr>
        <w:t xml:space="preserve"> se godano di una legittimazione </w:t>
      </w:r>
      <w:r w:rsidR="0095713B" w:rsidRPr="00C75B90">
        <w:rPr>
          <w:i/>
          <w:iCs/>
          <w:sz w:val="28"/>
          <w:szCs w:val="28"/>
        </w:rPr>
        <w:t>iure proprio</w:t>
      </w:r>
      <w:r w:rsidR="00C75B90">
        <w:rPr>
          <w:sz w:val="28"/>
          <w:szCs w:val="28"/>
        </w:rPr>
        <w:t>.</w:t>
      </w:r>
    </w:p>
    <w:p w14:paraId="30F9D7C9" w14:textId="77777777" w:rsidR="008A1E58" w:rsidRDefault="00C75B90" w:rsidP="00FA625D">
      <w:pPr>
        <w:pStyle w:val="NormaleWeb"/>
        <w:spacing w:before="0" w:beforeAutospacing="0" w:after="0" w:afterAutospacing="0"/>
        <w:jc w:val="both"/>
        <w:rPr>
          <w:sz w:val="28"/>
          <w:szCs w:val="28"/>
        </w:rPr>
      </w:pPr>
      <w:r>
        <w:rPr>
          <w:sz w:val="28"/>
          <w:szCs w:val="28"/>
        </w:rPr>
        <w:t>Gli aspetti più rilevanti sono che, a</w:t>
      </w:r>
      <w:r w:rsidR="0095713B" w:rsidRPr="00FA625D">
        <w:rPr>
          <w:sz w:val="28"/>
          <w:szCs w:val="28"/>
        </w:rPr>
        <w:t xml:space="preserve">nzitutto, la norma include fra i diritti esercitabili </w:t>
      </w:r>
      <w:r w:rsidR="0095713B" w:rsidRPr="00C75B90">
        <w:rPr>
          <w:i/>
          <w:iCs/>
          <w:sz w:val="28"/>
          <w:szCs w:val="28"/>
        </w:rPr>
        <w:t xml:space="preserve">post </w:t>
      </w:r>
      <w:proofErr w:type="spellStart"/>
      <w:r w:rsidR="0095713B" w:rsidRPr="00C75B90">
        <w:rPr>
          <w:i/>
          <w:iCs/>
          <w:sz w:val="28"/>
          <w:szCs w:val="28"/>
        </w:rPr>
        <w:t>mortem</w:t>
      </w:r>
      <w:proofErr w:type="spellEnd"/>
      <w:r w:rsidR="0095713B" w:rsidRPr="00FA625D">
        <w:rPr>
          <w:sz w:val="28"/>
          <w:szCs w:val="28"/>
        </w:rPr>
        <w:t xml:space="preserve"> dell’interessato anche il diritto alla portabilità dei dati. </w:t>
      </w:r>
    </w:p>
    <w:p w14:paraId="2D31E368" w14:textId="5B178944" w:rsidR="0095713B" w:rsidRPr="00FA625D" w:rsidRDefault="00C75B90" w:rsidP="00FA625D">
      <w:pPr>
        <w:pStyle w:val="NormaleWeb"/>
        <w:spacing w:before="0" w:beforeAutospacing="0" w:after="0" w:afterAutospacing="0"/>
        <w:jc w:val="both"/>
        <w:rPr>
          <w:sz w:val="28"/>
          <w:szCs w:val="28"/>
        </w:rPr>
      </w:pPr>
      <w:r>
        <w:rPr>
          <w:sz w:val="28"/>
          <w:szCs w:val="28"/>
        </w:rPr>
        <w:t>Poiché</w:t>
      </w:r>
      <w:r w:rsidR="0095713B" w:rsidRPr="00FA625D">
        <w:rPr>
          <w:sz w:val="28"/>
          <w:szCs w:val="28"/>
        </w:rPr>
        <w:t xml:space="preserve"> la </w:t>
      </w:r>
      <w:r w:rsidR="0095713B" w:rsidRPr="00C75B90">
        <w:rPr>
          <w:i/>
          <w:iCs/>
          <w:sz w:val="28"/>
          <w:szCs w:val="28"/>
        </w:rPr>
        <w:t>ratio</w:t>
      </w:r>
      <w:r w:rsidR="0095713B" w:rsidRPr="00FA625D">
        <w:rPr>
          <w:sz w:val="28"/>
          <w:szCs w:val="28"/>
        </w:rPr>
        <w:t xml:space="preserve"> della norma risponde</w:t>
      </w:r>
      <w:r>
        <w:rPr>
          <w:sz w:val="28"/>
          <w:szCs w:val="28"/>
        </w:rPr>
        <w:t xml:space="preserve"> sia </w:t>
      </w:r>
      <w:r w:rsidR="0095713B" w:rsidRPr="00FA625D">
        <w:rPr>
          <w:sz w:val="28"/>
          <w:szCs w:val="28"/>
        </w:rPr>
        <w:t xml:space="preserve">all’esigenza di garantire il pieno controllo sui dati personali </w:t>
      </w:r>
      <w:r>
        <w:rPr>
          <w:sz w:val="28"/>
          <w:szCs w:val="28"/>
        </w:rPr>
        <w:t>che</w:t>
      </w:r>
      <w:r w:rsidR="0095713B" w:rsidRPr="00FA625D">
        <w:rPr>
          <w:sz w:val="28"/>
          <w:szCs w:val="28"/>
        </w:rPr>
        <w:t xml:space="preserve"> a quella di tutelare il mercato concorrenziale, </w:t>
      </w:r>
      <w:r w:rsidR="00246C56">
        <w:rPr>
          <w:sz w:val="28"/>
          <w:szCs w:val="28"/>
        </w:rPr>
        <w:t xml:space="preserve">si deve dedurre che </w:t>
      </w:r>
      <w:r w:rsidR="0095713B" w:rsidRPr="00FA625D">
        <w:rPr>
          <w:sz w:val="28"/>
          <w:szCs w:val="28"/>
        </w:rPr>
        <w:t xml:space="preserve">la legittimazione all’esercizio di tale diritto </w:t>
      </w:r>
      <w:r w:rsidR="00246C56">
        <w:rPr>
          <w:sz w:val="28"/>
          <w:szCs w:val="28"/>
        </w:rPr>
        <w:t>deve essere</w:t>
      </w:r>
      <w:r w:rsidR="0095713B" w:rsidRPr="00FA625D">
        <w:rPr>
          <w:sz w:val="28"/>
          <w:szCs w:val="28"/>
        </w:rPr>
        <w:t xml:space="preserve"> riconosciuta solo ai soggetti che agiscono a tutela dell’interessato e non anche a chi vanta un proprio interesse.</w:t>
      </w:r>
    </w:p>
    <w:p w14:paraId="60AC0F87" w14:textId="7BD80AF0" w:rsidR="00246C56" w:rsidRDefault="00246C56" w:rsidP="00FA625D">
      <w:pPr>
        <w:pStyle w:val="NormaleWeb"/>
        <w:spacing w:before="0" w:beforeAutospacing="0" w:after="0" w:afterAutospacing="0"/>
        <w:jc w:val="both"/>
        <w:rPr>
          <w:sz w:val="28"/>
          <w:szCs w:val="28"/>
        </w:rPr>
      </w:pPr>
      <w:r>
        <w:rPr>
          <w:sz w:val="28"/>
          <w:szCs w:val="28"/>
        </w:rPr>
        <w:t>I</w:t>
      </w:r>
      <w:r w:rsidRPr="00FA625D">
        <w:rPr>
          <w:sz w:val="28"/>
          <w:szCs w:val="28"/>
        </w:rPr>
        <w:t xml:space="preserve">l mandatario </w:t>
      </w:r>
      <w:r>
        <w:rPr>
          <w:sz w:val="28"/>
          <w:szCs w:val="28"/>
        </w:rPr>
        <w:t>è incluso tra</w:t>
      </w:r>
      <w:r w:rsidR="0095713B" w:rsidRPr="00FA625D">
        <w:rPr>
          <w:sz w:val="28"/>
          <w:szCs w:val="28"/>
        </w:rPr>
        <w:t xml:space="preserve"> i soggetti legittimati all’esercizio dei diritti </w:t>
      </w:r>
      <w:r w:rsidR="0095713B" w:rsidRPr="00246C56">
        <w:rPr>
          <w:i/>
          <w:iCs/>
          <w:sz w:val="28"/>
          <w:szCs w:val="28"/>
        </w:rPr>
        <w:t xml:space="preserve">post </w:t>
      </w:r>
      <w:proofErr w:type="spellStart"/>
      <w:r w:rsidR="0095713B" w:rsidRPr="00246C56">
        <w:rPr>
          <w:i/>
          <w:iCs/>
          <w:sz w:val="28"/>
          <w:szCs w:val="28"/>
        </w:rPr>
        <w:t>morte</w:t>
      </w:r>
      <w:r>
        <w:rPr>
          <w:i/>
          <w:iCs/>
          <w:sz w:val="28"/>
          <w:szCs w:val="28"/>
        </w:rPr>
        <w:t>m</w:t>
      </w:r>
      <w:proofErr w:type="spellEnd"/>
      <w:r w:rsidR="0095713B" w:rsidRPr="00FA625D">
        <w:rPr>
          <w:sz w:val="28"/>
          <w:szCs w:val="28"/>
        </w:rPr>
        <w:t xml:space="preserve">. </w:t>
      </w:r>
      <w:r>
        <w:rPr>
          <w:sz w:val="28"/>
          <w:szCs w:val="28"/>
        </w:rPr>
        <w:t>Questo</w:t>
      </w:r>
      <w:r w:rsidR="008A1E58">
        <w:rPr>
          <w:sz w:val="28"/>
          <w:szCs w:val="28"/>
        </w:rPr>
        <w:t>,</w:t>
      </w:r>
      <w:r>
        <w:rPr>
          <w:sz w:val="28"/>
          <w:szCs w:val="28"/>
        </w:rPr>
        <w:t xml:space="preserve"> per </w:t>
      </w:r>
      <w:r w:rsidR="0095713B" w:rsidRPr="00FA625D">
        <w:rPr>
          <w:sz w:val="28"/>
          <w:szCs w:val="28"/>
        </w:rPr>
        <w:t xml:space="preserve">l’esigenza di prendere atto della prassi sempre più diffusa di affidare la gestione dei propri </w:t>
      </w:r>
      <w:r w:rsidR="0095713B" w:rsidRPr="008A1E58">
        <w:rPr>
          <w:i/>
          <w:iCs/>
          <w:sz w:val="28"/>
          <w:szCs w:val="28"/>
        </w:rPr>
        <w:t>account</w:t>
      </w:r>
      <w:r w:rsidR="0095713B" w:rsidRPr="00FA625D">
        <w:rPr>
          <w:sz w:val="28"/>
          <w:szCs w:val="28"/>
        </w:rPr>
        <w:t xml:space="preserve"> e profili </w:t>
      </w:r>
      <w:r w:rsidR="0095713B" w:rsidRPr="00246C56">
        <w:rPr>
          <w:i/>
          <w:iCs/>
          <w:sz w:val="28"/>
          <w:szCs w:val="28"/>
        </w:rPr>
        <w:t>social</w:t>
      </w:r>
      <w:r w:rsidR="0095713B" w:rsidRPr="00FA625D">
        <w:rPr>
          <w:sz w:val="28"/>
          <w:szCs w:val="28"/>
        </w:rPr>
        <w:t xml:space="preserve">, soprattutto professionali, a soggetti terzi. </w:t>
      </w:r>
    </w:p>
    <w:p w14:paraId="6DEDCABF" w14:textId="0AEF3A6F" w:rsidR="0095713B" w:rsidRPr="00FA625D" w:rsidRDefault="0095713B" w:rsidP="00FA625D">
      <w:pPr>
        <w:pStyle w:val="NormaleWeb"/>
        <w:spacing w:before="0" w:beforeAutospacing="0" w:after="0" w:afterAutospacing="0"/>
        <w:jc w:val="both"/>
        <w:rPr>
          <w:sz w:val="28"/>
          <w:szCs w:val="28"/>
        </w:rPr>
      </w:pPr>
      <w:r w:rsidRPr="00FA625D">
        <w:rPr>
          <w:sz w:val="28"/>
          <w:szCs w:val="28"/>
        </w:rPr>
        <w:t>Il compimento da parte di tale soggetto di atti giuridici in nome dell’interessato</w:t>
      </w:r>
      <w:r w:rsidR="00246C56">
        <w:rPr>
          <w:sz w:val="28"/>
          <w:szCs w:val="28"/>
        </w:rPr>
        <w:t xml:space="preserve"> – </w:t>
      </w:r>
      <w:r w:rsidRPr="00FA625D">
        <w:rPr>
          <w:sz w:val="28"/>
          <w:szCs w:val="28"/>
        </w:rPr>
        <w:t>e per espressa volontà di quest’ultimo dopo la sua morte</w:t>
      </w:r>
      <w:r w:rsidR="00246C56">
        <w:rPr>
          <w:sz w:val="28"/>
          <w:szCs w:val="28"/>
        </w:rPr>
        <w:t xml:space="preserve"> – </w:t>
      </w:r>
      <w:r w:rsidRPr="00FA625D">
        <w:rPr>
          <w:sz w:val="28"/>
          <w:szCs w:val="28"/>
        </w:rPr>
        <w:t>è compatibile con il nostro diritto successorio solo nella misura in cui attenga a quei beni che sono stati definiti di carattere “personale”. In caso contrario, infatti, s’incorrerebbe nella violazione del divieto di patti successori.</w:t>
      </w:r>
    </w:p>
    <w:p w14:paraId="0EBC5671" w14:textId="77777777" w:rsidR="008A1E58" w:rsidRDefault="0095713B" w:rsidP="00FA625D">
      <w:pPr>
        <w:pStyle w:val="NormaleWeb"/>
        <w:spacing w:before="0" w:beforeAutospacing="0" w:after="0" w:afterAutospacing="0"/>
        <w:jc w:val="both"/>
        <w:rPr>
          <w:sz w:val="28"/>
          <w:szCs w:val="28"/>
        </w:rPr>
      </w:pPr>
      <w:r w:rsidRPr="00FA625D">
        <w:rPr>
          <w:sz w:val="28"/>
          <w:szCs w:val="28"/>
        </w:rPr>
        <w:t>I commi successivi dell’articolo prevedono che l’esercizio dei diritti possa essere precluso per espressa volontà dell’interessato, consegnata o comunicata al titolare del trattamento, ma solo</w:t>
      </w:r>
      <w:r w:rsidR="00246C56">
        <w:rPr>
          <w:sz w:val="28"/>
          <w:szCs w:val="28"/>
        </w:rPr>
        <w:t xml:space="preserve"> per quanto concerne </w:t>
      </w:r>
      <w:r w:rsidRPr="00FA625D">
        <w:rPr>
          <w:sz w:val="28"/>
          <w:szCs w:val="28"/>
        </w:rPr>
        <w:t xml:space="preserve">l’ambito dei servizi della società dell’informazione. </w:t>
      </w:r>
    </w:p>
    <w:p w14:paraId="21E41181" w14:textId="77777777" w:rsidR="008A1E58" w:rsidRDefault="0095713B" w:rsidP="00FA625D">
      <w:pPr>
        <w:pStyle w:val="NormaleWeb"/>
        <w:spacing w:before="0" w:beforeAutospacing="0" w:after="0" w:afterAutospacing="0"/>
        <w:jc w:val="both"/>
        <w:rPr>
          <w:sz w:val="28"/>
          <w:szCs w:val="28"/>
        </w:rPr>
      </w:pPr>
      <w:r w:rsidRPr="00FA625D">
        <w:rPr>
          <w:sz w:val="28"/>
          <w:szCs w:val="28"/>
        </w:rPr>
        <w:t xml:space="preserve">Tale volontà deve </w:t>
      </w:r>
      <w:r w:rsidR="00246C56">
        <w:rPr>
          <w:sz w:val="28"/>
          <w:szCs w:val="28"/>
        </w:rPr>
        <w:t xml:space="preserve">avere queste caratteristiche: </w:t>
      </w:r>
      <w:r w:rsidRPr="00FA625D">
        <w:rPr>
          <w:sz w:val="28"/>
          <w:szCs w:val="28"/>
        </w:rPr>
        <w:t>risultare in modo non equivoc</w:t>
      </w:r>
      <w:r w:rsidR="00246C56">
        <w:rPr>
          <w:sz w:val="28"/>
          <w:szCs w:val="28"/>
        </w:rPr>
        <w:t xml:space="preserve">o, </w:t>
      </w:r>
      <w:r w:rsidRPr="00FA625D">
        <w:rPr>
          <w:sz w:val="28"/>
          <w:szCs w:val="28"/>
        </w:rPr>
        <w:t xml:space="preserve">essere specifica, libera e informata. </w:t>
      </w:r>
    </w:p>
    <w:p w14:paraId="62547EBC" w14:textId="77777777" w:rsidR="008A1E58" w:rsidRDefault="00246C56" w:rsidP="00FA625D">
      <w:pPr>
        <w:pStyle w:val="NormaleWeb"/>
        <w:spacing w:before="0" w:beforeAutospacing="0" w:after="0" w:afterAutospacing="0"/>
        <w:jc w:val="both"/>
        <w:rPr>
          <w:sz w:val="28"/>
          <w:szCs w:val="28"/>
        </w:rPr>
      </w:pPr>
      <w:r>
        <w:rPr>
          <w:sz w:val="28"/>
          <w:szCs w:val="28"/>
        </w:rPr>
        <w:t>La</w:t>
      </w:r>
      <w:r w:rsidR="0095713B" w:rsidRPr="00FA625D">
        <w:rPr>
          <w:sz w:val="28"/>
          <w:szCs w:val="28"/>
        </w:rPr>
        <w:t xml:space="preserve"> previsione </w:t>
      </w:r>
      <w:r>
        <w:rPr>
          <w:sz w:val="28"/>
          <w:szCs w:val="28"/>
        </w:rPr>
        <w:t>deriva</w:t>
      </w:r>
      <w:r w:rsidR="0095713B" w:rsidRPr="00FA625D">
        <w:rPr>
          <w:sz w:val="28"/>
          <w:szCs w:val="28"/>
        </w:rPr>
        <w:t xml:space="preserve"> d</w:t>
      </w:r>
      <w:r>
        <w:rPr>
          <w:sz w:val="28"/>
          <w:szCs w:val="28"/>
        </w:rPr>
        <w:t>a</w:t>
      </w:r>
      <w:r w:rsidR="0095713B" w:rsidRPr="00FA625D">
        <w:rPr>
          <w:sz w:val="28"/>
          <w:szCs w:val="28"/>
        </w:rPr>
        <w:t xml:space="preserve">lla consapevolezza dell’asimmetria informativa e dello squilibrio che caratterizza i rapporti contrattuali fra i soggetti privati e le grandi piattaforme e </w:t>
      </w:r>
      <w:r>
        <w:rPr>
          <w:sz w:val="28"/>
          <w:szCs w:val="28"/>
        </w:rPr>
        <w:t>vuole</w:t>
      </w:r>
      <w:r w:rsidR="0095713B" w:rsidRPr="00FA625D">
        <w:rPr>
          <w:sz w:val="28"/>
          <w:szCs w:val="28"/>
        </w:rPr>
        <w:t xml:space="preserve"> tutelare l’integrità delle scelte compiute dai primi. </w:t>
      </w:r>
    </w:p>
    <w:p w14:paraId="3631238A" w14:textId="7D3E2F86" w:rsidR="0095713B" w:rsidRPr="00FA625D" w:rsidRDefault="00246C56" w:rsidP="00FA625D">
      <w:pPr>
        <w:pStyle w:val="NormaleWeb"/>
        <w:spacing w:before="0" w:beforeAutospacing="0" w:after="0" w:afterAutospacing="0"/>
        <w:jc w:val="both"/>
        <w:rPr>
          <w:sz w:val="28"/>
          <w:szCs w:val="28"/>
        </w:rPr>
      </w:pPr>
      <w:r>
        <w:rPr>
          <w:sz w:val="28"/>
          <w:szCs w:val="28"/>
        </w:rPr>
        <w:t>Ad ogni modo</w:t>
      </w:r>
      <w:r w:rsidR="0095713B" w:rsidRPr="00FA625D">
        <w:rPr>
          <w:sz w:val="28"/>
          <w:szCs w:val="28"/>
        </w:rPr>
        <w:t xml:space="preserve">, i terzi non possono subire alcun pregiudizio rispetto ai diritti patrimoniali derivanti loro dalla morte dell’interessato, nonché </w:t>
      </w:r>
      <w:r w:rsidR="008A1E58">
        <w:rPr>
          <w:sz w:val="28"/>
          <w:szCs w:val="28"/>
        </w:rPr>
        <w:t>rispetto al</w:t>
      </w:r>
      <w:r w:rsidR="0095713B" w:rsidRPr="00FA625D">
        <w:rPr>
          <w:sz w:val="28"/>
          <w:szCs w:val="28"/>
        </w:rPr>
        <w:t xml:space="preserve"> diritto di difendere in giudizio i propri interessi.</w:t>
      </w:r>
    </w:p>
    <w:p w14:paraId="162D2905" w14:textId="55B231B2" w:rsidR="0095713B" w:rsidRPr="00FA625D" w:rsidRDefault="0095713B" w:rsidP="00FA625D">
      <w:pPr>
        <w:pStyle w:val="NormaleWeb"/>
        <w:spacing w:before="0" w:beforeAutospacing="0" w:after="0" w:afterAutospacing="0"/>
        <w:jc w:val="both"/>
        <w:rPr>
          <w:sz w:val="28"/>
          <w:szCs w:val="28"/>
        </w:rPr>
      </w:pPr>
      <w:r w:rsidRPr="00FA625D">
        <w:rPr>
          <w:sz w:val="28"/>
          <w:szCs w:val="28"/>
        </w:rPr>
        <w:t>Di questa disposizione</w:t>
      </w:r>
      <w:r w:rsidR="008A1E58">
        <w:rPr>
          <w:sz w:val="28"/>
          <w:szCs w:val="28"/>
        </w:rPr>
        <w:t>,</w:t>
      </w:r>
      <w:r w:rsidRPr="00FA625D">
        <w:rPr>
          <w:sz w:val="28"/>
          <w:szCs w:val="28"/>
        </w:rPr>
        <w:t xml:space="preserve"> ha fatto di recente applicazione </w:t>
      </w:r>
      <w:r w:rsidR="00246C56">
        <w:rPr>
          <w:sz w:val="28"/>
          <w:szCs w:val="28"/>
        </w:rPr>
        <w:t>il</w:t>
      </w:r>
      <w:r w:rsidRPr="00FA625D">
        <w:rPr>
          <w:sz w:val="28"/>
          <w:szCs w:val="28"/>
        </w:rPr>
        <w:t xml:space="preserve"> Tribunale di Milano</w:t>
      </w:r>
      <w:r w:rsidR="002D29DD" w:rsidRPr="00FA625D">
        <w:rPr>
          <w:rStyle w:val="Rimandonotaapidipagina"/>
          <w:sz w:val="28"/>
          <w:szCs w:val="28"/>
        </w:rPr>
        <w:footnoteReference w:id="236"/>
      </w:r>
      <w:r w:rsidRPr="00FA625D">
        <w:rPr>
          <w:sz w:val="28"/>
          <w:szCs w:val="28"/>
        </w:rPr>
        <w:t xml:space="preserve">, </w:t>
      </w:r>
      <w:r w:rsidR="00246C56">
        <w:rPr>
          <w:sz w:val="28"/>
          <w:szCs w:val="28"/>
        </w:rPr>
        <w:t xml:space="preserve">con una sentenza in cui </w:t>
      </w:r>
      <w:r w:rsidRPr="00FA625D">
        <w:rPr>
          <w:sz w:val="28"/>
          <w:szCs w:val="28"/>
        </w:rPr>
        <w:t>si è affermato che l’accesso e il trasferimento dei dati delle informazioni memorizzate sull’</w:t>
      </w:r>
      <w:r w:rsidRPr="008A1E58">
        <w:rPr>
          <w:i/>
          <w:iCs/>
          <w:sz w:val="28"/>
          <w:szCs w:val="28"/>
        </w:rPr>
        <w:t>account</w:t>
      </w:r>
      <w:r w:rsidRPr="00FA625D">
        <w:rPr>
          <w:sz w:val="28"/>
          <w:szCs w:val="28"/>
        </w:rPr>
        <w:t xml:space="preserve"> di una persona deceduta o sincronizzate </w:t>
      </w:r>
      <w:r w:rsidRPr="00246C56">
        <w:rPr>
          <w:i/>
          <w:iCs/>
          <w:sz w:val="28"/>
          <w:szCs w:val="28"/>
        </w:rPr>
        <w:t>online</w:t>
      </w:r>
      <w:r w:rsidRPr="00FA625D">
        <w:rPr>
          <w:sz w:val="28"/>
          <w:szCs w:val="28"/>
        </w:rPr>
        <w:t xml:space="preserve"> </w:t>
      </w:r>
      <w:r w:rsidRPr="00FA625D">
        <w:rPr>
          <w:sz w:val="28"/>
          <w:szCs w:val="28"/>
        </w:rPr>
        <w:lastRenderedPageBreak/>
        <w:t xml:space="preserve">su </w:t>
      </w:r>
      <w:proofErr w:type="spellStart"/>
      <w:r w:rsidRPr="00246C56">
        <w:rPr>
          <w:i/>
          <w:iCs/>
          <w:sz w:val="28"/>
          <w:szCs w:val="28"/>
        </w:rPr>
        <w:t>iCloud</w:t>
      </w:r>
      <w:proofErr w:type="spellEnd"/>
      <w:r w:rsidRPr="00FA625D">
        <w:rPr>
          <w:sz w:val="28"/>
          <w:szCs w:val="28"/>
        </w:rPr>
        <w:t xml:space="preserve"> è consentito, ai sensi dell’art. 2-terdecies del Codic</w:t>
      </w:r>
      <w:r w:rsidR="00246C56">
        <w:rPr>
          <w:sz w:val="28"/>
          <w:szCs w:val="28"/>
        </w:rPr>
        <w:t>e</w:t>
      </w:r>
      <w:r w:rsidRPr="00FA625D">
        <w:rPr>
          <w:sz w:val="28"/>
          <w:szCs w:val="28"/>
        </w:rPr>
        <w:t>, ai terzi legittimati, soltanto nell’ipotesi in cui sussistano ragioni familiari meritevoli di protezione e se non espressamente vietato dall’interessato.</w:t>
      </w:r>
    </w:p>
    <w:p w14:paraId="4908A16A" w14:textId="302969FC" w:rsidR="0095713B" w:rsidRPr="00FA625D" w:rsidRDefault="0095713B" w:rsidP="00FA625D">
      <w:pPr>
        <w:pStyle w:val="NormaleWeb"/>
        <w:spacing w:before="0" w:beforeAutospacing="0" w:after="0" w:afterAutospacing="0"/>
        <w:jc w:val="both"/>
        <w:rPr>
          <w:sz w:val="28"/>
          <w:szCs w:val="28"/>
        </w:rPr>
      </w:pPr>
      <w:r w:rsidRPr="00FA625D">
        <w:rPr>
          <w:sz w:val="28"/>
          <w:szCs w:val="28"/>
        </w:rPr>
        <w:t>Alla società di informazione, titolare del trattamento, è vietato frapporre ostacoli all’esercizio di tale diritto</w:t>
      </w:r>
      <w:r w:rsidR="008A1E58">
        <w:rPr>
          <w:sz w:val="28"/>
          <w:szCs w:val="28"/>
        </w:rPr>
        <w:t>,</w:t>
      </w:r>
      <w:r w:rsidR="002D29DD" w:rsidRPr="00FA625D">
        <w:rPr>
          <w:sz w:val="28"/>
          <w:szCs w:val="28"/>
        </w:rPr>
        <w:t xml:space="preserve"> </w:t>
      </w:r>
      <w:r w:rsidRPr="00FA625D">
        <w:rPr>
          <w:sz w:val="28"/>
          <w:szCs w:val="28"/>
        </w:rPr>
        <w:t>se non in adempimento della disciplina nazionale ed europea.</w:t>
      </w:r>
    </w:p>
    <w:p w14:paraId="35B0715C" w14:textId="77777777" w:rsidR="008A1E58" w:rsidRDefault="0095713B" w:rsidP="00FA625D">
      <w:pPr>
        <w:pStyle w:val="NormaleWeb"/>
        <w:spacing w:before="0" w:beforeAutospacing="0" w:after="0" w:afterAutospacing="0"/>
        <w:jc w:val="both"/>
        <w:rPr>
          <w:sz w:val="28"/>
          <w:szCs w:val="28"/>
        </w:rPr>
      </w:pPr>
      <w:r w:rsidRPr="00FA625D">
        <w:rPr>
          <w:sz w:val="28"/>
          <w:szCs w:val="28"/>
        </w:rPr>
        <w:t>Con l</w:t>
      </w:r>
      <w:r w:rsidR="00246C56">
        <w:rPr>
          <w:sz w:val="28"/>
          <w:szCs w:val="28"/>
        </w:rPr>
        <w:t>a pronuncia</w:t>
      </w:r>
      <w:r w:rsidRPr="00FA625D">
        <w:rPr>
          <w:sz w:val="28"/>
          <w:szCs w:val="28"/>
        </w:rPr>
        <w:t xml:space="preserve"> </w:t>
      </w:r>
      <w:r w:rsidR="00246C56" w:rsidRPr="00FA625D">
        <w:rPr>
          <w:sz w:val="28"/>
          <w:szCs w:val="28"/>
        </w:rPr>
        <w:t xml:space="preserve">cautelare </w:t>
      </w:r>
      <w:r w:rsidRPr="00FA625D">
        <w:rPr>
          <w:sz w:val="28"/>
          <w:szCs w:val="28"/>
        </w:rPr>
        <w:t xml:space="preserve">in esame, il giudice ha ordinato d’urgenza ad una società del gruppo </w:t>
      </w:r>
      <w:r w:rsidRPr="00246C56">
        <w:rPr>
          <w:i/>
          <w:iCs/>
          <w:sz w:val="28"/>
          <w:szCs w:val="28"/>
        </w:rPr>
        <w:t>Apple</w:t>
      </w:r>
      <w:r w:rsidRPr="00FA625D">
        <w:rPr>
          <w:sz w:val="28"/>
          <w:szCs w:val="28"/>
        </w:rPr>
        <w:t xml:space="preserve"> di consentire ai genitori di un ragazzo </w:t>
      </w:r>
      <w:r w:rsidR="00246C56">
        <w:rPr>
          <w:sz w:val="28"/>
          <w:szCs w:val="28"/>
        </w:rPr>
        <w:t>venuto a mancare</w:t>
      </w:r>
      <w:r w:rsidRPr="00FA625D">
        <w:rPr>
          <w:sz w:val="28"/>
          <w:szCs w:val="28"/>
        </w:rPr>
        <w:t xml:space="preserve"> in un incidente stradale di accedere ai dati dell’</w:t>
      </w:r>
      <w:r w:rsidRPr="00246C56">
        <w:rPr>
          <w:i/>
          <w:iCs/>
          <w:sz w:val="28"/>
          <w:szCs w:val="28"/>
        </w:rPr>
        <w:t>account i-</w:t>
      </w:r>
      <w:proofErr w:type="spellStart"/>
      <w:r w:rsidRPr="00246C56">
        <w:rPr>
          <w:i/>
          <w:iCs/>
          <w:sz w:val="28"/>
          <w:szCs w:val="28"/>
        </w:rPr>
        <w:t>cloud</w:t>
      </w:r>
      <w:proofErr w:type="spellEnd"/>
      <w:r w:rsidRPr="00246C56">
        <w:rPr>
          <w:i/>
          <w:iCs/>
          <w:sz w:val="28"/>
          <w:szCs w:val="28"/>
        </w:rPr>
        <w:t xml:space="preserve"> </w:t>
      </w:r>
      <w:r w:rsidRPr="00FA625D">
        <w:rPr>
          <w:sz w:val="28"/>
          <w:szCs w:val="28"/>
        </w:rPr>
        <w:t xml:space="preserve">del figlio. </w:t>
      </w:r>
    </w:p>
    <w:p w14:paraId="1FC6C4B7" w14:textId="77777777" w:rsidR="008A1E58" w:rsidRDefault="0095713B" w:rsidP="00FA625D">
      <w:pPr>
        <w:pStyle w:val="NormaleWeb"/>
        <w:spacing w:before="0" w:beforeAutospacing="0" w:after="0" w:afterAutospacing="0"/>
        <w:jc w:val="both"/>
        <w:rPr>
          <w:sz w:val="28"/>
          <w:szCs w:val="28"/>
        </w:rPr>
      </w:pPr>
      <w:r w:rsidRPr="00FA625D">
        <w:rPr>
          <w:sz w:val="28"/>
          <w:szCs w:val="28"/>
        </w:rPr>
        <w:t xml:space="preserve">L’intervento della società </w:t>
      </w:r>
      <w:r w:rsidR="00246C56">
        <w:rPr>
          <w:sz w:val="28"/>
          <w:szCs w:val="28"/>
        </w:rPr>
        <w:t>si è rivelato</w:t>
      </w:r>
      <w:r w:rsidRPr="00FA625D">
        <w:rPr>
          <w:sz w:val="28"/>
          <w:szCs w:val="28"/>
        </w:rPr>
        <w:t xml:space="preserve"> necessario</w:t>
      </w:r>
      <w:r w:rsidR="00246C56">
        <w:rPr>
          <w:sz w:val="28"/>
          <w:szCs w:val="28"/>
        </w:rPr>
        <w:t xml:space="preserve">, poiché il telefono </w:t>
      </w:r>
      <w:r w:rsidRPr="00FA625D">
        <w:rPr>
          <w:sz w:val="28"/>
          <w:szCs w:val="28"/>
        </w:rPr>
        <w:t>del ragazzo</w:t>
      </w:r>
      <w:r w:rsidR="00246C56">
        <w:rPr>
          <w:sz w:val="28"/>
          <w:szCs w:val="28"/>
        </w:rPr>
        <w:t xml:space="preserve"> defunto</w:t>
      </w:r>
      <w:r w:rsidRPr="00FA625D">
        <w:rPr>
          <w:sz w:val="28"/>
          <w:szCs w:val="28"/>
        </w:rPr>
        <w:t xml:space="preserve"> </w:t>
      </w:r>
      <w:r w:rsidR="00246C56">
        <w:rPr>
          <w:sz w:val="28"/>
          <w:szCs w:val="28"/>
        </w:rPr>
        <w:t>era</w:t>
      </w:r>
      <w:r w:rsidRPr="00FA625D">
        <w:rPr>
          <w:sz w:val="28"/>
          <w:szCs w:val="28"/>
        </w:rPr>
        <w:t xml:space="preserve"> andato distrutto</w:t>
      </w:r>
      <w:r w:rsidR="00246C56">
        <w:rPr>
          <w:sz w:val="28"/>
          <w:szCs w:val="28"/>
        </w:rPr>
        <w:t>. Ebbene, a</w:t>
      </w:r>
      <w:r w:rsidRPr="00FA625D">
        <w:rPr>
          <w:sz w:val="28"/>
          <w:szCs w:val="28"/>
        </w:rPr>
        <w:t xml:space="preserve">lla prima richiesta di accesso rivolta dai genitori alla società, questa aveva risposto che avrebbe provveduto in tal senso soltanto su ordine del Tribunale, avente specifici contenuti. </w:t>
      </w:r>
    </w:p>
    <w:p w14:paraId="48B18A16" w14:textId="290D1D11" w:rsidR="0095713B" w:rsidRPr="00FA625D" w:rsidRDefault="00246C56" w:rsidP="00FA625D">
      <w:pPr>
        <w:pStyle w:val="NormaleWeb"/>
        <w:spacing w:before="0" w:beforeAutospacing="0" w:after="0" w:afterAutospacing="0"/>
        <w:jc w:val="both"/>
        <w:rPr>
          <w:sz w:val="28"/>
          <w:szCs w:val="28"/>
        </w:rPr>
      </w:pPr>
      <w:r>
        <w:rPr>
          <w:sz w:val="28"/>
          <w:szCs w:val="28"/>
        </w:rPr>
        <w:t>Gli interessati,</w:t>
      </w:r>
      <w:r w:rsidR="0095713B" w:rsidRPr="00FA625D">
        <w:rPr>
          <w:sz w:val="28"/>
          <w:szCs w:val="28"/>
        </w:rPr>
        <w:t xml:space="preserve"> </w:t>
      </w:r>
      <w:r w:rsidRPr="00FA625D">
        <w:rPr>
          <w:sz w:val="28"/>
          <w:szCs w:val="28"/>
        </w:rPr>
        <w:t>dunque</w:t>
      </w:r>
      <w:r>
        <w:rPr>
          <w:sz w:val="28"/>
          <w:szCs w:val="28"/>
        </w:rPr>
        <w:t>,</w:t>
      </w:r>
      <w:r w:rsidRPr="00FA625D">
        <w:rPr>
          <w:sz w:val="28"/>
          <w:szCs w:val="28"/>
        </w:rPr>
        <w:t xml:space="preserve"> </w:t>
      </w:r>
      <w:r w:rsidR="0095713B" w:rsidRPr="00FA625D">
        <w:rPr>
          <w:sz w:val="28"/>
          <w:szCs w:val="28"/>
        </w:rPr>
        <w:t xml:space="preserve">si erano rivolti al Tribunale di Milano, </w:t>
      </w:r>
      <w:r>
        <w:rPr>
          <w:sz w:val="28"/>
          <w:szCs w:val="28"/>
        </w:rPr>
        <w:t xml:space="preserve">affinché emettesse – </w:t>
      </w:r>
      <w:r w:rsidR="0095713B" w:rsidRPr="00FA625D">
        <w:rPr>
          <w:sz w:val="28"/>
          <w:szCs w:val="28"/>
        </w:rPr>
        <w:t xml:space="preserve">con decreto </w:t>
      </w:r>
      <w:r w:rsidR="0095713B" w:rsidRPr="00246C56">
        <w:rPr>
          <w:i/>
          <w:iCs/>
          <w:sz w:val="28"/>
          <w:szCs w:val="28"/>
        </w:rPr>
        <w:t>inaudita altera parte</w:t>
      </w:r>
      <w:r w:rsidR="0095713B" w:rsidRPr="00FA625D">
        <w:rPr>
          <w:sz w:val="28"/>
          <w:szCs w:val="28"/>
        </w:rPr>
        <w:t xml:space="preserve"> o con ordinanza</w:t>
      </w:r>
      <w:r>
        <w:rPr>
          <w:sz w:val="28"/>
          <w:szCs w:val="28"/>
        </w:rPr>
        <w:t xml:space="preserve"> –</w:t>
      </w:r>
      <w:r w:rsidR="0095713B" w:rsidRPr="00FA625D">
        <w:rPr>
          <w:sz w:val="28"/>
          <w:szCs w:val="28"/>
        </w:rPr>
        <w:t xml:space="preserve"> i provvedimenti necessari in via cautelare, ex artt. 669-bis e 700 c.p.c. Quanto alla sussistenza del </w:t>
      </w:r>
      <w:proofErr w:type="spellStart"/>
      <w:r w:rsidR="0095713B" w:rsidRPr="00246C56">
        <w:rPr>
          <w:i/>
          <w:iCs/>
          <w:sz w:val="28"/>
          <w:szCs w:val="28"/>
        </w:rPr>
        <w:t>fumus</w:t>
      </w:r>
      <w:proofErr w:type="spellEnd"/>
      <w:r w:rsidR="0095713B" w:rsidRPr="00246C56">
        <w:rPr>
          <w:i/>
          <w:iCs/>
          <w:sz w:val="28"/>
          <w:szCs w:val="28"/>
        </w:rPr>
        <w:t xml:space="preserve"> boni </w:t>
      </w:r>
      <w:proofErr w:type="spellStart"/>
      <w:r w:rsidR="0095713B" w:rsidRPr="00246C56">
        <w:rPr>
          <w:i/>
          <w:iCs/>
          <w:sz w:val="28"/>
          <w:szCs w:val="28"/>
        </w:rPr>
        <w:t>iuris</w:t>
      </w:r>
      <w:proofErr w:type="spellEnd"/>
      <w:r w:rsidR="0095713B" w:rsidRPr="00FA625D">
        <w:rPr>
          <w:sz w:val="28"/>
          <w:szCs w:val="28"/>
        </w:rPr>
        <w:t xml:space="preserve">, i ricorrenti sostenevano </w:t>
      </w:r>
      <w:r>
        <w:rPr>
          <w:sz w:val="28"/>
          <w:szCs w:val="28"/>
        </w:rPr>
        <w:t xml:space="preserve">la </w:t>
      </w:r>
      <w:proofErr w:type="spellStart"/>
      <w:r>
        <w:rPr>
          <w:sz w:val="28"/>
          <w:szCs w:val="28"/>
        </w:rPr>
        <w:t>ravvisabilità</w:t>
      </w:r>
      <w:proofErr w:type="spellEnd"/>
      <w:r>
        <w:rPr>
          <w:sz w:val="28"/>
          <w:szCs w:val="28"/>
        </w:rPr>
        <w:t xml:space="preserve"> de</w:t>
      </w:r>
      <w:r w:rsidR="0095713B" w:rsidRPr="00FA625D">
        <w:rPr>
          <w:sz w:val="28"/>
          <w:szCs w:val="28"/>
        </w:rPr>
        <w:t>i requisiti previsti dall’art. 2</w:t>
      </w:r>
      <w:r w:rsidR="008A1E58">
        <w:rPr>
          <w:sz w:val="28"/>
          <w:szCs w:val="28"/>
        </w:rPr>
        <w:t>-</w:t>
      </w:r>
      <w:r w:rsidR="0095713B" w:rsidRPr="00FA625D">
        <w:rPr>
          <w:sz w:val="28"/>
          <w:szCs w:val="28"/>
        </w:rPr>
        <w:t xml:space="preserve">terdecies del Codice Privacy. Relativamente al </w:t>
      </w:r>
      <w:proofErr w:type="spellStart"/>
      <w:r w:rsidR="0095713B" w:rsidRPr="00246C56">
        <w:rPr>
          <w:i/>
          <w:iCs/>
          <w:sz w:val="28"/>
          <w:szCs w:val="28"/>
        </w:rPr>
        <w:t>periculum</w:t>
      </w:r>
      <w:proofErr w:type="spellEnd"/>
      <w:r w:rsidR="0095713B" w:rsidRPr="00246C56">
        <w:rPr>
          <w:i/>
          <w:iCs/>
          <w:sz w:val="28"/>
          <w:szCs w:val="28"/>
        </w:rPr>
        <w:t xml:space="preserve"> in mora</w:t>
      </w:r>
      <w:r w:rsidR="0095713B" w:rsidRPr="00FA625D">
        <w:rPr>
          <w:sz w:val="28"/>
          <w:szCs w:val="28"/>
        </w:rPr>
        <w:t xml:space="preserve">, </w:t>
      </w:r>
      <w:r>
        <w:rPr>
          <w:sz w:val="28"/>
          <w:szCs w:val="28"/>
        </w:rPr>
        <w:t>si faceva presente che</w:t>
      </w:r>
      <w:r w:rsidR="0095713B" w:rsidRPr="00FA625D">
        <w:rPr>
          <w:sz w:val="28"/>
          <w:szCs w:val="28"/>
        </w:rPr>
        <w:t xml:space="preserve"> l</w:t>
      </w:r>
      <w:r w:rsidR="008A1E58">
        <w:rPr>
          <w:sz w:val="28"/>
          <w:szCs w:val="28"/>
        </w:rPr>
        <w:t>’</w:t>
      </w:r>
      <w:r w:rsidR="0095713B" w:rsidRPr="00246C56">
        <w:rPr>
          <w:i/>
          <w:iCs/>
          <w:sz w:val="28"/>
          <w:szCs w:val="28"/>
        </w:rPr>
        <w:t>Apple</w:t>
      </w:r>
      <w:r w:rsidR="0095713B" w:rsidRPr="00FA625D">
        <w:rPr>
          <w:sz w:val="28"/>
          <w:szCs w:val="28"/>
        </w:rPr>
        <w:t xml:space="preserve"> aveva comunicato loro che i dati dell’</w:t>
      </w:r>
      <w:r w:rsidR="0095713B" w:rsidRPr="008A1E58">
        <w:rPr>
          <w:i/>
          <w:iCs/>
          <w:sz w:val="28"/>
          <w:szCs w:val="28"/>
        </w:rPr>
        <w:t>account</w:t>
      </w:r>
      <w:r w:rsidR="0095713B" w:rsidRPr="00FA625D">
        <w:rPr>
          <w:sz w:val="28"/>
          <w:szCs w:val="28"/>
        </w:rPr>
        <w:t xml:space="preserve"> sarebbero stati automaticamente distrutti una volta decorso un determinato periodo di inattività dello stesso.</w:t>
      </w:r>
      <w:r>
        <w:rPr>
          <w:sz w:val="28"/>
          <w:szCs w:val="28"/>
        </w:rPr>
        <w:t xml:space="preserve"> </w:t>
      </w:r>
      <w:r w:rsidR="0095713B" w:rsidRPr="00FA625D">
        <w:rPr>
          <w:sz w:val="28"/>
          <w:szCs w:val="28"/>
        </w:rPr>
        <w:t>Il Tribunale</w:t>
      </w:r>
      <w:r>
        <w:rPr>
          <w:sz w:val="28"/>
          <w:szCs w:val="28"/>
        </w:rPr>
        <w:t>, nel caso di specie,</w:t>
      </w:r>
      <w:r w:rsidR="0095713B" w:rsidRPr="00FA625D">
        <w:rPr>
          <w:sz w:val="28"/>
          <w:szCs w:val="28"/>
        </w:rPr>
        <w:t xml:space="preserve"> ha ritenuto che la richiesta dei genitori, giustificata dal tentativo di cercare di colmare il senso di vuoto e il dolore causati dalla perdita del figlio, integrasse perfettamente le “</w:t>
      </w:r>
      <w:r w:rsidR="0095713B" w:rsidRPr="00246C56">
        <w:rPr>
          <w:i/>
          <w:iCs/>
          <w:sz w:val="28"/>
          <w:szCs w:val="28"/>
        </w:rPr>
        <w:t>ragioni familiari meritevoli di protezione</w:t>
      </w:r>
      <w:r w:rsidR="0095713B" w:rsidRPr="00FA625D">
        <w:rPr>
          <w:sz w:val="28"/>
          <w:szCs w:val="28"/>
        </w:rPr>
        <w:t xml:space="preserve">” richieste dall’art. 2-terdecies e che fosse altresì sussistente il requisito del </w:t>
      </w:r>
      <w:proofErr w:type="spellStart"/>
      <w:r w:rsidR="0095713B" w:rsidRPr="00246C56">
        <w:rPr>
          <w:i/>
          <w:iCs/>
          <w:sz w:val="28"/>
          <w:szCs w:val="28"/>
        </w:rPr>
        <w:t>periculum</w:t>
      </w:r>
      <w:proofErr w:type="spellEnd"/>
      <w:r w:rsidR="0095713B" w:rsidRPr="00246C56">
        <w:rPr>
          <w:i/>
          <w:iCs/>
          <w:sz w:val="28"/>
          <w:szCs w:val="28"/>
        </w:rPr>
        <w:t xml:space="preserve"> in mora</w:t>
      </w:r>
      <w:r w:rsidR="0095713B" w:rsidRPr="00FA625D">
        <w:rPr>
          <w:sz w:val="28"/>
          <w:szCs w:val="28"/>
        </w:rPr>
        <w:t xml:space="preserve">, concludendo dunque con l’ordine rivolto ad </w:t>
      </w:r>
      <w:r w:rsidR="0095713B" w:rsidRPr="00246C56">
        <w:rPr>
          <w:i/>
          <w:iCs/>
          <w:sz w:val="28"/>
          <w:szCs w:val="28"/>
        </w:rPr>
        <w:t>Apple</w:t>
      </w:r>
      <w:r w:rsidR="0095713B" w:rsidRPr="00FA625D">
        <w:rPr>
          <w:sz w:val="28"/>
          <w:szCs w:val="28"/>
        </w:rPr>
        <w:t xml:space="preserve"> di consentire ai ricorrenti l’accesso all’</w:t>
      </w:r>
      <w:r w:rsidR="0095713B" w:rsidRPr="008A1E58">
        <w:rPr>
          <w:i/>
          <w:iCs/>
          <w:sz w:val="28"/>
          <w:szCs w:val="28"/>
        </w:rPr>
        <w:t>account.</w:t>
      </w:r>
    </w:p>
    <w:p w14:paraId="5E0B510C" w14:textId="00550BCE" w:rsidR="0095713B" w:rsidRPr="00FA625D" w:rsidRDefault="00246C56" w:rsidP="00FA625D">
      <w:pPr>
        <w:pStyle w:val="NormaleWeb"/>
        <w:spacing w:before="0" w:beforeAutospacing="0" w:after="0" w:afterAutospacing="0"/>
        <w:jc w:val="both"/>
        <w:rPr>
          <w:sz w:val="28"/>
          <w:szCs w:val="28"/>
        </w:rPr>
      </w:pPr>
      <w:r>
        <w:rPr>
          <w:sz w:val="28"/>
          <w:szCs w:val="28"/>
        </w:rPr>
        <w:t>A</w:t>
      </w:r>
      <w:r w:rsidR="0095713B" w:rsidRPr="00FA625D">
        <w:rPr>
          <w:sz w:val="28"/>
          <w:szCs w:val="28"/>
        </w:rPr>
        <w:t xml:space="preserve">ltro elemento </w:t>
      </w:r>
      <w:r>
        <w:rPr>
          <w:sz w:val="28"/>
          <w:szCs w:val="28"/>
        </w:rPr>
        <w:t xml:space="preserve">interessante </w:t>
      </w:r>
      <w:r w:rsidR="0095713B" w:rsidRPr="00FA625D">
        <w:rPr>
          <w:sz w:val="28"/>
          <w:szCs w:val="28"/>
        </w:rPr>
        <w:t xml:space="preserve">dell’ordinanza è la </w:t>
      </w:r>
      <w:r>
        <w:rPr>
          <w:sz w:val="28"/>
          <w:szCs w:val="28"/>
        </w:rPr>
        <w:t>considerazione</w:t>
      </w:r>
      <w:r w:rsidR="0095713B" w:rsidRPr="00FA625D">
        <w:rPr>
          <w:sz w:val="28"/>
          <w:szCs w:val="28"/>
        </w:rPr>
        <w:t xml:space="preserve"> fatta da</w:t>
      </w:r>
      <w:r>
        <w:rPr>
          <w:sz w:val="28"/>
          <w:szCs w:val="28"/>
        </w:rPr>
        <w:t xml:space="preserve">i giudici </w:t>
      </w:r>
      <w:r w:rsidR="0095713B" w:rsidRPr="00FA625D">
        <w:rPr>
          <w:sz w:val="28"/>
          <w:szCs w:val="28"/>
        </w:rPr>
        <w:t xml:space="preserve">sui requisiti che – ai sensi delle condizioni contrattuali previste da </w:t>
      </w:r>
      <w:r w:rsidR="0095713B" w:rsidRPr="00246C56">
        <w:rPr>
          <w:i/>
          <w:iCs/>
          <w:sz w:val="28"/>
          <w:szCs w:val="28"/>
        </w:rPr>
        <w:t>Apple</w:t>
      </w:r>
      <w:r w:rsidR="0095713B" w:rsidRPr="00FA625D">
        <w:rPr>
          <w:sz w:val="28"/>
          <w:szCs w:val="28"/>
        </w:rPr>
        <w:t xml:space="preserve"> – l’ordine del Tribunale dovrebbe possedere per </w:t>
      </w:r>
      <w:r>
        <w:rPr>
          <w:sz w:val="28"/>
          <w:szCs w:val="28"/>
        </w:rPr>
        <w:t>vincolare</w:t>
      </w:r>
      <w:r w:rsidR="0095713B" w:rsidRPr="00FA625D">
        <w:rPr>
          <w:sz w:val="28"/>
          <w:szCs w:val="28"/>
        </w:rPr>
        <w:t xml:space="preserve"> la società.</w:t>
      </w:r>
    </w:p>
    <w:p w14:paraId="4D078A60" w14:textId="77777777" w:rsidR="00BB3F25" w:rsidRDefault="00246C56" w:rsidP="00FA625D">
      <w:pPr>
        <w:pStyle w:val="NormaleWeb"/>
        <w:spacing w:before="0" w:beforeAutospacing="0" w:after="0" w:afterAutospacing="0"/>
        <w:jc w:val="both"/>
        <w:rPr>
          <w:sz w:val="28"/>
          <w:szCs w:val="28"/>
        </w:rPr>
      </w:pPr>
      <w:r>
        <w:rPr>
          <w:sz w:val="28"/>
          <w:szCs w:val="28"/>
        </w:rPr>
        <w:t xml:space="preserve">Secondo la Società, l’ordine dove </w:t>
      </w:r>
      <w:r w:rsidR="00BB3F25">
        <w:rPr>
          <w:sz w:val="28"/>
          <w:szCs w:val="28"/>
        </w:rPr>
        <w:t>specificare:</w:t>
      </w:r>
    </w:p>
    <w:p w14:paraId="3660C5B5" w14:textId="77777777" w:rsidR="00BB3F25" w:rsidRDefault="0095713B" w:rsidP="00FA625D">
      <w:pPr>
        <w:pStyle w:val="NormaleWeb"/>
        <w:spacing w:before="0" w:beforeAutospacing="0" w:after="0" w:afterAutospacing="0"/>
        <w:jc w:val="both"/>
        <w:rPr>
          <w:sz w:val="28"/>
          <w:szCs w:val="28"/>
        </w:rPr>
      </w:pPr>
      <w:r w:rsidRPr="00FA625D">
        <w:rPr>
          <w:sz w:val="28"/>
          <w:szCs w:val="28"/>
        </w:rPr>
        <w:t>a) che il defunto fosse proprietario di tutti gli account associati all’ID Apple</w:t>
      </w:r>
      <w:r w:rsidR="00BB3F25">
        <w:rPr>
          <w:sz w:val="28"/>
          <w:szCs w:val="28"/>
        </w:rPr>
        <w:t>;</w:t>
      </w:r>
    </w:p>
    <w:p w14:paraId="2B7B9C4D" w14:textId="77777777" w:rsidR="00BB3F25" w:rsidRDefault="0095713B" w:rsidP="00FA625D">
      <w:pPr>
        <w:pStyle w:val="NormaleWeb"/>
        <w:spacing w:before="0" w:beforeAutospacing="0" w:after="0" w:afterAutospacing="0"/>
        <w:jc w:val="both"/>
        <w:rPr>
          <w:sz w:val="28"/>
          <w:szCs w:val="28"/>
        </w:rPr>
      </w:pPr>
      <w:r w:rsidRPr="00FA625D">
        <w:rPr>
          <w:sz w:val="28"/>
          <w:szCs w:val="28"/>
        </w:rPr>
        <w:t>b) che il richiedente fosse l’amministratore o il rappresentante legale del patrimonio del defunto</w:t>
      </w:r>
      <w:r w:rsidR="00BB3F25">
        <w:rPr>
          <w:sz w:val="28"/>
          <w:szCs w:val="28"/>
        </w:rPr>
        <w:t>;</w:t>
      </w:r>
    </w:p>
    <w:p w14:paraId="58027DA0" w14:textId="6ADE9D11" w:rsidR="00BB3F25" w:rsidRDefault="0095713B" w:rsidP="00FA625D">
      <w:pPr>
        <w:pStyle w:val="NormaleWeb"/>
        <w:spacing w:before="0" w:beforeAutospacing="0" w:after="0" w:afterAutospacing="0"/>
        <w:jc w:val="both"/>
        <w:rPr>
          <w:sz w:val="28"/>
          <w:szCs w:val="28"/>
        </w:rPr>
      </w:pPr>
      <w:r w:rsidRPr="00FA625D">
        <w:rPr>
          <w:sz w:val="28"/>
          <w:szCs w:val="28"/>
        </w:rPr>
        <w:t>c) che questo agisse come “</w:t>
      </w:r>
      <w:r w:rsidRPr="00BB3F25">
        <w:rPr>
          <w:i/>
          <w:iCs/>
          <w:sz w:val="28"/>
          <w:szCs w:val="28"/>
        </w:rPr>
        <w:t>agente</w:t>
      </w:r>
      <w:r w:rsidRPr="00FA625D">
        <w:rPr>
          <w:sz w:val="28"/>
          <w:szCs w:val="28"/>
        </w:rPr>
        <w:t>” del defunto e la sua autorizzazione costituisse un “</w:t>
      </w:r>
      <w:r w:rsidRPr="00BB3F25">
        <w:rPr>
          <w:i/>
          <w:iCs/>
          <w:sz w:val="28"/>
          <w:szCs w:val="28"/>
        </w:rPr>
        <w:t>consenso legittimo</w:t>
      </w:r>
      <w:r w:rsidRPr="00FA625D">
        <w:rPr>
          <w:sz w:val="28"/>
          <w:szCs w:val="28"/>
        </w:rPr>
        <w:t>”</w:t>
      </w:r>
      <w:r w:rsidR="00BB3F25">
        <w:rPr>
          <w:sz w:val="28"/>
          <w:szCs w:val="28"/>
        </w:rPr>
        <w:t>;</w:t>
      </w:r>
    </w:p>
    <w:p w14:paraId="73311824" w14:textId="4027F583" w:rsidR="0095713B" w:rsidRPr="00FA625D" w:rsidRDefault="0095713B" w:rsidP="00FA625D">
      <w:pPr>
        <w:pStyle w:val="NormaleWeb"/>
        <w:spacing w:before="0" w:beforeAutospacing="0" w:after="0" w:afterAutospacing="0"/>
        <w:jc w:val="both"/>
        <w:rPr>
          <w:sz w:val="28"/>
          <w:szCs w:val="28"/>
        </w:rPr>
      </w:pPr>
      <w:r w:rsidRPr="00FA625D">
        <w:rPr>
          <w:sz w:val="28"/>
          <w:szCs w:val="28"/>
        </w:rPr>
        <w:t xml:space="preserve">d) che l’ordine imponesse ad </w:t>
      </w:r>
      <w:r w:rsidRPr="00BB3F25">
        <w:rPr>
          <w:i/>
          <w:iCs/>
          <w:sz w:val="28"/>
          <w:szCs w:val="28"/>
        </w:rPr>
        <w:t>Apple</w:t>
      </w:r>
      <w:r w:rsidRPr="00FA625D">
        <w:rPr>
          <w:sz w:val="28"/>
          <w:szCs w:val="28"/>
        </w:rPr>
        <w:t xml:space="preserve"> di fornire assistenza nel recupero dei dati personali degli account, che avrebbero potuto contenere anche informazioni o dati personali di terzi.</w:t>
      </w:r>
    </w:p>
    <w:p w14:paraId="6F4F05A7" w14:textId="77777777" w:rsidR="00BB3F25" w:rsidRDefault="00BB3F25" w:rsidP="00484B4C">
      <w:pPr>
        <w:pStyle w:val="NormaleWeb"/>
        <w:spacing w:before="0" w:beforeAutospacing="0" w:after="0" w:afterAutospacing="0"/>
        <w:jc w:val="both"/>
        <w:rPr>
          <w:sz w:val="28"/>
          <w:szCs w:val="28"/>
        </w:rPr>
      </w:pPr>
      <w:r>
        <w:rPr>
          <w:sz w:val="28"/>
          <w:szCs w:val="28"/>
        </w:rPr>
        <w:t>Il</w:t>
      </w:r>
      <w:r w:rsidR="0095713B" w:rsidRPr="00FA625D">
        <w:rPr>
          <w:sz w:val="28"/>
          <w:szCs w:val="28"/>
        </w:rPr>
        <w:t xml:space="preserve"> Tribunale di Milano ha</w:t>
      </w:r>
      <w:r>
        <w:rPr>
          <w:sz w:val="28"/>
          <w:szCs w:val="28"/>
        </w:rPr>
        <w:t>, tuttavia,</w:t>
      </w:r>
      <w:r w:rsidR="0095713B" w:rsidRPr="00FA625D">
        <w:rPr>
          <w:sz w:val="28"/>
          <w:szCs w:val="28"/>
        </w:rPr>
        <w:t xml:space="preserve"> evidenziato alcune criticità</w:t>
      </w:r>
      <w:r>
        <w:rPr>
          <w:sz w:val="28"/>
          <w:szCs w:val="28"/>
        </w:rPr>
        <w:t xml:space="preserve"> della richiesta</w:t>
      </w:r>
      <w:r w:rsidR="0095713B" w:rsidRPr="00FA625D">
        <w:rPr>
          <w:sz w:val="28"/>
          <w:szCs w:val="28"/>
        </w:rPr>
        <w:t xml:space="preserve">, dovute soprattutto al fatto che questa si basasse sul diritto statunitense, piuttosto che su quello italiano. Ad esempio, </w:t>
      </w:r>
      <w:r>
        <w:rPr>
          <w:sz w:val="28"/>
          <w:szCs w:val="28"/>
        </w:rPr>
        <w:t xml:space="preserve">è noto che </w:t>
      </w:r>
      <w:r w:rsidR="0095713B" w:rsidRPr="00FA625D">
        <w:rPr>
          <w:sz w:val="28"/>
          <w:szCs w:val="28"/>
        </w:rPr>
        <w:t>nel nostro ordinamento non esiste la figura dell’amministratore</w:t>
      </w:r>
      <w:r>
        <w:rPr>
          <w:sz w:val="28"/>
          <w:szCs w:val="28"/>
        </w:rPr>
        <w:t xml:space="preserve">, </w:t>
      </w:r>
      <w:r w:rsidR="0095713B" w:rsidRPr="00FA625D">
        <w:rPr>
          <w:sz w:val="28"/>
          <w:szCs w:val="28"/>
        </w:rPr>
        <w:t xml:space="preserve">del rappresentante legale </w:t>
      </w:r>
      <w:r>
        <w:rPr>
          <w:sz w:val="28"/>
          <w:szCs w:val="28"/>
        </w:rPr>
        <w:t xml:space="preserve">o </w:t>
      </w:r>
      <w:r w:rsidRPr="00FA625D">
        <w:rPr>
          <w:sz w:val="28"/>
          <w:szCs w:val="28"/>
        </w:rPr>
        <w:t>d</w:t>
      </w:r>
      <w:r>
        <w:rPr>
          <w:sz w:val="28"/>
          <w:szCs w:val="28"/>
        </w:rPr>
        <w:t>ell’</w:t>
      </w:r>
      <w:r w:rsidRPr="00FA625D">
        <w:rPr>
          <w:sz w:val="28"/>
          <w:szCs w:val="28"/>
        </w:rPr>
        <w:t xml:space="preserve">agente del </w:t>
      </w:r>
      <w:r w:rsidRPr="00BB3F25">
        <w:rPr>
          <w:i/>
          <w:iCs/>
          <w:sz w:val="28"/>
          <w:szCs w:val="28"/>
        </w:rPr>
        <w:t xml:space="preserve">de </w:t>
      </w:r>
      <w:proofErr w:type="spellStart"/>
      <w:r w:rsidRPr="00BB3F25">
        <w:rPr>
          <w:i/>
          <w:iCs/>
          <w:sz w:val="28"/>
          <w:szCs w:val="28"/>
        </w:rPr>
        <w:t>cuius</w:t>
      </w:r>
      <w:proofErr w:type="spellEnd"/>
      <w:r w:rsidRPr="00FA625D">
        <w:rPr>
          <w:sz w:val="28"/>
          <w:szCs w:val="28"/>
        </w:rPr>
        <w:t>.</w:t>
      </w:r>
      <w:r w:rsidR="0095713B" w:rsidRPr="00FA625D">
        <w:rPr>
          <w:sz w:val="28"/>
          <w:szCs w:val="28"/>
        </w:rPr>
        <w:t xml:space="preserve"> Parimenti, la disciplina </w:t>
      </w:r>
      <w:r>
        <w:rPr>
          <w:sz w:val="28"/>
          <w:szCs w:val="28"/>
        </w:rPr>
        <w:t>interna</w:t>
      </w:r>
      <w:r w:rsidR="0095713B" w:rsidRPr="00FA625D">
        <w:rPr>
          <w:sz w:val="28"/>
          <w:szCs w:val="28"/>
        </w:rPr>
        <w:t xml:space="preserve"> non prevede alcuna autorizzazione o consenso legittimo all’attività di ta</w:t>
      </w:r>
      <w:r>
        <w:rPr>
          <w:sz w:val="28"/>
          <w:szCs w:val="28"/>
        </w:rPr>
        <w:t>li soggetti</w:t>
      </w:r>
      <w:r w:rsidR="0095713B" w:rsidRPr="00FA625D">
        <w:rPr>
          <w:sz w:val="28"/>
          <w:szCs w:val="28"/>
        </w:rPr>
        <w:t>.</w:t>
      </w:r>
    </w:p>
    <w:p w14:paraId="08598B0D" w14:textId="6E38166F" w:rsidR="00BB3F25" w:rsidRDefault="00BB3F25" w:rsidP="00BB3F25">
      <w:pPr>
        <w:pStyle w:val="NormaleWeb"/>
        <w:spacing w:before="0" w:beforeAutospacing="0" w:after="0" w:afterAutospacing="0"/>
        <w:jc w:val="both"/>
        <w:rPr>
          <w:sz w:val="28"/>
          <w:szCs w:val="28"/>
        </w:rPr>
      </w:pPr>
      <w:r>
        <w:rPr>
          <w:sz w:val="28"/>
          <w:szCs w:val="28"/>
        </w:rPr>
        <w:lastRenderedPageBreak/>
        <w:t>Alla luce di ciò</w:t>
      </w:r>
      <w:r w:rsidR="0095713B" w:rsidRPr="00FA625D">
        <w:rPr>
          <w:sz w:val="28"/>
          <w:szCs w:val="28"/>
        </w:rPr>
        <w:t xml:space="preserve">, il Tribunale ha </w:t>
      </w:r>
      <w:r>
        <w:rPr>
          <w:sz w:val="28"/>
          <w:szCs w:val="28"/>
        </w:rPr>
        <w:t>dichiarato</w:t>
      </w:r>
      <w:r w:rsidR="0095713B" w:rsidRPr="00FA625D">
        <w:rPr>
          <w:sz w:val="28"/>
          <w:szCs w:val="28"/>
        </w:rPr>
        <w:t xml:space="preserve"> illegittima la pretesa di </w:t>
      </w:r>
      <w:r w:rsidR="0095713B" w:rsidRPr="00BB3F25">
        <w:rPr>
          <w:i/>
          <w:iCs/>
          <w:sz w:val="28"/>
          <w:szCs w:val="28"/>
        </w:rPr>
        <w:t>Apple</w:t>
      </w:r>
      <w:r w:rsidR="0095713B" w:rsidRPr="00FA625D">
        <w:rPr>
          <w:sz w:val="28"/>
          <w:szCs w:val="28"/>
        </w:rPr>
        <w:t xml:space="preserve"> di subordinare l’esercizio di un diritto riconosciuto dall’ordinamento giuridico italiano a condizioni estranee a quest’ultimo. Infine, il Tribunale ha respinto la tesi di </w:t>
      </w:r>
      <w:r w:rsidR="0095713B" w:rsidRPr="00BB3F25">
        <w:rPr>
          <w:i/>
          <w:iCs/>
          <w:sz w:val="28"/>
          <w:szCs w:val="28"/>
        </w:rPr>
        <w:t>Apple</w:t>
      </w:r>
      <w:r w:rsidR="0095713B" w:rsidRPr="00FA625D">
        <w:rPr>
          <w:sz w:val="28"/>
          <w:szCs w:val="28"/>
        </w:rPr>
        <w:t xml:space="preserve"> che legittimava il proprio rifiuto ad accogliere la richiesta invocando la “</w:t>
      </w:r>
      <w:r w:rsidR="0095713B" w:rsidRPr="00BB3F25">
        <w:rPr>
          <w:i/>
          <w:iCs/>
          <w:sz w:val="28"/>
          <w:szCs w:val="28"/>
        </w:rPr>
        <w:t>sicurezza dei clienti</w:t>
      </w:r>
      <w:r w:rsidR="0095713B" w:rsidRPr="00FA625D">
        <w:rPr>
          <w:sz w:val="28"/>
          <w:szCs w:val="28"/>
        </w:rPr>
        <w:t xml:space="preserve">”, affermando che ai sensi dell’art. 6, para 1, </w:t>
      </w:r>
      <w:proofErr w:type="spellStart"/>
      <w:r w:rsidR="0095713B" w:rsidRPr="00FA625D">
        <w:rPr>
          <w:sz w:val="28"/>
          <w:szCs w:val="28"/>
        </w:rPr>
        <w:t>lett</w:t>
      </w:r>
      <w:proofErr w:type="spellEnd"/>
      <w:r w:rsidR="0095713B" w:rsidRPr="00FA625D">
        <w:rPr>
          <w:sz w:val="28"/>
          <w:szCs w:val="28"/>
        </w:rPr>
        <w:t>. f) del GDPR il trattamento dei dati è</w:t>
      </w:r>
      <w:r w:rsidR="002D29DD" w:rsidRPr="00FA625D">
        <w:rPr>
          <w:sz w:val="28"/>
          <w:szCs w:val="28"/>
        </w:rPr>
        <w:t xml:space="preserve"> </w:t>
      </w:r>
      <w:r w:rsidR="0095713B" w:rsidRPr="00FA625D">
        <w:rPr>
          <w:sz w:val="28"/>
          <w:szCs w:val="28"/>
        </w:rPr>
        <w:t xml:space="preserve">possibile se necessario per </w:t>
      </w:r>
      <w:r>
        <w:rPr>
          <w:sz w:val="28"/>
          <w:szCs w:val="28"/>
        </w:rPr>
        <w:t xml:space="preserve">il </w:t>
      </w:r>
      <w:r w:rsidR="0095713B" w:rsidRPr="00FA625D">
        <w:rPr>
          <w:sz w:val="28"/>
          <w:szCs w:val="28"/>
        </w:rPr>
        <w:t xml:space="preserve">perseguimento del legittimo interesse del titolare o di terzi. Secondo i giudici di Milano, </w:t>
      </w:r>
      <w:r>
        <w:rPr>
          <w:sz w:val="28"/>
          <w:szCs w:val="28"/>
        </w:rPr>
        <w:t xml:space="preserve">essendo la </w:t>
      </w:r>
      <w:r w:rsidRPr="00FA625D">
        <w:rPr>
          <w:sz w:val="28"/>
          <w:szCs w:val="28"/>
        </w:rPr>
        <w:t>richiesta avanzata dai genitori basata su “</w:t>
      </w:r>
      <w:r w:rsidRPr="00BB3F25">
        <w:rPr>
          <w:i/>
          <w:iCs/>
          <w:sz w:val="28"/>
          <w:szCs w:val="28"/>
        </w:rPr>
        <w:t>ragioni familiari meritevoli di protezione</w:t>
      </w:r>
      <w:r w:rsidRPr="00FA625D">
        <w:rPr>
          <w:sz w:val="28"/>
          <w:szCs w:val="28"/>
        </w:rPr>
        <w:t>”</w:t>
      </w:r>
      <w:r>
        <w:rPr>
          <w:sz w:val="28"/>
          <w:szCs w:val="28"/>
        </w:rPr>
        <w:t>,</w:t>
      </w:r>
      <w:r w:rsidR="0095713B" w:rsidRPr="00FA625D">
        <w:rPr>
          <w:sz w:val="28"/>
          <w:szCs w:val="28"/>
        </w:rPr>
        <w:t xml:space="preserve"> </w:t>
      </w:r>
      <w:r>
        <w:rPr>
          <w:sz w:val="28"/>
          <w:szCs w:val="28"/>
        </w:rPr>
        <w:t xml:space="preserve">sussisterebbe in </w:t>
      </w:r>
      <w:r w:rsidR="0095713B" w:rsidRPr="00FA625D">
        <w:rPr>
          <w:sz w:val="28"/>
          <w:szCs w:val="28"/>
        </w:rPr>
        <w:t>questo caso il legittimo interesse</w:t>
      </w:r>
      <w:r>
        <w:rPr>
          <w:sz w:val="28"/>
          <w:szCs w:val="28"/>
        </w:rPr>
        <w:t>.</w:t>
      </w:r>
    </w:p>
    <w:p w14:paraId="71D96E78" w14:textId="3D6FE7D5" w:rsidR="00BB3F25" w:rsidRDefault="00BB3F25">
      <w:pPr>
        <w:rPr>
          <w:rFonts w:ascii="Times New Roman" w:eastAsia="Times New Roman" w:hAnsi="Times New Roman" w:cs="Times New Roman"/>
          <w:sz w:val="28"/>
          <w:szCs w:val="28"/>
          <w:lang w:eastAsia="it-IT"/>
        </w:rPr>
      </w:pPr>
      <w:r>
        <w:rPr>
          <w:sz w:val="28"/>
          <w:szCs w:val="28"/>
        </w:rPr>
        <w:br w:type="page"/>
      </w:r>
    </w:p>
    <w:p w14:paraId="7391CB98" w14:textId="3DA59046" w:rsidR="0078151E" w:rsidRPr="0078151E" w:rsidRDefault="0078151E" w:rsidP="0095713B">
      <w:pPr>
        <w:pStyle w:val="NormaleWeb"/>
        <w:jc w:val="both"/>
        <w:rPr>
          <w:b/>
          <w:bCs/>
          <w:sz w:val="32"/>
          <w:szCs w:val="32"/>
        </w:rPr>
      </w:pPr>
      <w:r w:rsidRPr="0078151E">
        <w:rPr>
          <w:b/>
          <w:bCs/>
          <w:sz w:val="32"/>
          <w:szCs w:val="32"/>
        </w:rPr>
        <w:lastRenderedPageBreak/>
        <w:t>Capitolo</w:t>
      </w:r>
      <w:r w:rsidR="00130E61" w:rsidRPr="00130E61">
        <w:rPr>
          <w:b/>
          <w:bCs/>
          <w:sz w:val="32"/>
          <w:szCs w:val="32"/>
        </w:rPr>
        <w:t xml:space="preserve"> </w:t>
      </w:r>
      <w:r w:rsidR="00130E61">
        <w:rPr>
          <w:b/>
          <w:bCs/>
          <w:sz w:val="32"/>
          <w:szCs w:val="32"/>
        </w:rPr>
        <w:t>XV</w:t>
      </w:r>
    </w:p>
    <w:p w14:paraId="6D156E5B" w14:textId="139C99DC" w:rsidR="0095713B" w:rsidRPr="0078151E" w:rsidRDefault="00484B4C" w:rsidP="0095713B">
      <w:pPr>
        <w:pStyle w:val="NormaleWeb"/>
        <w:jc w:val="both"/>
        <w:rPr>
          <w:b/>
          <w:bCs/>
          <w:sz w:val="32"/>
          <w:szCs w:val="32"/>
        </w:rPr>
      </w:pPr>
      <w:r w:rsidRPr="00484B4C">
        <w:rPr>
          <w:b/>
          <w:bCs/>
          <w:sz w:val="32"/>
          <w:szCs w:val="32"/>
        </w:rPr>
        <w:t>Il fenomeno del c.d.</w:t>
      </w:r>
      <w:r>
        <w:rPr>
          <w:b/>
          <w:bCs/>
          <w:i/>
          <w:iCs/>
          <w:sz w:val="32"/>
          <w:szCs w:val="32"/>
        </w:rPr>
        <w:t xml:space="preserve"> </w:t>
      </w:r>
      <w:r w:rsidR="0095713B" w:rsidRPr="00484B4C">
        <w:rPr>
          <w:b/>
          <w:bCs/>
          <w:i/>
          <w:iCs/>
          <w:sz w:val="32"/>
          <w:szCs w:val="32"/>
        </w:rPr>
        <w:t xml:space="preserve">Revenge </w:t>
      </w:r>
      <w:proofErr w:type="spellStart"/>
      <w:r w:rsidR="0095713B" w:rsidRPr="00484B4C">
        <w:rPr>
          <w:b/>
          <w:bCs/>
          <w:i/>
          <w:iCs/>
          <w:sz w:val="32"/>
          <w:szCs w:val="32"/>
        </w:rPr>
        <w:t>porn</w:t>
      </w:r>
      <w:proofErr w:type="spellEnd"/>
    </w:p>
    <w:p w14:paraId="6A378B79" w14:textId="0028741E" w:rsidR="0095713B" w:rsidRPr="00484B4C" w:rsidRDefault="0095713B" w:rsidP="00484B4C">
      <w:pPr>
        <w:pStyle w:val="NormaleWeb"/>
        <w:spacing w:before="0" w:beforeAutospacing="0" w:after="0" w:afterAutospacing="0"/>
        <w:jc w:val="both"/>
        <w:rPr>
          <w:sz w:val="28"/>
          <w:szCs w:val="28"/>
        </w:rPr>
      </w:pPr>
      <w:r w:rsidRPr="00484B4C">
        <w:rPr>
          <w:sz w:val="28"/>
          <w:szCs w:val="28"/>
        </w:rPr>
        <w:t xml:space="preserve">Il fenomeno del </w:t>
      </w:r>
      <w:r w:rsidR="00BB3F25">
        <w:rPr>
          <w:sz w:val="28"/>
          <w:szCs w:val="28"/>
        </w:rPr>
        <w:t xml:space="preserve">c.d. </w:t>
      </w:r>
      <w:proofErr w:type="spellStart"/>
      <w:r w:rsidRPr="00484B4C">
        <w:rPr>
          <w:i/>
          <w:iCs/>
          <w:sz w:val="28"/>
          <w:szCs w:val="28"/>
        </w:rPr>
        <w:t>revenge</w:t>
      </w:r>
      <w:proofErr w:type="spellEnd"/>
      <w:r w:rsidRPr="00484B4C">
        <w:rPr>
          <w:i/>
          <w:iCs/>
          <w:sz w:val="28"/>
          <w:szCs w:val="28"/>
        </w:rPr>
        <w:t xml:space="preserve"> </w:t>
      </w:r>
      <w:proofErr w:type="spellStart"/>
      <w:r w:rsidRPr="00484B4C">
        <w:rPr>
          <w:i/>
          <w:iCs/>
          <w:sz w:val="28"/>
          <w:szCs w:val="28"/>
        </w:rPr>
        <w:t>porn</w:t>
      </w:r>
      <w:proofErr w:type="spellEnd"/>
      <w:r w:rsidRPr="00484B4C">
        <w:rPr>
          <w:sz w:val="28"/>
          <w:szCs w:val="28"/>
        </w:rPr>
        <w:t xml:space="preserve">, </w:t>
      </w:r>
      <w:r w:rsidR="00BB3F25">
        <w:rPr>
          <w:sz w:val="28"/>
          <w:szCs w:val="28"/>
        </w:rPr>
        <w:t>concernente</w:t>
      </w:r>
      <w:r w:rsidRPr="00484B4C">
        <w:rPr>
          <w:sz w:val="28"/>
          <w:szCs w:val="28"/>
        </w:rPr>
        <w:t xml:space="preserve"> la diffusione di immagini a contenuto sessuale, senza il consenso della persona interessata è, purtroppo, sempre più frequente nell’era dei </w:t>
      </w:r>
      <w:r w:rsidRPr="00BB3F25">
        <w:rPr>
          <w:i/>
          <w:iCs/>
          <w:sz w:val="28"/>
          <w:szCs w:val="28"/>
        </w:rPr>
        <w:t>social media</w:t>
      </w:r>
      <w:r w:rsidRPr="00484B4C">
        <w:rPr>
          <w:sz w:val="28"/>
          <w:szCs w:val="28"/>
        </w:rPr>
        <w:t xml:space="preserve"> e della divulgazione </w:t>
      </w:r>
      <w:r w:rsidRPr="00BB3F25">
        <w:rPr>
          <w:i/>
          <w:iCs/>
          <w:sz w:val="28"/>
          <w:szCs w:val="28"/>
        </w:rPr>
        <w:t>online</w:t>
      </w:r>
      <w:r w:rsidRPr="00484B4C">
        <w:rPr>
          <w:sz w:val="28"/>
          <w:szCs w:val="28"/>
        </w:rPr>
        <w:t xml:space="preserve"> </w:t>
      </w:r>
      <w:r w:rsidR="00BB3F25">
        <w:rPr>
          <w:sz w:val="28"/>
          <w:szCs w:val="28"/>
        </w:rPr>
        <w:t>di foto e video</w:t>
      </w:r>
      <w:r w:rsidR="00DA47FC">
        <w:rPr>
          <w:rStyle w:val="Rimandonotaapidipagina"/>
          <w:sz w:val="28"/>
          <w:szCs w:val="28"/>
        </w:rPr>
        <w:footnoteReference w:id="237"/>
      </w:r>
      <w:r w:rsidR="00BB3F25">
        <w:rPr>
          <w:sz w:val="28"/>
          <w:szCs w:val="28"/>
        </w:rPr>
        <w:t>, ponendosi</w:t>
      </w:r>
      <w:r w:rsidRPr="00484B4C">
        <w:rPr>
          <w:sz w:val="28"/>
          <w:szCs w:val="28"/>
        </w:rPr>
        <w:t xml:space="preserve"> in stretta correlazione con la tutela dei dati personali, </w:t>
      </w:r>
      <w:r w:rsidR="00396B95">
        <w:rPr>
          <w:sz w:val="28"/>
          <w:szCs w:val="28"/>
        </w:rPr>
        <w:t>poiché</w:t>
      </w:r>
      <w:r w:rsidRPr="00484B4C">
        <w:rPr>
          <w:sz w:val="28"/>
          <w:szCs w:val="28"/>
        </w:rPr>
        <w:t xml:space="preserve"> che le immagini diffuse rientrano pienamente nella nozione di dato personale fornita da</w:t>
      </w:r>
      <w:r w:rsidR="00396B95">
        <w:rPr>
          <w:sz w:val="28"/>
          <w:szCs w:val="28"/>
        </w:rPr>
        <w:t>lla legge</w:t>
      </w:r>
      <w:r w:rsidRPr="00484B4C">
        <w:rPr>
          <w:sz w:val="28"/>
          <w:szCs w:val="28"/>
        </w:rPr>
        <w:t>.</w:t>
      </w:r>
    </w:p>
    <w:p w14:paraId="50D44C44" w14:textId="2CB70826" w:rsidR="001070E3" w:rsidRDefault="00EB4A1B" w:rsidP="00484B4C">
      <w:pPr>
        <w:pStyle w:val="NormaleWeb"/>
        <w:spacing w:before="0" w:beforeAutospacing="0" w:after="0" w:afterAutospacing="0"/>
        <w:jc w:val="both"/>
        <w:rPr>
          <w:sz w:val="28"/>
          <w:szCs w:val="28"/>
        </w:rPr>
      </w:pPr>
      <w:r>
        <w:rPr>
          <w:sz w:val="28"/>
          <w:szCs w:val="28"/>
        </w:rPr>
        <w:t>Il</w:t>
      </w:r>
      <w:r w:rsidRPr="00484B4C">
        <w:rPr>
          <w:sz w:val="28"/>
          <w:szCs w:val="28"/>
        </w:rPr>
        <w:t xml:space="preserve"> Garante per </w:t>
      </w:r>
      <w:r w:rsidR="00161ADA">
        <w:rPr>
          <w:sz w:val="28"/>
          <w:szCs w:val="28"/>
        </w:rPr>
        <w:t>la P</w:t>
      </w:r>
      <w:r>
        <w:rPr>
          <w:sz w:val="28"/>
          <w:szCs w:val="28"/>
        </w:rPr>
        <w:t xml:space="preserve">rivacy, per contrastare la diffusione di questo fenomeno, ha cercato di fornire uno strumento specifico per tutelare le vittime di </w:t>
      </w:r>
      <w:proofErr w:type="spellStart"/>
      <w:r w:rsidRPr="00EB4A1B">
        <w:rPr>
          <w:i/>
          <w:iCs/>
          <w:sz w:val="28"/>
          <w:szCs w:val="28"/>
        </w:rPr>
        <w:t>revenge</w:t>
      </w:r>
      <w:proofErr w:type="spellEnd"/>
      <w:r w:rsidRPr="00EB4A1B">
        <w:rPr>
          <w:i/>
          <w:iCs/>
          <w:sz w:val="28"/>
          <w:szCs w:val="28"/>
        </w:rPr>
        <w:t xml:space="preserve"> </w:t>
      </w:r>
      <w:proofErr w:type="spellStart"/>
      <w:r w:rsidRPr="00EB4A1B">
        <w:rPr>
          <w:i/>
          <w:iCs/>
          <w:sz w:val="28"/>
          <w:szCs w:val="28"/>
        </w:rPr>
        <w:t>porn</w:t>
      </w:r>
      <w:proofErr w:type="spellEnd"/>
      <w:r>
        <w:rPr>
          <w:sz w:val="28"/>
          <w:szCs w:val="28"/>
        </w:rPr>
        <w:t xml:space="preserve">, e così ha formulato </w:t>
      </w:r>
      <w:r w:rsidR="0095713B" w:rsidRPr="00484B4C">
        <w:rPr>
          <w:sz w:val="28"/>
          <w:szCs w:val="28"/>
        </w:rPr>
        <w:t>un accordo con</w:t>
      </w:r>
      <w:r>
        <w:rPr>
          <w:sz w:val="28"/>
          <w:szCs w:val="28"/>
        </w:rPr>
        <w:t xml:space="preserve"> </w:t>
      </w:r>
      <w:proofErr w:type="spellStart"/>
      <w:r w:rsidR="0095713B" w:rsidRPr="00484B4C">
        <w:rPr>
          <w:sz w:val="28"/>
          <w:szCs w:val="28"/>
        </w:rPr>
        <w:t>Facebook</w:t>
      </w:r>
      <w:proofErr w:type="spellEnd"/>
      <w:r w:rsidR="0095713B" w:rsidRPr="00484B4C">
        <w:rPr>
          <w:sz w:val="28"/>
          <w:szCs w:val="28"/>
        </w:rPr>
        <w:t xml:space="preserve">, introducendo un meccanismo di segnalazione, </w:t>
      </w:r>
      <w:r>
        <w:rPr>
          <w:sz w:val="28"/>
          <w:szCs w:val="28"/>
        </w:rPr>
        <w:t>agevolmente</w:t>
      </w:r>
      <w:r w:rsidR="0095713B" w:rsidRPr="00484B4C">
        <w:rPr>
          <w:sz w:val="28"/>
          <w:szCs w:val="28"/>
        </w:rPr>
        <w:t xml:space="preserve"> accessibile attraverso il sito del Garante, </w:t>
      </w:r>
      <w:r>
        <w:rPr>
          <w:sz w:val="28"/>
          <w:szCs w:val="28"/>
        </w:rPr>
        <w:t xml:space="preserve">attraverso il quale chiunque abbia modo di temere che le </w:t>
      </w:r>
      <w:r w:rsidR="0095713B" w:rsidRPr="00484B4C">
        <w:rPr>
          <w:sz w:val="28"/>
          <w:szCs w:val="28"/>
        </w:rPr>
        <w:t>proprie immagini possano essere illegittimamente diffuse attraverso i</w:t>
      </w:r>
      <w:r w:rsidR="001070E3">
        <w:rPr>
          <w:sz w:val="28"/>
          <w:szCs w:val="28"/>
        </w:rPr>
        <w:t xml:space="preserve"> canali</w:t>
      </w:r>
      <w:r w:rsidR="0095713B" w:rsidRPr="00484B4C">
        <w:rPr>
          <w:sz w:val="28"/>
          <w:szCs w:val="28"/>
        </w:rPr>
        <w:t xml:space="preserve"> </w:t>
      </w:r>
      <w:r w:rsidRPr="00EB4A1B">
        <w:rPr>
          <w:i/>
          <w:iCs/>
          <w:sz w:val="28"/>
          <w:szCs w:val="28"/>
        </w:rPr>
        <w:t>social</w:t>
      </w:r>
      <w:r w:rsidR="0095713B" w:rsidRPr="00484B4C">
        <w:rPr>
          <w:sz w:val="28"/>
          <w:szCs w:val="28"/>
        </w:rPr>
        <w:t xml:space="preserve"> forniti d</w:t>
      </w:r>
      <w:r w:rsidR="001070E3">
        <w:rPr>
          <w:sz w:val="28"/>
          <w:szCs w:val="28"/>
        </w:rPr>
        <w:t xml:space="preserve">al </w:t>
      </w:r>
      <w:r w:rsidR="001070E3" w:rsidRPr="001070E3">
        <w:rPr>
          <w:i/>
          <w:iCs/>
          <w:sz w:val="28"/>
          <w:szCs w:val="28"/>
        </w:rPr>
        <w:t>social network</w:t>
      </w:r>
      <w:r w:rsidR="0095713B" w:rsidRPr="00484B4C">
        <w:rPr>
          <w:sz w:val="28"/>
          <w:szCs w:val="28"/>
        </w:rPr>
        <w:t xml:space="preserve">, può </w:t>
      </w:r>
      <w:r>
        <w:rPr>
          <w:sz w:val="28"/>
          <w:szCs w:val="28"/>
        </w:rPr>
        <w:t>ri</w:t>
      </w:r>
      <w:r w:rsidR="0095713B" w:rsidRPr="00484B4C">
        <w:rPr>
          <w:sz w:val="28"/>
          <w:szCs w:val="28"/>
        </w:rPr>
        <w:t xml:space="preserve">chiedere che la piattaforma intervenga </w:t>
      </w:r>
      <w:r>
        <w:rPr>
          <w:sz w:val="28"/>
          <w:szCs w:val="28"/>
        </w:rPr>
        <w:t>in maniera preventiva</w:t>
      </w:r>
      <w:r w:rsidR="0095713B" w:rsidRPr="00484B4C">
        <w:rPr>
          <w:sz w:val="28"/>
          <w:szCs w:val="28"/>
        </w:rPr>
        <w:t xml:space="preserve">, proteggendo le immagini mediante un codice </w:t>
      </w:r>
      <w:proofErr w:type="spellStart"/>
      <w:r w:rsidR="0095713B" w:rsidRPr="00EB4A1B">
        <w:rPr>
          <w:i/>
          <w:iCs/>
          <w:sz w:val="28"/>
          <w:szCs w:val="28"/>
        </w:rPr>
        <w:t>hash</w:t>
      </w:r>
      <w:proofErr w:type="spellEnd"/>
      <w:r w:rsidR="0095713B" w:rsidRPr="00484B4C">
        <w:rPr>
          <w:sz w:val="28"/>
          <w:szCs w:val="28"/>
        </w:rPr>
        <w:t xml:space="preserve"> ed impedendone così la divulgazione.</w:t>
      </w:r>
    </w:p>
    <w:p w14:paraId="2D061D78" w14:textId="7C0CEF37" w:rsidR="0095713B" w:rsidRPr="00484B4C" w:rsidRDefault="001070E3" w:rsidP="00484B4C">
      <w:pPr>
        <w:pStyle w:val="NormaleWeb"/>
        <w:spacing w:before="0" w:beforeAutospacing="0" w:after="0" w:afterAutospacing="0"/>
        <w:jc w:val="both"/>
        <w:rPr>
          <w:sz w:val="28"/>
          <w:szCs w:val="28"/>
        </w:rPr>
      </w:pPr>
      <w:r>
        <w:rPr>
          <w:sz w:val="28"/>
          <w:szCs w:val="28"/>
        </w:rPr>
        <w:t xml:space="preserve">Sul tema del </w:t>
      </w:r>
      <w:proofErr w:type="spellStart"/>
      <w:r w:rsidRPr="001070E3">
        <w:rPr>
          <w:i/>
          <w:iCs/>
          <w:sz w:val="28"/>
          <w:szCs w:val="28"/>
        </w:rPr>
        <w:t>revenge</w:t>
      </w:r>
      <w:proofErr w:type="spellEnd"/>
      <w:r w:rsidRPr="001070E3">
        <w:rPr>
          <w:i/>
          <w:iCs/>
          <w:sz w:val="28"/>
          <w:szCs w:val="28"/>
        </w:rPr>
        <w:t xml:space="preserve"> </w:t>
      </w:r>
      <w:proofErr w:type="spellStart"/>
      <w:r w:rsidRPr="001070E3">
        <w:rPr>
          <w:i/>
          <w:iCs/>
          <w:sz w:val="28"/>
          <w:szCs w:val="28"/>
        </w:rPr>
        <w:t>porn</w:t>
      </w:r>
      <w:proofErr w:type="spellEnd"/>
      <w:r>
        <w:rPr>
          <w:sz w:val="28"/>
          <w:szCs w:val="28"/>
        </w:rPr>
        <w:t xml:space="preserve">, è intervenuta la Corte di </w:t>
      </w:r>
      <w:r w:rsidRPr="00484B4C">
        <w:rPr>
          <w:sz w:val="28"/>
          <w:szCs w:val="28"/>
        </w:rPr>
        <w:t>Cassazione</w:t>
      </w:r>
      <w:r w:rsidR="00161ADA">
        <w:rPr>
          <w:sz w:val="28"/>
          <w:szCs w:val="28"/>
        </w:rPr>
        <w:t>,</w:t>
      </w:r>
      <w:r w:rsidRPr="00484B4C">
        <w:rPr>
          <w:sz w:val="28"/>
          <w:szCs w:val="28"/>
        </w:rPr>
        <w:t xml:space="preserve"> </w:t>
      </w:r>
      <w:r>
        <w:rPr>
          <w:sz w:val="28"/>
          <w:szCs w:val="28"/>
        </w:rPr>
        <w:t>con la</w:t>
      </w:r>
      <w:r w:rsidRPr="00484B4C">
        <w:rPr>
          <w:sz w:val="28"/>
          <w:szCs w:val="28"/>
        </w:rPr>
        <w:t xml:space="preserve"> pronuncia n. 3050/2020</w:t>
      </w:r>
      <w:r w:rsidRPr="00484B4C">
        <w:rPr>
          <w:rStyle w:val="Rimandonotaapidipagina"/>
          <w:sz w:val="28"/>
          <w:szCs w:val="28"/>
        </w:rPr>
        <w:footnoteReference w:id="238"/>
      </w:r>
      <w:r w:rsidRPr="00484B4C">
        <w:rPr>
          <w:sz w:val="28"/>
          <w:szCs w:val="28"/>
        </w:rPr>
        <w:t xml:space="preserve">, </w:t>
      </w:r>
      <w:r>
        <w:rPr>
          <w:sz w:val="28"/>
          <w:szCs w:val="28"/>
        </w:rPr>
        <w:t xml:space="preserve">in particolare </w:t>
      </w:r>
      <w:r w:rsidR="00161ADA">
        <w:rPr>
          <w:sz w:val="28"/>
          <w:szCs w:val="28"/>
        </w:rPr>
        <w:t>sull’argomento</w:t>
      </w:r>
      <w:r w:rsidR="0095713B" w:rsidRPr="00484B4C">
        <w:rPr>
          <w:sz w:val="28"/>
          <w:szCs w:val="28"/>
        </w:rPr>
        <w:t xml:space="preserve"> relativ</w:t>
      </w:r>
      <w:r w:rsidR="00161ADA">
        <w:rPr>
          <w:sz w:val="28"/>
          <w:szCs w:val="28"/>
        </w:rPr>
        <w:t>o</w:t>
      </w:r>
      <w:r w:rsidR="0095713B" w:rsidRPr="00484B4C">
        <w:rPr>
          <w:sz w:val="28"/>
          <w:szCs w:val="28"/>
        </w:rPr>
        <w:t xml:space="preserve"> all’applicabilità della disciplina dettata dal Codice </w:t>
      </w:r>
      <w:r>
        <w:rPr>
          <w:sz w:val="28"/>
          <w:szCs w:val="28"/>
        </w:rPr>
        <w:t>della P</w:t>
      </w:r>
      <w:r w:rsidR="0095713B" w:rsidRPr="00484B4C">
        <w:rPr>
          <w:sz w:val="28"/>
          <w:szCs w:val="28"/>
        </w:rPr>
        <w:t>rivacy a</w:t>
      </w:r>
      <w:r>
        <w:rPr>
          <w:sz w:val="28"/>
          <w:szCs w:val="28"/>
        </w:rPr>
        <w:t xml:space="preserve">lle </w:t>
      </w:r>
      <w:r w:rsidR="0095713B" w:rsidRPr="00484B4C">
        <w:rPr>
          <w:sz w:val="28"/>
          <w:szCs w:val="28"/>
        </w:rPr>
        <w:t xml:space="preserve">condotte ascrivibili </w:t>
      </w:r>
      <w:r>
        <w:rPr>
          <w:sz w:val="28"/>
          <w:szCs w:val="28"/>
        </w:rPr>
        <w:t xml:space="preserve">a tale fenomeno in espansione. Nello specifico, è venuta in rilievo </w:t>
      </w:r>
      <w:r w:rsidR="0095713B" w:rsidRPr="00484B4C">
        <w:rPr>
          <w:sz w:val="28"/>
          <w:szCs w:val="28"/>
        </w:rPr>
        <w:t>la continuità normativa fra il vecchio e il nuovo articolo 167, comma 2 del Codic</w:t>
      </w:r>
      <w:r>
        <w:rPr>
          <w:sz w:val="28"/>
          <w:szCs w:val="28"/>
        </w:rPr>
        <w:t>e</w:t>
      </w:r>
      <w:r w:rsidR="0095713B" w:rsidRPr="00484B4C">
        <w:rPr>
          <w:sz w:val="28"/>
          <w:szCs w:val="28"/>
        </w:rPr>
        <w:t>, da cui discende la rilevanza penale o meno della condotta.</w:t>
      </w:r>
    </w:p>
    <w:p w14:paraId="1972E85D" w14:textId="1742195A" w:rsidR="00674223" w:rsidRDefault="0095713B" w:rsidP="00484B4C">
      <w:pPr>
        <w:pStyle w:val="NormaleWeb"/>
        <w:spacing w:before="0" w:beforeAutospacing="0" w:after="0" w:afterAutospacing="0"/>
        <w:jc w:val="both"/>
        <w:rPr>
          <w:sz w:val="28"/>
          <w:szCs w:val="28"/>
        </w:rPr>
      </w:pPr>
      <w:r w:rsidRPr="00484B4C">
        <w:rPr>
          <w:sz w:val="28"/>
          <w:szCs w:val="28"/>
        </w:rPr>
        <w:t xml:space="preserve">La </w:t>
      </w:r>
      <w:r w:rsidR="00674223">
        <w:rPr>
          <w:sz w:val="28"/>
          <w:szCs w:val="28"/>
        </w:rPr>
        <w:t xml:space="preserve">pronuncia trae origine da una </w:t>
      </w:r>
      <w:r w:rsidRPr="00484B4C">
        <w:rPr>
          <w:sz w:val="28"/>
          <w:szCs w:val="28"/>
        </w:rPr>
        <w:t xml:space="preserve">vicenda </w:t>
      </w:r>
      <w:r w:rsidR="00674223">
        <w:rPr>
          <w:sz w:val="28"/>
          <w:szCs w:val="28"/>
        </w:rPr>
        <w:t>che ha visto</w:t>
      </w:r>
      <w:r w:rsidRPr="00484B4C">
        <w:rPr>
          <w:sz w:val="28"/>
          <w:szCs w:val="28"/>
        </w:rPr>
        <w:t xml:space="preserve"> la diffusione</w:t>
      </w:r>
      <w:r w:rsidR="00674223">
        <w:rPr>
          <w:sz w:val="28"/>
          <w:szCs w:val="28"/>
        </w:rPr>
        <w:t xml:space="preserve"> – </w:t>
      </w:r>
      <w:r w:rsidR="00674223" w:rsidRPr="00484B4C">
        <w:rPr>
          <w:sz w:val="28"/>
          <w:szCs w:val="28"/>
        </w:rPr>
        <w:t xml:space="preserve">da </w:t>
      </w:r>
      <w:r w:rsidR="00674223">
        <w:rPr>
          <w:sz w:val="28"/>
          <w:szCs w:val="28"/>
        </w:rPr>
        <w:t xml:space="preserve">parte dello stesso </w:t>
      </w:r>
      <w:r w:rsidR="00674223" w:rsidRPr="00484B4C">
        <w:rPr>
          <w:sz w:val="28"/>
          <w:szCs w:val="28"/>
        </w:rPr>
        <w:t>indirizzo riconducibile alla vittim</w:t>
      </w:r>
      <w:r w:rsidR="00674223">
        <w:rPr>
          <w:sz w:val="28"/>
          <w:szCs w:val="28"/>
        </w:rPr>
        <w:t xml:space="preserve">a – </w:t>
      </w:r>
      <w:r w:rsidRPr="00484B4C">
        <w:rPr>
          <w:sz w:val="28"/>
          <w:szCs w:val="28"/>
        </w:rPr>
        <w:t>di diciotto e-mail</w:t>
      </w:r>
      <w:r w:rsidR="00161ADA">
        <w:rPr>
          <w:sz w:val="28"/>
          <w:szCs w:val="28"/>
        </w:rPr>
        <w:t>,</w:t>
      </w:r>
      <w:r w:rsidR="00674223">
        <w:rPr>
          <w:sz w:val="28"/>
          <w:szCs w:val="28"/>
        </w:rPr>
        <w:t xml:space="preserve"> con </w:t>
      </w:r>
      <w:r w:rsidRPr="00484B4C">
        <w:rPr>
          <w:sz w:val="28"/>
          <w:szCs w:val="28"/>
        </w:rPr>
        <w:t xml:space="preserve">allegati video raffiguranti </w:t>
      </w:r>
      <w:r w:rsidR="00674223">
        <w:rPr>
          <w:sz w:val="28"/>
          <w:szCs w:val="28"/>
        </w:rPr>
        <w:t xml:space="preserve">atti e </w:t>
      </w:r>
      <w:r w:rsidRPr="00484B4C">
        <w:rPr>
          <w:sz w:val="28"/>
          <w:szCs w:val="28"/>
        </w:rPr>
        <w:t>rapporti sessuali fra il soggetto che aveva divulgato i messaggi e la vittima</w:t>
      </w:r>
      <w:r w:rsidR="00674223">
        <w:rPr>
          <w:sz w:val="28"/>
          <w:szCs w:val="28"/>
        </w:rPr>
        <w:t xml:space="preserve"> di </w:t>
      </w:r>
      <w:proofErr w:type="spellStart"/>
      <w:r w:rsidR="00674223" w:rsidRPr="00674223">
        <w:rPr>
          <w:i/>
          <w:iCs/>
          <w:sz w:val="28"/>
          <w:szCs w:val="28"/>
        </w:rPr>
        <w:t>revenge</w:t>
      </w:r>
      <w:proofErr w:type="spellEnd"/>
      <w:r w:rsidR="00674223" w:rsidRPr="00674223">
        <w:rPr>
          <w:i/>
          <w:iCs/>
          <w:sz w:val="28"/>
          <w:szCs w:val="28"/>
        </w:rPr>
        <w:t xml:space="preserve"> </w:t>
      </w:r>
      <w:proofErr w:type="spellStart"/>
      <w:r w:rsidR="00674223" w:rsidRPr="00674223">
        <w:rPr>
          <w:i/>
          <w:iCs/>
          <w:sz w:val="28"/>
          <w:szCs w:val="28"/>
        </w:rPr>
        <w:t>porn</w:t>
      </w:r>
      <w:proofErr w:type="spellEnd"/>
      <w:r w:rsidRPr="00484B4C">
        <w:rPr>
          <w:sz w:val="28"/>
          <w:szCs w:val="28"/>
        </w:rPr>
        <w:t xml:space="preserve">, nonché foto intime ritraenti la figlia minorenne di quest’ultima. </w:t>
      </w:r>
    </w:p>
    <w:p w14:paraId="2107B9A8" w14:textId="77777777" w:rsidR="00C85E9D" w:rsidRDefault="0095713B" w:rsidP="00484B4C">
      <w:pPr>
        <w:pStyle w:val="NormaleWeb"/>
        <w:spacing w:before="0" w:beforeAutospacing="0" w:after="0" w:afterAutospacing="0"/>
        <w:jc w:val="both"/>
        <w:rPr>
          <w:sz w:val="28"/>
          <w:szCs w:val="28"/>
        </w:rPr>
      </w:pPr>
      <w:r w:rsidRPr="00484B4C">
        <w:rPr>
          <w:sz w:val="28"/>
          <w:szCs w:val="28"/>
        </w:rPr>
        <w:t xml:space="preserve">Il ricorrente lamentava la falsa applicazione dell’art. 167 del Codice </w:t>
      </w:r>
      <w:r w:rsidR="00674223">
        <w:rPr>
          <w:sz w:val="28"/>
          <w:szCs w:val="28"/>
        </w:rPr>
        <w:t>della P</w:t>
      </w:r>
      <w:r w:rsidRPr="00484B4C">
        <w:rPr>
          <w:sz w:val="28"/>
          <w:szCs w:val="28"/>
        </w:rPr>
        <w:t xml:space="preserve">rivacy, </w:t>
      </w:r>
      <w:r w:rsidR="00674223">
        <w:rPr>
          <w:sz w:val="28"/>
          <w:szCs w:val="28"/>
        </w:rPr>
        <w:t>ritenendo escluse, sulla base</w:t>
      </w:r>
      <w:r w:rsidRPr="00484B4C">
        <w:rPr>
          <w:sz w:val="28"/>
          <w:szCs w:val="28"/>
        </w:rPr>
        <w:t xml:space="preserve"> </w:t>
      </w:r>
      <w:r w:rsidR="00674223">
        <w:rPr>
          <w:sz w:val="28"/>
          <w:szCs w:val="28"/>
        </w:rPr>
        <w:t>della</w:t>
      </w:r>
      <w:r w:rsidRPr="00484B4C">
        <w:rPr>
          <w:sz w:val="28"/>
          <w:szCs w:val="28"/>
        </w:rPr>
        <w:t xml:space="preserve"> nuova formulazione</w:t>
      </w:r>
      <w:r w:rsidR="00674223">
        <w:rPr>
          <w:sz w:val="28"/>
          <w:szCs w:val="28"/>
        </w:rPr>
        <w:t xml:space="preserve"> dell’articolo,</w:t>
      </w:r>
      <w:r w:rsidRPr="00484B4C">
        <w:rPr>
          <w:sz w:val="28"/>
          <w:szCs w:val="28"/>
        </w:rPr>
        <w:t xml:space="preserve"> le condotte di </w:t>
      </w:r>
      <w:r w:rsidRPr="00674223">
        <w:rPr>
          <w:i/>
          <w:iCs/>
          <w:sz w:val="28"/>
          <w:szCs w:val="28"/>
        </w:rPr>
        <w:t>comunicazione</w:t>
      </w:r>
      <w:r w:rsidRPr="00484B4C">
        <w:rPr>
          <w:sz w:val="28"/>
          <w:szCs w:val="28"/>
        </w:rPr>
        <w:t xml:space="preserve"> e </w:t>
      </w:r>
      <w:r w:rsidRPr="00674223">
        <w:rPr>
          <w:i/>
          <w:iCs/>
          <w:sz w:val="28"/>
          <w:szCs w:val="28"/>
        </w:rPr>
        <w:t>diffusione</w:t>
      </w:r>
      <w:r w:rsidRPr="00484B4C">
        <w:rPr>
          <w:sz w:val="28"/>
          <w:szCs w:val="28"/>
        </w:rPr>
        <w:t xml:space="preserve"> dei dati</w:t>
      </w:r>
      <w:r w:rsidR="00674223">
        <w:rPr>
          <w:sz w:val="28"/>
          <w:szCs w:val="28"/>
        </w:rPr>
        <w:t xml:space="preserve">. </w:t>
      </w:r>
    </w:p>
    <w:p w14:paraId="5EA556A4" w14:textId="1D820BB4" w:rsidR="0095713B" w:rsidRPr="00484B4C" w:rsidRDefault="00674223" w:rsidP="00484B4C">
      <w:pPr>
        <w:pStyle w:val="NormaleWeb"/>
        <w:spacing w:before="0" w:beforeAutospacing="0" w:after="0" w:afterAutospacing="0"/>
        <w:jc w:val="both"/>
        <w:rPr>
          <w:sz w:val="28"/>
          <w:szCs w:val="28"/>
        </w:rPr>
      </w:pPr>
      <w:r>
        <w:rPr>
          <w:sz w:val="28"/>
          <w:szCs w:val="28"/>
        </w:rPr>
        <w:lastRenderedPageBreak/>
        <w:t xml:space="preserve">Si sosteneva, </w:t>
      </w:r>
      <w:r w:rsidR="0095713B" w:rsidRPr="00484B4C">
        <w:rPr>
          <w:sz w:val="28"/>
          <w:szCs w:val="28"/>
        </w:rPr>
        <w:t>pertanto,</w:t>
      </w:r>
      <w:r>
        <w:rPr>
          <w:sz w:val="28"/>
          <w:szCs w:val="28"/>
        </w:rPr>
        <w:t xml:space="preserve"> che </w:t>
      </w:r>
      <w:r w:rsidR="0095713B" w:rsidRPr="00484B4C">
        <w:rPr>
          <w:sz w:val="28"/>
          <w:szCs w:val="28"/>
        </w:rPr>
        <w:t>il giudice dell’esecuzione</w:t>
      </w:r>
      <w:r>
        <w:rPr>
          <w:sz w:val="28"/>
          <w:szCs w:val="28"/>
        </w:rPr>
        <w:t xml:space="preserve">, </w:t>
      </w:r>
      <w:r w:rsidRPr="00484B4C">
        <w:rPr>
          <w:sz w:val="28"/>
          <w:szCs w:val="28"/>
        </w:rPr>
        <w:t>ritenendo sussistente la continuità normativa rispetto alla vecchia versione del codice,</w:t>
      </w:r>
      <w:r>
        <w:rPr>
          <w:sz w:val="28"/>
          <w:szCs w:val="28"/>
        </w:rPr>
        <w:t xml:space="preserve"> </w:t>
      </w:r>
      <w:r w:rsidR="0095713B" w:rsidRPr="00484B4C">
        <w:rPr>
          <w:sz w:val="28"/>
          <w:szCs w:val="28"/>
        </w:rPr>
        <w:t xml:space="preserve">avesse </w:t>
      </w:r>
      <w:r>
        <w:rPr>
          <w:sz w:val="28"/>
          <w:szCs w:val="28"/>
        </w:rPr>
        <w:t>fatto un’applicazione della norma</w:t>
      </w:r>
      <w:r w:rsidR="0095713B" w:rsidRPr="00484B4C">
        <w:rPr>
          <w:sz w:val="28"/>
          <w:szCs w:val="28"/>
        </w:rPr>
        <w:t xml:space="preserve"> </w:t>
      </w:r>
      <w:r w:rsidR="0095713B" w:rsidRPr="00674223">
        <w:rPr>
          <w:i/>
          <w:iCs/>
          <w:sz w:val="28"/>
          <w:szCs w:val="28"/>
        </w:rPr>
        <w:t xml:space="preserve">in </w:t>
      </w:r>
      <w:proofErr w:type="spellStart"/>
      <w:r w:rsidR="0095713B" w:rsidRPr="00674223">
        <w:rPr>
          <w:i/>
          <w:iCs/>
          <w:sz w:val="28"/>
          <w:szCs w:val="28"/>
        </w:rPr>
        <w:t>malam</w:t>
      </w:r>
      <w:proofErr w:type="spellEnd"/>
      <w:r w:rsidR="0095713B" w:rsidRPr="00674223">
        <w:rPr>
          <w:i/>
          <w:iCs/>
          <w:sz w:val="28"/>
          <w:szCs w:val="28"/>
        </w:rPr>
        <w:t xml:space="preserve"> </w:t>
      </w:r>
      <w:proofErr w:type="spellStart"/>
      <w:r w:rsidR="0095713B" w:rsidRPr="00674223">
        <w:rPr>
          <w:i/>
          <w:iCs/>
          <w:sz w:val="28"/>
          <w:szCs w:val="28"/>
        </w:rPr>
        <w:t>partem</w:t>
      </w:r>
      <w:proofErr w:type="spellEnd"/>
      <w:r w:rsidR="0095713B" w:rsidRPr="00484B4C">
        <w:rPr>
          <w:sz w:val="28"/>
          <w:szCs w:val="28"/>
        </w:rPr>
        <w:t xml:space="preserve">, </w:t>
      </w:r>
      <w:r>
        <w:rPr>
          <w:sz w:val="28"/>
          <w:szCs w:val="28"/>
        </w:rPr>
        <w:t>data la mancanza</w:t>
      </w:r>
      <w:r w:rsidR="0095713B" w:rsidRPr="00484B4C">
        <w:rPr>
          <w:sz w:val="28"/>
          <w:szCs w:val="28"/>
        </w:rPr>
        <w:t xml:space="preserve"> dei presupposti </w:t>
      </w:r>
      <w:r w:rsidR="0050540A">
        <w:rPr>
          <w:sz w:val="28"/>
          <w:szCs w:val="28"/>
        </w:rPr>
        <w:t xml:space="preserve">normativi o giurisprudenziali </w:t>
      </w:r>
      <w:r w:rsidR="0095713B" w:rsidRPr="00484B4C">
        <w:rPr>
          <w:sz w:val="28"/>
          <w:szCs w:val="28"/>
        </w:rPr>
        <w:t>in tal senso.</w:t>
      </w:r>
    </w:p>
    <w:p w14:paraId="41FB8010" w14:textId="77777777" w:rsidR="00C85E9D" w:rsidRDefault="0095713B" w:rsidP="00484B4C">
      <w:pPr>
        <w:pStyle w:val="NormaleWeb"/>
        <w:spacing w:before="0" w:beforeAutospacing="0" w:after="0" w:afterAutospacing="0"/>
        <w:jc w:val="both"/>
        <w:rPr>
          <w:sz w:val="28"/>
          <w:szCs w:val="28"/>
        </w:rPr>
      </w:pPr>
      <w:r w:rsidRPr="00484B4C">
        <w:rPr>
          <w:sz w:val="28"/>
          <w:szCs w:val="28"/>
        </w:rPr>
        <w:t xml:space="preserve">I giudici </w:t>
      </w:r>
      <w:r w:rsidR="0050540A">
        <w:rPr>
          <w:sz w:val="28"/>
          <w:szCs w:val="28"/>
        </w:rPr>
        <w:t>della Cassazione</w:t>
      </w:r>
      <w:r w:rsidRPr="00484B4C">
        <w:rPr>
          <w:sz w:val="28"/>
          <w:szCs w:val="28"/>
        </w:rPr>
        <w:t xml:space="preserve"> hanno </w:t>
      </w:r>
      <w:r w:rsidR="0050540A">
        <w:rPr>
          <w:sz w:val="28"/>
          <w:szCs w:val="28"/>
        </w:rPr>
        <w:t>accolto</w:t>
      </w:r>
      <w:r w:rsidRPr="00484B4C">
        <w:rPr>
          <w:sz w:val="28"/>
          <w:szCs w:val="28"/>
        </w:rPr>
        <w:t xml:space="preserve"> </w:t>
      </w:r>
      <w:r w:rsidR="0050540A">
        <w:rPr>
          <w:sz w:val="28"/>
          <w:szCs w:val="28"/>
        </w:rPr>
        <w:t>tale tesi</w:t>
      </w:r>
      <w:r w:rsidRPr="00484B4C">
        <w:rPr>
          <w:sz w:val="28"/>
          <w:szCs w:val="28"/>
        </w:rPr>
        <w:t xml:space="preserve">, </w:t>
      </w:r>
      <w:r w:rsidR="0050540A">
        <w:rPr>
          <w:sz w:val="28"/>
          <w:szCs w:val="28"/>
        </w:rPr>
        <w:t>sostenendo</w:t>
      </w:r>
      <w:r w:rsidRPr="00484B4C">
        <w:rPr>
          <w:sz w:val="28"/>
          <w:szCs w:val="28"/>
        </w:rPr>
        <w:t xml:space="preserve"> l’erroneità della conclusione formulata dal giudice dell’esecuzione</w:t>
      </w:r>
      <w:r w:rsidR="0050540A">
        <w:rPr>
          <w:sz w:val="28"/>
          <w:szCs w:val="28"/>
        </w:rPr>
        <w:t xml:space="preserve">, dato che, </w:t>
      </w:r>
      <w:r w:rsidRPr="00484B4C">
        <w:rPr>
          <w:sz w:val="28"/>
          <w:szCs w:val="28"/>
        </w:rPr>
        <w:t xml:space="preserve">alla luce dell’intervenuta riforma del Codice Privacy, </w:t>
      </w:r>
      <w:r w:rsidR="0050540A">
        <w:rPr>
          <w:sz w:val="28"/>
          <w:szCs w:val="28"/>
        </w:rPr>
        <w:t xml:space="preserve">non si può ritenere che </w:t>
      </w:r>
      <w:r w:rsidRPr="00484B4C">
        <w:rPr>
          <w:sz w:val="28"/>
          <w:szCs w:val="28"/>
        </w:rPr>
        <w:t xml:space="preserve">la condotta </w:t>
      </w:r>
      <w:r w:rsidR="0050540A">
        <w:rPr>
          <w:sz w:val="28"/>
          <w:szCs w:val="28"/>
        </w:rPr>
        <w:t>sia</w:t>
      </w:r>
      <w:r w:rsidRPr="00484B4C">
        <w:rPr>
          <w:sz w:val="28"/>
          <w:szCs w:val="28"/>
        </w:rPr>
        <w:t xml:space="preserve"> ascrivibile alla figura di reato a cui si era fatto riferimento. </w:t>
      </w:r>
    </w:p>
    <w:p w14:paraId="3CD44ADE" w14:textId="406A1D86" w:rsidR="0050540A" w:rsidRDefault="0050540A" w:rsidP="00484B4C">
      <w:pPr>
        <w:pStyle w:val="NormaleWeb"/>
        <w:spacing w:before="0" w:beforeAutospacing="0" w:after="0" w:afterAutospacing="0"/>
        <w:jc w:val="both"/>
        <w:rPr>
          <w:sz w:val="28"/>
          <w:szCs w:val="28"/>
        </w:rPr>
      </w:pPr>
      <w:r>
        <w:rPr>
          <w:sz w:val="28"/>
          <w:szCs w:val="28"/>
        </w:rPr>
        <w:t>Leggendo la</w:t>
      </w:r>
      <w:r w:rsidR="0095713B" w:rsidRPr="00484B4C">
        <w:rPr>
          <w:sz w:val="28"/>
          <w:szCs w:val="28"/>
        </w:rPr>
        <w:t xml:space="preserve"> norma, infatti, </w:t>
      </w:r>
      <w:r>
        <w:rPr>
          <w:sz w:val="28"/>
          <w:szCs w:val="28"/>
        </w:rPr>
        <w:t xml:space="preserve">si nota che essa si riferisce </w:t>
      </w:r>
      <w:r w:rsidR="0095713B" w:rsidRPr="00484B4C">
        <w:rPr>
          <w:sz w:val="28"/>
          <w:szCs w:val="28"/>
        </w:rPr>
        <w:t>soltanto alle ipotesi in cui la condotta sia posta in violazione dell’art. 9, par</w:t>
      </w:r>
      <w:r>
        <w:rPr>
          <w:sz w:val="28"/>
          <w:szCs w:val="28"/>
        </w:rPr>
        <w:t>.</w:t>
      </w:r>
      <w:r w:rsidR="0095713B" w:rsidRPr="00484B4C">
        <w:rPr>
          <w:sz w:val="28"/>
          <w:szCs w:val="28"/>
        </w:rPr>
        <w:t xml:space="preserve"> 1 del GDPR, </w:t>
      </w:r>
      <w:r>
        <w:rPr>
          <w:sz w:val="28"/>
          <w:szCs w:val="28"/>
        </w:rPr>
        <w:t>concernente</w:t>
      </w:r>
      <w:r w:rsidR="0095713B" w:rsidRPr="00484B4C">
        <w:rPr>
          <w:sz w:val="28"/>
          <w:szCs w:val="28"/>
        </w:rPr>
        <w:t xml:space="preserve"> i trattamenti necessari per motivi di interesse pubblico rilevante, o degli artt. 2</w:t>
      </w:r>
      <w:r w:rsidR="0096701A">
        <w:rPr>
          <w:sz w:val="28"/>
          <w:szCs w:val="28"/>
        </w:rPr>
        <w:t>-</w:t>
      </w:r>
      <w:r w:rsidR="0095713B" w:rsidRPr="00484B4C">
        <w:rPr>
          <w:sz w:val="28"/>
          <w:szCs w:val="28"/>
        </w:rPr>
        <w:t>septies, 2</w:t>
      </w:r>
      <w:r w:rsidR="0096701A">
        <w:rPr>
          <w:sz w:val="28"/>
          <w:szCs w:val="28"/>
        </w:rPr>
        <w:t>-</w:t>
      </w:r>
      <w:r w:rsidR="0095713B" w:rsidRPr="00484B4C">
        <w:rPr>
          <w:sz w:val="28"/>
          <w:szCs w:val="28"/>
        </w:rPr>
        <w:t>octies e 2</w:t>
      </w:r>
      <w:r w:rsidR="0096701A">
        <w:rPr>
          <w:sz w:val="28"/>
          <w:szCs w:val="28"/>
        </w:rPr>
        <w:t>-</w:t>
      </w:r>
      <w:r w:rsidR="0095713B" w:rsidRPr="00484B4C">
        <w:rPr>
          <w:sz w:val="28"/>
          <w:szCs w:val="28"/>
        </w:rPr>
        <w:t xml:space="preserve">quinquiedecies del Codice Privacy, concernenti rispettivamente le misure di garanzia per il trattamento dei dati genetici, biometrici e relativi alla salute, i principi relativi al trattamento dei dati relativi a condanne penali e reati e il trattamento che presenta rischi elevati per l’esecuzione di un compito di interesse pubblico. </w:t>
      </w:r>
    </w:p>
    <w:p w14:paraId="106FD3DD" w14:textId="77777777" w:rsidR="00161ADA" w:rsidRDefault="0095713B" w:rsidP="00484B4C">
      <w:pPr>
        <w:pStyle w:val="NormaleWeb"/>
        <w:spacing w:before="0" w:beforeAutospacing="0" w:after="0" w:afterAutospacing="0"/>
        <w:jc w:val="both"/>
        <w:rPr>
          <w:sz w:val="28"/>
          <w:szCs w:val="28"/>
        </w:rPr>
      </w:pPr>
      <w:r w:rsidRPr="00484B4C">
        <w:rPr>
          <w:sz w:val="28"/>
          <w:szCs w:val="28"/>
        </w:rPr>
        <w:t>Non vi rientr</w:t>
      </w:r>
      <w:r w:rsidR="0050540A">
        <w:rPr>
          <w:sz w:val="28"/>
          <w:szCs w:val="28"/>
        </w:rPr>
        <w:t>erebbe</w:t>
      </w:r>
      <w:r w:rsidRPr="00484B4C">
        <w:rPr>
          <w:sz w:val="28"/>
          <w:szCs w:val="28"/>
        </w:rPr>
        <w:t xml:space="preserve">, dunque, la diffusione di dati appartenenti a categorie particolari, come nel caso di specie. </w:t>
      </w:r>
    </w:p>
    <w:p w14:paraId="07F9A773" w14:textId="5DD35BA6" w:rsidR="0095713B" w:rsidRPr="00484B4C" w:rsidRDefault="0050540A" w:rsidP="00484B4C">
      <w:pPr>
        <w:pStyle w:val="NormaleWeb"/>
        <w:spacing w:before="0" w:beforeAutospacing="0" w:after="0" w:afterAutospacing="0"/>
        <w:jc w:val="both"/>
        <w:rPr>
          <w:sz w:val="28"/>
          <w:szCs w:val="28"/>
        </w:rPr>
      </w:pPr>
      <w:r>
        <w:rPr>
          <w:sz w:val="28"/>
          <w:szCs w:val="28"/>
        </w:rPr>
        <w:t>I Giudici di legittimità hanno rilevano che non</w:t>
      </w:r>
      <w:r w:rsidR="0095713B" w:rsidRPr="00484B4C">
        <w:rPr>
          <w:sz w:val="28"/>
          <w:szCs w:val="28"/>
        </w:rPr>
        <w:t xml:space="preserve"> è stata </w:t>
      </w:r>
      <w:r>
        <w:rPr>
          <w:sz w:val="28"/>
          <w:szCs w:val="28"/>
        </w:rPr>
        <w:t xml:space="preserve">neanche </w:t>
      </w:r>
      <w:r w:rsidR="0095713B" w:rsidRPr="00484B4C">
        <w:rPr>
          <w:sz w:val="28"/>
          <w:szCs w:val="28"/>
        </w:rPr>
        <w:t>posta la questione di continuità con l’art. 612-ter c.p.</w:t>
      </w:r>
      <w:r w:rsidR="0096701A">
        <w:rPr>
          <w:sz w:val="28"/>
          <w:szCs w:val="28"/>
        </w:rPr>
        <w:t xml:space="preserve">, concernente, </w:t>
      </w:r>
      <w:r w:rsidR="0095713B" w:rsidRPr="00484B4C">
        <w:rPr>
          <w:sz w:val="28"/>
          <w:szCs w:val="28"/>
        </w:rPr>
        <w:t>nello specifico</w:t>
      </w:r>
      <w:r w:rsidR="0096701A">
        <w:rPr>
          <w:sz w:val="28"/>
          <w:szCs w:val="28"/>
        </w:rPr>
        <w:t>,</w:t>
      </w:r>
      <w:r w:rsidR="0095713B" w:rsidRPr="00484B4C">
        <w:rPr>
          <w:sz w:val="28"/>
          <w:szCs w:val="28"/>
        </w:rPr>
        <w:t xml:space="preserve"> l</w:t>
      </w:r>
      <w:r w:rsidR="0096701A">
        <w:rPr>
          <w:sz w:val="28"/>
          <w:szCs w:val="28"/>
        </w:rPr>
        <w:t>a</w:t>
      </w:r>
      <w:r w:rsidR="0095713B" w:rsidRPr="00484B4C">
        <w:rPr>
          <w:sz w:val="28"/>
          <w:szCs w:val="28"/>
        </w:rPr>
        <w:t xml:space="preserve"> condotta</w:t>
      </w:r>
      <w:r w:rsidR="0096701A" w:rsidRPr="0096701A">
        <w:rPr>
          <w:sz w:val="28"/>
          <w:szCs w:val="28"/>
        </w:rPr>
        <w:t xml:space="preserve"> </w:t>
      </w:r>
      <w:r w:rsidR="0096701A" w:rsidRPr="00484B4C">
        <w:rPr>
          <w:sz w:val="28"/>
          <w:szCs w:val="28"/>
        </w:rPr>
        <w:t>illecita</w:t>
      </w:r>
      <w:r w:rsidR="0095713B" w:rsidRPr="00484B4C">
        <w:rPr>
          <w:sz w:val="28"/>
          <w:szCs w:val="28"/>
        </w:rPr>
        <w:t xml:space="preserve"> di </w:t>
      </w:r>
      <w:r w:rsidR="0096701A">
        <w:rPr>
          <w:sz w:val="28"/>
          <w:szCs w:val="28"/>
        </w:rPr>
        <w:t xml:space="preserve">chi fa </w:t>
      </w:r>
      <w:r w:rsidR="0095713B" w:rsidRPr="00484B4C">
        <w:rPr>
          <w:sz w:val="28"/>
          <w:szCs w:val="28"/>
        </w:rPr>
        <w:t>diffusione di immagini o video sessualmente espliciti.</w:t>
      </w:r>
    </w:p>
    <w:p w14:paraId="6C1E915E" w14:textId="0CAC1EA2" w:rsidR="0096701A" w:rsidRDefault="0096701A" w:rsidP="00484B4C">
      <w:pPr>
        <w:pStyle w:val="NormaleWeb"/>
        <w:spacing w:before="0" w:beforeAutospacing="0" w:after="0" w:afterAutospacing="0"/>
        <w:jc w:val="both"/>
        <w:rPr>
          <w:sz w:val="28"/>
          <w:szCs w:val="28"/>
        </w:rPr>
      </w:pPr>
      <w:r>
        <w:rPr>
          <w:sz w:val="28"/>
          <w:szCs w:val="28"/>
        </w:rPr>
        <w:t>L’epilogo della vicenda ha visto l’</w:t>
      </w:r>
      <w:r w:rsidR="0095713B" w:rsidRPr="00484B4C">
        <w:rPr>
          <w:sz w:val="28"/>
          <w:szCs w:val="28"/>
        </w:rPr>
        <w:t>annullamento dell’ordinanza</w:t>
      </w:r>
      <w:r>
        <w:rPr>
          <w:sz w:val="28"/>
          <w:szCs w:val="28"/>
        </w:rPr>
        <w:t>, e ciò ci dà l’occasione per riflettere sul</w:t>
      </w:r>
      <w:r w:rsidR="0095713B" w:rsidRPr="00484B4C">
        <w:rPr>
          <w:sz w:val="28"/>
          <w:szCs w:val="28"/>
        </w:rPr>
        <w:t xml:space="preserve">l’importanza del corretto inquadramento giuridico delle fattispecie, </w:t>
      </w:r>
      <w:r>
        <w:rPr>
          <w:sz w:val="28"/>
          <w:szCs w:val="28"/>
        </w:rPr>
        <w:t>sia ai</w:t>
      </w:r>
      <w:r w:rsidR="0095713B" w:rsidRPr="00484B4C">
        <w:rPr>
          <w:sz w:val="28"/>
          <w:szCs w:val="28"/>
        </w:rPr>
        <w:t xml:space="preserve"> fini della punibilità </w:t>
      </w:r>
      <w:r>
        <w:rPr>
          <w:sz w:val="28"/>
          <w:szCs w:val="28"/>
        </w:rPr>
        <w:t>ch</w:t>
      </w:r>
      <w:r w:rsidR="0095713B" w:rsidRPr="00484B4C">
        <w:rPr>
          <w:sz w:val="28"/>
          <w:szCs w:val="28"/>
        </w:rPr>
        <w:t xml:space="preserve">e del contrasto effettivo di fenomeni come quello </w:t>
      </w:r>
      <w:r>
        <w:rPr>
          <w:sz w:val="28"/>
          <w:szCs w:val="28"/>
        </w:rPr>
        <w:t>esaminato.</w:t>
      </w:r>
      <w:r w:rsidR="0095713B" w:rsidRPr="00484B4C">
        <w:rPr>
          <w:sz w:val="28"/>
          <w:szCs w:val="28"/>
        </w:rPr>
        <w:t xml:space="preserve"> </w:t>
      </w:r>
      <w:r>
        <w:rPr>
          <w:sz w:val="28"/>
          <w:szCs w:val="28"/>
        </w:rPr>
        <w:t xml:space="preserve">La Suprema Corte </w:t>
      </w:r>
      <w:r w:rsidR="0095713B" w:rsidRPr="00484B4C">
        <w:rPr>
          <w:sz w:val="28"/>
          <w:szCs w:val="28"/>
        </w:rPr>
        <w:t xml:space="preserve">ha affermato il </w:t>
      </w:r>
      <w:r>
        <w:rPr>
          <w:sz w:val="28"/>
          <w:szCs w:val="28"/>
        </w:rPr>
        <w:t xml:space="preserve">seguente </w:t>
      </w:r>
      <w:r w:rsidR="0095713B" w:rsidRPr="00484B4C">
        <w:rPr>
          <w:sz w:val="28"/>
          <w:szCs w:val="28"/>
        </w:rPr>
        <w:t>principio</w:t>
      </w:r>
      <w:r>
        <w:rPr>
          <w:sz w:val="28"/>
          <w:szCs w:val="28"/>
        </w:rPr>
        <w:t xml:space="preserve">: il </w:t>
      </w:r>
      <w:r w:rsidR="0095713B" w:rsidRPr="00484B4C">
        <w:rPr>
          <w:sz w:val="28"/>
          <w:szCs w:val="28"/>
        </w:rPr>
        <w:t>giudice di merito</w:t>
      </w:r>
      <w:r>
        <w:rPr>
          <w:sz w:val="28"/>
          <w:szCs w:val="28"/>
        </w:rPr>
        <w:t>,</w:t>
      </w:r>
      <w:r w:rsidR="0095713B" w:rsidRPr="00484B4C">
        <w:rPr>
          <w:sz w:val="28"/>
          <w:szCs w:val="28"/>
        </w:rPr>
        <w:t xml:space="preserve"> chiamato</w:t>
      </w:r>
      <w:r w:rsidR="002D29DD" w:rsidRPr="00484B4C">
        <w:rPr>
          <w:sz w:val="28"/>
          <w:szCs w:val="28"/>
        </w:rPr>
        <w:t xml:space="preserve"> </w:t>
      </w:r>
      <w:r w:rsidR="0095713B" w:rsidRPr="00484B4C">
        <w:rPr>
          <w:sz w:val="28"/>
          <w:szCs w:val="28"/>
        </w:rPr>
        <w:t>ad interpretare la portata dell’art. 167</w:t>
      </w:r>
      <w:r>
        <w:rPr>
          <w:sz w:val="28"/>
          <w:szCs w:val="28"/>
        </w:rPr>
        <w:t>-</w:t>
      </w:r>
      <w:r w:rsidR="0095713B" w:rsidRPr="00484B4C">
        <w:rPr>
          <w:sz w:val="28"/>
          <w:szCs w:val="28"/>
        </w:rPr>
        <w:t>bis del Codice Privacy</w:t>
      </w:r>
      <w:r>
        <w:rPr>
          <w:sz w:val="28"/>
          <w:szCs w:val="28"/>
        </w:rPr>
        <w:t>,</w:t>
      </w:r>
      <w:r w:rsidR="0095713B" w:rsidRPr="00484B4C">
        <w:rPr>
          <w:sz w:val="28"/>
          <w:szCs w:val="28"/>
        </w:rPr>
        <w:t xml:space="preserve"> deve </w:t>
      </w:r>
      <w:r>
        <w:rPr>
          <w:sz w:val="28"/>
          <w:szCs w:val="28"/>
        </w:rPr>
        <w:t>interrogarsi circa la</w:t>
      </w:r>
      <w:r w:rsidR="0095713B" w:rsidRPr="00484B4C">
        <w:rPr>
          <w:sz w:val="28"/>
          <w:szCs w:val="28"/>
        </w:rPr>
        <w:t xml:space="preserve"> sussistenza di continuità normativa fra </w:t>
      </w:r>
      <w:r>
        <w:rPr>
          <w:sz w:val="28"/>
          <w:szCs w:val="28"/>
        </w:rPr>
        <w:t>tale</w:t>
      </w:r>
      <w:r w:rsidR="0095713B" w:rsidRPr="00484B4C">
        <w:rPr>
          <w:sz w:val="28"/>
          <w:szCs w:val="28"/>
        </w:rPr>
        <w:t xml:space="preserve"> norma ed altre disposizioni</w:t>
      </w:r>
      <w:r>
        <w:rPr>
          <w:sz w:val="28"/>
          <w:szCs w:val="28"/>
        </w:rPr>
        <w:t xml:space="preserve"> normative</w:t>
      </w:r>
      <w:r w:rsidR="0095713B" w:rsidRPr="00484B4C">
        <w:rPr>
          <w:sz w:val="28"/>
          <w:szCs w:val="28"/>
        </w:rPr>
        <w:t xml:space="preserve">, </w:t>
      </w:r>
      <w:r>
        <w:rPr>
          <w:sz w:val="28"/>
          <w:szCs w:val="28"/>
        </w:rPr>
        <w:t>anche</w:t>
      </w:r>
      <w:r w:rsidR="0095713B" w:rsidRPr="00484B4C">
        <w:rPr>
          <w:sz w:val="28"/>
          <w:szCs w:val="28"/>
        </w:rPr>
        <w:t xml:space="preserve"> non appartenenti al Codice Privacy.</w:t>
      </w:r>
    </w:p>
    <w:p w14:paraId="5B927542" w14:textId="4E19056D" w:rsidR="0095713B" w:rsidRPr="00484B4C" w:rsidRDefault="0096701A" w:rsidP="00484B4C">
      <w:pPr>
        <w:pStyle w:val="NormaleWeb"/>
        <w:spacing w:before="0" w:beforeAutospacing="0" w:after="0" w:afterAutospacing="0"/>
        <w:jc w:val="both"/>
        <w:rPr>
          <w:sz w:val="28"/>
          <w:szCs w:val="28"/>
        </w:rPr>
      </w:pPr>
      <w:r>
        <w:rPr>
          <w:sz w:val="28"/>
          <w:szCs w:val="28"/>
        </w:rPr>
        <w:t>Rilevante, s</w:t>
      </w:r>
      <w:r w:rsidR="0095713B" w:rsidRPr="00484B4C">
        <w:rPr>
          <w:sz w:val="28"/>
          <w:szCs w:val="28"/>
        </w:rPr>
        <w:t>ul tema</w:t>
      </w:r>
      <w:r>
        <w:rPr>
          <w:sz w:val="28"/>
          <w:szCs w:val="28"/>
        </w:rPr>
        <w:t>, è stata</w:t>
      </w:r>
      <w:r w:rsidR="0095713B" w:rsidRPr="00484B4C">
        <w:rPr>
          <w:sz w:val="28"/>
          <w:szCs w:val="28"/>
        </w:rPr>
        <w:t xml:space="preserve"> </w:t>
      </w:r>
      <w:r>
        <w:rPr>
          <w:sz w:val="28"/>
          <w:szCs w:val="28"/>
        </w:rPr>
        <w:t xml:space="preserve">la modifica al Codice prodotta dal recente </w:t>
      </w:r>
      <w:r w:rsidR="0095713B" w:rsidRPr="00484B4C">
        <w:rPr>
          <w:sz w:val="28"/>
          <w:szCs w:val="28"/>
        </w:rPr>
        <w:t>D.L. n. 139/2021 (</w:t>
      </w:r>
      <w:r>
        <w:rPr>
          <w:sz w:val="28"/>
          <w:szCs w:val="28"/>
        </w:rPr>
        <w:t>c.d.</w:t>
      </w:r>
      <w:r w:rsidR="0095713B" w:rsidRPr="00484B4C">
        <w:rPr>
          <w:sz w:val="28"/>
          <w:szCs w:val="28"/>
        </w:rPr>
        <w:t xml:space="preserve"> “Decreto Capienze”), </w:t>
      </w:r>
      <w:r>
        <w:rPr>
          <w:sz w:val="28"/>
          <w:szCs w:val="28"/>
        </w:rPr>
        <w:t xml:space="preserve">il quale introduce </w:t>
      </w:r>
      <w:r w:rsidR="0095713B" w:rsidRPr="00484B4C">
        <w:rPr>
          <w:sz w:val="28"/>
          <w:szCs w:val="28"/>
        </w:rPr>
        <w:t>l’art. 144</w:t>
      </w:r>
      <w:r>
        <w:rPr>
          <w:sz w:val="28"/>
          <w:szCs w:val="28"/>
        </w:rPr>
        <w:t>-</w:t>
      </w:r>
      <w:r w:rsidR="0095713B" w:rsidRPr="00484B4C">
        <w:rPr>
          <w:sz w:val="28"/>
          <w:szCs w:val="28"/>
        </w:rPr>
        <w:t>bis, rubricato</w:t>
      </w:r>
      <w:r>
        <w:rPr>
          <w:sz w:val="28"/>
          <w:szCs w:val="28"/>
        </w:rPr>
        <w:t>,</w:t>
      </w:r>
      <w:r w:rsidR="0095713B" w:rsidRPr="00484B4C">
        <w:rPr>
          <w:sz w:val="28"/>
          <w:szCs w:val="28"/>
        </w:rPr>
        <w:t xml:space="preserve"> appunto</w:t>
      </w:r>
      <w:r>
        <w:rPr>
          <w:sz w:val="28"/>
          <w:szCs w:val="28"/>
        </w:rPr>
        <w:t>,</w:t>
      </w:r>
      <w:r w:rsidR="0095713B" w:rsidRPr="00484B4C">
        <w:rPr>
          <w:sz w:val="28"/>
          <w:szCs w:val="28"/>
        </w:rPr>
        <w:t xml:space="preserve"> “</w:t>
      </w:r>
      <w:proofErr w:type="spellStart"/>
      <w:r w:rsidR="0095713B" w:rsidRPr="0096701A">
        <w:rPr>
          <w:i/>
          <w:iCs/>
          <w:sz w:val="28"/>
          <w:szCs w:val="28"/>
        </w:rPr>
        <w:t>revenge</w:t>
      </w:r>
      <w:proofErr w:type="spellEnd"/>
      <w:r w:rsidR="0095713B" w:rsidRPr="0096701A">
        <w:rPr>
          <w:i/>
          <w:iCs/>
          <w:sz w:val="28"/>
          <w:szCs w:val="28"/>
        </w:rPr>
        <w:t xml:space="preserve"> </w:t>
      </w:r>
      <w:proofErr w:type="spellStart"/>
      <w:r w:rsidR="0095713B" w:rsidRPr="0096701A">
        <w:rPr>
          <w:i/>
          <w:iCs/>
          <w:sz w:val="28"/>
          <w:szCs w:val="28"/>
        </w:rPr>
        <w:t>porn</w:t>
      </w:r>
      <w:proofErr w:type="spellEnd"/>
      <w:r w:rsidR="0095713B" w:rsidRPr="00484B4C">
        <w:rPr>
          <w:sz w:val="28"/>
          <w:szCs w:val="28"/>
        </w:rPr>
        <w:t xml:space="preserve">”, </w:t>
      </w:r>
      <w:r>
        <w:rPr>
          <w:sz w:val="28"/>
          <w:szCs w:val="28"/>
        </w:rPr>
        <w:t>con cui</w:t>
      </w:r>
      <w:r w:rsidR="0095713B" w:rsidRPr="00484B4C">
        <w:rPr>
          <w:sz w:val="28"/>
          <w:szCs w:val="28"/>
        </w:rPr>
        <w:t xml:space="preserve"> viene riconosciuto alle vittime del reato, ivi inclusi i minori ultraquattordicenni, il diritto di presentare reclamo o segnalazione innanzi al Garante</w:t>
      </w:r>
      <w:r>
        <w:rPr>
          <w:sz w:val="28"/>
          <w:szCs w:val="28"/>
        </w:rPr>
        <w:t xml:space="preserve"> della privacy</w:t>
      </w:r>
      <w:r w:rsidR="0095713B" w:rsidRPr="00484B4C">
        <w:rPr>
          <w:sz w:val="28"/>
          <w:szCs w:val="28"/>
        </w:rPr>
        <w:t xml:space="preserve"> nell’ipotesi in cui vi sia il fondato timore che una delle condotte descritte dall’art. 612</w:t>
      </w:r>
      <w:r>
        <w:rPr>
          <w:sz w:val="28"/>
          <w:szCs w:val="28"/>
        </w:rPr>
        <w:t>-</w:t>
      </w:r>
      <w:r w:rsidR="0095713B" w:rsidRPr="00484B4C">
        <w:rPr>
          <w:sz w:val="28"/>
          <w:szCs w:val="28"/>
        </w:rPr>
        <w:t>ter c.p. possa esser</w:t>
      </w:r>
      <w:r>
        <w:rPr>
          <w:sz w:val="28"/>
          <w:szCs w:val="28"/>
        </w:rPr>
        <w:t>e</w:t>
      </w:r>
      <w:r w:rsidR="0095713B" w:rsidRPr="00484B4C">
        <w:rPr>
          <w:sz w:val="28"/>
          <w:szCs w:val="28"/>
        </w:rPr>
        <w:t xml:space="preserve"> realizzata.</w:t>
      </w:r>
    </w:p>
    <w:p w14:paraId="1CA9476F" w14:textId="4CC3A7FD" w:rsidR="0095713B" w:rsidRPr="00484B4C" w:rsidRDefault="0095713B" w:rsidP="00484B4C">
      <w:pPr>
        <w:pStyle w:val="NormaleWeb"/>
        <w:spacing w:before="0" w:beforeAutospacing="0" w:after="0" w:afterAutospacing="0"/>
        <w:jc w:val="both"/>
        <w:rPr>
          <w:sz w:val="28"/>
          <w:szCs w:val="28"/>
        </w:rPr>
      </w:pPr>
      <w:r w:rsidRPr="00484B4C">
        <w:rPr>
          <w:sz w:val="28"/>
          <w:szCs w:val="28"/>
        </w:rPr>
        <w:t xml:space="preserve">Il </w:t>
      </w:r>
      <w:r w:rsidR="0096701A">
        <w:rPr>
          <w:sz w:val="28"/>
          <w:szCs w:val="28"/>
        </w:rPr>
        <w:t xml:space="preserve">potere di intervento del </w:t>
      </w:r>
      <w:r w:rsidRPr="00484B4C">
        <w:rPr>
          <w:sz w:val="28"/>
          <w:szCs w:val="28"/>
        </w:rPr>
        <w:t xml:space="preserve">Garante </w:t>
      </w:r>
      <w:r w:rsidR="0096701A">
        <w:rPr>
          <w:sz w:val="28"/>
          <w:szCs w:val="28"/>
        </w:rPr>
        <w:t>è quello</w:t>
      </w:r>
      <w:r w:rsidRPr="00484B4C">
        <w:rPr>
          <w:sz w:val="28"/>
          <w:szCs w:val="28"/>
        </w:rPr>
        <w:t xml:space="preserve"> ai sensi dell’art. 58 </w:t>
      </w:r>
      <w:r w:rsidR="00247176">
        <w:rPr>
          <w:sz w:val="28"/>
          <w:szCs w:val="28"/>
        </w:rPr>
        <w:t>del GDPR:</w:t>
      </w:r>
      <w:r w:rsidRPr="00484B4C">
        <w:rPr>
          <w:sz w:val="28"/>
          <w:szCs w:val="28"/>
        </w:rPr>
        <w:t xml:space="preserve"> </w:t>
      </w:r>
      <w:r w:rsidR="00247176">
        <w:rPr>
          <w:sz w:val="28"/>
          <w:szCs w:val="28"/>
        </w:rPr>
        <w:t xml:space="preserve">egli può, </w:t>
      </w:r>
      <w:r w:rsidRPr="00484B4C">
        <w:rPr>
          <w:sz w:val="28"/>
          <w:szCs w:val="28"/>
        </w:rPr>
        <w:t>ad esempio</w:t>
      </w:r>
      <w:r w:rsidR="00247176">
        <w:rPr>
          <w:sz w:val="28"/>
          <w:szCs w:val="28"/>
        </w:rPr>
        <w:t>,</w:t>
      </w:r>
      <w:r w:rsidRPr="00484B4C">
        <w:rPr>
          <w:sz w:val="28"/>
          <w:szCs w:val="28"/>
        </w:rPr>
        <w:t xml:space="preserve"> </w:t>
      </w:r>
      <w:r w:rsidR="00247176">
        <w:rPr>
          <w:sz w:val="28"/>
          <w:szCs w:val="28"/>
        </w:rPr>
        <w:t>ordinare</w:t>
      </w:r>
      <w:r w:rsidRPr="00484B4C">
        <w:rPr>
          <w:sz w:val="28"/>
          <w:szCs w:val="28"/>
        </w:rPr>
        <w:t xml:space="preserve"> l’interruzione del trattamento o la rimozione dei contenuti illeciti. L</w:t>
      </w:r>
      <w:r w:rsidR="00247176">
        <w:rPr>
          <w:sz w:val="28"/>
          <w:szCs w:val="28"/>
        </w:rPr>
        <w:t>o scopo della</w:t>
      </w:r>
      <w:r w:rsidRPr="00484B4C">
        <w:rPr>
          <w:sz w:val="28"/>
          <w:szCs w:val="28"/>
        </w:rPr>
        <w:t xml:space="preserve"> norma</w:t>
      </w:r>
      <w:r w:rsidR="00247176">
        <w:rPr>
          <w:sz w:val="28"/>
          <w:szCs w:val="28"/>
        </w:rPr>
        <w:t xml:space="preserve"> è quello di </w:t>
      </w:r>
      <w:r w:rsidR="00247176" w:rsidRPr="00247176">
        <w:rPr>
          <w:i/>
          <w:iCs/>
          <w:sz w:val="28"/>
          <w:szCs w:val="28"/>
        </w:rPr>
        <w:t>anticipare</w:t>
      </w:r>
      <w:r w:rsidR="00247176" w:rsidRPr="00484B4C">
        <w:rPr>
          <w:sz w:val="28"/>
          <w:szCs w:val="28"/>
        </w:rPr>
        <w:t xml:space="preserve"> la tutela riconosciuta alle vittime, dando loro la possibilità di invocare l’intervento dell’Autorità già prima che il reato sia effettivamente commesso</w:t>
      </w:r>
      <w:r w:rsidR="00247176">
        <w:rPr>
          <w:sz w:val="28"/>
          <w:szCs w:val="28"/>
        </w:rPr>
        <w:t xml:space="preserve">; </w:t>
      </w:r>
      <w:r w:rsidRPr="00484B4C">
        <w:rPr>
          <w:sz w:val="28"/>
          <w:szCs w:val="28"/>
        </w:rPr>
        <w:t>dunque</w:t>
      </w:r>
      <w:r w:rsidR="00247176">
        <w:rPr>
          <w:sz w:val="28"/>
          <w:szCs w:val="28"/>
        </w:rPr>
        <w:t>,</w:t>
      </w:r>
      <w:r w:rsidRPr="00484B4C">
        <w:rPr>
          <w:sz w:val="28"/>
          <w:szCs w:val="28"/>
        </w:rPr>
        <w:t xml:space="preserve"> non </w:t>
      </w:r>
      <w:r w:rsidR="00247176">
        <w:rPr>
          <w:sz w:val="28"/>
          <w:szCs w:val="28"/>
        </w:rPr>
        <w:t xml:space="preserve">viene </w:t>
      </w:r>
      <w:r w:rsidRPr="00484B4C">
        <w:rPr>
          <w:sz w:val="28"/>
          <w:szCs w:val="28"/>
        </w:rPr>
        <w:t>amplia</w:t>
      </w:r>
      <w:r w:rsidR="00247176">
        <w:rPr>
          <w:sz w:val="28"/>
          <w:szCs w:val="28"/>
        </w:rPr>
        <w:t>to</w:t>
      </w:r>
      <w:r w:rsidRPr="00484B4C">
        <w:rPr>
          <w:sz w:val="28"/>
          <w:szCs w:val="28"/>
        </w:rPr>
        <w:t xml:space="preserve"> il novero di strument</w:t>
      </w:r>
      <w:r w:rsidR="00247176">
        <w:rPr>
          <w:sz w:val="28"/>
          <w:szCs w:val="28"/>
        </w:rPr>
        <w:t xml:space="preserve">i </w:t>
      </w:r>
      <w:r w:rsidRPr="00247176">
        <w:rPr>
          <w:i/>
          <w:iCs/>
          <w:sz w:val="28"/>
          <w:szCs w:val="28"/>
        </w:rPr>
        <w:t>correttivi</w:t>
      </w:r>
      <w:r w:rsidRPr="00484B4C">
        <w:rPr>
          <w:sz w:val="28"/>
          <w:szCs w:val="28"/>
        </w:rPr>
        <w:t xml:space="preserve"> di cui può servirsi l’Autorità</w:t>
      </w:r>
      <w:r w:rsidR="00247176">
        <w:rPr>
          <w:sz w:val="28"/>
          <w:szCs w:val="28"/>
        </w:rPr>
        <w:t>.</w:t>
      </w:r>
    </w:p>
    <w:p w14:paraId="25263ABA" w14:textId="0BD54A6C" w:rsidR="0095713B" w:rsidRPr="00484B4C" w:rsidRDefault="00E27334" w:rsidP="00484B4C">
      <w:pPr>
        <w:pStyle w:val="NormaleWeb"/>
        <w:spacing w:before="0" w:beforeAutospacing="0" w:after="0" w:afterAutospacing="0"/>
        <w:jc w:val="both"/>
        <w:rPr>
          <w:sz w:val="28"/>
          <w:szCs w:val="28"/>
        </w:rPr>
      </w:pPr>
      <w:r>
        <w:rPr>
          <w:sz w:val="28"/>
          <w:szCs w:val="28"/>
        </w:rPr>
        <w:t>Gli</w:t>
      </w:r>
      <w:r w:rsidR="0095713B" w:rsidRPr="00484B4C">
        <w:rPr>
          <w:sz w:val="28"/>
          <w:szCs w:val="28"/>
        </w:rPr>
        <w:t xml:space="preserve"> strumenti </w:t>
      </w:r>
      <w:r>
        <w:rPr>
          <w:sz w:val="28"/>
          <w:szCs w:val="28"/>
        </w:rPr>
        <w:t>che</w:t>
      </w:r>
      <w:r w:rsidR="0095713B" w:rsidRPr="00484B4C">
        <w:rPr>
          <w:sz w:val="28"/>
          <w:szCs w:val="28"/>
        </w:rPr>
        <w:t xml:space="preserve"> l’interessato </w:t>
      </w:r>
      <w:r>
        <w:rPr>
          <w:sz w:val="28"/>
          <w:szCs w:val="28"/>
        </w:rPr>
        <w:t>può utilizzare sono il</w:t>
      </w:r>
      <w:r w:rsidR="0095713B" w:rsidRPr="00484B4C">
        <w:rPr>
          <w:sz w:val="28"/>
          <w:szCs w:val="28"/>
        </w:rPr>
        <w:t xml:space="preserve"> </w:t>
      </w:r>
      <w:r>
        <w:rPr>
          <w:sz w:val="28"/>
          <w:szCs w:val="28"/>
        </w:rPr>
        <w:t>r</w:t>
      </w:r>
      <w:r w:rsidR="0095713B" w:rsidRPr="00484B4C">
        <w:rPr>
          <w:sz w:val="28"/>
          <w:szCs w:val="28"/>
        </w:rPr>
        <w:t xml:space="preserve">eclamo e </w:t>
      </w:r>
      <w:r>
        <w:rPr>
          <w:sz w:val="28"/>
          <w:szCs w:val="28"/>
        </w:rPr>
        <w:t xml:space="preserve">la </w:t>
      </w:r>
      <w:r w:rsidR="0095713B" w:rsidRPr="00484B4C">
        <w:rPr>
          <w:sz w:val="28"/>
          <w:szCs w:val="28"/>
        </w:rPr>
        <w:t>segnalazione</w:t>
      </w:r>
      <w:r>
        <w:rPr>
          <w:sz w:val="28"/>
          <w:szCs w:val="28"/>
        </w:rPr>
        <w:t xml:space="preserve">, </w:t>
      </w:r>
      <w:r w:rsidR="0095713B" w:rsidRPr="00484B4C">
        <w:rPr>
          <w:sz w:val="28"/>
          <w:szCs w:val="28"/>
        </w:rPr>
        <w:t>accessibili gratuitamente</w:t>
      </w:r>
      <w:r>
        <w:rPr>
          <w:sz w:val="28"/>
          <w:szCs w:val="28"/>
        </w:rPr>
        <w:t xml:space="preserve"> e </w:t>
      </w:r>
      <w:r w:rsidR="0095713B" w:rsidRPr="00484B4C">
        <w:rPr>
          <w:sz w:val="28"/>
          <w:szCs w:val="28"/>
        </w:rPr>
        <w:t xml:space="preserve">meno onerosi </w:t>
      </w:r>
      <w:r>
        <w:rPr>
          <w:sz w:val="28"/>
          <w:szCs w:val="28"/>
        </w:rPr>
        <w:t>dei classici</w:t>
      </w:r>
      <w:r w:rsidR="0095713B" w:rsidRPr="00484B4C">
        <w:rPr>
          <w:sz w:val="28"/>
          <w:szCs w:val="28"/>
        </w:rPr>
        <w:t xml:space="preserve"> rimedi giurisdizionali.</w:t>
      </w:r>
    </w:p>
    <w:p w14:paraId="73A76DC2" w14:textId="33CB692B" w:rsidR="0095713B" w:rsidRPr="00484B4C" w:rsidRDefault="00E27334" w:rsidP="00484B4C">
      <w:pPr>
        <w:pStyle w:val="NormaleWeb"/>
        <w:spacing w:before="0" w:beforeAutospacing="0" w:after="0" w:afterAutospacing="0"/>
        <w:jc w:val="both"/>
        <w:rPr>
          <w:sz w:val="28"/>
          <w:szCs w:val="28"/>
        </w:rPr>
      </w:pPr>
      <w:r>
        <w:rPr>
          <w:sz w:val="28"/>
          <w:szCs w:val="28"/>
        </w:rPr>
        <w:lastRenderedPageBreak/>
        <w:t>La speranza è che l</w:t>
      </w:r>
      <w:r w:rsidR="0095713B" w:rsidRPr="00484B4C">
        <w:rPr>
          <w:sz w:val="28"/>
          <w:szCs w:val="28"/>
        </w:rPr>
        <w:t>’introduzione di questa nuova disposizione</w:t>
      </w:r>
      <w:r>
        <w:rPr>
          <w:sz w:val="28"/>
          <w:szCs w:val="28"/>
        </w:rPr>
        <w:t>, ossia</w:t>
      </w:r>
      <w:r w:rsidR="0095713B" w:rsidRPr="00484B4C">
        <w:rPr>
          <w:sz w:val="28"/>
          <w:szCs w:val="28"/>
        </w:rPr>
        <w:t xml:space="preserve"> la previsione di un sistema di tutela anticipato e parallelo rispetto a quello tradizionale, </w:t>
      </w:r>
      <w:r>
        <w:rPr>
          <w:sz w:val="28"/>
          <w:szCs w:val="28"/>
        </w:rPr>
        <w:t xml:space="preserve">possa – se non eliminare – quanto meno </w:t>
      </w:r>
      <w:r w:rsidR="0095713B" w:rsidRPr="00484B4C">
        <w:rPr>
          <w:sz w:val="28"/>
          <w:szCs w:val="28"/>
        </w:rPr>
        <w:t xml:space="preserve">arginare </w:t>
      </w:r>
      <w:r>
        <w:rPr>
          <w:sz w:val="28"/>
          <w:szCs w:val="28"/>
        </w:rPr>
        <w:t>il più possibile</w:t>
      </w:r>
      <w:r w:rsidR="0095713B" w:rsidRPr="00484B4C">
        <w:rPr>
          <w:sz w:val="28"/>
          <w:szCs w:val="28"/>
        </w:rPr>
        <w:t xml:space="preserve"> il fenomeno.</w:t>
      </w:r>
    </w:p>
    <w:p w14:paraId="149C7A84" w14:textId="77777777" w:rsidR="00E27334" w:rsidRDefault="00E27334" w:rsidP="00484B4C">
      <w:pPr>
        <w:spacing w:after="0" w:line="240" w:lineRule="auto"/>
        <w:jc w:val="both"/>
        <w:rPr>
          <w:rFonts w:ascii="Times New Roman" w:hAnsi="Times New Roman" w:cs="Times New Roman"/>
          <w:sz w:val="28"/>
          <w:szCs w:val="28"/>
        </w:rPr>
      </w:pPr>
    </w:p>
    <w:p w14:paraId="6896003C" w14:textId="77777777" w:rsidR="00E27334" w:rsidRDefault="00E27334" w:rsidP="00484B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È fisiologico che il sistema giuridico si debba adattare alle nuove tecnologie, con un necessario </w:t>
      </w:r>
      <w:r w:rsidRPr="00484B4C">
        <w:rPr>
          <w:rFonts w:ascii="Times New Roman" w:hAnsi="Times New Roman" w:cs="Times New Roman"/>
          <w:sz w:val="28"/>
          <w:szCs w:val="28"/>
        </w:rPr>
        <w:t>ripensamento rispetto alle fattispecie esistenti</w:t>
      </w:r>
      <w:r>
        <w:rPr>
          <w:rFonts w:ascii="Times New Roman" w:hAnsi="Times New Roman" w:cs="Times New Roman"/>
          <w:sz w:val="28"/>
          <w:szCs w:val="28"/>
        </w:rPr>
        <w:t>, dat</w:t>
      </w:r>
      <w:r w:rsidR="0095713B" w:rsidRPr="00484B4C">
        <w:rPr>
          <w:rFonts w:ascii="Times New Roman" w:hAnsi="Times New Roman" w:cs="Times New Roman"/>
          <w:sz w:val="28"/>
          <w:szCs w:val="28"/>
        </w:rPr>
        <w:t xml:space="preserve">a </w:t>
      </w:r>
      <w:r>
        <w:rPr>
          <w:rFonts w:ascii="Times New Roman" w:hAnsi="Times New Roman" w:cs="Times New Roman"/>
          <w:sz w:val="28"/>
          <w:szCs w:val="28"/>
        </w:rPr>
        <w:t>la repentina diffusione</w:t>
      </w:r>
      <w:r w:rsidR="0095713B" w:rsidRPr="00484B4C">
        <w:rPr>
          <w:rFonts w:ascii="Times New Roman" w:hAnsi="Times New Roman" w:cs="Times New Roman"/>
          <w:sz w:val="28"/>
          <w:szCs w:val="28"/>
        </w:rPr>
        <w:t xml:space="preserve"> dei mezzi di comunicazione di massa </w:t>
      </w:r>
      <w:r>
        <w:rPr>
          <w:rFonts w:ascii="Times New Roman" w:hAnsi="Times New Roman" w:cs="Times New Roman"/>
          <w:sz w:val="28"/>
          <w:szCs w:val="28"/>
        </w:rPr>
        <w:t xml:space="preserve">cui stiamo assistendo. </w:t>
      </w:r>
    </w:p>
    <w:p w14:paraId="1CDB0C86" w14:textId="688C6394" w:rsidR="0095713B" w:rsidRPr="00484B4C" w:rsidRDefault="00E27334" w:rsidP="00484B4C">
      <w:pPr>
        <w:spacing w:after="0" w:line="240" w:lineRule="auto"/>
        <w:jc w:val="both"/>
        <w:rPr>
          <w:rFonts w:ascii="Times New Roman" w:eastAsia="Times New Roman" w:hAnsi="Times New Roman" w:cs="Times New Roman"/>
          <w:sz w:val="28"/>
          <w:szCs w:val="28"/>
          <w:lang w:eastAsia="it-IT"/>
        </w:rPr>
      </w:pPr>
      <w:r>
        <w:rPr>
          <w:rFonts w:ascii="Times New Roman" w:hAnsi="Times New Roman" w:cs="Times New Roman"/>
          <w:sz w:val="28"/>
          <w:szCs w:val="28"/>
        </w:rPr>
        <w:t xml:space="preserve">Il mondo digitale, </w:t>
      </w:r>
      <w:r w:rsidR="0095713B" w:rsidRPr="00484B4C">
        <w:rPr>
          <w:rFonts w:ascii="Times New Roman" w:hAnsi="Times New Roman" w:cs="Times New Roman"/>
          <w:sz w:val="28"/>
          <w:szCs w:val="28"/>
        </w:rPr>
        <w:t xml:space="preserve">se da un lato moltiplica le occasioni di contatto, dall’altro </w:t>
      </w:r>
      <w:r>
        <w:rPr>
          <w:rFonts w:ascii="Times New Roman" w:hAnsi="Times New Roman" w:cs="Times New Roman"/>
          <w:sz w:val="28"/>
          <w:szCs w:val="28"/>
        </w:rPr>
        <w:t>aumenta in maniera</w:t>
      </w:r>
      <w:r w:rsidR="0095713B" w:rsidRPr="00484B4C">
        <w:rPr>
          <w:rFonts w:ascii="Times New Roman" w:hAnsi="Times New Roman" w:cs="Times New Roman"/>
          <w:sz w:val="28"/>
          <w:szCs w:val="28"/>
        </w:rPr>
        <w:t xml:space="preserve"> proporziona</w:t>
      </w:r>
      <w:r>
        <w:rPr>
          <w:rFonts w:ascii="Times New Roman" w:hAnsi="Times New Roman" w:cs="Times New Roman"/>
          <w:sz w:val="28"/>
          <w:szCs w:val="28"/>
        </w:rPr>
        <w:t>le</w:t>
      </w:r>
      <w:r w:rsidR="0095713B" w:rsidRPr="00484B4C">
        <w:rPr>
          <w:rFonts w:ascii="Times New Roman" w:hAnsi="Times New Roman" w:cs="Times New Roman"/>
          <w:sz w:val="28"/>
          <w:szCs w:val="28"/>
        </w:rPr>
        <w:t xml:space="preserve"> le incertezze in merito alla liceità del comportamento </w:t>
      </w:r>
      <w:r>
        <w:rPr>
          <w:rFonts w:ascii="Times New Roman" w:hAnsi="Times New Roman" w:cs="Times New Roman"/>
          <w:sz w:val="28"/>
          <w:szCs w:val="28"/>
        </w:rPr>
        <w:t>sul web</w:t>
      </w:r>
      <w:r w:rsidR="000A5022">
        <w:rPr>
          <w:rFonts w:ascii="Times New Roman" w:hAnsi="Times New Roman" w:cs="Times New Roman"/>
          <w:sz w:val="28"/>
          <w:szCs w:val="28"/>
        </w:rPr>
        <w:t>,</w:t>
      </w:r>
      <w:r w:rsidR="0095713B" w:rsidRPr="00484B4C">
        <w:rPr>
          <w:rFonts w:ascii="Times New Roman" w:hAnsi="Times New Roman" w:cs="Times New Roman"/>
          <w:sz w:val="28"/>
          <w:szCs w:val="28"/>
        </w:rPr>
        <w:t xml:space="preserve"> i cui limiti non sono ancora definiti.</w:t>
      </w:r>
    </w:p>
    <w:p w14:paraId="7F59C781" w14:textId="77777777" w:rsidR="000A5022" w:rsidRDefault="000A5022" w:rsidP="00484B4C">
      <w:pPr>
        <w:pStyle w:val="NormaleWeb"/>
        <w:spacing w:before="0" w:beforeAutospacing="0" w:after="0" w:afterAutospacing="0"/>
        <w:jc w:val="both"/>
        <w:rPr>
          <w:sz w:val="28"/>
          <w:szCs w:val="28"/>
        </w:rPr>
      </w:pPr>
      <w:r>
        <w:rPr>
          <w:sz w:val="28"/>
          <w:szCs w:val="28"/>
        </w:rPr>
        <w:t>Gli</w:t>
      </w:r>
      <w:r w:rsidR="0095713B" w:rsidRPr="00484B4C">
        <w:rPr>
          <w:sz w:val="28"/>
          <w:szCs w:val="28"/>
        </w:rPr>
        <w:t xml:space="preserve"> utenti</w:t>
      </w:r>
      <w:r>
        <w:rPr>
          <w:sz w:val="28"/>
          <w:szCs w:val="28"/>
        </w:rPr>
        <w:t xml:space="preserve"> pagano le più aspre conseguenze</w:t>
      </w:r>
      <w:r w:rsidR="0095713B" w:rsidRPr="00484B4C">
        <w:rPr>
          <w:sz w:val="28"/>
          <w:szCs w:val="28"/>
        </w:rPr>
        <w:t xml:space="preserve">, </w:t>
      </w:r>
      <w:r>
        <w:rPr>
          <w:sz w:val="28"/>
          <w:szCs w:val="28"/>
        </w:rPr>
        <w:t xml:space="preserve">e </w:t>
      </w:r>
      <w:r w:rsidR="0095713B" w:rsidRPr="00484B4C">
        <w:rPr>
          <w:sz w:val="28"/>
          <w:szCs w:val="28"/>
        </w:rPr>
        <w:t xml:space="preserve">i </w:t>
      </w:r>
      <w:r>
        <w:rPr>
          <w:sz w:val="28"/>
          <w:szCs w:val="28"/>
        </w:rPr>
        <w:t>loro</w:t>
      </w:r>
      <w:r w:rsidR="0095713B" w:rsidRPr="00484B4C">
        <w:rPr>
          <w:sz w:val="28"/>
          <w:szCs w:val="28"/>
        </w:rPr>
        <w:t xml:space="preserve"> diritti costituzionalmente tutelati </w:t>
      </w:r>
      <w:r>
        <w:rPr>
          <w:sz w:val="28"/>
          <w:szCs w:val="28"/>
        </w:rPr>
        <w:t>rischiano seriamente di</w:t>
      </w:r>
      <w:r w:rsidR="0095713B" w:rsidRPr="00484B4C">
        <w:rPr>
          <w:sz w:val="28"/>
          <w:szCs w:val="28"/>
        </w:rPr>
        <w:t xml:space="preserve"> essere messi a repentaglio con una lesività maggiore rispetto al passato. </w:t>
      </w:r>
    </w:p>
    <w:p w14:paraId="1A7C3A30" w14:textId="78686174" w:rsidR="0095713B" w:rsidRPr="00484B4C" w:rsidRDefault="000A5022" w:rsidP="00484B4C">
      <w:pPr>
        <w:pStyle w:val="NormaleWeb"/>
        <w:spacing w:before="0" w:beforeAutospacing="0" w:after="0" w:afterAutospacing="0"/>
        <w:jc w:val="both"/>
        <w:rPr>
          <w:sz w:val="28"/>
          <w:szCs w:val="28"/>
        </w:rPr>
      </w:pPr>
      <w:r>
        <w:rPr>
          <w:sz w:val="28"/>
          <w:szCs w:val="28"/>
        </w:rPr>
        <w:t xml:space="preserve">I comportamenti illeciti sulla rete sono sempre più </w:t>
      </w:r>
      <w:r w:rsidR="0095713B" w:rsidRPr="00484B4C">
        <w:rPr>
          <w:sz w:val="28"/>
          <w:szCs w:val="28"/>
        </w:rPr>
        <w:t xml:space="preserve">difficilmente identificabili, </w:t>
      </w:r>
      <w:r>
        <w:rPr>
          <w:sz w:val="28"/>
          <w:szCs w:val="28"/>
        </w:rPr>
        <w:t>e anche</w:t>
      </w:r>
      <w:r w:rsidR="0095713B" w:rsidRPr="00484B4C">
        <w:rPr>
          <w:sz w:val="28"/>
          <w:szCs w:val="28"/>
        </w:rPr>
        <w:t xml:space="preserve"> gli eventuali rimedi sembrano essere spesso insufficienti</w:t>
      </w:r>
      <w:r>
        <w:rPr>
          <w:sz w:val="28"/>
          <w:szCs w:val="28"/>
        </w:rPr>
        <w:t>.</w:t>
      </w:r>
    </w:p>
    <w:p w14:paraId="4B704FE7" w14:textId="77777777" w:rsidR="003F7D10" w:rsidRDefault="000A5022" w:rsidP="00484B4C">
      <w:pPr>
        <w:pStyle w:val="NormaleWeb"/>
        <w:spacing w:before="0" w:beforeAutospacing="0" w:after="0" w:afterAutospacing="0"/>
        <w:jc w:val="both"/>
        <w:rPr>
          <w:sz w:val="28"/>
          <w:szCs w:val="28"/>
        </w:rPr>
      </w:pPr>
      <w:r>
        <w:rPr>
          <w:sz w:val="28"/>
          <w:szCs w:val="28"/>
        </w:rPr>
        <w:t>La</w:t>
      </w:r>
      <w:r w:rsidR="0095713B" w:rsidRPr="00484B4C">
        <w:rPr>
          <w:sz w:val="28"/>
          <w:szCs w:val="28"/>
        </w:rPr>
        <w:t xml:space="preserve"> Dichiarazione dei diritti in </w:t>
      </w:r>
      <w:r w:rsidR="0095713B" w:rsidRPr="000A5022">
        <w:rPr>
          <w:i/>
          <w:iCs/>
          <w:sz w:val="28"/>
          <w:szCs w:val="28"/>
        </w:rPr>
        <w:t>internet</w:t>
      </w:r>
      <w:r w:rsidR="0095713B" w:rsidRPr="00484B4C">
        <w:rPr>
          <w:sz w:val="28"/>
          <w:szCs w:val="28"/>
        </w:rPr>
        <w:t xml:space="preserve"> del 2015, </w:t>
      </w:r>
      <w:r>
        <w:rPr>
          <w:sz w:val="28"/>
          <w:szCs w:val="28"/>
        </w:rPr>
        <w:t xml:space="preserve">tuttavia, precisa </w:t>
      </w:r>
      <w:r w:rsidR="0095713B" w:rsidRPr="00484B4C">
        <w:rPr>
          <w:sz w:val="28"/>
          <w:szCs w:val="28"/>
        </w:rPr>
        <w:t xml:space="preserve">che i diritti fondamentali di ogni persona sono garantiti anche </w:t>
      </w:r>
      <w:r>
        <w:rPr>
          <w:sz w:val="28"/>
          <w:szCs w:val="28"/>
        </w:rPr>
        <w:t>sul</w:t>
      </w:r>
      <w:r w:rsidR="0095713B" w:rsidRPr="00484B4C">
        <w:rPr>
          <w:sz w:val="28"/>
          <w:szCs w:val="28"/>
        </w:rPr>
        <w:t xml:space="preserve"> web</w:t>
      </w:r>
      <w:r>
        <w:rPr>
          <w:sz w:val="28"/>
          <w:szCs w:val="28"/>
        </w:rPr>
        <w:t>,</w:t>
      </w:r>
      <w:r w:rsidR="0095713B" w:rsidRPr="00484B4C">
        <w:rPr>
          <w:sz w:val="28"/>
          <w:szCs w:val="28"/>
        </w:rPr>
        <w:t xml:space="preserve"> e devono essere interpretati in modo da assicurarne l’effettività</w:t>
      </w:r>
      <w:r>
        <w:rPr>
          <w:sz w:val="28"/>
          <w:szCs w:val="28"/>
        </w:rPr>
        <w:t>,</w:t>
      </w:r>
      <w:r w:rsidR="0095713B" w:rsidRPr="00484B4C">
        <w:rPr>
          <w:sz w:val="28"/>
          <w:szCs w:val="28"/>
        </w:rPr>
        <w:t xml:space="preserve"> nel pieno rispetto della dignità, libertà, uguaglianza e diversità di ognuno (art</w:t>
      </w:r>
      <w:r>
        <w:rPr>
          <w:sz w:val="28"/>
          <w:szCs w:val="28"/>
        </w:rPr>
        <w:t>.</w:t>
      </w:r>
      <w:r w:rsidR="0095713B" w:rsidRPr="00484B4C">
        <w:rPr>
          <w:sz w:val="28"/>
          <w:szCs w:val="28"/>
        </w:rPr>
        <w:t xml:space="preserve"> 1)</w:t>
      </w:r>
      <w:r>
        <w:rPr>
          <w:sz w:val="28"/>
          <w:szCs w:val="28"/>
        </w:rPr>
        <w:t xml:space="preserve">. </w:t>
      </w:r>
    </w:p>
    <w:p w14:paraId="7E33117A" w14:textId="287C8112" w:rsidR="000A5022" w:rsidRDefault="000A5022" w:rsidP="00484B4C">
      <w:pPr>
        <w:pStyle w:val="NormaleWeb"/>
        <w:spacing w:before="0" w:beforeAutospacing="0" w:after="0" w:afterAutospacing="0"/>
        <w:jc w:val="both"/>
        <w:rPr>
          <w:sz w:val="28"/>
          <w:szCs w:val="28"/>
        </w:rPr>
      </w:pPr>
      <w:r>
        <w:rPr>
          <w:sz w:val="28"/>
          <w:szCs w:val="28"/>
        </w:rPr>
        <w:t>P</w:t>
      </w:r>
      <w:r w:rsidR="0095713B" w:rsidRPr="00484B4C">
        <w:rPr>
          <w:sz w:val="28"/>
          <w:szCs w:val="28"/>
        </w:rPr>
        <w:t>ertanto</w:t>
      </w:r>
      <w:r>
        <w:rPr>
          <w:sz w:val="28"/>
          <w:szCs w:val="28"/>
        </w:rPr>
        <w:t>,</w:t>
      </w:r>
      <w:r w:rsidR="0095713B" w:rsidRPr="00484B4C">
        <w:rPr>
          <w:sz w:val="28"/>
          <w:szCs w:val="28"/>
        </w:rPr>
        <w:t xml:space="preserve"> </w:t>
      </w:r>
      <w:r>
        <w:rPr>
          <w:sz w:val="28"/>
          <w:szCs w:val="28"/>
        </w:rPr>
        <w:t>il</w:t>
      </w:r>
      <w:r w:rsidR="0095713B" w:rsidRPr="00484B4C">
        <w:rPr>
          <w:sz w:val="28"/>
          <w:szCs w:val="28"/>
        </w:rPr>
        <w:t xml:space="preserve"> compito dell’ordinamento </w:t>
      </w:r>
      <w:r>
        <w:rPr>
          <w:sz w:val="28"/>
          <w:szCs w:val="28"/>
        </w:rPr>
        <w:t xml:space="preserve">è quello di </w:t>
      </w:r>
      <w:r w:rsidR="0095713B" w:rsidRPr="00484B4C">
        <w:rPr>
          <w:sz w:val="28"/>
          <w:szCs w:val="28"/>
        </w:rPr>
        <w:t xml:space="preserve">reinterpretare le norme esistenti in modo aperto e realizzare </w:t>
      </w:r>
      <w:r>
        <w:rPr>
          <w:sz w:val="28"/>
          <w:szCs w:val="28"/>
        </w:rPr>
        <w:t>tale</w:t>
      </w:r>
      <w:r w:rsidR="0095713B" w:rsidRPr="00484B4C">
        <w:rPr>
          <w:sz w:val="28"/>
          <w:szCs w:val="28"/>
        </w:rPr>
        <w:t xml:space="preserve"> obiettivo.</w:t>
      </w:r>
    </w:p>
    <w:p w14:paraId="028DFF9B" w14:textId="77777777" w:rsidR="000A5022" w:rsidRDefault="000A5022" w:rsidP="00484B4C">
      <w:pPr>
        <w:pStyle w:val="NormaleWeb"/>
        <w:spacing w:before="0" w:beforeAutospacing="0" w:after="0" w:afterAutospacing="0"/>
        <w:jc w:val="both"/>
        <w:rPr>
          <w:sz w:val="28"/>
          <w:szCs w:val="28"/>
        </w:rPr>
      </w:pPr>
      <w:r>
        <w:rPr>
          <w:sz w:val="28"/>
          <w:szCs w:val="28"/>
        </w:rPr>
        <w:t>L</w:t>
      </w:r>
      <w:r w:rsidR="0095713B" w:rsidRPr="00484B4C">
        <w:rPr>
          <w:sz w:val="28"/>
          <w:szCs w:val="28"/>
        </w:rPr>
        <w:t>’art</w:t>
      </w:r>
      <w:r>
        <w:rPr>
          <w:sz w:val="28"/>
          <w:szCs w:val="28"/>
        </w:rPr>
        <w:t>.</w:t>
      </w:r>
      <w:r w:rsidR="0095713B" w:rsidRPr="00484B4C">
        <w:rPr>
          <w:sz w:val="28"/>
          <w:szCs w:val="28"/>
        </w:rPr>
        <w:t xml:space="preserve"> 9 del</w:t>
      </w:r>
      <w:r>
        <w:rPr>
          <w:sz w:val="28"/>
          <w:szCs w:val="28"/>
        </w:rPr>
        <w:t>la Dichiarazione,</w:t>
      </w:r>
      <w:r w:rsidR="0095713B" w:rsidRPr="00484B4C">
        <w:rPr>
          <w:sz w:val="28"/>
          <w:szCs w:val="28"/>
        </w:rPr>
        <w:t xml:space="preserve"> inoltre</w:t>
      </w:r>
      <w:r>
        <w:rPr>
          <w:sz w:val="28"/>
          <w:szCs w:val="28"/>
        </w:rPr>
        <w:t>,</w:t>
      </w:r>
      <w:r w:rsidR="0095713B" w:rsidRPr="00484B4C">
        <w:rPr>
          <w:sz w:val="28"/>
          <w:szCs w:val="28"/>
        </w:rPr>
        <w:t xml:space="preserve"> riconosc</w:t>
      </w:r>
      <w:r>
        <w:rPr>
          <w:sz w:val="28"/>
          <w:szCs w:val="28"/>
        </w:rPr>
        <w:t>e</w:t>
      </w:r>
      <w:r w:rsidR="0095713B" w:rsidRPr="00484B4C">
        <w:rPr>
          <w:sz w:val="28"/>
          <w:szCs w:val="28"/>
        </w:rPr>
        <w:t xml:space="preserve"> il diritto a non veder rappresentata erroneamente la propria identità in rete. </w:t>
      </w:r>
    </w:p>
    <w:p w14:paraId="2EB41423" w14:textId="4FEF1AA5" w:rsidR="0095713B" w:rsidRPr="00484B4C" w:rsidRDefault="000A5022" w:rsidP="00484B4C">
      <w:pPr>
        <w:pStyle w:val="NormaleWeb"/>
        <w:spacing w:before="0" w:beforeAutospacing="0" w:after="0" w:afterAutospacing="0"/>
        <w:jc w:val="both"/>
        <w:rPr>
          <w:sz w:val="28"/>
          <w:szCs w:val="28"/>
        </w:rPr>
      </w:pPr>
      <w:r>
        <w:rPr>
          <w:sz w:val="28"/>
          <w:szCs w:val="28"/>
        </w:rPr>
        <w:t>Questo</w:t>
      </w:r>
      <w:r w:rsidR="0095713B" w:rsidRPr="00484B4C">
        <w:rPr>
          <w:sz w:val="28"/>
          <w:szCs w:val="28"/>
        </w:rPr>
        <w:t xml:space="preserve"> tema </w:t>
      </w:r>
      <w:r>
        <w:rPr>
          <w:sz w:val="28"/>
          <w:szCs w:val="28"/>
        </w:rPr>
        <w:t>è caro al</w:t>
      </w:r>
      <w:r w:rsidR="0095713B" w:rsidRPr="00484B4C">
        <w:rPr>
          <w:sz w:val="28"/>
          <w:szCs w:val="28"/>
        </w:rPr>
        <w:t>la giurisprudenza</w:t>
      </w:r>
      <w:r>
        <w:rPr>
          <w:sz w:val="28"/>
          <w:szCs w:val="28"/>
        </w:rPr>
        <w:t>, la quale</w:t>
      </w:r>
      <w:r w:rsidR="0095713B" w:rsidRPr="00484B4C">
        <w:rPr>
          <w:sz w:val="28"/>
          <w:szCs w:val="28"/>
        </w:rPr>
        <w:t xml:space="preserve"> si è pronunciata </w:t>
      </w:r>
      <w:r w:rsidR="0007026C">
        <w:rPr>
          <w:sz w:val="28"/>
          <w:szCs w:val="28"/>
        </w:rPr>
        <w:t>svariate</w:t>
      </w:r>
      <w:r w:rsidR="0095713B" w:rsidRPr="00484B4C">
        <w:rPr>
          <w:sz w:val="28"/>
          <w:szCs w:val="28"/>
        </w:rPr>
        <w:t xml:space="preserve"> volte cercando di adattare il contenuto dell’articolo 595 c.p. al web e temperarlo con la tutela della libertà di cui all’art</w:t>
      </w:r>
      <w:r w:rsidR="0007026C">
        <w:rPr>
          <w:sz w:val="28"/>
          <w:szCs w:val="28"/>
        </w:rPr>
        <w:t>.</w:t>
      </w:r>
      <w:r w:rsidR="0095713B" w:rsidRPr="00484B4C">
        <w:rPr>
          <w:sz w:val="28"/>
          <w:szCs w:val="28"/>
        </w:rPr>
        <w:t xml:space="preserve"> 21 </w:t>
      </w:r>
      <w:proofErr w:type="spellStart"/>
      <w:r w:rsidR="0095713B" w:rsidRPr="00484B4C">
        <w:rPr>
          <w:sz w:val="28"/>
          <w:szCs w:val="28"/>
        </w:rPr>
        <w:t>Cost</w:t>
      </w:r>
      <w:proofErr w:type="spellEnd"/>
      <w:r w:rsidR="0095713B" w:rsidRPr="00484B4C">
        <w:rPr>
          <w:sz w:val="28"/>
          <w:szCs w:val="28"/>
        </w:rPr>
        <w:t>.</w:t>
      </w:r>
    </w:p>
    <w:p w14:paraId="4138558D" w14:textId="19FC4ADF" w:rsidR="0007026C" w:rsidRDefault="0007026C" w:rsidP="00484B4C">
      <w:pPr>
        <w:pStyle w:val="NormaleWeb"/>
        <w:spacing w:before="0" w:beforeAutospacing="0" w:after="0" w:afterAutospacing="0"/>
        <w:jc w:val="both"/>
        <w:rPr>
          <w:sz w:val="28"/>
          <w:szCs w:val="28"/>
        </w:rPr>
      </w:pPr>
      <w:r>
        <w:rPr>
          <w:sz w:val="28"/>
          <w:szCs w:val="28"/>
        </w:rPr>
        <w:t>Una delle domande che ogni giurista si è posto è quella relativa</w:t>
      </w:r>
      <w:r w:rsidR="0095713B" w:rsidRPr="00484B4C">
        <w:rPr>
          <w:sz w:val="28"/>
          <w:szCs w:val="28"/>
        </w:rPr>
        <w:t xml:space="preserve"> </w:t>
      </w:r>
      <w:r>
        <w:rPr>
          <w:sz w:val="28"/>
          <w:szCs w:val="28"/>
        </w:rPr>
        <w:t>a</w:t>
      </w:r>
      <w:r w:rsidR="0095713B" w:rsidRPr="00484B4C">
        <w:rPr>
          <w:sz w:val="28"/>
          <w:szCs w:val="28"/>
        </w:rPr>
        <w:t>ll’esten</w:t>
      </w:r>
      <w:r w:rsidR="00F063E1">
        <w:rPr>
          <w:sz w:val="28"/>
          <w:szCs w:val="28"/>
        </w:rPr>
        <w:t>s</w:t>
      </w:r>
      <w:r w:rsidR="0095713B" w:rsidRPr="00484B4C">
        <w:rPr>
          <w:sz w:val="28"/>
          <w:szCs w:val="28"/>
        </w:rPr>
        <w:t>ibilità della nozione di stampa ai periodici telematici</w:t>
      </w:r>
      <w:r>
        <w:rPr>
          <w:sz w:val="28"/>
          <w:szCs w:val="28"/>
        </w:rPr>
        <w:t>,</w:t>
      </w:r>
      <w:r w:rsidR="0095713B" w:rsidRPr="00484B4C">
        <w:rPr>
          <w:sz w:val="28"/>
          <w:szCs w:val="28"/>
        </w:rPr>
        <w:t xml:space="preserve"> </w:t>
      </w:r>
      <w:r w:rsidRPr="00484B4C">
        <w:rPr>
          <w:sz w:val="28"/>
          <w:szCs w:val="28"/>
        </w:rPr>
        <w:t xml:space="preserve">soprattutto </w:t>
      </w:r>
      <w:r>
        <w:rPr>
          <w:sz w:val="28"/>
          <w:szCs w:val="28"/>
        </w:rPr>
        <w:t>allo scopo</w:t>
      </w:r>
      <w:r w:rsidR="0095713B" w:rsidRPr="00484B4C">
        <w:rPr>
          <w:sz w:val="28"/>
          <w:szCs w:val="28"/>
        </w:rPr>
        <w:t xml:space="preserve"> di accertare la legittimità, per questi ultimi, del sequestro preventivo a scopo cautelativo. </w:t>
      </w:r>
    </w:p>
    <w:p w14:paraId="4D754BFF" w14:textId="6A04AA25" w:rsidR="0095713B" w:rsidRPr="00484B4C" w:rsidRDefault="0007026C" w:rsidP="00484B4C">
      <w:pPr>
        <w:pStyle w:val="NormaleWeb"/>
        <w:spacing w:before="0" w:beforeAutospacing="0" w:after="0" w:afterAutospacing="0"/>
        <w:jc w:val="both"/>
        <w:rPr>
          <w:sz w:val="28"/>
          <w:szCs w:val="28"/>
        </w:rPr>
      </w:pPr>
      <w:r>
        <w:rPr>
          <w:sz w:val="28"/>
          <w:szCs w:val="28"/>
        </w:rPr>
        <w:t>Ci si è interrogati, inoltre,</w:t>
      </w:r>
      <w:r w:rsidR="0095713B" w:rsidRPr="00484B4C">
        <w:rPr>
          <w:sz w:val="28"/>
          <w:szCs w:val="28"/>
        </w:rPr>
        <w:t xml:space="preserve"> sulla possibilità di aggravamento della pena in caso di diffamazione tramite </w:t>
      </w:r>
      <w:r w:rsidR="0095713B" w:rsidRPr="0007026C">
        <w:rPr>
          <w:i/>
          <w:iCs/>
          <w:sz w:val="28"/>
          <w:szCs w:val="28"/>
        </w:rPr>
        <w:t>social network</w:t>
      </w:r>
      <w:r w:rsidR="0095713B" w:rsidRPr="00484B4C">
        <w:rPr>
          <w:sz w:val="28"/>
          <w:szCs w:val="28"/>
        </w:rPr>
        <w:t xml:space="preserve">, </w:t>
      </w:r>
      <w:r w:rsidR="0095713B" w:rsidRPr="0007026C">
        <w:rPr>
          <w:i/>
          <w:iCs/>
          <w:sz w:val="28"/>
          <w:szCs w:val="28"/>
        </w:rPr>
        <w:t>forum</w:t>
      </w:r>
      <w:r w:rsidR="0095713B" w:rsidRPr="00484B4C">
        <w:rPr>
          <w:sz w:val="28"/>
          <w:szCs w:val="28"/>
        </w:rPr>
        <w:t xml:space="preserve"> e </w:t>
      </w:r>
      <w:r w:rsidR="0095713B" w:rsidRPr="0007026C">
        <w:rPr>
          <w:i/>
          <w:iCs/>
          <w:sz w:val="28"/>
          <w:szCs w:val="28"/>
        </w:rPr>
        <w:t>blog</w:t>
      </w:r>
      <w:r>
        <w:rPr>
          <w:i/>
          <w:iCs/>
          <w:sz w:val="28"/>
          <w:szCs w:val="28"/>
        </w:rPr>
        <w:t>,</w:t>
      </w:r>
      <w:r w:rsidR="0095713B" w:rsidRPr="00484B4C">
        <w:rPr>
          <w:sz w:val="28"/>
          <w:szCs w:val="28"/>
        </w:rPr>
        <w:t xml:space="preserve"> in ragione della maggiore diffusività del mezzo.</w:t>
      </w:r>
    </w:p>
    <w:p w14:paraId="1DBE4436" w14:textId="77777777" w:rsidR="003F7D10" w:rsidRDefault="00F063E1" w:rsidP="00484B4C">
      <w:pPr>
        <w:pStyle w:val="NormaleWeb"/>
        <w:spacing w:before="0" w:beforeAutospacing="0" w:after="0" w:afterAutospacing="0"/>
        <w:jc w:val="both"/>
        <w:rPr>
          <w:sz w:val="28"/>
          <w:szCs w:val="28"/>
        </w:rPr>
      </w:pPr>
      <w:r>
        <w:rPr>
          <w:sz w:val="28"/>
          <w:szCs w:val="28"/>
        </w:rPr>
        <w:t>È stata considerata, inoltre, la</w:t>
      </w:r>
      <w:r w:rsidR="0095713B" w:rsidRPr="00484B4C">
        <w:rPr>
          <w:sz w:val="28"/>
          <w:szCs w:val="28"/>
        </w:rPr>
        <w:t xml:space="preserve"> responsabilità </w:t>
      </w:r>
      <w:r>
        <w:rPr>
          <w:sz w:val="28"/>
          <w:szCs w:val="28"/>
        </w:rPr>
        <w:t>a carico</w:t>
      </w:r>
      <w:r w:rsidR="0095713B" w:rsidRPr="00484B4C">
        <w:rPr>
          <w:sz w:val="28"/>
          <w:szCs w:val="28"/>
        </w:rPr>
        <w:t xml:space="preserve"> a chi ha la possibilità di avere accesso ai contenuti in rete e </w:t>
      </w:r>
      <w:r>
        <w:rPr>
          <w:sz w:val="28"/>
          <w:szCs w:val="28"/>
        </w:rPr>
        <w:t xml:space="preserve">sono state analizzate </w:t>
      </w:r>
      <w:r w:rsidR="0095713B" w:rsidRPr="00484B4C">
        <w:rPr>
          <w:sz w:val="28"/>
          <w:szCs w:val="28"/>
        </w:rPr>
        <w:t xml:space="preserve">le politiche perseguite dalle piattaforme </w:t>
      </w:r>
      <w:r w:rsidR="0095713B" w:rsidRPr="00F063E1">
        <w:rPr>
          <w:i/>
          <w:iCs/>
          <w:sz w:val="28"/>
          <w:szCs w:val="28"/>
        </w:rPr>
        <w:t>online</w:t>
      </w:r>
      <w:r w:rsidR="0095713B" w:rsidRPr="00484B4C">
        <w:rPr>
          <w:sz w:val="28"/>
          <w:szCs w:val="28"/>
        </w:rPr>
        <w:t xml:space="preserve"> in materia. </w:t>
      </w:r>
    </w:p>
    <w:p w14:paraId="1882546F" w14:textId="77777777" w:rsidR="003F7D10" w:rsidRDefault="00F063E1" w:rsidP="00484B4C">
      <w:pPr>
        <w:pStyle w:val="NormaleWeb"/>
        <w:spacing w:before="0" w:beforeAutospacing="0" w:after="0" w:afterAutospacing="0"/>
        <w:jc w:val="both"/>
        <w:rPr>
          <w:sz w:val="28"/>
          <w:szCs w:val="28"/>
        </w:rPr>
      </w:pPr>
      <w:r>
        <w:rPr>
          <w:sz w:val="28"/>
          <w:szCs w:val="28"/>
        </w:rPr>
        <w:t xml:space="preserve">I </w:t>
      </w:r>
      <w:r w:rsidRPr="00484B4C">
        <w:rPr>
          <w:sz w:val="28"/>
          <w:szCs w:val="28"/>
        </w:rPr>
        <w:t xml:space="preserve">maggiori </w:t>
      </w:r>
      <w:r>
        <w:rPr>
          <w:sz w:val="28"/>
          <w:szCs w:val="28"/>
        </w:rPr>
        <w:t>problemi sono legati al fatto che non è prevista</w:t>
      </w:r>
      <w:r w:rsidR="0095713B" w:rsidRPr="00484B4C">
        <w:rPr>
          <w:sz w:val="28"/>
          <w:szCs w:val="28"/>
        </w:rPr>
        <w:t xml:space="preserve"> una garanzia </w:t>
      </w:r>
      <w:r w:rsidR="0095713B" w:rsidRPr="00F063E1">
        <w:rPr>
          <w:i/>
          <w:iCs/>
          <w:sz w:val="28"/>
          <w:szCs w:val="28"/>
        </w:rPr>
        <w:t>ex ante</w:t>
      </w:r>
      <w:r w:rsidR="0095713B" w:rsidRPr="00484B4C">
        <w:rPr>
          <w:sz w:val="28"/>
          <w:szCs w:val="28"/>
        </w:rPr>
        <w:t xml:space="preserve"> per gli utenti </w:t>
      </w:r>
      <w:r>
        <w:rPr>
          <w:sz w:val="28"/>
          <w:szCs w:val="28"/>
        </w:rPr>
        <w:t>che usufruiscono della rete</w:t>
      </w:r>
      <w:r w:rsidR="0095713B" w:rsidRPr="00484B4C">
        <w:rPr>
          <w:sz w:val="28"/>
          <w:szCs w:val="28"/>
        </w:rPr>
        <w:t xml:space="preserve">, </w:t>
      </w:r>
      <w:r>
        <w:rPr>
          <w:sz w:val="28"/>
          <w:szCs w:val="28"/>
        </w:rPr>
        <w:t xml:space="preserve">i quali sono </w:t>
      </w:r>
      <w:r w:rsidR="0095713B" w:rsidRPr="00484B4C">
        <w:rPr>
          <w:sz w:val="28"/>
          <w:szCs w:val="28"/>
        </w:rPr>
        <w:t xml:space="preserve">costretti a beneficiare unicamente di rimedi riparatori e mai di inibitorie preventive a causa dell’eccessiva onerosità che questo comporterebbe per i </w:t>
      </w:r>
      <w:r w:rsidR="0095713B" w:rsidRPr="00F063E1">
        <w:rPr>
          <w:i/>
          <w:iCs/>
          <w:sz w:val="28"/>
          <w:szCs w:val="28"/>
        </w:rPr>
        <w:t>provider</w:t>
      </w:r>
      <w:r w:rsidR="0095713B" w:rsidRPr="00484B4C">
        <w:rPr>
          <w:sz w:val="28"/>
          <w:szCs w:val="28"/>
        </w:rPr>
        <w:t xml:space="preserve">. </w:t>
      </w:r>
    </w:p>
    <w:p w14:paraId="50036299" w14:textId="274B8D8E" w:rsidR="00E3161A" w:rsidRPr="00484B4C" w:rsidRDefault="00F063E1" w:rsidP="00484B4C">
      <w:pPr>
        <w:pStyle w:val="NormaleWeb"/>
        <w:spacing w:before="0" w:beforeAutospacing="0" w:after="0" w:afterAutospacing="0"/>
        <w:jc w:val="both"/>
        <w:rPr>
          <w:i/>
          <w:iCs/>
          <w:sz w:val="28"/>
          <w:szCs w:val="28"/>
        </w:rPr>
      </w:pPr>
      <w:r>
        <w:rPr>
          <w:sz w:val="28"/>
          <w:szCs w:val="28"/>
        </w:rPr>
        <w:t xml:space="preserve">Tuttavia, sarebbe auspicabile </w:t>
      </w:r>
      <w:r w:rsidR="0095713B" w:rsidRPr="00484B4C">
        <w:rPr>
          <w:sz w:val="28"/>
          <w:szCs w:val="28"/>
        </w:rPr>
        <w:t>un</w:t>
      </w:r>
      <w:r>
        <w:rPr>
          <w:sz w:val="28"/>
          <w:szCs w:val="28"/>
        </w:rPr>
        <w:t xml:space="preserve"> equo</w:t>
      </w:r>
      <w:r w:rsidR="0095713B" w:rsidRPr="00484B4C">
        <w:rPr>
          <w:sz w:val="28"/>
          <w:szCs w:val="28"/>
        </w:rPr>
        <w:t xml:space="preserve"> bilanciamento tra gli interessi coinvolti e </w:t>
      </w:r>
      <w:r>
        <w:rPr>
          <w:sz w:val="28"/>
          <w:szCs w:val="28"/>
        </w:rPr>
        <w:t xml:space="preserve">sarebbe opportuno adottare </w:t>
      </w:r>
      <w:r w:rsidR="0095713B" w:rsidRPr="00484B4C">
        <w:rPr>
          <w:sz w:val="28"/>
          <w:szCs w:val="28"/>
        </w:rPr>
        <w:t xml:space="preserve">soluzioni tecniche, anche automatizzate, </w:t>
      </w:r>
      <w:r>
        <w:rPr>
          <w:sz w:val="28"/>
          <w:szCs w:val="28"/>
        </w:rPr>
        <w:t>finalizzate alla prevenzione di</w:t>
      </w:r>
      <w:r w:rsidR="0095713B" w:rsidRPr="00484B4C">
        <w:rPr>
          <w:sz w:val="28"/>
          <w:szCs w:val="28"/>
        </w:rPr>
        <w:t xml:space="preserve"> quella maggiore lesività della condotta veicolata dalla rete.</w:t>
      </w:r>
    </w:p>
    <w:p w14:paraId="7341EE33" w14:textId="77777777" w:rsidR="003F7D10" w:rsidRDefault="003F7D10" w:rsidP="00484B4C">
      <w:pPr>
        <w:pStyle w:val="NormaleWeb"/>
        <w:spacing w:before="0" w:beforeAutospacing="0" w:after="0" w:afterAutospacing="0"/>
        <w:jc w:val="both"/>
        <w:rPr>
          <w:sz w:val="28"/>
          <w:szCs w:val="28"/>
        </w:rPr>
      </w:pPr>
    </w:p>
    <w:p w14:paraId="2C18BCD6" w14:textId="77777777" w:rsidR="00C85E9D" w:rsidRDefault="0095713B" w:rsidP="00484B4C">
      <w:pPr>
        <w:pStyle w:val="NormaleWeb"/>
        <w:spacing w:before="0" w:beforeAutospacing="0" w:after="0" w:afterAutospacing="0"/>
        <w:jc w:val="both"/>
        <w:rPr>
          <w:sz w:val="28"/>
          <w:szCs w:val="28"/>
        </w:rPr>
      </w:pPr>
      <w:r w:rsidRPr="00484B4C">
        <w:rPr>
          <w:sz w:val="28"/>
          <w:szCs w:val="28"/>
        </w:rPr>
        <w:lastRenderedPageBreak/>
        <w:t xml:space="preserve">Lo sviluppo e la diffusione degli strumenti informatici hanno favorito l’utilizzo sempre più frequente di </w:t>
      </w:r>
      <w:r w:rsidRPr="00F063E1">
        <w:rPr>
          <w:i/>
          <w:iCs/>
          <w:sz w:val="28"/>
          <w:szCs w:val="28"/>
        </w:rPr>
        <w:t>blog</w:t>
      </w:r>
      <w:r w:rsidRPr="00484B4C">
        <w:rPr>
          <w:sz w:val="28"/>
          <w:szCs w:val="28"/>
        </w:rPr>
        <w:t xml:space="preserve">, </w:t>
      </w:r>
      <w:r w:rsidRPr="00F063E1">
        <w:rPr>
          <w:i/>
          <w:iCs/>
          <w:sz w:val="28"/>
          <w:szCs w:val="28"/>
        </w:rPr>
        <w:t>chat rooms</w:t>
      </w:r>
      <w:r w:rsidRPr="00484B4C">
        <w:rPr>
          <w:sz w:val="28"/>
          <w:szCs w:val="28"/>
        </w:rPr>
        <w:t xml:space="preserve">, </w:t>
      </w:r>
      <w:r w:rsidRPr="00F063E1">
        <w:rPr>
          <w:i/>
          <w:iCs/>
          <w:sz w:val="28"/>
          <w:szCs w:val="28"/>
        </w:rPr>
        <w:t>forum</w:t>
      </w:r>
      <w:r w:rsidRPr="00484B4C">
        <w:rPr>
          <w:sz w:val="28"/>
          <w:szCs w:val="28"/>
        </w:rPr>
        <w:t xml:space="preserve">, periodici </w:t>
      </w:r>
      <w:r w:rsidRPr="00F063E1">
        <w:rPr>
          <w:i/>
          <w:iCs/>
          <w:sz w:val="28"/>
          <w:szCs w:val="28"/>
        </w:rPr>
        <w:t>online</w:t>
      </w:r>
      <w:r w:rsidRPr="00484B4C">
        <w:rPr>
          <w:sz w:val="28"/>
          <w:szCs w:val="28"/>
        </w:rPr>
        <w:t xml:space="preserve">, </w:t>
      </w:r>
      <w:r w:rsidRPr="00F063E1">
        <w:rPr>
          <w:i/>
          <w:iCs/>
          <w:sz w:val="28"/>
          <w:szCs w:val="28"/>
        </w:rPr>
        <w:t>social networks</w:t>
      </w:r>
      <w:r w:rsidRPr="00484B4C">
        <w:rPr>
          <w:sz w:val="28"/>
          <w:szCs w:val="28"/>
        </w:rPr>
        <w:t xml:space="preserve">, </w:t>
      </w:r>
      <w:r w:rsidRPr="00F063E1">
        <w:rPr>
          <w:i/>
          <w:iCs/>
          <w:sz w:val="28"/>
          <w:szCs w:val="28"/>
        </w:rPr>
        <w:t xml:space="preserve">mailing-list </w:t>
      </w:r>
      <w:r w:rsidRPr="00484B4C">
        <w:rPr>
          <w:sz w:val="28"/>
          <w:szCs w:val="28"/>
        </w:rPr>
        <w:t xml:space="preserve">e </w:t>
      </w:r>
      <w:r w:rsidRPr="00F063E1">
        <w:rPr>
          <w:i/>
          <w:iCs/>
          <w:sz w:val="28"/>
          <w:szCs w:val="28"/>
        </w:rPr>
        <w:t>newsgroup</w:t>
      </w:r>
      <w:r w:rsidRPr="00484B4C">
        <w:rPr>
          <w:sz w:val="28"/>
          <w:szCs w:val="28"/>
        </w:rPr>
        <w:t xml:space="preserve">. </w:t>
      </w:r>
    </w:p>
    <w:p w14:paraId="393A0A03" w14:textId="686CAC3E" w:rsidR="0095713B" w:rsidRPr="00484B4C" w:rsidRDefault="009144D5" w:rsidP="00484B4C">
      <w:pPr>
        <w:pStyle w:val="NormaleWeb"/>
        <w:spacing w:before="0" w:beforeAutospacing="0" w:after="0" w:afterAutospacing="0"/>
        <w:jc w:val="both"/>
        <w:rPr>
          <w:i/>
          <w:iCs/>
          <w:sz w:val="28"/>
          <w:szCs w:val="28"/>
        </w:rPr>
      </w:pPr>
      <w:r>
        <w:rPr>
          <w:sz w:val="28"/>
          <w:szCs w:val="28"/>
        </w:rPr>
        <w:t xml:space="preserve">Frequente è il superamento, da parte degli utenti che utilizzano queste piattaforme, dei </w:t>
      </w:r>
      <w:r w:rsidR="0095713B" w:rsidRPr="00484B4C">
        <w:rPr>
          <w:sz w:val="28"/>
          <w:szCs w:val="28"/>
        </w:rPr>
        <w:t>confini della libertà di espressione, della critica ovvero della cronaca, ledendo il diritto all’altrui reputazione</w:t>
      </w:r>
      <w:r>
        <w:rPr>
          <w:sz w:val="28"/>
          <w:szCs w:val="28"/>
        </w:rPr>
        <w:t xml:space="preserve"> (es. </w:t>
      </w:r>
      <w:proofErr w:type="spellStart"/>
      <w:r w:rsidRPr="009144D5">
        <w:rPr>
          <w:i/>
          <w:iCs/>
          <w:sz w:val="28"/>
          <w:szCs w:val="28"/>
        </w:rPr>
        <w:t>hate</w:t>
      </w:r>
      <w:proofErr w:type="spellEnd"/>
      <w:r w:rsidRPr="009144D5">
        <w:rPr>
          <w:i/>
          <w:iCs/>
          <w:sz w:val="28"/>
          <w:szCs w:val="28"/>
        </w:rPr>
        <w:t xml:space="preserve"> </w:t>
      </w:r>
      <w:proofErr w:type="spellStart"/>
      <w:r w:rsidRPr="009144D5">
        <w:rPr>
          <w:i/>
          <w:iCs/>
          <w:sz w:val="28"/>
          <w:szCs w:val="28"/>
        </w:rPr>
        <w:t>speech</w:t>
      </w:r>
      <w:proofErr w:type="spellEnd"/>
      <w:r>
        <w:rPr>
          <w:sz w:val="28"/>
          <w:szCs w:val="28"/>
        </w:rPr>
        <w:t>)</w:t>
      </w:r>
    </w:p>
    <w:p w14:paraId="4A774D58" w14:textId="77777777" w:rsidR="00C85E9D" w:rsidRDefault="0095713B" w:rsidP="00484B4C">
      <w:pPr>
        <w:pStyle w:val="NormaleWeb"/>
        <w:spacing w:before="0" w:beforeAutospacing="0" w:after="0" w:afterAutospacing="0"/>
        <w:jc w:val="both"/>
        <w:rPr>
          <w:sz w:val="28"/>
          <w:szCs w:val="28"/>
        </w:rPr>
      </w:pPr>
      <w:r w:rsidRPr="00484B4C">
        <w:rPr>
          <w:sz w:val="28"/>
          <w:szCs w:val="28"/>
        </w:rPr>
        <w:t xml:space="preserve">Come </w:t>
      </w:r>
      <w:r w:rsidR="009144D5">
        <w:rPr>
          <w:sz w:val="28"/>
          <w:szCs w:val="28"/>
        </w:rPr>
        <w:t xml:space="preserve">sostenuto da </w:t>
      </w:r>
      <w:r w:rsidRPr="00484B4C">
        <w:rPr>
          <w:sz w:val="28"/>
          <w:szCs w:val="28"/>
        </w:rPr>
        <w:t>autorevole dottrina</w:t>
      </w:r>
      <w:r w:rsidR="009144D5">
        <w:rPr>
          <w:sz w:val="28"/>
          <w:szCs w:val="28"/>
        </w:rPr>
        <w:t>,</w:t>
      </w:r>
      <w:r w:rsidRPr="00484B4C">
        <w:rPr>
          <w:sz w:val="28"/>
          <w:szCs w:val="28"/>
        </w:rPr>
        <w:t xml:space="preserve"> i diritti della personalità </w:t>
      </w:r>
      <w:r w:rsidR="009144D5">
        <w:rPr>
          <w:sz w:val="28"/>
          <w:szCs w:val="28"/>
        </w:rPr>
        <w:t xml:space="preserve">di una persona </w:t>
      </w:r>
      <w:r w:rsidRPr="00484B4C">
        <w:rPr>
          <w:sz w:val="28"/>
          <w:szCs w:val="28"/>
        </w:rPr>
        <w:t>corrispondono alle</w:t>
      </w:r>
      <w:r w:rsidR="009144D5">
        <w:rPr>
          <w:sz w:val="28"/>
          <w:szCs w:val="28"/>
        </w:rPr>
        <w:t xml:space="preserve"> sue</w:t>
      </w:r>
      <w:r w:rsidRPr="00484B4C">
        <w:rPr>
          <w:sz w:val="28"/>
          <w:szCs w:val="28"/>
        </w:rPr>
        <w:t xml:space="preserve"> qualit</w:t>
      </w:r>
      <w:r w:rsidR="009144D5">
        <w:rPr>
          <w:sz w:val="28"/>
          <w:szCs w:val="28"/>
        </w:rPr>
        <w:t>à</w:t>
      </w:r>
      <w:r w:rsidRPr="00484B4C">
        <w:rPr>
          <w:sz w:val="28"/>
          <w:szCs w:val="28"/>
        </w:rPr>
        <w:t>, che devono essere tutelate nel rapporto con gli altri. T</w:t>
      </w:r>
      <w:r w:rsidR="009144D5">
        <w:rPr>
          <w:sz w:val="28"/>
          <w:szCs w:val="28"/>
        </w:rPr>
        <w:t xml:space="preserve">ra questi </w:t>
      </w:r>
      <w:r w:rsidRPr="00484B4C">
        <w:rPr>
          <w:sz w:val="28"/>
          <w:szCs w:val="28"/>
        </w:rPr>
        <w:t xml:space="preserve">diritti personali assoluti di esclusione </w:t>
      </w:r>
      <w:r w:rsidR="009144D5">
        <w:rPr>
          <w:sz w:val="28"/>
          <w:szCs w:val="28"/>
        </w:rPr>
        <w:t xml:space="preserve">vi è anche </w:t>
      </w:r>
      <w:r w:rsidRPr="00484B4C">
        <w:rPr>
          <w:sz w:val="28"/>
          <w:szCs w:val="28"/>
        </w:rPr>
        <w:t>il diritto all’onore</w:t>
      </w:r>
      <w:r w:rsidR="009144D5">
        <w:rPr>
          <w:sz w:val="28"/>
          <w:szCs w:val="28"/>
        </w:rPr>
        <w:t>;</w:t>
      </w:r>
      <w:r w:rsidRPr="00484B4C">
        <w:rPr>
          <w:sz w:val="28"/>
          <w:szCs w:val="28"/>
        </w:rPr>
        <w:t xml:space="preserve"> questi </w:t>
      </w:r>
      <w:r w:rsidR="009144D5">
        <w:rPr>
          <w:sz w:val="28"/>
          <w:szCs w:val="28"/>
        </w:rPr>
        <w:t xml:space="preserve">diritti </w:t>
      </w:r>
      <w:r w:rsidRPr="00484B4C">
        <w:rPr>
          <w:sz w:val="28"/>
          <w:szCs w:val="28"/>
        </w:rPr>
        <w:t>trovano la loro fonte nella personalità dell’uomo ed alcuni sono “</w:t>
      </w:r>
      <w:r w:rsidRPr="009144D5">
        <w:rPr>
          <w:i/>
          <w:iCs/>
          <w:sz w:val="28"/>
          <w:szCs w:val="28"/>
        </w:rPr>
        <w:t>la causa prima</w:t>
      </w:r>
      <w:r w:rsidRPr="00484B4C">
        <w:rPr>
          <w:sz w:val="28"/>
          <w:szCs w:val="28"/>
        </w:rPr>
        <w:t>” di tutti gli altri diritti particolari</w:t>
      </w:r>
      <w:r w:rsidR="002D29DD" w:rsidRPr="00484B4C">
        <w:rPr>
          <w:rStyle w:val="Rimandonotaapidipagina"/>
          <w:sz w:val="28"/>
          <w:szCs w:val="28"/>
        </w:rPr>
        <w:footnoteReference w:id="239"/>
      </w:r>
      <w:r w:rsidRPr="00484B4C">
        <w:rPr>
          <w:sz w:val="28"/>
          <w:szCs w:val="28"/>
        </w:rPr>
        <w:t xml:space="preserve">. </w:t>
      </w:r>
    </w:p>
    <w:p w14:paraId="4D233180" w14:textId="4C113050" w:rsidR="003F7D10" w:rsidRDefault="009144D5" w:rsidP="00484B4C">
      <w:pPr>
        <w:pStyle w:val="NormaleWeb"/>
        <w:spacing w:before="0" w:beforeAutospacing="0" w:after="0" w:afterAutospacing="0"/>
        <w:jc w:val="both"/>
        <w:rPr>
          <w:sz w:val="28"/>
          <w:szCs w:val="28"/>
        </w:rPr>
      </w:pPr>
      <w:r>
        <w:rPr>
          <w:sz w:val="28"/>
          <w:szCs w:val="28"/>
        </w:rPr>
        <w:t xml:space="preserve">Secondo la </w:t>
      </w:r>
      <w:r w:rsidR="0095713B" w:rsidRPr="00484B4C">
        <w:rPr>
          <w:sz w:val="28"/>
          <w:szCs w:val="28"/>
        </w:rPr>
        <w:t>Corte Costituzionale</w:t>
      </w:r>
      <w:r>
        <w:rPr>
          <w:sz w:val="28"/>
          <w:szCs w:val="28"/>
        </w:rPr>
        <w:t xml:space="preserve">, è </w:t>
      </w:r>
      <w:r w:rsidR="0095713B" w:rsidRPr="00484B4C">
        <w:rPr>
          <w:sz w:val="28"/>
          <w:szCs w:val="28"/>
        </w:rPr>
        <w:t>l’art</w:t>
      </w:r>
      <w:r>
        <w:rPr>
          <w:sz w:val="28"/>
          <w:szCs w:val="28"/>
        </w:rPr>
        <w:t>.</w:t>
      </w:r>
      <w:r w:rsidR="0095713B" w:rsidRPr="00484B4C">
        <w:rPr>
          <w:sz w:val="28"/>
          <w:szCs w:val="28"/>
        </w:rPr>
        <w:t xml:space="preserve"> 2 </w:t>
      </w:r>
      <w:proofErr w:type="spellStart"/>
      <w:r w:rsidR="0095713B" w:rsidRPr="00484B4C">
        <w:rPr>
          <w:sz w:val="28"/>
          <w:szCs w:val="28"/>
        </w:rPr>
        <w:t>Cost</w:t>
      </w:r>
      <w:proofErr w:type="spellEnd"/>
      <w:r w:rsidR="0095713B" w:rsidRPr="00484B4C">
        <w:rPr>
          <w:sz w:val="28"/>
          <w:szCs w:val="28"/>
        </w:rPr>
        <w:t>.</w:t>
      </w:r>
      <w:r w:rsidR="002D29DD" w:rsidRPr="00484B4C">
        <w:rPr>
          <w:rStyle w:val="Rimandonotaapidipagina"/>
          <w:sz w:val="28"/>
          <w:szCs w:val="28"/>
        </w:rPr>
        <w:footnoteReference w:id="240"/>
      </w:r>
      <w:r>
        <w:rPr>
          <w:sz w:val="28"/>
          <w:szCs w:val="28"/>
        </w:rPr>
        <w:t xml:space="preserve"> a riconoscere il </w:t>
      </w:r>
      <w:r w:rsidRPr="00484B4C">
        <w:rPr>
          <w:sz w:val="28"/>
          <w:szCs w:val="28"/>
        </w:rPr>
        <w:t>diritto all’identità personale</w:t>
      </w:r>
      <w:r w:rsidR="0095713B" w:rsidRPr="00484B4C">
        <w:rPr>
          <w:sz w:val="28"/>
          <w:szCs w:val="28"/>
        </w:rPr>
        <w:t xml:space="preserve">, inteso come diritto ad essere </w:t>
      </w:r>
      <w:proofErr w:type="gramStart"/>
      <w:r w:rsidR="0095713B" w:rsidRPr="00484B4C">
        <w:rPr>
          <w:sz w:val="28"/>
          <w:szCs w:val="28"/>
        </w:rPr>
        <w:t>s</w:t>
      </w:r>
      <w:r>
        <w:rPr>
          <w:sz w:val="28"/>
          <w:szCs w:val="28"/>
        </w:rPr>
        <w:t>e</w:t>
      </w:r>
      <w:proofErr w:type="gramEnd"/>
      <w:r w:rsidR="0095713B" w:rsidRPr="00484B4C">
        <w:rPr>
          <w:sz w:val="28"/>
          <w:szCs w:val="28"/>
        </w:rPr>
        <w:t xml:space="preserve"> stess</w:t>
      </w:r>
      <w:r>
        <w:rPr>
          <w:sz w:val="28"/>
          <w:szCs w:val="28"/>
        </w:rPr>
        <w:t>i</w:t>
      </w:r>
      <w:r w:rsidR="0095713B" w:rsidRPr="00484B4C">
        <w:rPr>
          <w:sz w:val="28"/>
          <w:szCs w:val="28"/>
        </w:rPr>
        <w:t xml:space="preserve"> con le proprie idee, esperienze, convinzioni ideologiche e religiose, </w:t>
      </w:r>
      <w:r>
        <w:rPr>
          <w:sz w:val="28"/>
          <w:szCs w:val="28"/>
        </w:rPr>
        <w:t xml:space="preserve">tutti elementi </w:t>
      </w:r>
      <w:r w:rsidR="0095713B" w:rsidRPr="00484B4C">
        <w:rPr>
          <w:sz w:val="28"/>
          <w:szCs w:val="28"/>
        </w:rPr>
        <w:t xml:space="preserve">che qualificano un </w:t>
      </w:r>
      <w:r>
        <w:rPr>
          <w:sz w:val="28"/>
          <w:szCs w:val="28"/>
        </w:rPr>
        <w:t xml:space="preserve">dato </w:t>
      </w:r>
      <w:r w:rsidR="0095713B" w:rsidRPr="00484B4C">
        <w:rPr>
          <w:sz w:val="28"/>
          <w:szCs w:val="28"/>
        </w:rPr>
        <w:t>individuo</w:t>
      </w:r>
      <w:r w:rsidR="002D29DD" w:rsidRPr="00484B4C">
        <w:rPr>
          <w:rStyle w:val="Rimandonotaapidipagina"/>
          <w:sz w:val="28"/>
          <w:szCs w:val="28"/>
        </w:rPr>
        <w:footnoteReference w:id="241"/>
      </w:r>
      <w:r w:rsidR="0095713B" w:rsidRPr="00484B4C">
        <w:rPr>
          <w:sz w:val="28"/>
          <w:szCs w:val="28"/>
        </w:rPr>
        <w:t xml:space="preserve">. </w:t>
      </w:r>
    </w:p>
    <w:p w14:paraId="36C0DEDE" w14:textId="5A2B6088" w:rsidR="00B76764" w:rsidRDefault="00B76764" w:rsidP="00484B4C">
      <w:pPr>
        <w:pStyle w:val="NormaleWeb"/>
        <w:spacing w:before="0" w:beforeAutospacing="0" w:after="0" w:afterAutospacing="0"/>
        <w:jc w:val="both"/>
        <w:rPr>
          <w:sz w:val="28"/>
          <w:szCs w:val="28"/>
        </w:rPr>
      </w:pPr>
      <w:r>
        <w:rPr>
          <w:sz w:val="28"/>
          <w:szCs w:val="28"/>
        </w:rPr>
        <w:t>Leggendo insieme</w:t>
      </w:r>
      <w:r w:rsidR="0095713B" w:rsidRPr="00484B4C">
        <w:rPr>
          <w:sz w:val="28"/>
          <w:szCs w:val="28"/>
        </w:rPr>
        <w:t xml:space="preserve"> tale </w:t>
      </w:r>
      <w:r w:rsidR="009144D5">
        <w:rPr>
          <w:sz w:val="28"/>
          <w:szCs w:val="28"/>
        </w:rPr>
        <w:t>disposizione</w:t>
      </w:r>
      <w:r w:rsidR="0095713B" w:rsidRPr="00484B4C">
        <w:rPr>
          <w:sz w:val="28"/>
          <w:szCs w:val="28"/>
        </w:rPr>
        <w:t xml:space="preserve"> con le altre norme che riconoscono </w:t>
      </w:r>
      <w:r w:rsidR="009144D5">
        <w:rPr>
          <w:sz w:val="28"/>
          <w:szCs w:val="28"/>
        </w:rPr>
        <w:t xml:space="preserve">e garantiscono </w:t>
      </w:r>
      <w:r w:rsidR="0095713B" w:rsidRPr="00484B4C">
        <w:rPr>
          <w:sz w:val="28"/>
          <w:szCs w:val="28"/>
        </w:rPr>
        <w:t xml:space="preserve">le singole libertà </w:t>
      </w:r>
      <w:r w:rsidR="009144D5">
        <w:rPr>
          <w:sz w:val="28"/>
          <w:szCs w:val="28"/>
        </w:rPr>
        <w:t>dell’individuo</w:t>
      </w:r>
      <w:r>
        <w:rPr>
          <w:sz w:val="28"/>
          <w:szCs w:val="28"/>
        </w:rPr>
        <w:t xml:space="preserve">, </w:t>
      </w:r>
      <w:r w:rsidR="0095713B" w:rsidRPr="00484B4C">
        <w:rPr>
          <w:sz w:val="28"/>
          <w:szCs w:val="28"/>
        </w:rPr>
        <w:t>si possono desumere gli ulteriori diritti della personalit</w:t>
      </w:r>
      <w:r>
        <w:rPr>
          <w:sz w:val="28"/>
          <w:szCs w:val="28"/>
        </w:rPr>
        <w:t>à</w:t>
      </w:r>
      <w:r w:rsidR="0095713B" w:rsidRPr="00484B4C">
        <w:rPr>
          <w:sz w:val="28"/>
          <w:szCs w:val="28"/>
        </w:rPr>
        <w:t xml:space="preserve">, </w:t>
      </w:r>
      <w:r>
        <w:rPr>
          <w:sz w:val="28"/>
          <w:szCs w:val="28"/>
        </w:rPr>
        <w:t>come ad esempio</w:t>
      </w:r>
      <w:r w:rsidR="0095713B" w:rsidRPr="00484B4C">
        <w:rPr>
          <w:sz w:val="28"/>
          <w:szCs w:val="28"/>
        </w:rPr>
        <w:t xml:space="preserve"> il decoro e l’onore,</w:t>
      </w:r>
      <w:r>
        <w:rPr>
          <w:sz w:val="28"/>
          <w:szCs w:val="28"/>
        </w:rPr>
        <w:t xml:space="preserve"> la </w:t>
      </w:r>
      <w:r w:rsidR="0095713B" w:rsidRPr="00484B4C">
        <w:rPr>
          <w:sz w:val="28"/>
          <w:szCs w:val="28"/>
        </w:rPr>
        <w:t xml:space="preserve">rispettabilità, </w:t>
      </w:r>
      <w:r>
        <w:rPr>
          <w:sz w:val="28"/>
          <w:szCs w:val="28"/>
        </w:rPr>
        <w:t xml:space="preserve">la </w:t>
      </w:r>
      <w:r w:rsidR="0095713B" w:rsidRPr="00484B4C">
        <w:rPr>
          <w:sz w:val="28"/>
          <w:szCs w:val="28"/>
        </w:rPr>
        <w:t xml:space="preserve">riservatezza, </w:t>
      </w:r>
      <w:r>
        <w:rPr>
          <w:sz w:val="28"/>
          <w:szCs w:val="28"/>
        </w:rPr>
        <w:t>l’</w:t>
      </w:r>
      <w:r w:rsidR="0095713B" w:rsidRPr="00484B4C">
        <w:rPr>
          <w:sz w:val="28"/>
          <w:szCs w:val="28"/>
        </w:rPr>
        <w:t xml:space="preserve">intimità e </w:t>
      </w:r>
      <w:r>
        <w:rPr>
          <w:sz w:val="28"/>
          <w:szCs w:val="28"/>
        </w:rPr>
        <w:t xml:space="preserve">la </w:t>
      </w:r>
      <w:r w:rsidR="0095713B" w:rsidRPr="00484B4C">
        <w:rPr>
          <w:sz w:val="28"/>
          <w:szCs w:val="28"/>
        </w:rPr>
        <w:t xml:space="preserve">reputazione. </w:t>
      </w:r>
    </w:p>
    <w:p w14:paraId="029EF9DF" w14:textId="2667C612" w:rsidR="0095713B" w:rsidRPr="00484B4C" w:rsidRDefault="00B76764" w:rsidP="00484B4C">
      <w:pPr>
        <w:pStyle w:val="NormaleWeb"/>
        <w:spacing w:before="0" w:beforeAutospacing="0" w:after="0" w:afterAutospacing="0"/>
        <w:jc w:val="both"/>
        <w:rPr>
          <w:sz w:val="28"/>
          <w:szCs w:val="28"/>
        </w:rPr>
      </w:pPr>
      <w:r>
        <w:rPr>
          <w:sz w:val="28"/>
          <w:szCs w:val="28"/>
        </w:rPr>
        <w:t>Per quanto riguarda la</w:t>
      </w:r>
      <w:r w:rsidR="0095713B" w:rsidRPr="00484B4C">
        <w:rPr>
          <w:sz w:val="28"/>
          <w:szCs w:val="28"/>
        </w:rPr>
        <w:t xml:space="preserve"> previsione costituzionale del diritto di manifestare il proprio pensiero, </w:t>
      </w:r>
      <w:r>
        <w:rPr>
          <w:sz w:val="28"/>
          <w:szCs w:val="28"/>
        </w:rPr>
        <w:t>non si tratta di</w:t>
      </w:r>
      <w:r w:rsidR="0095713B" w:rsidRPr="00484B4C">
        <w:rPr>
          <w:sz w:val="28"/>
          <w:szCs w:val="28"/>
        </w:rPr>
        <w:t xml:space="preserve"> una tutela incondizionata, essendo</w:t>
      </w:r>
      <w:r>
        <w:rPr>
          <w:sz w:val="28"/>
          <w:szCs w:val="28"/>
        </w:rPr>
        <w:t xml:space="preserve"> essa</w:t>
      </w:r>
      <w:r w:rsidR="0095713B" w:rsidRPr="00484B4C">
        <w:rPr>
          <w:sz w:val="28"/>
          <w:szCs w:val="28"/>
        </w:rPr>
        <w:t xml:space="preserve"> temperata dall’esistenza di interessi diversi che </w:t>
      </w:r>
      <w:r>
        <w:rPr>
          <w:sz w:val="28"/>
          <w:szCs w:val="28"/>
        </w:rPr>
        <w:t>sono ugualmente</w:t>
      </w:r>
      <w:r w:rsidR="0095713B" w:rsidRPr="00484B4C">
        <w:rPr>
          <w:sz w:val="28"/>
          <w:szCs w:val="28"/>
        </w:rPr>
        <w:t xml:space="preserve"> garantiti</w:t>
      </w:r>
      <w:r>
        <w:rPr>
          <w:sz w:val="28"/>
          <w:szCs w:val="28"/>
        </w:rPr>
        <w:t xml:space="preserve">. Vi rientra </w:t>
      </w:r>
      <w:r w:rsidR="0095713B" w:rsidRPr="00484B4C">
        <w:rPr>
          <w:sz w:val="28"/>
          <w:szCs w:val="28"/>
        </w:rPr>
        <w:t>l’onore, insieme al decoro e alla reputazione, in quanto diritti inviolabili della persona umana</w:t>
      </w:r>
      <w:r w:rsidR="002D29DD" w:rsidRPr="00484B4C">
        <w:rPr>
          <w:rStyle w:val="Rimandonotaapidipagina"/>
          <w:sz w:val="28"/>
          <w:szCs w:val="28"/>
        </w:rPr>
        <w:footnoteReference w:id="242"/>
      </w:r>
      <w:r w:rsidR="0095713B" w:rsidRPr="00484B4C">
        <w:rPr>
          <w:sz w:val="28"/>
          <w:szCs w:val="28"/>
        </w:rPr>
        <w:t>.</w:t>
      </w:r>
    </w:p>
    <w:p w14:paraId="08BE3FC9" w14:textId="69465FF9" w:rsidR="0095713B" w:rsidRDefault="00B76764" w:rsidP="00484B4C">
      <w:pPr>
        <w:pStyle w:val="NormaleWeb"/>
        <w:spacing w:before="0" w:beforeAutospacing="0" w:after="0" w:afterAutospacing="0"/>
        <w:jc w:val="both"/>
        <w:rPr>
          <w:sz w:val="28"/>
          <w:szCs w:val="28"/>
        </w:rPr>
      </w:pPr>
      <w:r>
        <w:rPr>
          <w:sz w:val="28"/>
          <w:szCs w:val="28"/>
        </w:rPr>
        <w:t>Questi</w:t>
      </w:r>
      <w:r w:rsidR="0095713B" w:rsidRPr="00484B4C">
        <w:rPr>
          <w:sz w:val="28"/>
          <w:szCs w:val="28"/>
        </w:rPr>
        <w:t xml:space="preserve"> diritti </w:t>
      </w:r>
      <w:r>
        <w:rPr>
          <w:sz w:val="28"/>
          <w:szCs w:val="28"/>
        </w:rPr>
        <w:t>ricevono tutela</w:t>
      </w:r>
      <w:r w:rsidR="0095713B" w:rsidRPr="00484B4C">
        <w:rPr>
          <w:sz w:val="28"/>
          <w:szCs w:val="28"/>
        </w:rPr>
        <w:t xml:space="preserve"> dall’ordinamento ai sensi dell’articolo 595 c.p., il quale punisce qualsiasi espressione diffamatoria dell’altrui onore e decoro, indipendentemente dal mezzo con cui la stessa sia perpetuata. </w:t>
      </w:r>
      <w:r>
        <w:rPr>
          <w:sz w:val="28"/>
          <w:szCs w:val="28"/>
        </w:rPr>
        <w:t>Come noto, affinché il reato si configuri</w:t>
      </w:r>
      <w:r w:rsidR="0095713B" w:rsidRPr="00484B4C">
        <w:rPr>
          <w:sz w:val="28"/>
          <w:szCs w:val="28"/>
        </w:rPr>
        <w:t>, è necessario che tale messaggio sia percepito come tale da una pluralità di soggetti.</w:t>
      </w:r>
      <w:r>
        <w:rPr>
          <w:sz w:val="28"/>
          <w:szCs w:val="28"/>
        </w:rPr>
        <w:t xml:space="preserve"> La diffamazione è punita</w:t>
      </w:r>
      <w:r w:rsidR="0095713B" w:rsidRPr="00484B4C">
        <w:rPr>
          <w:sz w:val="28"/>
          <w:szCs w:val="28"/>
        </w:rPr>
        <w:t xml:space="preserve"> più severamente in presenza di determinate aggravanti</w:t>
      </w:r>
      <w:r>
        <w:rPr>
          <w:sz w:val="28"/>
          <w:szCs w:val="28"/>
        </w:rPr>
        <w:t>; si pens</w:t>
      </w:r>
      <w:r w:rsidR="00AD0D74">
        <w:rPr>
          <w:sz w:val="28"/>
          <w:szCs w:val="28"/>
        </w:rPr>
        <w:t>i</w:t>
      </w:r>
      <w:r w:rsidR="0095713B" w:rsidRPr="00484B4C">
        <w:rPr>
          <w:sz w:val="28"/>
          <w:szCs w:val="28"/>
        </w:rPr>
        <w:t xml:space="preserve"> </w:t>
      </w:r>
      <w:r w:rsidR="00AD0D74">
        <w:rPr>
          <w:sz w:val="28"/>
          <w:szCs w:val="28"/>
        </w:rPr>
        <w:t>a quella prevista</w:t>
      </w:r>
      <w:r w:rsidR="0095713B" w:rsidRPr="00484B4C">
        <w:rPr>
          <w:sz w:val="28"/>
          <w:szCs w:val="28"/>
        </w:rPr>
        <w:t xml:space="preserve"> </w:t>
      </w:r>
      <w:r w:rsidR="00AD0D74">
        <w:rPr>
          <w:sz w:val="28"/>
          <w:szCs w:val="28"/>
        </w:rPr>
        <w:t>nel</w:t>
      </w:r>
      <w:r w:rsidR="0095713B" w:rsidRPr="00484B4C">
        <w:rPr>
          <w:sz w:val="28"/>
          <w:szCs w:val="28"/>
        </w:rPr>
        <w:t xml:space="preserve"> comma 3, concernente l’utilizzo del mezzo della stampa o di altro mezzo di pubblicità.</w:t>
      </w:r>
    </w:p>
    <w:p w14:paraId="6214F75E" w14:textId="77777777" w:rsidR="00484B4C" w:rsidRPr="00484B4C" w:rsidRDefault="00484B4C" w:rsidP="00484B4C">
      <w:pPr>
        <w:pStyle w:val="NormaleWeb"/>
        <w:spacing w:before="0" w:beforeAutospacing="0" w:after="0" w:afterAutospacing="0"/>
        <w:jc w:val="both"/>
        <w:rPr>
          <w:sz w:val="28"/>
          <w:szCs w:val="28"/>
        </w:rPr>
      </w:pPr>
    </w:p>
    <w:p w14:paraId="5E7D141D" w14:textId="4BE81EEB" w:rsidR="0095713B" w:rsidRPr="0095713B" w:rsidRDefault="0095713B" w:rsidP="00484B4C">
      <w:pPr>
        <w:pStyle w:val="NormaleWeb"/>
        <w:spacing w:before="0" w:beforeAutospacing="0" w:after="0" w:afterAutospacing="0"/>
        <w:jc w:val="both"/>
        <w:rPr>
          <w:sz w:val="28"/>
          <w:szCs w:val="28"/>
        </w:rPr>
      </w:pPr>
      <w:r w:rsidRPr="0095713B">
        <w:rPr>
          <w:sz w:val="28"/>
          <w:szCs w:val="28"/>
        </w:rPr>
        <w:t xml:space="preserve">La </w:t>
      </w:r>
      <w:r w:rsidR="00AD0D74">
        <w:rPr>
          <w:sz w:val="28"/>
          <w:szCs w:val="28"/>
        </w:rPr>
        <w:t xml:space="preserve">domanda che si è posta la </w:t>
      </w:r>
      <w:r w:rsidRPr="0095713B">
        <w:rPr>
          <w:sz w:val="28"/>
          <w:szCs w:val="28"/>
        </w:rPr>
        <w:t xml:space="preserve">giurisprudenza </w:t>
      </w:r>
      <w:r w:rsidR="00AD0D74">
        <w:rPr>
          <w:sz w:val="28"/>
          <w:szCs w:val="28"/>
        </w:rPr>
        <w:t>è quella relativa alla</w:t>
      </w:r>
      <w:r w:rsidRPr="0095713B">
        <w:rPr>
          <w:sz w:val="28"/>
          <w:szCs w:val="28"/>
        </w:rPr>
        <w:t xml:space="preserve"> configurabilità o meno di tale aggravante nei casi </w:t>
      </w:r>
      <w:r w:rsidR="00AD0D74">
        <w:rPr>
          <w:sz w:val="28"/>
          <w:szCs w:val="28"/>
        </w:rPr>
        <w:t xml:space="preserve">di diffusione del </w:t>
      </w:r>
      <w:r w:rsidRPr="0095713B">
        <w:rPr>
          <w:sz w:val="28"/>
          <w:szCs w:val="28"/>
        </w:rPr>
        <w:t xml:space="preserve">messaggio diffamatorio tramite giornale </w:t>
      </w:r>
      <w:r w:rsidRPr="00AD0D74">
        <w:rPr>
          <w:i/>
          <w:iCs/>
          <w:sz w:val="28"/>
          <w:szCs w:val="28"/>
        </w:rPr>
        <w:t>online</w:t>
      </w:r>
      <w:r w:rsidR="00AD0D74">
        <w:rPr>
          <w:sz w:val="28"/>
          <w:szCs w:val="28"/>
        </w:rPr>
        <w:t>,</w:t>
      </w:r>
      <w:r w:rsidRPr="0095713B">
        <w:rPr>
          <w:sz w:val="28"/>
          <w:szCs w:val="28"/>
        </w:rPr>
        <w:t xml:space="preserve"> </w:t>
      </w:r>
      <w:r w:rsidRPr="00AD0D74">
        <w:rPr>
          <w:i/>
          <w:iCs/>
          <w:sz w:val="28"/>
          <w:szCs w:val="28"/>
        </w:rPr>
        <w:t>blog</w:t>
      </w:r>
      <w:r w:rsidRPr="0095713B">
        <w:rPr>
          <w:sz w:val="28"/>
          <w:szCs w:val="28"/>
        </w:rPr>
        <w:t xml:space="preserve">, </w:t>
      </w:r>
      <w:r w:rsidRPr="00AD0D74">
        <w:rPr>
          <w:i/>
          <w:iCs/>
          <w:sz w:val="28"/>
          <w:szCs w:val="28"/>
        </w:rPr>
        <w:t>social networks</w:t>
      </w:r>
      <w:r w:rsidRPr="0095713B">
        <w:rPr>
          <w:sz w:val="28"/>
          <w:szCs w:val="28"/>
        </w:rPr>
        <w:t xml:space="preserve"> e </w:t>
      </w:r>
      <w:r w:rsidRPr="00AD0D74">
        <w:rPr>
          <w:i/>
          <w:iCs/>
          <w:sz w:val="28"/>
          <w:szCs w:val="28"/>
        </w:rPr>
        <w:t>forum</w:t>
      </w:r>
      <w:r w:rsidRPr="0095713B">
        <w:rPr>
          <w:sz w:val="28"/>
          <w:szCs w:val="28"/>
        </w:rPr>
        <w:t>.</w:t>
      </w:r>
    </w:p>
    <w:p w14:paraId="50344DDD" w14:textId="77777777" w:rsidR="003F7D10" w:rsidRDefault="00AD0D74" w:rsidP="00484B4C">
      <w:pPr>
        <w:pStyle w:val="NormaleWeb"/>
        <w:spacing w:before="0" w:beforeAutospacing="0" w:after="0" w:afterAutospacing="0"/>
        <w:jc w:val="both"/>
        <w:rPr>
          <w:sz w:val="28"/>
          <w:szCs w:val="28"/>
        </w:rPr>
      </w:pPr>
      <w:r>
        <w:rPr>
          <w:sz w:val="28"/>
          <w:szCs w:val="28"/>
        </w:rPr>
        <w:lastRenderedPageBreak/>
        <w:t>Bisogna partire dal presupposto che, nel caso del</w:t>
      </w:r>
      <w:r w:rsidR="0095713B" w:rsidRPr="0095713B">
        <w:rPr>
          <w:sz w:val="28"/>
          <w:szCs w:val="28"/>
        </w:rPr>
        <w:t xml:space="preserve"> giornale </w:t>
      </w:r>
      <w:r w:rsidR="0095713B" w:rsidRPr="00AD0D74">
        <w:rPr>
          <w:i/>
          <w:iCs/>
          <w:sz w:val="28"/>
          <w:szCs w:val="28"/>
        </w:rPr>
        <w:t>online</w:t>
      </w:r>
      <w:r w:rsidR="0095713B" w:rsidRPr="0095713B">
        <w:rPr>
          <w:sz w:val="28"/>
          <w:szCs w:val="28"/>
        </w:rPr>
        <w:t xml:space="preserve">, la sua configurabilità come “stampa” è stata storicamente esclusa da numerose pronunce </w:t>
      </w:r>
      <w:r>
        <w:rPr>
          <w:sz w:val="28"/>
          <w:szCs w:val="28"/>
        </w:rPr>
        <w:t>della Cassazione</w:t>
      </w:r>
      <w:r w:rsidR="00873F0D">
        <w:rPr>
          <w:rStyle w:val="Rimandonotaapidipagina"/>
          <w:sz w:val="28"/>
          <w:szCs w:val="28"/>
        </w:rPr>
        <w:footnoteReference w:id="243"/>
      </w:r>
      <w:r w:rsidR="00873F0D">
        <w:rPr>
          <w:sz w:val="28"/>
          <w:szCs w:val="28"/>
        </w:rPr>
        <w:t>.</w:t>
      </w:r>
      <w:r w:rsidR="0095713B" w:rsidRPr="0095713B">
        <w:rPr>
          <w:sz w:val="28"/>
          <w:szCs w:val="28"/>
        </w:rPr>
        <w:t xml:space="preserve"> L’</w:t>
      </w:r>
      <w:r w:rsidR="00A81548">
        <w:rPr>
          <w:sz w:val="28"/>
          <w:szCs w:val="28"/>
        </w:rPr>
        <w:t>impossibilità di estensione</w:t>
      </w:r>
      <w:r w:rsidR="0095713B" w:rsidRPr="0095713B">
        <w:rPr>
          <w:sz w:val="28"/>
          <w:szCs w:val="28"/>
        </w:rPr>
        <w:t xml:space="preserve"> </w:t>
      </w:r>
      <w:r w:rsidR="00A81548">
        <w:rPr>
          <w:sz w:val="28"/>
          <w:szCs w:val="28"/>
        </w:rPr>
        <w:t>era collegata alla definizione</w:t>
      </w:r>
      <w:r w:rsidR="0095713B" w:rsidRPr="0095713B">
        <w:rPr>
          <w:sz w:val="28"/>
          <w:szCs w:val="28"/>
        </w:rPr>
        <w:t xml:space="preserve"> di “stampa” </w:t>
      </w:r>
      <w:r w:rsidR="00A81548">
        <w:rPr>
          <w:sz w:val="28"/>
          <w:szCs w:val="28"/>
        </w:rPr>
        <w:t>contenuta</w:t>
      </w:r>
      <w:r w:rsidR="0095713B" w:rsidRPr="0095713B">
        <w:rPr>
          <w:sz w:val="28"/>
          <w:szCs w:val="28"/>
        </w:rPr>
        <w:t xml:space="preserve"> </w:t>
      </w:r>
      <w:r w:rsidR="00A81548">
        <w:rPr>
          <w:sz w:val="28"/>
          <w:szCs w:val="28"/>
        </w:rPr>
        <w:t>ne</w:t>
      </w:r>
      <w:r w:rsidR="0095713B" w:rsidRPr="0095713B">
        <w:rPr>
          <w:sz w:val="28"/>
          <w:szCs w:val="28"/>
        </w:rPr>
        <w:t>ll’art</w:t>
      </w:r>
      <w:r w:rsidR="00A81548">
        <w:rPr>
          <w:sz w:val="28"/>
          <w:szCs w:val="28"/>
        </w:rPr>
        <w:t>.</w:t>
      </w:r>
      <w:r w:rsidR="0095713B" w:rsidRPr="0095713B">
        <w:rPr>
          <w:sz w:val="28"/>
          <w:szCs w:val="28"/>
        </w:rPr>
        <w:t xml:space="preserve"> 1 della l. 47/1948, </w:t>
      </w:r>
      <w:r w:rsidR="00A81548">
        <w:rPr>
          <w:sz w:val="28"/>
          <w:szCs w:val="28"/>
        </w:rPr>
        <w:t>che ricomprende</w:t>
      </w:r>
      <w:r w:rsidR="0095713B" w:rsidRPr="0095713B">
        <w:rPr>
          <w:sz w:val="28"/>
          <w:szCs w:val="28"/>
        </w:rPr>
        <w:t xml:space="preserve"> le riproduzioni tipografiche o ottenute con mezzi meccanici o fisico-chimici in qualsiasi modo</w:t>
      </w:r>
      <w:r w:rsidR="00AE2685">
        <w:rPr>
          <w:sz w:val="28"/>
          <w:szCs w:val="28"/>
        </w:rPr>
        <w:t xml:space="preserve"> </w:t>
      </w:r>
      <w:r w:rsidR="0095713B" w:rsidRPr="0095713B">
        <w:rPr>
          <w:sz w:val="28"/>
          <w:szCs w:val="28"/>
        </w:rPr>
        <w:t>destinate alla pubblicazione</w:t>
      </w:r>
      <w:r w:rsidR="00A81548">
        <w:rPr>
          <w:sz w:val="28"/>
          <w:szCs w:val="28"/>
        </w:rPr>
        <w:t xml:space="preserve">. </w:t>
      </w:r>
    </w:p>
    <w:p w14:paraId="510202F2" w14:textId="5A2ECB26" w:rsidR="0095713B" w:rsidRPr="0095713B" w:rsidRDefault="00A81548" w:rsidP="00484B4C">
      <w:pPr>
        <w:pStyle w:val="NormaleWeb"/>
        <w:spacing w:before="0" w:beforeAutospacing="0" w:after="0" w:afterAutospacing="0"/>
        <w:jc w:val="both"/>
        <w:rPr>
          <w:sz w:val="28"/>
          <w:szCs w:val="28"/>
        </w:rPr>
      </w:pPr>
      <w:r>
        <w:rPr>
          <w:sz w:val="28"/>
          <w:szCs w:val="28"/>
        </w:rPr>
        <w:t xml:space="preserve">È chiaro che una tale </w:t>
      </w:r>
      <w:r w:rsidR="0095713B" w:rsidRPr="0095713B">
        <w:rPr>
          <w:sz w:val="28"/>
          <w:szCs w:val="28"/>
        </w:rPr>
        <w:t>interpretazione storica della norma limiti</w:t>
      </w:r>
      <w:r w:rsidR="00AE2685">
        <w:rPr>
          <w:sz w:val="28"/>
          <w:szCs w:val="28"/>
        </w:rPr>
        <w:t xml:space="preserve"> </w:t>
      </w:r>
      <w:r w:rsidR="0095713B" w:rsidRPr="0095713B">
        <w:rPr>
          <w:sz w:val="28"/>
          <w:szCs w:val="28"/>
        </w:rPr>
        <w:t>l’applicabilità delle garanzie riservate ai periodici unicamente alla “</w:t>
      </w:r>
      <w:r w:rsidR="0095713B" w:rsidRPr="00A81548">
        <w:rPr>
          <w:i/>
          <w:iCs/>
          <w:sz w:val="28"/>
          <w:szCs w:val="28"/>
        </w:rPr>
        <w:t>carta stampata</w:t>
      </w:r>
      <w:r w:rsidR="0095713B" w:rsidRPr="0095713B">
        <w:rPr>
          <w:sz w:val="28"/>
          <w:szCs w:val="28"/>
        </w:rPr>
        <w:t>”.</w:t>
      </w:r>
    </w:p>
    <w:p w14:paraId="74B5E82E" w14:textId="77777777" w:rsidR="00EF4915" w:rsidRDefault="00A81548" w:rsidP="00C011A3">
      <w:pPr>
        <w:pStyle w:val="NormaleWeb"/>
        <w:spacing w:before="0" w:beforeAutospacing="0" w:after="0" w:afterAutospacing="0"/>
        <w:jc w:val="both"/>
        <w:rPr>
          <w:sz w:val="28"/>
          <w:szCs w:val="28"/>
        </w:rPr>
      </w:pPr>
      <w:r>
        <w:rPr>
          <w:sz w:val="28"/>
          <w:szCs w:val="28"/>
        </w:rPr>
        <w:t>Tuttavia,</w:t>
      </w:r>
      <w:r w:rsidR="0095713B" w:rsidRPr="0095713B">
        <w:rPr>
          <w:sz w:val="28"/>
          <w:szCs w:val="28"/>
        </w:rPr>
        <w:t xml:space="preserve"> successivamente</w:t>
      </w:r>
      <w:r>
        <w:rPr>
          <w:sz w:val="28"/>
          <w:szCs w:val="28"/>
        </w:rPr>
        <w:t>,</w:t>
      </w:r>
      <w:r w:rsidR="0095713B" w:rsidRPr="0095713B">
        <w:rPr>
          <w:sz w:val="28"/>
          <w:szCs w:val="28"/>
        </w:rPr>
        <w:t xml:space="preserve"> le Sezioni Unite</w:t>
      </w:r>
      <w:r>
        <w:rPr>
          <w:sz w:val="28"/>
          <w:szCs w:val="28"/>
        </w:rPr>
        <w:t xml:space="preserve"> della Cassazione</w:t>
      </w:r>
      <w:r w:rsidR="00AE2685">
        <w:rPr>
          <w:rStyle w:val="Rimandonotaapidipagina"/>
          <w:sz w:val="28"/>
          <w:szCs w:val="28"/>
        </w:rPr>
        <w:footnoteReference w:id="244"/>
      </w:r>
      <w:r w:rsidR="00C011A3">
        <w:rPr>
          <w:sz w:val="28"/>
          <w:szCs w:val="28"/>
        </w:rPr>
        <w:t xml:space="preserve"> si sono pronunciate sul tema del </w:t>
      </w:r>
      <w:r w:rsidR="0095713B" w:rsidRPr="0095713B">
        <w:rPr>
          <w:sz w:val="28"/>
          <w:szCs w:val="28"/>
        </w:rPr>
        <w:t xml:space="preserve">sequestro preventivo tramite oscuramento di una pagina telematica, in un caso </w:t>
      </w:r>
      <w:r w:rsidR="00C011A3">
        <w:rPr>
          <w:sz w:val="28"/>
          <w:szCs w:val="28"/>
        </w:rPr>
        <w:t>che riguardava la</w:t>
      </w:r>
      <w:r w:rsidR="0095713B" w:rsidRPr="0095713B">
        <w:rPr>
          <w:sz w:val="28"/>
          <w:szCs w:val="28"/>
        </w:rPr>
        <w:t xml:space="preserve"> diffamazione </w:t>
      </w:r>
      <w:r w:rsidR="0095713B" w:rsidRPr="00C011A3">
        <w:rPr>
          <w:i/>
          <w:iCs/>
          <w:sz w:val="28"/>
          <w:szCs w:val="28"/>
        </w:rPr>
        <w:t>online</w:t>
      </w:r>
      <w:r w:rsidR="0095713B" w:rsidRPr="0095713B">
        <w:rPr>
          <w:sz w:val="28"/>
          <w:szCs w:val="28"/>
        </w:rPr>
        <w:t xml:space="preserve"> sulla pagina di un noto quotidiano</w:t>
      </w:r>
      <w:r w:rsidR="00C011A3">
        <w:rPr>
          <w:sz w:val="28"/>
          <w:szCs w:val="28"/>
        </w:rPr>
        <w:t xml:space="preserve">. </w:t>
      </w:r>
    </w:p>
    <w:p w14:paraId="594BC512" w14:textId="705B2C0D" w:rsidR="0095713B" w:rsidRPr="0095713B" w:rsidRDefault="00C011A3" w:rsidP="00C011A3">
      <w:pPr>
        <w:pStyle w:val="NormaleWeb"/>
        <w:spacing w:before="0" w:beforeAutospacing="0" w:after="0" w:afterAutospacing="0"/>
        <w:jc w:val="both"/>
        <w:rPr>
          <w:sz w:val="28"/>
          <w:szCs w:val="28"/>
        </w:rPr>
      </w:pPr>
      <w:r>
        <w:rPr>
          <w:sz w:val="28"/>
          <w:szCs w:val="28"/>
        </w:rPr>
        <w:t xml:space="preserve">Ebbene i giudici, </w:t>
      </w:r>
      <w:r w:rsidR="0095713B" w:rsidRPr="0095713B">
        <w:rPr>
          <w:sz w:val="28"/>
          <w:szCs w:val="28"/>
        </w:rPr>
        <w:t>do</w:t>
      </w:r>
      <w:r>
        <w:rPr>
          <w:sz w:val="28"/>
          <w:szCs w:val="28"/>
        </w:rPr>
        <w:t>po aver dichiarato l’</w:t>
      </w:r>
      <w:r w:rsidR="0095713B" w:rsidRPr="0095713B">
        <w:rPr>
          <w:sz w:val="28"/>
          <w:szCs w:val="28"/>
        </w:rPr>
        <w:t xml:space="preserve">idoneità di tale misura cautelare, hanno </w:t>
      </w:r>
      <w:r>
        <w:rPr>
          <w:sz w:val="28"/>
          <w:szCs w:val="28"/>
        </w:rPr>
        <w:t xml:space="preserve">però </w:t>
      </w:r>
      <w:r w:rsidR="0095713B" w:rsidRPr="0095713B">
        <w:rPr>
          <w:sz w:val="28"/>
          <w:szCs w:val="28"/>
        </w:rPr>
        <w:t xml:space="preserve">chiarito </w:t>
      </w:r>
      <w:r>
        <w:rPr>
          <w:sz w:val="28"/>
          <w:szCs w:val="28"/>
        </w:rPr>
        <w:t>che</w:t>
      </w:r>
      <w:r w:rsidR="0095713B" w:rsidRPr="0095713B">
        <w:rPr>
          <w:sz w:val="28"/>
          <w:szCs w:val="28"/>
        </w:rPr>
        <w:t xml:space="preserve"> </w:t>
      </w:r>
      <w:r>
        <w:rPr>
          <w:sz w:val="28"/>
          <w:szCs w:val="28"/>
        </w:rPr>
        <w:t>non è</w:t>
      </w:r>
      <w:r w:rsidR="0095713B" w:rsidRPr="0095713B">
        <w:rPr>
          <w:sz w:val="28"/>
          <w:szCs w:val="28"/>
        </w:rPr>
        <w:t xml:space="preserve"> ammissibile il sequestro preventivo di un periodico </w:t>
      </w:r>
      <w:r w:rsidR="0095713B" w:rsidRPr="00C011A3">
        <w:rPr>
          <w:i/>
          <w:iCs/>
          <w:sz w:val="28"/>
          <w:szCs w:val="28"/>
        </w:rPr>
        <w:t>online</w:t>
      </w:r>
      <w:r w:rsidR="0095713B" w:rsidRPr="0095713B">
        <w:rPr>
          <w:sz w:val="28"/>
          <w:szCs w:val="28"/>
        </w:rPr>
        <w:t xml:space="preserve"> fuori dai casi previsti dalla legge</w:t>
      </w:r>
      <w:r>
        <w:rPr>
          <w:sz w:val="28"/>
          <w:szCs w:val="28"/>
        </w:rPr>
        <w:t xml:space="preserve"> poiché,</w:t>
      </w:r>
      <w:r w:rsidR="0095713B" w:rsidRPr="0095713B">
        <w:rPr>
          <w:sz w:val="28"/>
          <w:szCs w:val="28"/>
        </w:rPr>
        <w:t xml:space="preserve"> sulla base dell’equiparazione, a certe condizioni, delle testate telematiche alla stampa cartacea, </w:t>
      </w:r>
      <w:r>
        <w:rPr>
          <w:sz w:val="28"/>
          <w:szCs w:val="28"/>
        </w:rPr>
        <w:t>vi è la</w:t>
      </w:r>
      <w:r w:rsidR="0095713B" w:rsidRPr="0095713B">
        <w:rPr>
          <w:sz w:val="28"/>
          <w:szCs w:val="28"/>
        </w:rPr>
        <w:t xml:space="preserve"> conseguente applicabilità delle garanzie costituzionali di cui all’art</w:t>
      </w:r>
      <w:r>
        <w:rPr>
          <w:sz w:val="28"/>
          <w:szCs w:val="28"/>
        </w:rPr>
        <w:t>.</w:t>
      </w:r>
      <w:r w:rsidR="0095713B" w:rsidRPr="0095713B">
        <w:rPr>
          <w:sz w:val="28"/>
          <w:szCs w:val="28"/>
        </w:rPr>
        <w:t xml:space="preserve"> 21</w:t>
      </w:r>
      <w:r>
        <w:rPr>
          <w:sz w:val="28"/>
          <w:szCs w:val="28"/>
        </w:rPr>
        <w:t xml:space="preserve"> </w:t>
      </w:r>
      <w:proofErr w:type="spellStart"/>
      <w:r>
        <w:rPr>
          <w:sz w:val="28"/>
          <w:szCs w:val="28"/>
        </w:rPr>
        <w:t>Cost</w:t>
      </w:r>
      <w:proofErr w:type="spellEnd"/>
      <w:r>
        <w:rPr>
          <w:sz w:val="28"/>
          <w:szCs w:val="28"/>
        </w:rPr>
        <w:t>.</w:t>
      </w:r>
    </w:p>
    <w:p w14:paraId="4AD424CC" w14:textId="22204080" w:rsidR="0095713B" w:rsidRPr="0095713B" w:rsidRDefault="00C011A3" w:rsidP="00484B4C">
      <w:pPr>
        <w:pStyle w:val="NormaleWeb"/>
        <w:spacing w:before="0" w:beforeAutospacing="0" w:after="0" w:afterAutospacing="0"/>
        <w:jc w:val="both"/>
        <w:rPr>
          <w:sz w:val="28"/>
          <w:szCs w:val="28"/>
        </w:rPr>
      </w:pPr>
      <w:r>
        <w:rPr>
          <w:sz w:val="28"/>
          <w:szCs w:val="28"/>
        </w:rPr>
        <w:t>La</w:t>
      </w:r>
      <w:r w:rsidR="0095713B" w:rsidRPr="0095713B">
        <w:rPr>
          <w:sz w:val="28"/>
          <w:szCs w:val="28"/>
        </w:rPr>
        <w:t xml:space="preserve"> </w:t>
      </w:r>
      <w:r>
        <w:rPr>
          <w:sz w:val="28"/>
          <w:szCs w:val="28"/>
        </w:rPr>
        <w:t>Cassazione</w:t>
      </w:r>
      <w:r w:rsidR="0095713B" w:rsidRPr="0095713B">
        <w:rPr>
          <w:sz w:val="28"/>
          <w:szCs w:val="28"/>
        </w:rPr>
        <w:t xml:space="preserve"> si è discostata dall’esegesi letterale del dettato normativo, privilegiando una interpretazione estensiva ed evolutiva dello stesso, </w:t>
      </w:r>
      <w:r>
        <w:rPr>
          <w:sz w:val="28"/>
          <w:szCs w:val="28"/>
        </w:rPr>
        <w:t>consapevole</w:t>
      </w:r>
      <w:r w:rsidR="0095713B" w:rsidRPr="0095713B">
        <w:rPr>
          <w:sz w:val="28"/>
          <w:szCs w:val="28"/>
        </w:rPr>
        <w:t xml:space="preserve"> che in senso figurato la definizione di stampa su richiamata, fa riferimento ai giornali come mezzo elettivo di informazione a prescindere dalla digitalizzazione di cui si ignorava l’esistenza quando una simile norma fu elaborata.</w:t>
      </w:r>
    </w:p>
    <w:p w14:paraId="51D455D7" w14:textId="77777777" w:rsidR="00C85E9D" w:rsidRDefault="00627119" w:rsidP="00484B4C">
      <w:pPr>
        <w:pStyle w:val="NormaleWeb"/>
        <w:spacing w:before="0" w:beforeAutospacing="0" w:after="0" w:afterAutospacing="0"/>
        <w:jc w:val="both"/>
        <w:rPr>
          <w:sz w:val="28"/>
          <w:szCs w:val="28"/>
        </w:rPr>
      </w:pPr>
      <w:r>
        <w:rPr>
          <w:sz w:val="28"/>
          <w:szCs w:val="28"/>
        </w:rPr>
        <w:t>L</w:t>
      </w:r>
      <w:r w:rsidRPr="0095713B">
        <w:rPr>
          <w:sz w:val="28"/>
          <w:szCs w:val="28"/>
        </w:rPr>
        <w:t xml:space="preserve">a Corte </w:t>
      </w:r>
      <w:r>
        <w:rPr>
          <w:sz w:val="28"/>
          <w:szCs w:val="28"/>
        </w:rPr>
        <w:t>ci dice che u</w:t>
      </w:r>
      <w:r w:rsidR="0095713B" w:rsidRPr="0095713B">
        <w:rPr>
          <w:sz w:val="28"/>
          <w:szCs w:val="28"/>
        </w:rPr>
        <w:t>n prodotto editoriale propriamente inteso possiede dei requisiti ontologici e teleologici</w:t>
      </w:r>
      <w:r>
        <w:rPr>
          <w:sz w:val="28"/>
          <w:szCs w:val="28"/>
        </w:rPr>
        <w:t xml:space="preserve">, </w:t>
      </w:r>
      <w:r w:rsidR="0095713B" w:rsidRPr="0095713B">
        <w:rPr>
          <w:sz w:val="28"/>
          <w:szCs w:val="28"/>
        </w:rPr>
        <w:t>quali una “testata”, la periodicità regolare delle pubblicazioni, la finalità informativa e diretta al pubblico</w:t>
      </w:r>
      <w:r>
        <w:rPr>
          <w:sz w:val="28"/>
          <w:szCs w:val="28"/>
        </w:rPr>
        <w:t>, oltreché</w:t>
      </w:r>
      <w:r w:rsidR="0095713B" w:rsidRPr="0095713B">
        <w:rPr>
          <w:sz w:val="28"/>
          <w:szCs w:val="28"/>
        </w:rPr>
        <w:t xml:space="preserve"> un generico interesse alla pubblicazione, ossia alla diffusione dell’informazione. </w:t>
      </w:r>
    </w:p>
    <w:p w14:paraId="4794771B" w14:textId="5DDF1277" w:rsidR="0095713B" w:rsidRPr="0095713B" w:rsidRDefault="00627119" w:rsidP="00484B4C">
      <w:pPr>
        <w:pStyle w:val="NormaleWeb"/>
        <w:spacing w:before="0" w:beforeAutospacing="0" w:after="0" w:afterAutospacing="0"/>
        <w:jc w:val="both"/>
        <w:rPr>
          <w:sz w:val="28"/>
          <w:szCs w:val="28"/>
        </w:rPr>
      </w:pPr>
      <w:r>
        <w:rPr>
          <w:sz w:val="28"/>
          <w:szCs w:val="28"/>
        </w:rPr>
        <w:t>C’è, inoltre, il requisito del</w:t>
      </w:r>
      <w:r w:rsidR="0095713B" w:rsidRPr="0095713B">
        <w:rPr>
          <w:sz w:val="28"/>
          <w:szCs w:val="28"/>
        </w:rPr>
        <w:t xml:space="preserve"> direttore responsabile e</w:t>
      </w:r>
      <w:r>
        <w:rPr>
          <w:sz w:val="28"/>
          <w:szCs w:val="28"/>
        </w:rPr>
        <w:t xml:space="preserve"> quello relativo alla </w:t>
      </w:r>
      <w:r w:rsidR="0095713B" w:rsidRPr="0095713B">
        <w:rPr>
          <w:sz w:val="28"/>
          <w:szCs w:val="28"/>
        </w:rPr>
        <w:t>registrazione delle testate presso la cancelleria del competente Tribunale.</w:t>
      </w:r>
    </w:p>
    <w:p w14:paraId="6926C3BD" w14:textId="77777777" w:rsidR="00EF4915" w:rsidRDefault="0095713B" w:rsidP="00484B4C">
      <w:pPr>
        <w:pStyle w:val="NormaleWeb"/>
        <w:spacing w:before="0" w:beforeAutospacing="0" w:after="0" w:afterAutospacing="0"/>
        <w:jc w:val="both"/>
        <w:rPr>
          <w:sz w:val="28"/>
          <w:szCs w:val="28"/>
        </w:rPr>
      </w:pPr>
      <w:r w:rsidRPr="0095713B">
        <w:rPr>
          <w:sz w:val="28"/>
          <w:szCs w:val="28"/>
        </w:rPr>
        <w:t xml:space="preserve">Alla luce di ciò è evidente che tali requisiti, pacificamente appartenenti alla stampa, non sono menzionati nell’articolo 1 della l. 47/1948, ancorata invece alle tecnologie dell’epoca. </w:t>
      </w:r>
    </w:p>
    <w:p w14:paraId="25AA2E36" w14:textId="0199177D" w:rsidR="0095713B" w:rsidRPr="0095713B" w:rsidRDefault="00627119" w:rsidP="00484B4C">
      <w:pPr>
        <w:pStyle w:val="NormaleWeb"/>
        <w:spacing w:before="0" w:beforeAutospacing="0" w:after="0" w:afterAutospacing="0"/>
        <w:jc w:val="both"/>
        <w:rPr>
          <w:sz w:val="28"/>
          <w:szCs w:val="28"/>
        </w:rPr>
      </w:pPr>
      <w:r>
        <w:rPr>
          <w:sz w:val="28"/>
          <w:szCs w:val="28"/>
        </w:rPr>
        <w:t>Comunque</w:t>
      </w:r>
      <w:r w:rsidR="0095713B" w:rsidRPr="0095713B">
        <w:rPr>
          <w:sz w:val="28"/>
          <w:szCs w:val="28"/>
        </w:rPr>
        <w:t xml:space="preserve">, la Corte ha </w:t>
      </w:r>
      <w:r>
        <w:rPr>
          <w:sz w:val="28"/>
          <w:szCs w:val="28"/>
        </w:rPr>
        <w:t>sostenuto</w:t>
      </w:r>
      <w:r w:rsidR="0095713B" w:rsidRPr="0095713B">
        <w:rPr>
          <w:sz w:val="28"/>
          <w:szCs w:val="28"/>
        </w:rPr>
        <w:t xml:space="preserve"> che </w:t>
      </w:r>
      <w:r>
        <w:rPr>
          <w:sz w:val="28"/>
          <w:szCs w:val="28"/>
        </w:rPr>
        <w:t xml:space="preserve">non ci sono ostacoli alla possibilità di </w:t>
      </w:r>
      <w:r w:rsidR="0095713B" w:rsidRPr="0095713B">
        <w:rPr>
          <w:sz w:val="28"/>
          <w:szCs w:val="28"/>
        </w:rPr>
        <w:t xml:space="preserve">accreditare il giornale telematico come stampa alla luce dei progressi tecnologici e in presenza dei </w:t>
      </w:r>
      <w:r w:rsidR="0095713B" w:rsidRPr="0095713B">
        <w:rPr>
          <w:sz w:val="28"/>
          <w:szCs w:val="28"/>
        </w:rPr>
        <w:lastRenderedPageBreak/>
        <w:t>requisiti sopra elencati</w:t>
      </w:r>
      <w:r>
        <w:rPr>
          <w:sz w:val="28"/>
          <w:szCs w:val="28"/>
        </w:rPr>
        <w:t>. Invero, l’</w:t>
      </w:r>
      <w:r w:rsidRPr="0095713B">
        <w:rPr>
          <w:sz w:val="28"/>
          <w:szCs w:val="28"/>
        </w:rPr>
        <w:t>elemento caratterizzante dell’attività giornalistica</w:t>
      </w:r>
      <w:r>
        <w:rPr>
          <w:sz w:val="28"/>
          <w:szCs w:val="28"/>
        </w:rPr>
        <w:t xml:space="preserve"> </w:t>
      </w:r>
      <w:r w:rsidR="0095713B" w:rsidRPr="0095713B">
        <w:rPr>
          <w:sz w:val="28"/>
          <w:szCs w:val="28"/>
        </w:rPr>
        <w:t xml:space="preserve">è il </w:t>
      </w:r>
      <w:r w:rsidR="0095713B" w:rsidRPr="00627119">
        <w:rPr>
          <w:i/>
          <w:iCs/>
          <w:sz w:val="28"/>
          <w:szCs w:val="28"/>
        </w:rPr>
        <w:t>fine informativo</w:t>
      </w:r>
      <w:r>
        <w:rPr>
          <w:sz w:val="28"/>
          <w:szCs w:val="28"/>
        </w:rPr>
        <w:t xml:space="preserve">, dunque, in presenza di esso, </w:t>
      </w:r>
      <w:r w:rsidR="0095713B" w:rsidRPr="0095713B">
        <w:rPr>
          <w:sz w:val="28"/>
          <w:szCs w:val="28"/>
        </w:rPr>
        <w:t xml:space="preserve">i periodici telematici </w:t>
      </w:r>
      <w:r>
        <w:rPr>
          <w:sz w:val="28"/>
          <w:szCs w:val="28"/>
        </w:rPr>
        <w:t xml:space="preserve">possono essere </w:t>
      </w:r>
      <w:r w:rsidR="0095713B" w:rsidRPr="0095713B">
        <w:rPr>
          <w:sz w:val="28"/>
          <w:szCs w:val="28"/>
        </w:rPr>
        <w:t>assimila</w:t>
      </w:r>
      <w:r>
        <w:rPr>
          <w:sz w:val="28"/>
          <w:szCs w:val="28"/>
        </w:rPr>
        <w:t>ti</w:t>
      </w:r>
      <w:r w:rsidR="0095713B" w:rsidRPr="0095713B">
        <w:rPr>
          <w:sz w:val="28"/>
          <w:szCs w:val="28"/>
        </w:rPr>
        <w:t xml:space="preserve"> ontologicamente e funzionalmente alla pubblicazione cartacea.</w:t>
      </w:r>
    </w:p>
    <w:p w14:paraId="0CBB9A92" w14:textId="3317C026" w:rsidR="0095713B" w:rsidRPr="0095713B" w:rsidRDefault="00F42D3A" w:rsidP="00484B4C">
      <w:pPr>
        <w:pStyle w:val="NormaleWeb"/>
        <w:spacing w:before="0" w:beforeAutospacing="0" w:after="0" w:afterAutospacing="0"/>
        <w:jc w:val="both"/>
        <w:rPr>
          <w:sz w:val="28"/>
          <w:szCs w:val="28"/>
        </w:rPr>
      </w:pPr>
      <w:r>
        <w:rPr>
          <w:sz w:val="28"/>
          <w:szCs w:val="28"/>
        </w:rPr>
        <w:t>Conclusione</w:t>
      </w:r>
      <w:r w:rsidR="0095713B" w:rsidRPr="0095713B">
        <w:rPr>
          <w:sz w:val="28"/>
          <w:szCs w:val="28"/>
        </w:rPr>
        <w:t xml:space="preserve"> rilevante</w:t>
      </w:r>
      <w:r>
        <w:rPr>
          <w:sz w:val="28"/>
          <w:szCs w:val="28"/>
        </w:rPr>
        <w:t>, soprattutto</w:t>
      </w:r>
      <w:r w:rsidR="0095713B" w:rsidRPr="0095713B">
        <w:rPr>
          <w:sz w:val="28"/>
          <w:szCs w:val="28"/>
        </w:rPr>
        <w:t xml:space="preserve"> </w:t>
      </w:r>
      <w:r>
        <w:rPr>
          <w:sz w:val="28"/>
          <w:szCs w:val="28"/>
        </w:rPr>
        <w:t>perché in tal modo</w:t>
      </w:r>
      <w:r w:rsidR="0095713B" w:rsidRPr="0095713B">
        <w:rPr>
          <w:sz w:val="28"/>
          <w:szCs w:val="28"/>
        </w:rPr>
        <w:t xml:space="preserve"> alla testata telematica vengono applicate le disposizioni costituzionali e ordinarie che disciplinano l’attività di informazione diretta al pubblico e</w:t>
      </w:r>
      <w:r>
        <w:rPr>
          <w:sz w:val="28"/>
          <w:szCs w:val="28"/>
        </w:rPr>
        <w:t>,</w:t>
      </w:r>
      <w:r w:rsidR="0095713B" w:rsidRPr="0095713B">
        <w:rPr>
          <w:sz w:val="28"/>
          <w:szCs w:val="28"/>
        </w:rPr>
        <w:t xml:space="preserve"> </w:t>
      </w:r>
      <w:r>
        <w:rPr>
          <w:sz w:val="28"/>
          <w:szCs w:val="28"/>
        </w:rPr>
        <w:t>nel</w:t>
      </w:r>
      <w:r w:rsidR="0095713B" w:rsidRPr="0095713B">
        <w:rPr>
          <w:sz w:val="28"/>
          <w:szCs w:val="28"/>
        </w:rPr>
        <w:t xml:space="preserve"> caso di specie</w:t>
      </w:r>
      <w:r>
        <w:rPr>
          <w:sz w:val="28"/>
          <w:szCs w:val="28"/>
        </w:rPr>
        <w:t>,</w:t>
      </w:r>
      <w:r w:rsidR="0095713B" w:rsidRPr="0095713B">
        <w:rPr>
          <w:sz w:val="28"/>
          <w:szCs w:val="28"/>
        </w:rPr>
        <w:t xml:space="preserve"> non è attuabile il sequestro preventivo</w:t>
      </w:r>
      <w:r>
        <w:rPr>
          <w:sz w:val="28"/>
          <w:szCs w:val="28"/>
        </w:rPr>
        <w:t>,</w:t>
      </w:r>
      <w:r w:rsidR="0095713B" w:rsidRPr="0095713B">
        <w:rPr>
          <w:sz w:val="28"/>
          <w:szCs w:val="28"/>
        </w:rPr>
        <w:t xml:space="preserve"> poiché la diffamazione a mezzo stampa non rientra tra i casi al ricorrere dei quali la legge lo consente.</w:t>
      </w:r>
    </w:p>
    <w:p w14:paraId="14259B6C" w14:textId="6E4D4E93" w:rsidR="0095713B" w:rsidRPr="0095713B" w:rsidRDefault="00F42D3A" w:rsidP="00484B4C">
      <w:pPr>
        <w:pStyle w:val="NormaleWeb"/>
        <w:spacing w:before="0" w:beforeAutospacing="0" w:after="0" w:afterAutospacing="0"/>
        <w:jc w:val="both"/>
        <w:rPr>
          <w:sz w:val="28"/>
          <w:szCs w:val="28"/>
        </w:rPr>
      </w:pPr>
      <w:r>
        <w:rPr>
          <w:sz w:val="28"/>
          <w:szCs w:val="28"/>
        </w:rPr>
        <w:t>La pronuncia, inoltre, chiarisce</w:t>
      </w:r>
      <w:r w:rsidR="0095713B" w:rsidRPr="0095713B">
        <w:rPr>
          <w:sz w:val="28"/>
          <w:szCs w:val="28"/>
        </w:rPr>
        <w:t xml:space="preserve"> la differenza di trattamento ed inquadramento normativo tra testate e ulteriori mezzi di informazione quali </w:t>
      </w:r>
      <w:r w:rsidR="0095713B" w:rsidRPr="00F42D3A">
        <w:rPr>
          <w:i/>
          <w:iCs/>
          <w:sz w:val="28"/>
          <w:szCs w:val="28"/>
        </w:rPr>
        <w:t>blog</w:t>
      </w:r>
      <w:r w:rsidR="0095713B" w:rsidRPr="0095713B">
        <w:rPr>
          <w:sz w:val="28"/>
          <w:szCs w:val="28"/>
        </w:rPr>
        <w:t xml:space="preserve">, </w:t>
      </w:r>
      <w:r w:rsidR="0095713B" w:rsidRPr="00F42D3A">
        <w:rPr>
          <w:i/>
          <w:iCs/>
          <w:sz w:val="28"/>
          <w:szCs w:val="28"/>
        </w:rPr>
        <w:t>social network</w:t>
      </w:r>
      <w:r w:rsidR="0095713B" w:rsidRPr="0095713B">
        <w:rPr>
          <w:sz w:val="28"/>
          <w:szCs w:val="28"/>
        </w:rPr>
        <w:t xml:space="preserve"> e </w:t>
      </w:r>
      <w:r w:rsidR="0095713B" w:rsidRPr="00F42D3A">
        <w:rPr>
          <w:i/>
          <w:iCs/>
          <w:sz w:val="28"/>
          <w:szCs w:val="28"/>
        </w:rPr>
        <w:t>forum</w:t>
      </w:r>
      <w:r w:rsidR="0095713B" w:rsidRPr="0095713B">
        <w:rPr>
          <w:sz w:val="28"/>
          <w:szCs w:val="28"/>
        </w:rPr>
        <w:t>, ugualmente rientranti nell’ambito dell’art</w:t>
      </w:r>
      <w:r>
        <w:rPr>
          <w:sz w:val="28"/>
          <w:szCs w:val="28"/>
        </w:rPr>
        <w:t>.</w:t>
      </w:r>
      <w:r w:rsidR="0095713B" w:rsidRPr="0095713B">
        <w:rPr>
          <w:sz w:val="28"/>
          <w:szCs w:val="28"/>
        </w:rPr>
        <w:t xml:space="preserve"> 21 </w:t>
      </w:r>
      <w:proofErr w:type="spellStart"/>
      <w:r w:rsidR="0095713B" w:rsidRPr="0095713B">
        <w:rPr>
          <w:sz w:val="28"/>
          <w:szCs w:val="28"/>
        </w:rPr>
        <w:t>Cost</w:t>
      </w:r>
      <w:proofErr w:type="spellEnd"/>
      <w:r w:rsidR="0095713B" w:rsidRPr="0095713B">
        <w:rPr>
          <w:sz w:val="28"/>
          <w:szCs w:val="28"/>
        </w:rPr>
        <w:t>., quali strumenti attraverso cui manifestare liberamente la propria opinione</w:t>
      </w:r>
      <w:r>
        <w:rPr>
          <w:sz w:val="28"/>
          <w:szCs w:val="28"/>
        </w:rPr>
        <w:t>,</w:t>
      </w:r>
      <w:r w:rsidR="0095713B" w:rsidRPr="0095713B">
        <w:rPr>
          <w:sz w:val="28"/>
          <w:szCs w:val="28"/>
        </w:rPr>
        <w:t xml:space="preserve"> ma </w:t>
      </w:r>
      <w:r>
        <w:rPr>
          <w:sz w:val="28"/>
          <w:szCs w:val="28"/>
        </w:rPr>
        <w:t xml:space="preserve">che </w:t>
      </w:r>
      <w:r w:rsidRPr="00F42D3A">
        <w:rPr>
          <w:i/>
          <w:iCs/>
          <w:sz w:val="28"/>
          <w:szCs w:val="28"/>
        </w:rPr>
        <w:t>non rientrano</w:t>
      </w:r>
      <w:r w:rsidR="0095713B" w:rsidRPr="0095713B">
        <w:rPr>
          <w:sz w:val="28"/>
          <w:szCs w:val="28"/>
        </w:rPr>
        <w:t xml:space="preserve"> nel concetto di stampa. </w:t>
      </w:r>
      <w:r>
        <w:rPr>
          <w:sz w:val="28"/>
          <w:szCs w:val="28"/>
        </w:rPr>
        <w:t>Infatti, ne</w:t>
      </w:r>
      <w:r w:rsidR="0095713B" w:rsidRPr="0095713B">
        <w:rPr>
          <w:sz w:val="28"/>
          <w:szCs w:val="28"/>
        </w:rPr>
        <w:t xml:space="preserve">i </w:t>
      </w:r>
      <w:r>
        <w:rPr>
          <w:sz w:val="28"/>
          <w:szCs w:val="28"/>
        </w:rPr>
        <w:t>vari</w:t>
      </w:r>
      <w:r w:rsidR="0095713B" w:rsidRPr="0095713B">
        <w:rPr>
          <w:sz w:val="28"/>
          <w:szCs w:val="28"/>
        </w:rPr>
        <w:t xml:space="preserve"> siti</w:t>
      </w:r>
      <w:r>
        <w:rPr>
          <w:sz w:val="28"/>
          <w:szCs w:val="28"/>
        </w:rPr>
        <w:t xml:space="preserve">, </w:t>
      </w:r>
      <w:r w:rsidRPr="00F42D3A">
        <w:rPr>
          <w:i/>
          <w:iCs/>
          <w:sz w:val="28"/>
          <w:szCs w:val="28"/>
        </w:rPr>
        <w:t>blog</w:t>
      </w:r>
      <w:r>
        <w:rPr>
          <w:sz w:val="28"/>
          <w:szCs w:val="28"/>
        </w:rPr>
        <w:t xml:space="preserve">, </w:t>
      </w:r>
      <w:r w:rsidRPr="00F42D3A">
        <w:rPr>
          <w:i/>
          <w:iCs/>
          <w:sz w:val="28"/>
          <w:szCs w:val="28"/>
        </w:rPr>
        <w:t>forum</w:t>
      </w:r>
      <w:r>
        <w:rPr>
          <w:sz w:val="28"/>
          <w:szCs w:val="28"/>
        </w:rPr>
        <w:t xml:space="preserve"> ecc., </w:t>
      </w:r>
      <w:r w:rsidR="0095713B" w:rsidRPr="0095713B">
        <w:rPr>
          <w:sz w:val="28"/>
          <w:szCs w:val="28"/>
        </w:rPr>
        <w:t xml:space="preserve">diversi dai periodici </w:t>
      </w:r>
      <w:r w:rsidR="0095713B" w:rsidRPr="00EF4915">
        <w:rPr>
          <w:i/>
          <w:iCs/>
          <w:sz w:val="28"/>
          <w:szCs w:val="28"/>
        </w:rPr>
        <w:t>online</w:t>
      </w:r>
      <w:r w:rsidR="0095713B" w:rsidRPr="0095713B">
        <w:rPr>
          <w:sz w:val="28"/>
          <w:szCs w:val="28"/>
        </w:rPr>
        <w:t xml:space="preserve">, </w:t>
      </w:r>
      <w:r>
        <w:rPr>
          <w:sz w:val="28"/>
          <w:szCs w:val="28"/>
        </w:rPr>
        <w:t>ci sono</w:t>
      </w:r>
      <w:r w:rsidR="0095713B" w:rsidRPr="0095713B">
        <w:rPr>
          <w:sz w:val="28"/>
          <w:szCs w:val="28"/>
        </w:rPr>
        <w:t xml:space="preserve"> pagine web che consentono uno scambio di opinioni e commenti, in forma sia privata che pubblica, che difettano dei requisiti di assimilabilità alla stampa.</w:t>
      </w:r>
    </w:p>
    <w:p w14:paraId="07082AAB" w14:textId="77777777" w:rsidR="00F42D3A" w:rsidRDefault="00F42D3A" w:rsidP="00484B4C">
      <w:pPr>
        <w:pStyle w:val="NormaleWeb"/>
        <w:spacing w:before="0" w:beforeAutospacing="0" w:after="0" w:afterAutospacing="0"/>
        <w:jc w:val="both"/>
        <w:rPr>
          <w:sz w:val="28"/>
          <w:szCs w:val="28"/>
        </w:rPr>
      </w:pPr>
    </w:p>
    <w:p w14:paraId="39297DB6" w14:textId="37C7CCCA" w:rsidR="0095713B" w:rsidRPr="0095713B" w:rsidRDefault="00F42D3A" w:rsidP="00484B4C">
      <w:pPr>
        <w:pStyle w:val="NormaleWeb"/>
        <w:spacing w:before="0" w:beforeAutospacing="0" w:after="0" w:afterAutospacing="0"/>
        <w:jc w:val="both"/>
        <w:rPr>
          <w:sz w:val="28"/>
          <w:szCs w:val="28"/>
        </w:rPr>
      </w:pPr>
      <w:r>
        <w:rPr>
          <w:sz w:val="28"/>
          <w:szCs w:val="28"/>
        </w:rPr>
        <w:t>Per inquadrare correttamente il</w:t>
      </w:r>
      <w:r w:rsidR="0095713B" w:rsidRPr="0095713B">
        <w:rPr>
          <w:sz w:val="28"/>
          <w:szCs w:val="28"/>
        </w:rPr>
        <w:t xml:space="preserve"> fenomeno è necessario che il giornale </w:t>
      </w:r>
      <w:r w:rsidR="0095713B" w:rsidRPr="00F42D3A">
        <w:rPr>
          <w:i/>
          <w:iCs/>
          <w:sz w:val="28"/>
          <w:szCs w:val="28"/>
        </w:rPr>
        <w:t>online</w:t>
      </w:r>
      <w:r w:rsidR="0095713B" w:rsidRPr="0095713B">
        <w:rPr>
          <w:sz w:val="28"/>
          <w:szCs w:val="28"/>
        </w:rPr>
        <w:t xml:space="preserve"> possegga i requisiti di cui all’art</w:t>
      </w:r>
      <w:r>
        <w:rPr>
          <w:sz w:val="28"/>
          <w:szCs w:val="28"/>
        </w:rPr>
        <w:t>.</w:t>
      </w:r>
      <w:r w:rsidR="0095713B" w:rsidRPr="0095713B">
        <w:rPr>
          <w:sz w:val="28"/>
          <w:szCs w:val="28"/>
        </w:rPr>
        <w:t xml:space="preserve"> 2, l. 47/1948.</w:t>
      </w:r>
    </w:p>
    <w:p w14:paraId="07C88D4E" w14:textId="170F2F9D" w:rsidR="0095713B" w:rsidRPr="0095713B" w:rsidRDefault="00C30F05" w:rsidP="00484B4C">
      <w:pPr>
        <w:pStyle w:val="NormaleWeb"/>
        <w:spacing w:before="0" w:beforeAutospacing="0" w:after="0" w:afterAutospacing="0"/>
        <w:jc w:val="both"/>
        <w:rPr>
          <w:sz w:val="28"/>
          <w:szCs w:val="28"/>
        </w:rPr>
      </w:pPr>
      <w:r>
        <w:rPr>
          <w:sz w:val="28"/>
          <w:szCs w:val="28"/>
        </w:rPr>
        <w:t>Per parlare di</w:t>
      </w:r>
      <w:r w:rsidR="0095713B" w:rsidRPr="0095713B">
        <w:rPr>
          <w:sz w:val="28"/>
          <w:szCs w:val="28"/>
        </w:rPr>
        <w:t xml:space="preserve"> </w:t>
      </w:r>
      <w:r>
        <w:rPr>
          <w:sz w:val="28"/>
          <w:szCs w:val="28"/>
        </w:rPr>
        <w:t>“</w:t>
      </w:r>
      <w:r w:rsidR="0095713B" w:rsidRPr="0095713B">
        <w:rPr>
          <w:sz w:val="28"/>
          <w:szCs w:val="28"/>
        </w:rPr>
        <w:t>stampato</w:t>
      </w:r>
      <w:r>
        <w:rPr>
          <w:sz w:val="28"/>
          <w:szCs w:val="28"/>
        </w:rPr>
        <w:t>”</w:t>
      </w:r>
      <w:r w:rsidR="0095713B" w:rsidRPr="0095713B">
        <w:rPr>
          <w:sz w:val="28"/>
          <w:szCs w:val="28"/>
        </w:rPr>
        <w:t xml:space="preserve"> è necessario che siano indicati il luogo e l’anno di pubblicazione, il nome e il domicilio dello stampatore e, se esiste, dell’editore. </w:t>
      </w:r>
      <w:r>
        <w:rPr>
          <w:sz w:val="28"/>
          <w:szCs w:val="28"/>
        </w:rPr>
        <w:t>Solo</w:t>
      </w:r>
      <w:r w:rsidR="0095713B" w:rsidRPr="0095713B">
        <w:rPr>
          <w:sz w:val="28"/>
          <w:szCs w:val="28"/>
        </w:rPr>
        <w:t xml:space="preserve"> per </w:t>
      </w:r>
      <w:r>
        <w:rPr>
          <w:sz w:val="28"/>
          <w:szCs w:val="28"/>
        </w:rPr>
        <w:t xml:space="preserve">quanto concerne </w:t>
      </w:r>
      <w:r w:rsidR="0095713B" w:rsidRPr="0095713B">
        <w:rPr>
          <w:sz w:val="28"/>
          <w:szCs w:val="28"/>
        </w:rPr>
        <w:t xml:space="preserve">i giornali, </w:t>
      </w:r>
      <w:r>
        <w:rPr>
          <w:sz w:val="28"/>
          <w:szCs w:val="28"/>
        </w:rPr>
        <w:t xml:space="preserve">le </w:t>
      </w:r>
      <w:r w:rsidR="0095713B" w:rsidRPr="0095713B">
        <w:rPr>
          <w:sz w:val="28"/>
          <w:szCs w:val="28"/>
        </w:rPr>
        <w:t xml:space="preserve">agenzie di informazioni e </w:t>
      </w:r>
      <w:r>
        <w:rPr>
          <w:sz w:val="28"/>
          <w:szCs w:val="28"/>
        </w:rPr>
        <w:t xml:space="preserve">i </w:t>
      </w:r>
      <w:r w:rsidR="0095713B" w:rsidRPr="0095713B">
        <w:rPr>
          <w:sz w:val="28"/>
          <w:szCs w:val="28"/>
        </w:rPr>
        <w:t xml:space="preserve">periodici è necessario aggiungere i dati identificativi del proprietario e del direttore </w:t>
      </w:r>
      <w:r>
        <w:rPr>
          <w:sz w:val="28"/>
          <w:szCs w:val="28"/>
        </w:rPr>
        <w:t>(</w:t>
      </w:r>
      <w:r w:rsidR="0095713B" w:rsidRPr="0095713B">
        <w:rPr>
          <w:sz w:val="28"/>
          <w:szCs w:val="28"/>
        </w:rPr>
        <w:t>o vic</w:t>
      </w:r>
      <w:r>
        <w:rPr>
          <w:sz w:val="28"/>
          <w:szCs w:val="28"/>
        </w:rPr>
        <w:t>e)</w:t>
      </w:r>
      <w:r w:rsidR="0095713B" w:rsidRPr="0095713B">
        <w:rPr>
          <w:sz w:val="28"/>
          <w:szCs w:val="28"/>
        </w:rPr>
        <w:t xml:space="preserve"> responsabile.</w:t>
      </w:r>
    </w:p>
    <w:p w14:paraId="33E1A92D" w14:textId="44E11859" w:rsidR="0095713B" w:rsidRPr="0095713B" w:rsidRDefault="00C30F05" w:rsidP="00484B4C">
      <w:pPr>
        <w:pStyle w:val="NormaleWeb"/>
        <w:spacing w:before="0" w:beforeAutospacing="0" w:after="0" w:afterAutospacing="0"/>
        <w:jc w:val="both"/>
        <w:rPr>
          <w:sz w:val="28"/>
          <w:szCs w:val="28"/>
        </w:rPr>
      </w:pPr>
      <w:r>
        <w:rPr>
          <w:sz w:val="28"/>
          <w:szCs w:val="28"/>
        </w:rPr>
        <w:t>P</w:t>
      </w:r>
      <w:r w:rsidR="0095713B" w:rsidRPr="0095713B">
        <w:rPr>
          <w:sz w:val="28"/>
          <w:szCs w:val="28"/>
        </w:rPr>
        <w:t>erché si possa parlare propriamente di giornale o periodico</w:t>
      </w:r>
      <w:r>
        <w:rPr>
          <w:sz w:val="28"/>
          <w:szCs w:val="28"/>
        </w:rPr>
        <w:t xml:space="preserve">, bisogna inoltre </w:t>
      </w:r>
      <w:r w:rsidRPr="0095713B">
        <w:rPr>
          <w:sz w:val="28"/>
          <w:szCs w:val="28"/>
        </w:rPr>
        <w:t>registrare lo stesso presso la cancelleria del tribunale, nella cui circoscrizione debba effettuarsi la pubblicazione, ai sensi dell’articolo 5, l. 47/1948</w:t>
      </w:r>
      <w:r>
        <w:rPr>
          <w:sz w:val="28"/>
          <w:szCs w:val="28"/>
        </w:rPr>
        <w:t xml:space="preserve">. Ciò </w:t>
      </w:r>
      <w:r w:rsidR="0095713B" w:rsidRPr="0095713B">
        <w:rPr>
          <w:sz w:val="28"/>
          <w:szCs w:val="28"/>
        </w:rPr>
        <w:t>sia nel caso in cui l</w:t>
      </w:r>
      <w:r>
        <w:rPr>
          <w:sz w:val="28"/>
          <w:szCs w:val="28"/>
        </w:rPr>
        <w:t>’</w:t>
      </w:r>
      <w:r w:rsidR="0095713B" w:rsidRPr="0095713B">
        <w:rPr>
          <w:sz w:val="28"/>
          <w:szCs w:val="28"/>
        </w:rPr>
        <w:t>editore intend</w:t>
      </w:r>
      <w:r>
        <w:rPr>
          <w:sz w:val="28"/>
          <w:szCs w:val="28"/>
        </w:rPr>
        <w:t>a</w:t>
      </w:r>
      <w:r w:rsidR="0095713B" w:rsidRPr="0095713B">
        <w:rPr>
          <w:sz w:val="28"/>
          <w:szCs w:val="28"/>
        </w:rPr>
        <w:t xml:space="preserve"> ottenere contributi statali ovvero preved</w:t>
      </w:r>
      <w:r>
        <w:rPr>
          <w:sz w:val="28"/>
          <w:szCs w:val="28"/>
        </w:rPr>
        <w:t>a</w:t>
      </w:r>
      <w:r w:rsidR="0095713B" w:rsidRPr="0095713B">
        <w:rPr>
          <w:sz w:val="28"/>
          <w:szCs w:val="28"/>
        </w:rPr>
        <w:t xml:space="preserve"> di avvalersi di giornalisti professionisti, pubblicisti e praticanti</w:t>
      </w:r>
      <w:r>
        <w:rPr>
          <w:sz w:val="28"/>
          <w:szCs w:val="28"/>
        </w:rPr>
        <w:t>.</w:t>
      </w:r>
    </w:p>
    <w:p w14:paraId="7323F3E5" w14:textId="217D5404" w:rsidR="0095713B" w:rsidRPr="0095713B" w:rsidRDefault="00C30F05" w:rsidP="00484B4C">
      <w:pPr>
        <w:pStyle w:val="NormaleWeb"/>
        <w:spacing w:before="0" w:beforeAutospacing="0" w:after="0" w:afterAutospacing="0"/>
        <w:jc w:val="both"/>
        <w:rPr>
          <w:sz w:val="28"/>
          <w:szCs w:val="28"/>
        </w:rPr>
      </w:pPr>
      <w:r>
        <w:rPr>
          <w:sz w:val="28"/>
          <w:szCs w:val="28"/>
        </w:rPr>
        <w:t>P</w:t>
      </w:r>
      <w:r w:rsidRPr="0095713B">
        <w:rPr>
          <w:sz w:val="28"/>
          <w:szCs w:val="28"/>
        </w:rPr>
        <w:t>er i periodici web di piccole dimensioni</w:t>
      </w:r>
      <w:r>
        <w:rPr>
          <w:sz w:val="28"/>
          <w:szCs w:val="28"/>
        </w:rPr>
        <w:t>, q</w:t>
      </w:r>
      <w:r w:rsidR="0095713B" w:rsidRPr="0095713B">
        <w:rPr>
          <w:sz w:val="28"/>
          <w:szCs w:val="28"/>
        </w:rPr>
        <w:t xml:space="preserve">uest’ultimo obbligo non è imprescindibile, </w:t>
      </w:r>
      <w:r>
        <w:rPr>
          <w:sz w:val="28"/>
          <w:szCs w:val="28"/>
        </w:rPr>
        <w:t>perché se si tratta di giornali</w:t>
      </w:r>
      <w:r w:rsidR="0095713B" w:rsidRPr="0095713B">
        <w:rPr>
          <w:sz w:val="28"/>
          <w:szCs w:val="28"/>
        </w:rPr>
        <w:t xml:space="preserve"> realizzati unicamente su supporto informatico e diffusi unicamente per via telematica ovvero </w:t>
      </w:r>
      <w:r w:rsidR="0095713B" w:rsidRPr="00C30F05">
        <w:rPr>
          <w:i/>
          <w:iCs/>
          <w:sz w:val="28"/>
          <w:szCs w:val="28"/>
        </w:rPr>
        <w:t>online</w:t>
      </w:r>
      <w:r w:rsidR="0095713B" w:rsidRPr="0095713B">
        <w:rPr>
          <w:sz w:val="28"/>
          <w:szCs w:val="28"/>
        </w:rPr>
        <w:t xml:space="preserve">, i cui editori non abbiano fatto domanda di contributi o agevolazioni pubbliche e che conseguano ricavi annui inferiori a 100.000 euro, </w:t>
      </w:r>
      <w:r>
        <w:rPr>
          <w:sz w:val="28"/>
          <w:szCs w:val="28"/>
        </w:rPr>
        <w:t xml:space="preserve">questi </w:t>
      </w:r>
      <w:r w:rsidR="0095713B" w:rsidRPr="0095713B">
        <w:rPr>
          <w:sz w:val="28"/>
          <w:szCs w:val="28"/>
        </w:rPr>
        <w:t>non sono soggetti alla registrazione di cui all’art</w:t>
      </w:r>
      <w:r>
        <w:rPr>
          <w:sz w:val="28"/>
          <w:szCs w:val="28"/>
        </w:rPr>
        <w:t>.</w:t>
      </w:r>
      <w:r w:rsidR="0095713B" w:rsidRPr="0095713B">
        <w:rPr>
          <w:sz w:val="28"/>
          <w:szCs w:val="28"/>
        </w:rPr>
        <w:t xml:space="preserve"> 5 (art. 3-bis, l. 103/2012).</w:t>
      </w:r>
    </w:p>
    <w:p w14:paraId="45507C25" w14:textId="57EBFC08" w:rsidR="0095713B" w:rsidRPr="0095713B" w:rsidRDefault="0095713B" w:rsidP="00484B4C">
      <w:pPr>
        <w:pStyle w:val="NormaleWeb"/>
        <w:spacing w:before="0" w:beforeAutospacing="0" w:after="0" w:afterAutospacing="0"/>
        <w:jc w:val="both"/>
        <w:rPr>
          <w:sz w:val="28"/>
          <w:szCs w:val="28"/>
        </w:rPr>
      </w:pPr>
      <w:r w:rsidRPr="0095713B">
        <w:rPr>
          <w:sz w:val="28"/>
          <w:szCs w:val="28"/>
        </w:rPr>
        <w:t>Al contrario, l’art</w:t>
      </w:r>
      <w:r w:rsidR="00D2272E">
        <w:rPr>
          <w:sz w:val="28"/>
          <w:szCs w:val="28"/>
        </w:rPr>
        <w:t>.</w:t>
      </w:r>
      <w:r w:rsidRPr="0095713B">
        <w:rPr>
          <w:sz w:val="28"/>
          <w:szCs w:val="28"/>
        </w:rPr>
        <w:t xml:space="preserve"> 3 della l. 103/2012 impone dei parametri per valutare la periodicità di testate giornalistiche di grandi dimensioni che offrano contenuti anche </w:t>
      </w:r>
      <w:r w:rsidRPr="00D2272E">
        <w:rPr>
          <w:i/>
          <w:iCs/>
          <w:sz w:val="28"/>
          <w:szCs w:val="28"/>
        </w:rPr>
        <w:t>online</w:t>
      </w:r>
      <w:r w:rsidR="00D2272E">
        <w:rPr>
          <w:sz w:val="28"/>
          <w:szCs w:val="28"/>
        </w:rPr>
        <w:t xml:space="preserve">, </w:t>
      </w:r>
      <w:r w:rsidRPr="0095713B">
        <w:rPr>
          <w:sz w:val="28"/>
          <w:szCs w:val="28"/>
        </w:rPr>
        <w:t xml:space="preserve">parametri </w:t>
      </w:r>
      <w:r w:rsidR="00D2272E">
        <w:rPr>
          <w:sz w:val="28"/>
          <w:szCs w:val="28"/>
        </w:rPr>
        <w:t>che riguardano</w:t>
      </w:r>
      <w:r w:rsidRPr="0095713B">
        <w:rPr>
          <w:sz w:val="28"/>
          <w:szCs w:val="28"/>
        </w:rPr>
        <w:t xml:space="preserve"> l’accessibilità </w:t>
      </w:r>
      <w:r w:rsidRPr="00D2272E">
        <w:rPr>
          <w:i/>
          <w:iCs/>
          <w:sz w:val="28"/>
          <w:szCs w:val="28"/>
        </w:rPr>
        <w:t>online</w:t>
      </w:r>
      <w:r w:rsidRPr="0095713B">
        <w:rPr>
          <w:sz w:val="28"/>
          <w:szCs w:val="28"/>
        </w:rPr>
        <w:t xml:space="preserve"> della testata, anche a titolo non oneroso, la garanzia di un’informazione quotidiana composta da informazione autoprodotta per almeno dieci articoli al giorno</w:t>
      </w:r>
      <w:r w:rsidR="00D2272E">
        <w:rPr>
          <w:sz w:val="28"/>
          <w:szCs w:val="28"/>
        </w:rPr>
        <w:t>,</w:t>
      </w:r>
      <w:r w:rsidRPr="0095713B">
        <w:rPr>
          <w:sz w:val="28"/>
          <w:szCs w:val="28"/>
        </w:rPr>
        <w:t xml:space="preserve"> con un aggiornamento pari ad almeno 240 giorni per i quotidiani, 45 per i settimanali e plurisettimanali, 18 uscite per i quindicinali e 9 per i mensili. </w:t>
      </w:r>
      <w:r w:rsidR="00D2272E">
        <w:rPr>
          <w:sz w:val="28"/>
          <w:szCs w:val="28"/>
        </w:rPr>
        <w:t>In più</w:t>
      </w:r>
      <w:r w:rsidRPr="0095713B">
        <w:rPr>
          <w:sz w:val="28"/>
          <w:szCs w:val="28"/>
        </w:rPr>
        <w:t>, qualora la testata sia pubblicata sia in edizione cartacea sia in edizione digitale, con lo stesso marchio editoriale, l’impresa non è tenuta all’iscrizione di entrambe le testate</w:t>
      </w:r>
      <w:r w:rsidR="00D2272E">
        <w:rPr>
          <w:sz w:val="28"/>
          <w:szCs w:val="28"/>
        </w:rPr>
        <w:t>,</w:t>
      </w:r>
      <w:r w:rsidRPr="0095713B">
        <w:rPr>
          <w:sz w:val="28"/>
          <w:szCs w:val="28"/>
        </w:rPr>
        <w:t xml:space="preserve"> ma solo a dare apposita comunicazione al registro degli operatori di comunicazione (art. 3, l. 103/2012).</w:t>
      </w:r>
    </w:p>
    <w:p w14:paraId="3BB77D45" w14:textId="43071573" w:rsidR="0095713B" w:rsidRPr="0095713B" w:rsidRDefault="00D2272E" w:rsidP="00484B4C">
      <w:pPr>
        <w:pStyle w:val="NormaleWeb"/>
        <w:spacing w:before="0" w:beforeAutospacing="0" w:after="0" w:afterAutospacing="0"/>
        <w:jc w:val="both"/>
        <w:rPr>
          <w:sz w:val="28"/>
          <w:szCs w:val="28"/>
        </w:rPr>
      </w:pPr>
      <w:r>
        <w:rPr>
          <w:sz w:val="28"/>
          <w:szCs w:val="28"/>
        </w:rPr>
        <w:lastRenderedPageBreak/>
        <w:t>Concludendo</w:t>
      </w:r>
      <w:r w:rsidR="0095713B" w:rsidRPr="0095713B">
        <w:rPr>
          <w:sz w:val="28"/>
          <w:szCs w:val="28"/>
        </w:rPr>
        <w:t xml:space="preserve">, per le testate giornalistiche </w:t>
      </w:r>
      <w:r w:rsidR="0095713B" w:rsidRPr="00D2272E">
        <w:rPr>
          <w:i/>
          <w:iCs/>
          <w:sz w:val="28"/>
          <w:szCs w:val="28"/>
        </w:rPr>
        <w:t>online</w:t>
      </w:r>
      <w:r w:rsidR="0095713B" w:rsidRPr="0095713B">
        <w:rPr>
          <w:sz w:val="28"/>
          <w:szCs w:val="28"/>
        </w:rPr>
        <w:t xml:space="preserve"> non è configurabile un obbligo di registrazione ai fini dell’equiparazione degli stessi alla nozione di stampa.</w:t>
      </w:r>
    </w:p>
    <w:p w14:paraId="61325D85" w14:textId="28785E19" w:rsidR="0095713B" w:rsidRPr="0095713B" w:rsidRDefault="0095713B" w:rsidP="00484B4C">
      <w:pPr>
        <w:pStyle w:val="NormaleWeb"/>
        <w:spacing w:before="0" w:beforeAutospacing="0" w:after="0" w:afterAutospacing="0"/>
        <w:jc w:val="both"/>
        <w:rPr>
          <w:sz w:val="28"/>
          <w:szCs w:val="28"/>
        </w:rPr>
      </w:pPr>
      <w:r w:rsidRPr="0095713B">
        <w:rPr>
          <w:sz w:val="28"/>
          <w:szCs w:val="28"/>
        </w:rPr>
        <w:t xml:space="preserve">La giurisprudenza successiva </w:t>
      </w:r>
      <w:r w:rsidR="00D2272E">
        <w:rPr>
          <w:sz w:val="28"/>
          <w:szCs w:val="28"/>
        </w:rPr>
        <w:t>alle</w:t>
      </w:r>
      <w:r w:rsidRPr="0095713B">
        <w:rPr>
          <w:sz w:val="28"/>
          <w:szCs w:val="28"/>
        </w:rPr>
        <w:t xml:space="preserve"> Sezioni Unite del 2015 si è uniformata all’orientamento secondo cui i periodici </w:t>
      </w:r>
      <w:r w:rsidRPr="00D2272E">
        <w:rPr>
          <w:i/>
          <w:iCs/>
          <w:sz w:val="28"/>
          <w:szCs w:val="28"/>
        </w:rPr>
        <w:t>online</w:t>
      </w:r>
      <w:r w:rsidRPr="0095713B">
        <w:rPr>
          <w:sz w:val="28"/>
          <w:szCs w:val="28"/>
        </w:rPr>
        <w:t xml:space="preserve"> sarebbero assimilabili alla stampa, contrariamente </w:t>
      </w:r>
      <w:r w:rsidR="00D2272E">
        <w:rPr>
          <w:sz w:val="28"/>
          <w:szCs w:val="28"/>
        </w:rPr>
        <w:t>ai</w:t>
      </w:r>
      <w:r w:rsidRPr="0095713B">
        <w:rPr>
          <w:sz w:val="28"/>
          <w:szCs w:val="28"/>
        </w:rPr>
        <w:t xml:space="preserve"> </w:t>
      </w:r>
      <w:r w:rsidRPr="00D2272E">
        <w:rPr>
          <w:i/>
          <w:iCs/>
          <w:sz w:val="28"/>
          <w:szCs w:val="28"/>
        </w:rPr>
        <w:t>social</w:t>
      </w:r>
      <w:r w:rsidRPr="0095713B">
        <w:rPr>
          <w:sz w:val="28"/>
          <w:szCs w:val="28"/>
        </w:rPr>
        <w:t xml:space="preserve">, </w:t>
      </w:r>
      <w:r w:rsidRPr="00D2272E">
        <w:rPr>
          <w:i/>
          <w:iCs/>
          <w:sz w:val="28"/>
          <w:szCs w:val="28"/>
        </w:rPr>
        <w:t>forum</w:t>
      </w:r>
      <w:r w:rsidRPr="0095713B">
        <w:rPr>
          <w:sz w:val="28"/>
          <w:szCs w:val="28"/>
        </w:rPr>
        <w:t xml:space="preserve">, </w:t>
      </w:r>
      <w:r w:rsidRPr="00D2272E">
        <w:rPr>
          <w:i/>
          <w:iCs/>
          <w:sz w:val="28"/>
          <w:szCs w:val="28"/>
        </w:rPr>
        <w:t>blog</w:t>
      </w:r>
      <w:r w:rsidRPr="0095713B">
        <w:rPr>
          <w:sz w:val="28"/>
          <w:szCs w:val="28"/>
        </w:rPr>
        <w:t xml:space="preserve"> e </w:t>
      </w:r>
      <w:r w:rsidRPr="00D2272E">
        <w:rPr>
          <w:i/>
          <w:iCs/>
          <w:sz w:val="28"/>
          <w:szCs w:val="28"/>
        </w:rPr>
        <w:t>newsletter</w:t>
      </w:r>
      <w:r w:rsidRPr="0095713B">
        <w:rPr>
          <w:sz w:val="28"/>
          <w:szCs w:val="28"/>
        </w:rPr>
        <w:t xml:space="preserve"> </w:t>
      </w:r>
      <w:r w:rsidR="00D2272E">
        <w:rPr>
          <w:sz w:val="28"/>
          <w:szCs w:val="28"/>
        </w:rPr>
        <w:t>i quali,</w:t>
      </w:r>
      <w:r w:rsidRPr="0095713B">
        <w:rPr>
          <w:sz w:val="28"/>
          <w:szCs w:val="28"/>
        </w:rPr>
        <w:t xml:space="preserve"> pur essendo tutelabili ai sensi dell’art</w:t>
      </w:r>
      <w:r w:rsidR="00D2272E">
        <w:rPr>
          <w:sz w:val="28"/>
          <w:szCs w:val="28"/>
        </w:rPr>
        <w:t>.</w:t>
      </w:r>
      <w:r w:rsidRPr="0095713B">
        <w:rPr>
          <w:sz w:val="28"/>
          <w:szCs w:val="28"/>
        </w:rPr>
        <w:t xml:space="preserve"> 21</w:t>
      </w:r>
      <w:r w:rsidR="00D2272E">
        <w:rPr>
          <w:sz w:val="28"/>
          <w:szCs w:val="28"/>
        </w:rPr>
        <w:t xml:space="preserve"> </w:t>
      </w:r>
      <w:proofErr w:type="spellStart"/>
      <w:r w:rsidRPr="0095713B">
        <w:rPr>
          <w:sz w:val="28"/>
          <w:szCs w:val="28"/>
        </w:rPr>
        <w:t>Cost</w:t>
      </w:r>
      <w:proofErr w:type="spellEnd"/>
      <w:r w:rsidRPr="0095713B">
        <w:rPr>
          <w:sz w:val="28"/>
          <w:szCs w:val="28"/>
        </w:rPr>
        <w:t xml:space="preserve">., non godrebbero </w:t>
      </w:r>
      <w:r w:rsidR="00D2272E">
        <w:rPr>
          <w:sz w:val="28"/>
          <w:szCs w:val="28"/>
        </w:rPr>
        <w:t xml:space="preserve">tuttavia </w:t>
      </w:r>
      <w:r w:rsidRPr="0095713B">
        <w:rPr>
          <w:sz w:val="28"/>
          <w:szCs w:val="28"/>
        </w:rPr>
        <w:t>delle garanzie costituzionali di cui ai commi successivi</w:t>
      </w:r>
      <w:r w:rsidR="00D2272E">
        <w:rPr>
          <w:sz w:val="28"/>
          <w:szCs w:val="28"/>
        </w:rPr>
        <w:t xml:space="preserve"> al primo</w:t>
      </w:r>
      <w:r w:rsidRPr="0095713B">
        <w:rPr>
          <w:sz w:val="28"/>
          <w:szCs w:val="28"/>
        </w:rPr>
        <w:t>, non essendo soggetti alla normativa e tutela accordata alla stampa.</w:t>
      </w:r>
    </w:p>
    <w:p w14:paraId="643A9413" w14:textId="0A44FED3" w:rsidR="0095713B" w:rsidRPr="0095713B" w:rsidRDefault="00D2272E" w:rsidP="00484B4C">
      <w:pPr>
        <w:pStyle w:val="NormaleWeb"/>
        <w:spacing w:before="0" w:beforeAutospacing="0" w:after="0" w:afterAutospacing="0"/>
        <w:jc w:val="both"/>
        <w:rPr>
          <w:sz w:val="28"/>
          <w:szCs w:val="28"/>
        </w:rPr>
      </w:pPr>
      <w:r>
        <w:rPr>
          <w:sz w:val="28"/>
          <w:szCs w:val="28"/>
        </w:rPr>
        <w:t xml:space="preserve">Per quanto riguarda </w:t>
      </w:r>
      <w:r w:rsidR="0095713B" w:rsidRPr="0095713B">
        <w:rPr>
          <w:sz w:val="28"/>
          <w:szCs w:val="28"/>
        </w:rPr>
        <w:t>l’applicabilità dell’aggravante di cui al comma 3 dell’articolo 595 c.p.</w:t>
      </w:r>
      <w:r>
        <w:rPr>
          <w:sz w:val="28"/>
          <w:szCs w:val="28"/>
        </w:rPr>
        <w:t>,</w:t>
      </w:r>
      <w:r w:rsidR="0095713B" w:rsidRPr="0095713B">
        <w:rPr>
          <w:sz w:val="28"/>
          <w:szCs w:val="28"/>
        </w:rPr>
        <w:t xml:space="preserve"> si è scelto di ricomprendere nell’ambito del “</w:t>
      </w:r>
      <w:r w:rsidR="0095713B" w:rsidRPr="00D2272E">
        <w:rPr>
          <w:i/>
          <w:iCs/>
          <w:sz w:val="28"/>
          <w:szCs w:val="28"/>
        </w:rPr>
        <w:t>qualsiasi altro mezzo di pubblicità</w:t>
      </w:r>
      <w:r w:rsidR="0095713B" w:rsidRPr="0095713B">
        <w:rPr>
          <w:sz w:val="28"/>
          <w:szCs w:val="28"/>
        </w:rPr>
        <w:t xml:space="preserve">” i </w:t>
      </w:r>
      <w:r w:rsidR="0095713B" w:rsidRPr="00CE3D2D">
        <w:rPr>
          <w:i/>
          <w:iCs/>
          <w:sz w:val="28"/>
          <w:szCs w:val="28"/>
        </w:rPr>
        <w:t>social network</w:t>
      </w:r>
      <w:r w:rsidR="0095713B" w:rsidRPr="0095713B">
        <w:rPr>
          <w:sz w:val="28"/>
          <w:szCs w:val="28"/>
        </w:rPr>
        <w:t xml:space="preserve">, </w:t>
      </w:r>
      <w:r w:rsidR="0095713B" w:rsidRPr="00CE3D2D">
        <w:rPr>
          <w:i/>
          <w:iCs/>
          <w:sz w:val="28"/>
          <w:szCs w:val="28"/>
        </w:rPr>
        <w:t>blog</w:t>
      </w:r>
      <w:r w:rsidR="0095713B" w:rsidRPr="0095713B">
        <w:rPr>
          <w:sz w:val="28"/>
          <w:szCs w:val="28"/>
        </w:rPr>
        <w:t xml:space="preserve"> o </w:t>
      </w:r>
      <w:r w:rsidR="0095713B" w:rsidRPr="00CE3D2D">
        <w:rPr>
          <w:i/>
          <w:iCs/>
          <w:sz w:val="28"/>
          <w:szCs w:val="28"/>
        </w:rPr>
        <w:t>forum</w:t>
      </w:r>
      <w:r w:rsidR="0095713B" w:rsidRPr="0095713B">
        <w:rPr>
          <w:sz w:val="28"/>
          <w:szCs w:val="28"/>
        </w:rPr>
        <w:t xml:space="preserve"> in cui si perpetuava il reato di diffamazione</w:t>
      </w:r>
      <w:r w:rsidR="00BA3406">
        <w:rPr>
          <w:rStyle w:val="Rimandonotaapidipagina"/>
          <w:sz w:val="28"/>
          <w:szCs w:val="28"/>
        </w:rPr>
        <w:footnoteReference w:id="245"/>
      </w:r>
      <w:r w:rsidR="0095713B" w:rsidRPr="0095713B">
        <w:rPr>
          <w:sz w:val="28"/>
          <w:szCs w:val="28"/>
        </w:rPr>
        <w:t>.</w:t>
      </w:r>
    </w:p>
    <w:p w14:paraId="156CFB2E" w14:textId="216BC41A" w:rsidR="0095713B" w:rsidRPr="0095713B" w:rsidRDefault="00434B6E" w:rsidP="00484B4C">
      <w:pPr>
        <w:pStyle w:val="NormaleWeb"/>
        <w:spacing w:before="0" w:beforeAutospacing="0" w:after="0" w:afterAutospacing="0"/>
        <w:jc w:val="both"/>
        <w:rPr>
          <w:sz w:val="28"/>
          <w:szCs w:val="28"/>
        </w:rPr>
      </w:pPr>
      <w:r>
        <w:rPr>
          <w:sz w:val="28"/>
          <w:szCs w:val="28"/>
        </w:rPr>
        <w:t xml:space="preserve">L’aggravante in questione si applica ai </w:t>
      </w:r>
      <w:r w:rsidRPr="00434B6E">
        <w:rPr>
          <w:i/>
          <w:iCs/>
          <w:sz w:val="28"/>
          <w:szCs w:val="28"/>
        </w:rPr>
        <w:t>social network</w:t>
      </w:r>
      <w:r>
        <w:rPr>
          <w:sz w:val="28"/>
          <w:szCs w:val="28"/>
        </w:rPr>
        <w:t xml:space="preserve"> anche in virtù</w:t>
      </w:r>
      <w:r w:rsidR="0095713B" w:rsidRPr="0095713B">
        <w:rPr>
          <w:sz w:val="28"/>
          <w:szCs w:val="28"/>
        </w:rPr>
        <w:t xml:space="preserve"> </w:t>
      </w:r>
      <w:r>
        <w:rPr>
          <w:sz w:val="28"/>
          <w:szCs w:val="28"/>
        </w:rPr>
        <w:t xml:space="preserve">del </w:t>
      </w:r>
      <w:r w:rsidR="0095713B" w:rsidRPr="0095713B">
        <w:rPr>
          <w:sz w:val="28"/>
          <w:szCs w:val="28"/>
        </w:rPr>
        <w:t xml:space="preserve">costante orientamento </w:t>
      </w:r>
      <w:r>
        <w:rPr>
          <w:sz w:val="28"/>
          <w:szCs w:val="28"/>
        </w:rPr>
        <w:t>volto a</w:t>
      </w:r>
      <w:r w:rsidR="0095713B" w:rsidRPr="0095713B">
        <w:rPr>
          <w:sz w:val="28"/>
          <w:szCs w:val="28"/>
        </w:rPr>
        <w:t xml:space="preserve"> considerarli come strument</w:t>
      </w:r>
      <w:r>
        <w:rPr>
          <w:sz w:val="28"/>
          <w:szCs w:val="28"/>
        </w:rPr>
        <w:t>i</w:t>
      </w:r>
      <w:r w:rsidR="0095713B" w:rsidRPr="0095713B">
        <w:rPr>
          <w:sz w:val="28"/>
          <w:szCs w:val="28"/>
        </w:rPr>
        <w:t xml:space="preserve"> idone</w:t>
      </w:r>
      <w:r>
        <w:rPr>
          <w:sz w:val="28"/>
          <w:szCs w:val="28"/>
        </w:rPr>
        <w:t>i</w:t>
      </w:r>
      <w:r w:rsidR="0095713B" w:rsidRPr="0095713B">
        <w:rPr>
          <w:sz w:val="28"/>
          <w:szCs w:val="28"/>
        </w:rPr>
        <w:t xml:space="preserve"> a </w:t>
      </w:r>
      <w:r w:rsidRPr="0095713B">
        <w:rPr>
          <w:sz w:val="28"/>
          <w:szCs w:val="28"/>
        </w:rPr>
        <w:t>raggiungere una pluralità di persone</w:t>
      </w:r>
      <w:r>
        <w:rPr>
          <w:sz w:val="28"/>
          <w:szCs w:val="28"/>
        </w:rPr>
        <w:t>,</w:t>
      </w:r>
      <w:r w:rsidRPr="0095713B">
        <w:rPr>
          <w:sz w:val="28"/>
          <w:szCs w:val="28"/>
        </w:rPr>
        <w:t xml:space="preserve"> </w:t>
      </w:r>
      <w:r w:rsidR="0095713B" w:rsidRPr="0095713B">
        <w:rPr>
          <w:sz w:val="28"/>
          <w:szCs w:val="28"/>
        </w:rPr>
        <w:t>determina</w:t>
      </w:r>
      <w:r>
        <w:rPr>
          <w:sz w:val="28"/>
          <w:szCs w:val="28"/>
        </w:rPr>
        <w:t>ndo</w:t>
      </w:r>
      <w:r w:rsidR="0095713B" w:rsidRPr="0095713B">
        <w:rPr>
          <w:sz w:val="28"/>
          <w:szCs w:val="28"/>
        </w:rPr>
        <w:t xml:space="preserve"> quella maggiore diffusività dell’offesa</w:t>
      </w:r>
      <w:r w:rsidR="007401F0">
        <w:rPr>
          <w:sz w:val="28"/>
          <w:szCs w:val="28"/>
        </w:rPr>
        <w:t xml:space="preserve"> </w:t>
      </w:r>
      <w:r w:rsidR="0095713B" w:rsidRPr="0095713B">
        <w:rPr>
          <w:sz w:val="28"/>
          <w:szCs w:val="28"/>
        </w:rPr>
        <w:t>che giustifica un trattamento sanzionatorio più severo</w:t>
      </w:r>
      <w:r w:rsidR="007401F0">
        <w:rPr>
          <w:rStyle w:val="Rimandonotaapidipagina"/>
          <w:sz w:val="28"/>
          <w:szCs w:val="28"/>
        </w:rPr>
        <w:footnoteReference w:id="246"/>
      </w:r>
      <w:r w:rsidR="007401F0">
        <w:rPr>
          <w:sz w:val="28"/>
          <w:szCs w:val="28"/>
        </w:rPr>
        <w:t>.</w:t>
      </w:r>
    </w:p>
    <w:p w14:paraId="2F07A09F" w14:textId="77777777" w:rsidR="00EF4915" w:rsidRDefault="007401F0" w:rsidP="00484B4C">
      <w:pPr>
        <w:pStyle w:val="NormaleWeb"/>
        <w:spacing w:before="0" w:beforeAutospacing="0" w:after="0" w:afterAutospacing="0"/>
        <w:jc w:val="both"/>
        <w:rPr>
          <w:sz w:val="28"/>
          <w:szCs w:val="28"/>
        </w:rPr>
      </w:pPr>
      <w:r>
        <w:rPr>
          <w:sz w:val="28"/>
          <w:szCs w:val="28"/>
        </w:rPr>
        <w:t>Nulla osta</w:t>
      </w:r>
      <w:r w:rsidR="0095713B" w:rsidRPr="0095713B">
        <w:rPr>
          <w:sz w:val="28"/>
          <w:szCs w:val="28"/>
        </w:rPr>
        <w:t xml:space="preserve">, ai fini della configurabilità dell’aggravante, la pubblicazione del contenuto diffamatorio nella bacheca </w:t>
      </w:r>
      <w:proofErr w:type="spellStart"/>
      <w:r w:rsidR="0095713B" w:rsidRPr="007401F0">
        <w:rPr>
          <w:i/>
          <w:iCs/>
          <w:sz w:val="28"/>
          <w:szCs w:val="28"/>
        </w:rPr>
        <w:t>Facebook</w:t>
      </w:r>
      <w:proofErr w:type="spellEnd"/>
      <w:r w:rsidR="0095713B" w:rsidRPr="0095713B">
        <w:rPr>
          <w:sz w:val="28"/>
          <w:szCs w:val="28"/>
        </w:rPr>
        <w:t xml:space="preserve"> della persona offesa, poiché la maggiore diffusività è </w:t>
      </w:r>
      <w:r>
        <w:rPr>
          <w:sz w:val="28"/>
          <w:szCs w:val="28"/>
        </w:rPr>
        <w:t>comunque</w:t>
      </w:r>
      <w:r w:rsidR="0095713B" w:rsidRPr="0095713B">
        <w:rPr>
          <w:sz w:val="28"/>
          <w:szCs w:val="28"/>
        </w:rPr>
        <w:t xml:space="preserve"> configurabile.</w:t>
      </w:r>
      <w:r>
        <w:rPr>
          <w:sz w:val="28"/>
          <w:szCs w:val="28"/>
        </w:rPr>
        <w:t xml:space="preserve"> </w:t>
      </w:r>
    </w:p>
    <w:p w14:paraId="13EF1F77" w14:textId="77777777" w:rsidR="00467D6D" w:rsidRDefault="007401F0" w:rsidP="00484B4C">
      <w:pPr>
        <w:pStyle w:val="NormaleWeb"/>
        <w:spacing w:before="0" w:beforeAutospacing="0" w:after="0" w:afterAutospacing="0"/>
        <w:jc w:val="both"/>
        <w:rPr>
          <w:sz w:val="28"/>
          <w:szCs w:val="28"/>
        </w:rPr>
      </w:pPr>
      <w:r>
        <w:rPr>
          <w:sz w:val="28"/>
          <w:szCs w:val="28"/>
        </w:rPr>
        <w:t>Da parte di alcuni, in effetti, era stato sostenuto che</w:t>
      </w:r>
      <w:r w:rsidR="0095713B" w:rsidRPr="0095713B">
        <w:rPr>
          <w:sz w:val="28"/>
          <w:szCs w:val="28"/>
        </w:rPr>
        <w:t xml:space="preserve">, nel caso in esame, non </w:t>
      </w:r>
      <w:r>
        <w:rPr>
          <w:sz w:val="28"/>
          <w:szCs w:val="28"/>
        </w:rPr>
        <w:t>si integrasse</w:t>
      </w:r>
      <w:r w:rsidR="0095713B" w:rsidRPr="0095713B">
        <w:rPr>
          <w:sz w:val="28"/>
          <w:szCs w:val="28"/>
        </w:rPr>
        <w:t xml:space="preserve"> la pubblicazione</w:t>
      </w:r>
      <w:r>
        <w:rPr>
          <w:sz w:val="28"/>
          <w:szCs w:val="28"/>
        </w:rPr>
        <w:t xml:space="preserve">, con </w:t>
      </w:r>
      <w:r w:rsidR="0095713B" w:rsidRPr="0095713B">
        <w:rPr>
          <w:sz w:val="28"/>
          <w:szCs w:val="28"/>
        </w:rPr>
        <w:t>conseguente diffusione</w:t>
      </w:r>
      <w:r>
        <w:rPr>
          <w:sz w:val="28"/>
          <w:szCs w:val="28"/>
        </w:rPr>
        <w:t>,</w:t>
      </w:r>
      <w:r w:rsidR="0095713B" w:rsidRPr="0095713B">
        <w:rPr>
          <w:sz w:val="28"/>
          <w:szCs w:val="28"/>
        </w:rPr>
        <w:t xml:space="preserve"> del messaggio </w:t>
      </w:r>
      <w:r>
        <w:rPr>
          <w:sz w:val="28"/>
          <w:szCs w:val="28"/>
        </w:rPr>
        <w:t xml:space="preserve">diffamatorio, </w:t>
      </w:r>
      <w:r w:rsidR="0095713B" w:rsidRPr="0095713B">
        <w:rPr>
          <w:sz w:val="28"/>
          <w:szCs w:val="28"/>
        </w:rPr>
        <w:t xml:space="preserve">poiché </w:t>
      </w:r>
      <w:r>
        <w:rPr>
          <w:sz w:val="28"/>
          <w:szCs w:val="28"/>
        </w:rPr>
        <w:t>potevano agire i</w:t>
      </w:r>
      <w:r w:rsidR="0095713B" w:rsidRPr="0095713B">
        <w:rPr>
          <w:sz w:val="28"/>
          <w:szCs w:val="28"/>
        </w:rPr>
        <w:t xml:space="preserve"> meccanismi di privacy impostati dalla persona sulla cui bacheca era pubblicato il messaggio. </w:t>
      </w:r>
    </w:p>
    <w:p w14:paraId="5FBBFE52" w14:textId="03ACB6D8" w:rsidR="0095713B" w:rsidRPr="0095713B" w:rsidRDefault="0095713B" w:rsidP="00484B4C">
      <w:pPr>
        <w:pStyle w:val="NormaleWeb"/>
        <w:spacing w:before="0" w:beforeAutospacing="0" w:after="0" w:afterAutospacing="0"/>
        <w:jc w:val="both"/>
        <w:rPr>
          <w:sz w:val="28"/>
          <w:szCs w:val="28"/>
        </w:rPr>
      </w:pPr>
      <w:r w:rsidRPr="0095713B">
        <w:rPr>
          <w:sz w:val="28"/>
          <w:szCs w:val="28"/>
        </w:rPr>
        <w:t xml:space="preserve">Contrariamente </w:t>
      </w:r>
      <w:r w:rsidR="007401F0">
        <w:rPr>
          <w:sz w:val="28"/>
          <w:szCs w:val="28"/>
        </w:rPr>
        <w:t xml:space="preserve">a questa tesi, </w:t>
      </w:r>
      <w:r w:rsidRPr="0095713B">
        <w:rPr>
          <w:sz w:val="28"/>
          <w:szCs w:val="28"/>
        </w:rPr>
        <w:t xml:space="preserve">la </w:t>
      </w:r>
      <w:r w:rsidR="007401F0">
        <w:rPr>
          <w:sz w:val="28"/>
          <w:szCs w:val="28"/>
        </w:rPr>
        <w:t>Cassazione</w:t>
      </w:r>
      <w:r w:rsidRPr="0095713B">
        <w:rPr>
          <w:sz w:val="28"/>
          <w:szCs w:val="28"/>
        </w:rPr>
        <w:t xml:space="preserve"> ha </w:t>
      </w:r>
      <w:r w:rsidR="007401F0">
        <w:rPr>
          <w:sz w:val="28"/>
          <w:szCs w:val="28"/>
        </w:rPr>
        <w:t>deciso sia per</w:t>
      </w:r>
      <w:r w:rsidRPr="0095713B">
        <w:rPr>
          <w:sz w:val="28"/>
          <w:szCs w:val="28"/>
        </w:rPr>
        <w:t xml:space="preserve"> l’applicabilità dell’aggravante sulla base dell’idoneità del mezzo (</w:t>
      </w:r>
      <w:proofErr w:type="spellStart"/>
      <w:r w:rsidRPr="007401F0">
        <w:rPr>
          <w:i/>
          <w:iCs/>
          <w:sz w:val="28"/>
          <w:szCs w:val="28"/>
        </w:rPr>
        <w:t>Facebook</w:t>
      </w:r>
      <w:proofErr w:type="spellEnd"/>
      <w:r w:rsidRPr="0095713B">
        <w:rPr>
          <w:sz w:val="28"/>
          <w:szCs w:val="28"/>
        </w:rPr>
        <w:t>) a consentire un’ampia e indiscriminata diffusione della notizia</w:t>
      </w:r>
      <w:r w:rsidR="007401F0">
        <w:rPr>
          <w:sz w:val="28"/>
          <w:szCs w:val="28"/>
        </w:rPr>
        <w:t xml:space="preserve">, sia per </w:t>
      </w:r>
      <w:r w:rsidRPr="0095713B">
        <w:rPr>
          <w:sz w:val="28"/>
          <w:szCs w:val="28"/>
        </w:rPr>
        <w:t>l’idoneità della bacheca a tal fine, indipendentemente dalle impostazioni della privacy</w:t>
      </w:r>
      <w:r w:rsidR="007401F0">
        <w:rPr>
          <w:sz w:val="28"/>
          <w:szCs w:val="28"/>
        </w:rPr>
        <w:t xml:space="preserve">; e ciò </w:t>
      </w:r>
      <w:r w:rsidRPr="0095713B">
        <w:rPr>
          <w:sz w:val="28"/>
          <w:szCs w:val="28"/>
        </w:rPr>
        <w:t>“</w:t>
      </w:r>
      <w:r w:rsidRPr="007401F0">
        <w:rPr>
          <w:i/>
          <w:iCs/>
          <w:sz w:val="28"/>
          <w:szCs w:val="28"/>
        </w:rPr>
        <w:t xml:space="preserve">sia perché, per comune esperienza, bacheche di tal natura racchiudono un numero apprezzabile di persone (senza le quali la bacheca </w:t>
      </w:r>
      <w:proofErr w:type="spellStart"/>
      <w:r w:rsidRPr="007401F0">
        <w:rPr>
          <w:i/>
          <w:iCs/>
          <w:sz w:val="28"/>
          <w:szCs w:val="28"/>
        </w:rPr>
        <w:t>Facebook</w:t>
      </w:r>
      <w:proofErr w:type="spellEnd"/>
      <w:r w:rsidRPr="007401F0">
        <w:rPr>
          <w:i/>
          <w:iCs/>
          <w:sz w:val="28"/>
          <w:szCs w:val="28"/>
        </w:rPr>
        <w:t xml:space="preserve"> non avrebbe senso), sia perché l'utilizzo di </w:t>
      </w:r>
      <w:proofErr w:type="spellStart"/>
      <w:r w:rsidRPr="007401F0">
        <w:rPr>
          <w:i/>
          <w:iCs/>
          <w:sz w:val="28"/>
          <w:szCs w:val="28"/>
        </w:rPr>
        <w:t>Facebook</w:t>
      </w:r>
      <w:proofErr w:type="spellEnd"/>
      <w:r w:rsidRPr="007401F0">
        <w:rPr>
          <w:i/>
          <w:iCs/>
          <w:sz w:val="28"/>
          <w:szCs w:val="28"/>
        </w:rPr>
        <w:t xml:space="preserve"> integra una delle modalità attraverso le quali gruppi di soggetti socializzano le rispettive esperienze di vita, valorizzando in primo luogo il rapporto interpersonale, che, proprio per il mezzo utilizzato, assume il profilo del rapporto interpersonale allargato ad un gruppo indeterminato di aderenti al fine di una costante socializzazione</w:t>
      </w:r>
      <w:r w:rsidRPr="0095713B">
        <w:rPr>
          <w:sz w:val="28"/>
          <w:szCs w:val="28"/>
        </w:rPr>
        <w:t>”</w:t>
      </w:r>
      <w:r w:rsidR="007401F0">
        <w:rPr>
          <w:rStyle w:val="Rimandonotaapidipagina"/>
          <w:sz w:val="28"/>
          <w:szCs w:val="28"/>
        </w:rPr>
        <w:footnoteReference w:id="247"/>
      </w:r>
      <w:r w:rsidR="007401F0">
        <w:rPr>
          <w:sz w:val="28"/>
          <w:szCs w:val="28"/>
        </w:rPr>
        <w:t>.</w:t>
      </w:r>
    </w:p>
    <w:p w14:paraId="4D7173B3" w14:textId="77777777" w:rsidR="00585C03" w:rsidRDefault="007401F0" w:rsidP="00484B4C">
      <w:pPr>
        <w:pStyle w:val="NormaleWeb"/>
        <w:spacing w:before="0" w:beforeAutospacing="0" w:after="0" w:afterAutospacing="0"/>
        <w:jc w:val="both"/>
        <w:rPr>
          <w:sz w:val="28"/>
          <w:szCs w:val="28"/>
        </w:rPr>
      </w:pPr>
      <w:r>
        <w:rPr>
          <w:sz w:val="28"/>
          <w:szCs w:val="28"/>
        </w:rPr>
        <w:lastRenderedPageBreak/>
        <w:t>Nel caso in cui</w:t>
      </w:r>
      <w:r w:rsidR="0095713B" w:rsidRPr="0095713B">
        <w:rPr>
          <w:sz w:val="28"/>
          <w:szCs w:val="28"/>
        </w:rPr>
        <w:t xml:space="preserve"> la portata diffamatoria del messaggio non emerga direttamente, ma </w:t>
      </w:r>
      <w:r>
        <w:rPr>
          <w:sz w:val="28"/>
          <w:szCs w:val="28"/>
        </w:rPr>
        <w:t>derivi</w:t>
      </w:r>
      <w:r w:rsidR="0095713B" w:rsidRPr="0095713B">
        <w:rPr>
          <w:sz w:val="28"/>
          <w:szCs w:val="28"/>
        </w:rPr>
        <w:t xml:space="preserve"> da una discussione </w:t>
      </w:r>
      <w:r w:rsidR="003C41D2">
        <w:rPr>
          <w:sz w:val="28"/>
          <w:szCs w:val="28"/>
        </w:rPr>
        <w:t>nei</w:t>
      </w:r>
      <w:r w:rsidR="0095713B" w:rsidRPr="0095713B">
        <w:rPr>
          <w:sz w:val="28"/>
          <w:szCs w:val="28"/>
        </w:rPr>
        <w:t xml:space="preserve"> comment</w:t>
      </w:r>
      <w:r w:rsidR="003C41D2">
        <w:rPr>
          <w:sz w:val="28"/>
          <w:szCs w:val="28"/>
        </w:rPr>
        <w:t>i</w:t>
      </w:r>
      <w:r w:rsidR="0095713B" w:rsidRPr="0095713B">
        <w:rPr>
          <w:sz w:val="28"/>
          <w:szCs w:val="28"/>
        </w:rPr>
        <w:t xml:space="preserve"> ad un post all’interno di un gruppo </w:t>
      </w:r>
      <w:proofErr w:type="spellStart"/>
      <w:r w:rsidR="0095713B" w:rsidRPr="0095713B">
        <w:rPr>
          <w:sz w:val="28"/>
          <w:szCs w:val="28"/>
        </w:rPr>
        <w:t>Facebook</w:t>
      </w:r>
      <w:proofErr w:type="spellEnd"/>
      <w:r w:rsidR="0095713B" w:rsidRPr="0095713B">
        <w:rPr>
          <w:sz w:val="28"/>
          <w:szCs w:val="28"/>
        </w:rPr>
        <w:t xml:space="preserve">, la Corte ha optato per un bilanciamento con il diritto di libera espressione del pensiero, escludendo la fattispecie nel caso </w:t>
      </w:r>
      <w:r w:rsidR="003C41D2">
        <w:rPr>
          <w:sz w:val="28"/>
          <w:szCs w:val="28"/>
        </w:rPr>
        <w:t xml:space="preserve">dell’azione </w:t>
      </w:r>
      <w:r w:rsidR="0095713B" w:rsidRPr="0095713B">
        <w:rPr>
          <w:sz w:val="28"/>
          <w:szCs w:val="28"/>
        </w:rPr>
        <w:t>di chi abbia inteso condividere una critica nei confronti della persona offesa, ma nel farlo sia rimasto entro i limiti dell’esercizio del proprio diritto di manifestazione del pensiero, senza condividerne le forme illecite usate da altri.</w:t>
      </w:r>
      <w:r w:rsidR="003C41D2">
        <w:rPr>
          <w:sz w:val="28"/>
          <w:szCs w:val="28"/>
        </w:rPr>
        <w:t xml:space="preserve"> </w:t>
      </w:r>
    </w:p>
    <w:p w14:paraId="2737048A" w14:textId="11BAFC65" w:rsidR="0095713B" w:rsidRPr="0095713B" w:rsidRDefault="003C41D2" w:rsidP="00484B4C">
      <w:pPr>
        <w:pStyle w:val="NormaleWeb"/>
        <w:spacing w:before="0" w:beforeAutospacing="0" w:after="0" w:afterAutospacing="0"/>
        <w:jc w:val="both"/>
        <w:rPr>
          <w:sz w:val="28"/>
          <w:szCs w:val="28"/>
        </w:rPr>
      </w:pPr>
      <w:r>
        <w:rPr>
          <w:sz w:val="28"/>
          <w:szCs w:val="28"/>
        </w:rPr>
        <w:t>La</w:t>
      </w:r>
      <w:r w:rsidR="0095713B" w:rsidRPr="0095713B">
        <w:rPr>
          <w:sz w:val="28"/>
          <w:szCs w:val="28"/>
        </w:rPr>
        <w:t xml:space="preserve"> Corte</w:t>
      </w:r>
      <w:r>
        <w:rPr>
          <w:sz w:val="28"/>
          <w:szCs w:val="28"/>
        </w:rPr>
        <w:t xml:space="preserve"> ha stabilito, infatti:</w:t>
      </w:r>
      <w:r w:rsidR="0095713B" w:rsidRPr="0095713B">
        <w:rPr>
          <w:sz w:val="28"/>
          <w:szCs w:val="28"/>
        </w:rPr>
        <w:t xml:space="preserve"> “</w:t>
      </w:r>
      <w:r w:rsidR="0095713B" w:rsidRPr="003C41D2">
        <w:rPr>
          <w:i/>
          <w:iCs/>
          <w:sz w:val="28"/>
          <w:szCs w:val="28"/>
        </w:rPr>
        <w:t>che l</w:t>
      </w:r>
      <w:r>
        <w:rPr>
          <w:i/>
          <w:iCs/>
          <w:sz w:val="28"/>
          <w:szCs w:val="28"/>
        </w:rPr>
        <w:t>’</w:t>
      </w:r>
      <w:r w:rsidR="0095713B" w:rsidRPr="003C41D2">
        <w:rPr>
          <w:i/>
          <w:iCs/>
          <w:sz w:val="28"/>
          <w:szCs w:val="28"/>
        </w:rPr>
        <w:t>imputato condividesse o meno i presunti insulti che altri avrebbero postato è infatti circostanza irrilevante nella misura in cui la sua condotta materiale non evidenzia oggettivamente alcuna adesione ai medesimi, rilanciandoli direttamente o anche solo indirettamente. […] La condotta contestata potrebbe assumere in astratto rilevanza penale soltanto qualora potesse affermarsi che con il proprio messaggio l</w:t>
      </w:r>
      <w:r>
        <w:rPr>
          <w:i/>
          <w:iCs/>
          <w:sz w:val="28"/>
          <w:szCs w:val="28"/>
        </w:rPr>
        <w:t>’</w:t>
      </w:r>
      <w:r w:rsidR="0095713B" w:rsidRPr="003C41D2">
        <w:rPr>
          <w:i/>
          <w:iCs/>
          <w:sz w:val="28"/>
          <w:szCs w:val="28"/>
        </w:rPr>
        <w:t>imputato aveva consapevolmente rafforzato la volontà dei</w:t>
      </w:r>
      <w:r w:rsidR="00BA3406" w:rsidRPr="003C41D2">
        <w:rPr>
          <w:i/>
          <w:iCs/>
          <w:sz w:val="28"/>
          <w:szCs w:val="28"/>
        </w:rPr>
        <w:t xml:space="preserve"> </w:t>
      </w:r>
      <w:r w:rsidR="0095713B" w:rsidRPr="003C41D2">
        <w:rPr>
          <w:i/>
          <w:iCs/>
          <w:sz w:val="28"/>
          <w:szCs w:val="28"/>
        </w:rPr>
        <w:t>suoi interlocutori di diffamare</w:t>
      </w:r>
      <w:r w:rsidR="0095713B" w:rsidRPr="0095713B">
        <w:rPr>
          <w:sz w:val="28"/>
          <w:szCs w:val="28"/>
        </w:rPr>
        <w:t>”</w:t>
      </w:r>
      <w:r w:rsidR="00BA3406">
        <w:rPr>
          <w:rStyle w:val="Rimandonotaapidipagina"/>
          <w:sz w:val="28"/>
          <w:szCs w:val="28"/>
        </w:rPr>
        <w:footnoteReference w:id="248"/>
      </w:r>
      <w:r w:rsidR="0095713B" w:rsidRPr="0095713B">
        <w:rPr>
          <w:sz w:val="28"/>
          <w:szCs w:val="28"/>
        </w:rPr>
        <w:t>.</w:t>
      </w:r>
    </w:p>
    <w:p w14:paraId="1036B6D1" w14:textId="77777777" w:rsidR="00C85E9D" w:rsidRDefault="00CE2C1E" w:rsidP="00484B4C">
      <w:pPr>
        <w:pStyle w:val="NormaleWeb"/>
        <w:spacing w:before="0" w:beforeAutospacing="0" w:after="0" w:afterAutospacing="0"/>
        <w:jc w:val="both"/>
        <w:rPr>
          <w:sz w:val="28"/>
          <w:szCs w:val="28"/>
        </w:rPr>
      </w:pPr>
      <w:r>
        <w:rPr>
          <w:sz w:val="28"/>
          <w:szCs w:val="28"/>
        </w:rPr>
        <w:t>Dunque, i giudici di legittimità</w:t>
      </w:r>
      <w:r w:rsidR="0095713B" w:rsidRPr="0095713B">
        <w:rPr>
          <w:sz w:val="28"/>
          <w:szCs w:val="28"/>
        </w:rPr>
        <w:t xml:space="preserve"> esclud</w:t>
      </w:r>
      <w:r>
        <w:rPr>
          <w:sz w:val="28"/>
          <w:szCs w:val="28"/>
        </w:rPr>
        <w:t>ono</w:t>
      </w:r>
      <w:r w:rsidR="0095713B" w:rsidRPr="0095713B">
        <w:rPr>
          <w:sz w:val="28"/>
          <w:szCs w:val="28"/>
        </w:rPr>
        <w:t xml:space="preserve"> </w:t>
      </w:r>
      <w:r>
        <w:rPr>
          <w:sz w:val="28"/>
          <w:szCs w:val="28"/>
        </w:rPr>
        <w:t>che sia integrato il reato di</w:t>
      </w:r>
      <w:r w:rsidR="0095713B" w:rsidRPr="0095713B">
        <w:rPr>
          <w:sz w:val="28"/>
          <w:szCs w:val="28"/>
        </w:rPr>
        <w:t xml:space="preserve"> diffamazione nel caso in cui </w:t>
      </w:r>
      <w:r>
        <w:rPr>
          <w:sz w:val="28"/>
          <w:szCs w:val="28"/>
        </w:rPr>
        <w:t xml:space="preserve">il discorso o l’espressione configurino </w:t>
      </w:r>
      <w:r w:rsidR="0095713B" w:rsidRPr="0095713B">
        <w:rPr>
          <w:sz w:val="28"/>
          <w:szCs w:val="28"/>
        </w:rPr>
        <w:t xml:space="preserve">una </w:t>
      </w:r>
      <w:r>
        <w:rPr>
          <w:sz w:val="28"/>
          <w:szCs w:val="28"/>
        </w:rPr>
        <w:t xml:space="preserve">semplice </w:t>
      </w:r>
      <w:r w:rsidR="0095713B" w:rsidRPr="0095713B">
        <w:rPr>
          <w:sz w:val="28"/>
          <w:szCs w:val="28"/>
        </w:rPr>
        <w:t xml:space="preserve">condivisione </w:t>
      </w:r>
      <w:r>
        <w:rPr>
          <w:sz w:val="28"/>
          <w:szCs w:val="28"/>
        </w:rPr>
        <w:t xml:space="preserve">di un </w:t>
      </w:r>
      <w:r w:rsidRPr="00467D6D">
        <w:rPr>
          <w:i/>
          <w:iCs/>
          <w:sz w:val="28"/>
          <w:szCs w:val="28"/>
        </w:rPr>
        <w:t>post</w:t>
      </w:r>
      <w:r>
        <w:rPr>
          <w:sz w:val="28"/>
          <w:szCs w:val="28"/>
        </w:rPr>
        <w:t xml:space="preserve"> </w:t>
      </w:r>
      <w:r w:rsidR="0095713B" w:rsidRPr="0095713B">
        <w:rPr>
          <w:sz w:val="28"/>
          <w:szCs w:val="28"/>
        </w:rPr>
        <w:t xml:space="preserve">nel suo complesso, </w:t>
      </w:r>
      <w:r>
        <w:rPr>
          <w:sz w:val="28"/>
          <w:szCs w:val="28"/>
        </w:rPr>
        <w:t xml:space="preserve">e </w:t>
      </w:r>
      <w:r w:rsidR="0095713B" w:rsidRPr="0095713B">
        <w:rPr>
          <w:sz w:val="28"/>
          <w:szCs w:val="28"/>
        </w:rPr>
        <w:t>qualora il commento non abbia carattere esplicitamente diffamatorio.</w:t>
      </w:r>
    </w:p>
    <w:p w14:paraId="6B906510" w14:textId="1BA47C06" w:rsidR="00C85E9D" w:rsidRDefault="0095713B" w:rsidP="00484B4C">
      <w:pPr>
        <w:pStyle w:val="NormaleWeb"/>
        <w:spacing w:before="0" w:beforeAutospacing="0" w:after="0" w:afterAutospacing="0"/>
        <w:jc w:val="both"/>
        <w:rPr>
          <w:sz w:val="28"/>
          <w:szCs w:val="28"/>
        </w:rPr>
      </w:pPr>
      <w:r w:rsidRPr="0095713B">
        <w:rPr>
          <w:sz w:val="28"/>
          <w:szCs w:val="28"/>
        </w:rPr>
        <w:t xml:space="preserve">Alla luce di quanto </w:t>
      </w:r>
      <w:r w:rsidR="00CE2C1E">
        <w:rPr>
          <w:sz w:val="28"/>
          <w:szCs w:val="28"/>
        </w:rPr>
        <w:t>detto,</w:t>
      </w:r>
      <w:r w:rsidRPr="0095713B">
        <w:rPr>
          <w:sz w:val="28"/>
          <w:szCs w:val="28"/>
        </w:rPr>
        <w:t xml:space="preserve"> non dovrebbe configurarsi la fattispecie in questione qualora il contenuto diffamatorio venga semplicemente condiviso o si esprima un gradimento allo stesso, attraverso i c.d. </w:t>
      </w:r>
      <w:proofErr w:type="spellStart"/>
      <w:r w:rsidRPr="00CE2C1E">
        <w:rPr>
          <w:i/>
          <w:iCs/>
          <w:sz w:val="28"/>
          <w:szCs w:val="28"/>
        </w:rPr>
        <w:t>like</w:t>
      </w:r>
      <w:r w:rsidR="00467D6D">
        <w:rPr>
          <w:i/>
          <w:iCs/>
          <w:sz w:val="28"/>
          <w:szCs w:val="28"/>
        </w:rPr>
        <w:t>s</w:t>
      </w:r>
      <w:proofErr w:type="spellEnd"/>
      <w:r w:rsidR="00CE2C1E">
        <w:rPr>
          <w:sz w:val="28"/>
          <w:szCs w:val="28"/>
        </w:rPr>
        <w:t xml:space="preserve"> ai </w:t>
      </w:r>
      <w:r w:rsidR="00CE2C1E" w:rsidRPr="00467D6D">
        <w:rPr>
          <w:i/>
          <w:iCs/>
          <w:sz w:val="28"/>
          <w:szCs w:val="28"/>
        </w:rPr>
        <w:t>post</w:t>
      </w:r>
      <w:r w:rsidR="00CE2C1E">
        <w:rPr>
          <w:sz w:val="28"/>
          <w:szCs w:val="28"/>
        </w:rPr>
        <w:t xml:space="preserve"> o ai commenti.</w:t>
      </w:r>
      <w:r w:rsidRPr="0095713B">
        <w:rPr>
          <w:sz w:val="28"/>
          <w:szCs w:val="28"/>
        </w:rPr>
        <w:t xml:space="preserve"> </w:t>
      </w:r>
    </w:p>
    <w:p w14:paraId="49FAAD3E" w14:textId="042DC94E" w:rsidR="00E3161A" w:rsidRDefault="00CE2C1E" w:rsidP="00484B4C">
      <w:pPr>
        <w:pStyle w:val="NormaleWeb"/>
        <w:spacing w:before="0" w:beforeAutospacing="0" w:after="0" w:afterAutospacing="0"/>
        <w:jc w:val="both"/>
        <w:rPr>
          <w:sz w:val="28"/>
          <w:szCs w:val="28"/>
        </w:rPr>
      </w:pPr>
      <w:r>
        <w:rPr>
          <w:sz w:val="28"/>
          <w:szCs w:val="28"/>
        </w:rPr>
        <w:t xml:space="preserve">Questo perché, pur </w:t>
      </w:r>
      <w:r w:rsidR="0095713B" w:rsidRPr="0095713B">
        <w:rPr>
          <w:sz w:val="28"/>
          <w:szCs w:val="28"/>
        </w:rPr>
        <w:t xml:space="preserve">manifestando </w:t>
      </w:r>
      <w:r>
        <w:rPr>
          <w:sz w:val="28"/>
          <w:szCs w:val="28"/>
        </w:rPr>
        <w:t>la persona un’</w:t>
      </w:r>
      <w:r w:rsidR="0095713B" w:rsidRPr="0095713B">
        <w:rPr>
          <w:sz w:val="28"/>
          <w:szCs w:val="28"/>
        </w:rPr>
        <w:t>adesione al contenuto offensivo</w:t>
      </w:r>
      <w:r>
        <w:rPr>
          <w:sz w:val="28"/>
          <w:szCs w:val="28"/>
        </w:rPr>
        <w:t>,</w:t>
      </w:r>
      <w:r w:rsidR="0095713B" w:rsidRPr="0095713B">
        <w:rPr>
          <w:sz w:val="28"/>
          <w:szCs w:val="28"/>
        </w:rPr>
        <w:t xml:space="preserve"> non ne si condividono le modalità </w:t>
      </w:r>
      <w:r w:rsidR="00467D6D" w:rsidRPr="0095713B">
        <w:rPr>
          <w:sz w:val="28"/>
          <w:szCs w:val="28"/>
        </w:rPr>
        <w:t>illecite</w:t>
      </w:r>
      <w:r w:rsidR="00467D6D">
        <w:rPr>
          <w:sz w:val="28"/>
          <w:szCs w:val="28"/>
        </w:rPr>
        <w:t>; dunque,</w:t>
      </w:r>
      <w:r w:rsidR="0095713B" w:rsidRPr="0095713B">
        <w:rPr>
          <w:sz w:val="28"/>
          <w:szCs w:val="28"/>
        </w:rPr>
        <w:t xml:space="preserve"> la condotta non sarebbe manifestamente diffamatoria</w:t>
      </w:r>
      <w:r w:rsidR="0051336C">
        <w:rPr>
          <w:rStyle w:val="Rimandonotaapidipagina"/>
          <w:sz w:val="28"/>
          <w:szCs w:val="28"/>
        </w:rPr>
        <w:footnoteReference w:id="249"/>
      </w:r>
      <w:r w:rsidR="0095713B" w:rsidRPr="0095713B">
        <w:rPr>
          <w:sz w:val="28"/>
          <w:szCs w:val="28"/>
        </w:rPr>
        <w:t>.</w:t>
      </w:r>
    </w:p>
    <w:p w14:paraId="5A7F38ED" w14:textId="4D6B53A8" w:rsidR="0078151E" w:rsidRPr="00091B42" w:rsidRDefault="00E3161A" w:rsidP="00E3161A">
      <w:pPr>
        <w:rPr>
          <w:rFonts w:ascii="Times New Roman" w:hAnsi="Times New Roman" w:cs="Times New Roman"/>
          <w:sz w:val="28"/>
          <w:szCs w:val="28"/>
        </w:rPr>
      </w:pPr>
      <w:r>
        <w:rPr>
          <w:sz w:val="28"/>
          <w:szCs w:val="28"/>
        </w:rPr>
        <w:br w:type="page"/>
      </w:r>
      <w:r w:rsidR="0078151E" w:rsidRPr="00091B42">
        <w:rPr>
          <w:rFonts w:ascii="Times New Roman" w:hAnsi="Times New Roman" w:cs="Times New Roman"/>
          <w:b/>
          <w:bCs/>
          <w:sz w:val="32"/>
          <w:szCs w:val="32"/>
        </w:rPr>
        <w:lastRenderedPageBreak/>
        <w:t>Capitolo</w:t>
      </w:r>
      <w:r w:rsidR="00130E61" w:rsidRPr="00130E61">
        <w:rPr>
          <w:rFonts w:ascii="Times New Roman" w:hAnsi="Times New Roman" w:cs="Times New Roman"/>
          <w:b/>
          <w:bCs/>
          <w:sz w:val="32"/>
          <w:szCs w:val="32"/>
        </w:rPr>
        <w:t xml:space="preserve"> </w:t>
      </w:r>
      <w:r w:rsidR="00130E61" w:rsidRPr="00091B42">
        <w:rPr>
          <w:rFonts w:ascii="Times New Roman" w:hAnsi="Times New Roman" w:cs="Times New Roman"/>
          <w:b/>
          <w:bCs/>
          <w:sz w:val="32"/>
          <w:szCs w:val="32"/>
        </w:rPr>
        <w:t>X</w:t>
      </w:r>
      <w:r w:rsidR="00130E61">
        <w:rPr>
          <w:rFonts w:ascii="Times New Roman" w:hAnsi="Times New Roman" w:cs="Times New Roman"/>
          <w:b/>
          <w:bCs/>
          <w:sz w:val="32"/>
          <w:szCs w:val="32"/>
        </w:rPr>
        <w:t>VI</w:t>
      </w:r>
    </w:p>
    <w:p w14:paraId="497B9D95" w14:textId="5B3E9FC9" w:rsidR="0095713B" w:rsidRPr="0078151E" w:rsidRDefault="0095713B" w:rsidP="0095713B">
      <w:pPr>
        <w:pStyle w:val="NormaleWeb"/>
        <w:jc w:val="both"/>
        <w:rPr>
          <w:b/>
          <w:bCs/>
          <w:sz w:val="32"/>
          <w:szCs w:val="32"/>
        </w:rPr>
      </w:pPr>
      <w:r w:rsidRPr="0078151E">
        <w:rPr>
          <w:b/>
          <w:bCs/>
          <w:sz w:val="32"/>
          <w:szCs w:val="32"/>
        </w:rPr>
        <w:t xml:space="preserve">La diffamazione tramite chat privata o </w:t>
      </w:r>
      <w:r w:rsidRPr="00091B42">
        <w:rPr>
          <w:b/>
          <w:bCs/>
          <w:i/>
          <w:iCs/>
          <w:sz w:val="32"/>
          <w:szCs w:val="32"/>
        </w:rPr>
        <w:t>mailing list</w:t>
      </w:r>
    </w:p>
    <w:p w14:paraId="486481C2" w14:textId="1CCF614D" w:rsidR="0095713B" w:rsidRPr="0095713B" w:rsidRDefault="00CE2C1E" w:rsidP="0096644C">
      <w:pPr>
        <w:pStyle w:val="NormaleWeb"/>
        <w:spacing w:before="0" w:beforeAutospacing="0" w:after="0" w:afterAutospacing="0"/>
        <w:jc w:val="both"/>
        <w:rPr>
          <w:sz w:val="28"/>
          <w:szCs w:val="28"/>
        </w:rPr>
      </w:pPr>
      <w:r w:rsidRPr="00AE153C">
        <w:rPr>
          <w:i/>
          <w:iCs/>
          <w:sz w:val="28"/>
          <w:szCs w:val="28"/>
        </w:rPr>
        <w:t xml:space="preserve">Quid </w:t>
      </w:r>
      <w:proofErr w:type="spellStart"/>
      <w:r w:rsidRPr="00AE153C">
        <w:rPr>
          <w:i/>
          <w:iCs/>
          <w:sz w:val="28"/>
          <w:szCs w:val="28"/>
        </w:rPr>
        <w:t>iuris</w:t>
      </w:r>
      <w:proofErr w:type="spellEnd"/>
      <w:r>
        <w:rPr>
          <w:sz w:val="28"/>
          <w:szCs w:val="28"/>
        </w:rPr>
        <w:t xml:space="preserve"> </w:t>
      </w:r>
      <w:r w:rsidR="0095713B" w:rsidRPr="0095713B">
        <w:rPr>
          <w:sz w:val="28"/>
          <w:szCs w:val="28"/>
        </w:rPr>
        <w:t xml:space="preserve">nel caso di un messaggio lesivo dell’onore e della reputazione di un soggetto, trasmesso tramite chat di gruppo o </w:t>
      </w:r>
      <w:r w:rsidR="0095713B" w:rsidRPr="00AE153C">
        <w:rPr>
          <w:i/>
          <w:iCs/>
          <w:sz w:val="28"/>
          <w:szCs w:val="28"/>
        </w:rPr>
        <w:t>mailing list</w:t>
      </w:r>
      <w:r w:rsidR="00AE153C">
        <w:rPr>
          <w:sz w:val="28"/>
          <w:szCs w:val="28"/>
        </w:rPr>
        <w:t xml:space="preserve">, </w:t>
      </w:r>
      <w:r w:rsidR="0095713B" w:rsidRPr="0095713B">
        <w:rPr>
          <w:sz w:val="28"/>
          <w:szCs w:val="28"/>
        </w:rPr>
        <w:t>ovvero posta elettronica indirizzata a più destinatari in cui partecipava la persona offesa</w:t>
      </w:r>
      <w:r w:rsidR="00AE153C">
        <w:rPr>
          <w:sz w:val="28"/>
          <w:szCs w:val="28"/>
        </w:rPr>
        <w:t>? Si può configurare il reato di diffamazione?</w:t>
      </w:r>
    </w:p>
    <w:p w14:paraId="50D53829" w14:textId="7B6DB289" w:rsidR="00AE153C" w:rsidRDefault="00AE153C" w:rsidP="0096644C">
      <w:pPr>
        <w:pStyle w:val="NormaleWeb"/>
        <w:spacing w:before="0" w:beforeAutospacing="0" w:after="0" w:afterAutospacing="0"/>
        <w:jc w:val="both"/>
        <w:rPr>
          <w:sz w:val="28"/>
          <w:szCs w:val="28"/>
        </w:rPr>
      </w:pPr>
      <w:r>
        <w:rPr>
          <w:sz w:val="28"/>
          <w:szCs w:val="28"/>
        </w:rPr>
        <w:t>Partiamo dal presupposto la Cassazione</w:t>
      </w:r>
      <w:r>
        <w:rPr>
          <w:rStyle w:val="Rimandonotaapidipagina"/>
          <w:sz w:val="28"/>
          <w:szCs w:val="28"/>
        </w:rPr>
        <w:footnoteReference w:id="250"/>
      </w:r>
      <w:r>
        <w:rPr>
          <w:sz w:val="28"/>
          <w:szCs w:val="28"/>
        </w:rPr>
        <w:t xml:space="preserve"> ha ritenuto che </w:t>
      </w:r>
      <w:r w:rsidR="0095713B" w:rsidRPr="0095713B">
        <w:rPr>
          <w:sz w:val="28"/>
          <w:szCs w:val="28"/>
        </w:rPr>
        <w:t xml:space="preserve">la </w:t>
      </w:r>
      <w:r w:rsidR="0095713B" w:rsidRPr="00AE153C">
        <w:rPr>
          <w:i/>
          <w:iCs/>
          <w:sz w:val="28"/>
          <w:szCs w:val="28"/>
        </w:rPr>
        <w:t>mailing list</w:t>
      </w:r>
      <w:r>
        <w:rPr>
          <w:sz w:val="28"/>
          <w:szCs w:val="28"/>
        </w:rPr>
        <w:t xml:space="preserve"> rientri </w:t>
      </w:r>
      <w:r w:rsidR="0095713B" w:rsidRPr="0095713B">
        <w:rPr>
          <w:sz w:val="28"/>
          <w:szCs w:val="28"/>
        </w:rPr>
        <w:t>nell’alveo “</w:t>
      </w:r>
      <w:r w:rsidR="0095713B" w:rsidRPr="00AE153C">
        <w:rPr>
          <w:i/>
          <w:iCs/>
          <w:sz w:val="28"/>
          <w:szCs w:val="28"/>
        </w:rPr>
        <w:t>dell’altro mezzo di pubblicità</w:t>
      </w:r>
      <w:r w:rsidR="0095713B" w:rsidRPr="0095713B">
        <w:rPr>
          <w:sz w:val="28"/>
          <w:szCs w:val="28"/>
        </w:rPr>
        <w:t xml:space="preserve">” di cui </w:t>
      </w:r>
      <w:r>
        <w:rPr>
          <w:sz w:val="28"/>
          <w:szCs w:val="28"/>
        </w:rPr>
        <w:t>si è detto</w:t>
      </w:r>
      <w:r w:rsidR="0095713B" w:rsidRPr="0095713B">
        <w:rPr>
          <w:sz w:val="28"/>
          <w:szCs w:val="28"/>
        </w:rPr>
        <w:t xml:space="preserve">, poiché </w:t>
      </w:r>
      <w:r>
        <w:rPr>
          <w:sz w:val="28"/>
          <w:szCs w:val="28"/>
        </w:rPr>
        <w:t>configura</w:t>
      </w:r>
      <w:r w:rsidR="0095713B" w:rsidRPr="0095713B">
        <w:rPr>
          <w:sz w:val="28"/>
          <w:szCs w:val="28"/>
        </w:rPr>
        <w:t xml:space="preserve"> un mezzo di comunicazione in cui si condividono informazioni utili, ad un numero anche ampio di destinatari, circa le quali è possibile esprimere condivisione, commentare e discutere</w:t>
      </w:r>
      <w:r>
        <w:rPr>
          <w:sz w:val="28"/>
          <w:szCs w:val="28"/>
        </w:rPr>
        <w:t xml:space="preserve">. Eppure, la questione principale sollevata dalla </w:t>
      </w:r>
      <w:r w:rsidRPr="00AE153C">
        <w:rPr>
          <w:i/>
          <w:iCs/>
          <w:sz w:val="28"/>
          <w:szCs w:val="28"/>
        </w:rPr>
        <w:t>mailing list</w:t>
      </w:r>
      <w:r>
        <w:rPr>
          <w:sz w:val="28"/>
          <w:szCs w:val="28"/>
        </w:rPr>
        <w:t xml:space="preserve"> è quella relativa alla </w:t>
      </w:r>
      <w:r w:rsidRPr="0095713B">
        <w:rPr>
          <w:sz w:val="28"/>
          <w:szCs w:val="28"/>
        </w:rPr>
        <w:t xml:space="preserve">configurabilità </w:t>
      </w:r>
      <w:r>
        <w:rPr>
          <w:sz w:val="28"/>
          <w:szCs w:val="28"/>
        </w:rPr>
        <w:t xml:space="preserve">stessa </w:t>
      </w:r>
      <w:r w:rsidRPr="0095713B">
        <w:rPr>
          <w:sz w:val="28"/>
          <w:szCs w:val="28"/>
        </w:rPr>
        <w:t xml:space="preserve">del reato </w:t>
      </w:r>
      <w:r>
        <w:rPr>
          <w:sz w:val="28"/>
          <w:szCs w:val="28"/>
        </w:rPr>
        <w:t>di diffamazione,</w:t>
      </w:r>
      <w:r w:rsidRPr="0095713B">
        <w:rPr>
          <w:sz w:val="28"/>
          <w:szCs w:val="28"/>
        </w:rPr>
        <w:t xml:space="preserve"> data la partecipazione del soggetto </w:t>
      </w:r>
      <w:r>
        <w:rPr>
          <w:sz w:val="28"/>
          <w:szCs w:val="28"/>
        </w:rPr>
        <w:t xml:space="preserve">offeso </w:t>
      </w:r>
      <w:r w:rsidRPr="0095713B">
        <w:rPr>
          <w:sz w:val="28"/>
          <w:szCs w:val="28"/>
        </w:rPr>
        <w:t>alla conversazione</w:t>
      </w:r>
      <w:r>
        <w:rPr>
          <w:sz w:val="28"/>
          <w:szCs w:val="28"/>
        </w:rPr>
        <w:t xml:space="preserve"> diffamante.</w:t>
      </w:r>
    </w:p>
    <w:p w14:paraId="78F57774" w14:textId="5138A019" w:rsidR="0095713B" w:rsidRPr="0095713B" w:rsidRDefault="00806478" w:rsidP="0096644C">
      <w:pPr>
        <w:pStyle w:val="NormaleWeb"/>
        <w:spacing w:before="0" w:beforeAutospacing="0" w:after="0" w:afterAutospacing="0"/>
        <w:jc w:val="both"/>
        <w:rPr>
          <w:sz w:val="28"/>
          <w:szCs w:val="28"/>
        </w:rPr>
      </w:pPr>
      <w:r>
        <w:rPr>
          <w:sz w:val="28"/>
          <w:szCs w:val="28"/>
        </w:rPr>
        <w:t>Di recente, n</w:t>
      </w:r>
      <w:r w:rsidR="0095713B" w:rsidRPr="0095713B">
        <w:rPr>
          <w:sz w:val="28"/>
          <w:szCs w:val="28"/>
        </w:rPr>
        <w:t xml:space="preserve">ell’Aprile </w:t>
      </w:r>
      <w:r w:rsidR="00AE153C">
        <w:rPr>
          <w:sz w:val="28"/>
          <w:szCs w:val="28"/>
        </w:rPr>
        <w:t xml:space="preserve">del </w:t>
      </w:r>
      <w:r w:rsidR="0095713B" w:rsidRPr="0095713B">
        <w:rPr>
          <w:sz w:val="28"/>
          <w:szCs w:val="28"/>
        </w:rPr>
        <w:t>2021</w:t>
      </w:r>
      <w:r w:rsidR="00467D6D">
        <w:rPr>
          <w:sz w:val="28"/>
          <w:szCs w:val="28"/>
        </w:rPr>
        <w:t>,</w:t>
      </w:r>
      <w:r w:rsidR="0095713B" w:rsidRPr="0095713B">
        <w:rPr>
          <w:sz w:val="28"/>
          <w:szCs w:val="28"/>
        </w:rPr>
        <w:t xml:space="preserve"> </w:t>
      </w:r>
      <w:r w:rsidR="00AE153C" w:rsidRPr="0095713B">
        <w:rPr>
          <w:sz w:val="28"/>
          <w:szCs w:val="28"/>
        </w:rPr>
        <w:t xml:space="preserve">la Corte </w:t>
      </w:r>
      <w:r>
        <w:rPr>
          <w:sz w:val="28"/>
          <w:szCs w:val="28"/>
        </w:rPr>
        <w:t xml:space="preserve">di Cassazione </w:t>
      </w:r>
      <w:r w:rsidR="0095713B" w:rsidRPr="0095713B">
        <w:rPr>
          <w:sz w:val="28"/>
          <w:szCs w:val="28"/>
        </w:rPr>
        <w:t xml:space="preserve">è stata investita </w:t>
      </w:r>
      <w:r w:rsidR="00AE153C">
        <w:rPr>
          <w:sz w:val="28"/>
          <w:szCs w:val="28"/>
        </w:rPr>
        <w:t>della questione in un caso in cui i</w:t>
      </w:r>
      <w:r w:rsidR="0095713B" w:rsidRPr="0095713B">
        <w:rPr>
          <w:sz w:val="28"/>
          <w:szCs w:val="28"/>
        </w:rPr>
        <w:t xml:space="preserve">l </w:t>
      </w:r>
      <w:r w:rsidR="00091B42" w:rsidRPr="0095713B">
        <w:rPr>
          <w:sz w:val="28"/>
          <w:szCs w:val="28"/>
        </w:rPr>
        <w:t>ricorrente</w:t>
      </w:r>
      <w:r>
        <w:rPr>
          <w:sz w:val="28"/>
          <w:szCs w:val="28"/>
        </w:rPr>
        <w:t xml:space="preserve"> </w:t>
      </w:r>
      <w:r w:rsidR="0095713B" w:rsidRPr="0095713B">
        <w:rPr>
          <w:sz w:val="28"/>
          <w:szCs w:val="28"/>
        </w:rPr>
        <w:t>lamentava</w:t>
      </w:r>
      <w:r>
        <w:rPr>
          <w:sz w:val="28"/>
          <w:szCs w:val="28"/>
        </w:rPr>
        <w:t xml:space="preserve"> </w:t>
      </w:r>
      <w:r w:rsidR="0095713B" w:rsidRPr="0095713B">
        <w:rPr>
          <w:sz w:val="28"/>
          <w:szCs w:val="28"/>
        </w:rPr>
        <w:t>l</w:t>
      </w:r>
      <w:r>
        <w:rPr>
          <w:sz w:val="28"/>
          <w:szCs w:val="28"/>
        </w:rPr>
        <w:t>’</w:t>
      </w:r>
      <w:r w:rsidR="0095713B" w:rsidRPr="0095713B">
        <w:rPr>
          <w:sz w:val="28"/>
          <w:szCs w:val="28"/>
        </w:rPr>
        <w:t>errata qualificazione del fatto come diffamazione e la configurabilità, al contrario, della fattispecie depenalizzata di cui all’articolo 594 c.p.</w:t>
      </w:r>
      <w:r>
        <w:rPr>
          <w:sz w:val="28"/>
          <w:szCs w:val="28"/>
        </w:rPr>
        <w:t xml:space="preserve"> (ingiuria)</w:t>
      </w:r>
      <w:r w:rsidR="0095713B" w:rsidRPr="0095713B">
        <w:rPr>
          <w:sz w:val="28"/>
          <w:szCs w:val="28"/>
        </w:rPr>
        <w:t>, poiché la persona offesa avrebbe partecipato “in tempo reale” alla conversazione</w:t>
      </w:r>
      <w:r>
        <w:rPr>
          <w:sz w:val="28"/>
          <w:szCs w:val="28"/>
        </w:rPr>
        <w:t>. I giudici hanno respinto tale obiezione.</w:t>
      </w:r>
    </w:p>
    <w:p w14:paraId="7BF4854A" w14:textId="5DD4D841" w:rsidR="0095713B" w:rsidRPr="0095713B" w:rsidRDefault="00806478" w:rsidP="0096644C">
      <w:pPr>
        <w:pStyle w:val="NormaleWeb"/>
        <w:spacing w:before="0" w:beforeAutospacing="0" w:after="0" w:afterAutospacing="0"/>
        <w:jc w:val="both"/>
        <w:rPr>
          <w:sz w:val="28"/>
          <w:szCs w:val="28"/>
        </w:rPr>
      </w:pPr>
      <w:r>
        <w:rPr>
          <w:sz w:val="28"/>
          <w:szCs w:val="28"/>
        </w:rPr>
        <w:t>Non è facile adattare le</w:t>
      </w:r>
      <w:r w:rsidR="0095713B" w:rsidRPr="0095713B">
        <w:rPr>
          <w:sz w:val="28"/>
          <w:szCs w:val="28"/>
        </w:rPr>
        <w:t xml:space="preserve"> norme al contesto digital</w:t>
      </w:r>
      <w:r>
        <w:rPr>
          <w:sz w:val="28"/>
          <w:szCs w:val="28"/>
        </w:rPr>
        <w:t xml:space="preserve">e: in effetti, è lecito il </w:t>
      </w:r>
      <w:r w:rsidR="0095713B" w:rsidRPr="0095713B">
        <w:rPr>
          <w:sz w:val="28"/>
          <w:szCs w:val="28"/>
        </w:rPr>
        <w:t xml:space="preserve">dubbio circa </w:t>
      </w:r>
      <w:r>
        <w:rPr>
          <w:sz w:val="28"/>
          <w:szCs w:val="28"/>
        </w:rPr>
        <w:t>la</w:t>
      </w:r>
      <w:r w:rsidR="0095713B" w:rsidRPr="0095713B">
        <w:rPr>
          <w:sz w:val="28"/>
          <w:szCs w:val="28"/>
        </w:rPr>
        <w:t xml:space="preserve"> “presenza” della persona</w:t>
      </w:r>
      <w:r>
        <w:rPr>
          <w:sz w:val="28"/>
          <w:szCs w:val="28"/>
        </w:rPr>
        <w:t xml:space="preserve"> offesa come </w:t>
      </w:r>
      <w:r w:rsidR="0095713B" w:rsidRPr="0095713B">
        <w:rPr>
          <w:sz w:val="28"/>
          <w:szCs w:val="28"/>
        </w:rPr>
        <w:t xml:space="preserve">circostanza che renderebbe applicabile </w:t>
      </w:r>
      <w:r>
        <w:rPr>
          <w:sz w:val="28"/>
          <w:szCs w:val="28"/>
        </w:rPr>
        <w:t xml:space="preserve">l’illecito depenalizzato dell’ingiuria, al massimo configurabile come </w:t>
      </w:r>
      <w:r w:rsidR="0095713B" w:rsidRPr="0095713B">
        <w:rPr>
          <w:sz w:val="28"/>
          <w:szCs w:val="28"/>
        </w:rPr>
        <w:t>aggravato dalla comunicazione a distanza, ovvero dalla presenza contestuale di altre persone</w:t>
      </w:r>
      <w:r>
        <w:rPr>
          <w:sz w:val="28"/>
          <w:szCs w:val="28"/>
        </w:rPr>
        <w:t>,</w:t>
      </w:r>
      <w:r w:rsidR="0095713B" w:rsidRPr="0095713B">
        <w:rPr>
          <w:sz w:val="28"/>
          <w:szCs w:val="28"/>
        </w:rPr>
        <w:t xml:space="preserve"> come </w:t>
      </w:r>
      <w:r>
        <w:rPr>
          <w:sz w:val="28"/>
          <w:szCs w:val="28"/>
        </w:rPr>
        <w:t xml:space="preserve">attualmente </w:t>
      </w:r>
      <w:r w:rsidR="0095713B" w:rsidRPr="0095713B">
        <w:rPr>
          <w:sz w:val="28"/>
          <w:szCs w:val="28"/>
        </w:rPr>
        <w:t>previsto dai commi 2 e 4 del</w:t>
      </w:r>
      <w:r>
        <w:rPr>
          <w:sz w:val="28"/>
          <w:szCs w:val="28"/>
        </w:rPr>
        <w:t>l’</w:t>
      </w:r>
      <w:r w:rsidR="0095713B" w:rsidRPr="0095713B">
        <w:rPr>
          <w:sz w:val="28"/>
          <w:szCs w:val="28"/>
        </w:rPr>
        <w:t>articolo, abrogato con il D.lgs. n.</w:t>
      </w:r>
      <w:r>
        <w:rPr>
          <w:sz w:val="28"/>
          <w:szCs w:val="28"/>
        </w:rPr>
        <w:t xml:space="preserve"> </w:t>
      </w:r>
      <w:r w:rsidR="0095713B" w:rsidRPr="0095713B">
        <w:rPr>
          <w:sz w:val="28"/>
          <w:szCs w:val="28"/>
        </w:rPr>
        <w:t>7 del 2016.</w:t>
      </w:r>
    </w:p>
    <w:p w14:paraId="776FA933" w14:textId="77777777" w:rsidR="00585C03" w:rsidRDefault="0095713B" w:rsidP="0096644C">
      <w:pPr>
        <w:pStyle w:val="NormaleWeb"/>
        <w:spacing w:before="0" w:beforeAutospacing="0" w:after="0" w:afterAutospacing="0"/>
        <w:jc w:val="both"/>
        <w:rPr>
          <w:sz w:val="28"/>
          <w:szCs w:val="28"/>
        </w:rPr>
      </w:pPr>
      <w:r w:rsidRPr="0095713B">
        <w:rPr>
          <w:sz w:val="28"/>
          <w:szCs w:val="28"/>
        </w:rPr>
        <w:t>Tale norma</w:t>
      </w:r>
      <w:r w:rsidR="00806478">
        <w:rPr>
          <w:sz w:val="28"/>
          <w:szCs w:val="28"/>
        </w:rPr>
        <w:t xml:space="preserve"> </w:t>
      </w:r>
      <w:r w:rsidRPr="0095713B">
        <w:rPr>
          <w:sz w:val="28"/>
          <w:szCs w:val="28"/>
        </w:rPr>
        <w:t xml:space="preserve">consente di operare un discrimine con la diffamazione, che si configura allora, </w:t>
      </w:r>
      <w:r w:rsidR="00806478">
        <w:rPr>
          <w:sz w:val="28"/>
          <w:szCs w:val="28"/>
        </w:rPr>
        <w:t>secondo</w:t>
      </w:r>
      <w:r w:rsidRPr="0095713B">
        <w:rPr>
          <w:sz w:val="28"/>
          <w:szCs w:val="28"/>
        </w:rPr>
        <w:t xml:space="preserve"> la Corte, nel caso dell’offesa “a distanza” della comunicazione lesiva</w:t>
      </w:r>
      <w:r w:rsidR="00806478">
        <w:rPr>
          <w:sz w:val="28"/>
          <w:szCs w:val="28"/>
        </w:rPr>
        <w:t>,</w:t>
      </w:r>
      <w:r w:rsidRPr="0095713B">
        <w:rPr>
          <w:sz w:val="28"/>
          <w:szCs w:val="28"/>
        </w:rPr>
        <w:t xml:space="preserve"> qualora indirizzata anche ad altri soggetti oltre che all’offeso</w:t>
      </w:r>
      <w:r w:rsidR="00806478">
        <w:rPr>
          <w:sz w:val="28"/>
          <w:szCs w:val="28"/>
        </w:rPr>
        <w:t xml:space="preserve"> (</w:t>
      </w:r>
      <w:r w:rsidRPr="0095713B">
        <w:rPr>
          <w:sz w:val="28"/>
          <w:szCs w:val="28"/>
        </w:rPr>
        <w:t xml:space="preserve">fermo restando che </w:t>
      </w:r>
      <w:r w:rsidRPr="0095713B">
        <w:rPr>
          <w:sz w:val="28"/>
          <w:szCs w:val="28"/>
        </w:rPr>
        <w:lastRenderedPageBreak/>
        <w:t>l</w:t>
      </w:r>
      <w:r w:rsidR="00806478">
        <w:rPr>
          <w:sz w:val="28"/>
          <w:szCs w:val="28"/>
        </w:rPr>
        <w:t>’</w:t>
      </w:r>
      <w:r w:rsidRPr="0095713B">
        <w:rPr>
          <w:sz w:val="28"/>
          <w:szCs w:val="28"/>
        </w:rPr>
        <w:t>offesa riguardante un assente comunicata ad almeno due persone</w:t>
      </w:r>
      <w:r w:rsidR="00806478">
        <w:rPr>
          <w:sz w:val="28"/>
          <w:szCs w:val="28"/>
        </w:rPr>
        <w:t xml:space="preserve">, </w:t>
      </w:r>
      <w:r w:rsidRPr="0095713B">
        <w:rPr>
          <w:sz w:val="28"/>
          <w:szCs w:val="28"/>
        </w:rPr>
        <w:t>presenti o distanti, integra sempre la diffamazion</w:t>
      </w:r>
      <w:r w:rsidR="00806478">
        <w:rPr>
          <w:sz w:val="28"/>
          <w:szCs w:val="28"/>
        </w:rPr>
        <w:t>e).</w:t>
      </w:r>
      <w:r w:rsidR="00F62557">
        <w:rPr>
          <w:sz w:val="28"/>
          <w:szCs w:val="28"/>
        </w:rPr>
        <w:t xml:space="preserve"> </w:t>
      </w:r>
    </w:p>
    <w:p w14:paraId="177107E2" w14:textId="2502CC98" w:rsidR="0095713B" w:rsidRPr="0095713B" w:rsidRDefault="0095713B" w:rsidP="0096644C">
      <w:pPr>
        <w:pStyle w:val="NormaleWeb"/>
        <w:spacing w:before="0" w:beforeAutospacing="0" w:after="0" w:afterAutospacing="0"/>
        <w:jc w:val="both"/>
        <w:rPr>
          <w:sz w:val="28"/>
          <w:szCs w:val="28"/>
        </w:rPr>
      </w:pPr>
      <w:r w:rsidRPr="0095713B">
        <w:rPr>
          <w:sz w:val="28"/>
          <w:szCs w:val="28"/>
        </w:rPr>
        <w:t xml:space="preserve">È quindi </w:t>
      </w:r>
      <w:r w:rsidR="00F62557">
        <w:rPr>
          <w:sz w:val="28"/>
          <w:szCs w:val="28"/>
        </w:rPr>
        <w:t xml:space="preserve">nata </w:t>
      </w:r>
      <w:r w:rsidRPr="0095713B">
        <w:rPr>
          <w:sz w:val="28"/>
          <w:szCs w:val="28"/>
        </w:rPr>
        <w:t xml:space="preserve">la necessità di riempire </w:t>
      </w:r>
      <w:r w:rsidR="00F62557">
        <w:rPr>
          <w:sz w:val="28"/>
          <w:szCs w:val="28"/>
        </w:rPr>
        <w:t xml:space="preserve">il </w:t>
      </w:r>
      <w:r w:rsidRPr="0095713B">
        <w:rPr>
          <w:sz w:val="28"/>
          <w:szCs w:val="28"/>
        </w:rPr>
        <w:t xml:space="preserve">significato </w:t>
      </w:r>
      <w:r w:rsidR="00F62557">
        <w:rPr>
          <w:sz w:val="28"/>
          <w:szCs w:val="28"/>
        </w:rPr>
        <w:t>di</w:t>
      </w:r>
      <w:r w:rsidRPr="0095713B">
        <w:rPr>
          <w:sz w:val="28"/>
          <w:szCs w:val="28"/>
        </w:rPr>
        <w:t xml:space="preserve"> “</w:t>
      </w:r>
      <w:r w:rsidRPr="00F62557">
        <w:rPr>
          <w:i/>
          <w:iCs/>
          <w:sz w:val="28"/>
          <w:szCs w:val="28"/>
        </w:rPr>
        <w:t>presenza</w:t>
      </w:r>
      <w:r w:rsidRPr="0095713B">
        <w:rPr>
          <w:sz w:val="28"/>
          <w:szCs w:val="28"/>
        </w:rPr>
        <w:t>”, alla luce d</w:t>
      </w:r>
      <w:r w:rsidR="00F62557">
        <w:rPr>
          <w:sz w:val="28"/>
          <w:szCs w:val="28"/>
        </w:rPr>
        <w:t xml:space="preserve">i </w:t>
      </w:r>
      <w:r w:rsidRPr="0095713B">
        <w:rPr>
          <w:sz w:val="28"/>
          <w:szCs w:val="28"/>
        </w:rPr>
        <w:t xml:space="preserve">mezzi quali </w:t>
      </w:r>
      <w:r w:rsidRPr="00F62557">
        <w:rPr>
          <w:i/>
          <w:iCs/>
          <w:sz w:val="28"/>
          <w:szCs w:val="28"/>
        </w:rPr>
        <w:t>mailing list</w:t>
      </w:r>
      <w:r w:rsidRPr="0095713B">
        <w:rPr>
          <w:sz w:val="28"/>
          <w:szCs w:val="28"/>
        </w:rPr>
        <w:t>, videoconferenze o audio conferenze</w:t>
      </w:r>
      <w:r w:rsidR="00F62557">
        <w:rPr>
          <w:sz w:val="28"/>
          <w:szCs w:val="28"/>
        </w:rPr>
        <w:t xml:space="preserve">. </w:t>
      </w:r>
      <w:r w:rsidRPr="0095713B">
        <w:rPr>
          <w:sz w:val="28"/>
          <w:szCs w:val="28"/>
        </w:rPr>
        <w:t>Negli ultimi due casi</w:t>
      </w:r>
      <w:r w:rsidR="00F62557">
        <w:rPr>
          <w:sz w:val="28"/>
          <w:szCs w:val="28"/>
        </w:rPr>
        <w:t>,</w:t>
      </w:r>
      <w:r w:rsidRPr="0095713B">
        <w:rPr>
          <w:sz w:val="28"/>
          <w:szCs w:val="28"/>
        </w:rPr>
        <w:t xml:space="preserve"> e nelle situazioni equivalenti, in cui cioè ci si trovi alla presenza anche virtuale dell’offeso unitamente ad altri soggetti che possono interagire in audio, video o scrivere istantaneamente</w:t>
      </w:r>
      <w:r w:rsidR="00F62557">
        <w:rPr>
          <w:sz w:val="28"/>
          <w:szCs w:val="28"/>
        </w:rPr>
        <w:t xml:space="preserve"> – </w:t>
      </w:r>
      <w:r w:rsidRPr="0095713B">
        <w:rPr>
          <w:sz w:val="28"/>
          <w:szCs w:val="28"/>
        </w:rPr>
        <w:t>quindi di fatto in una riunione virtuale</w:t>
      </w:r>
      <w:r w:rsidR="00F62557">
        <w:rPr>
          <w:sz w:val="28"/>
          <w:szCs w:val="28"/>
        </w:rPr>
        <w:t xml:space="preserve"> – </w:t>
      </w:r>
      <w:r w:rsidRPr="0095713B">
        <w:rPr>
          <w:sz w:val="28"/>
          <w:szCs w:val="28"/>
        </w:rPr>
        <w:t>si configurerebbe l’ingiuria</w:t>
      </w:r>
      <w:r w:rsidR="00F62557">
        <w:rPr>
          <w:rStyle w:val="Rimandonotaapidipagina"/>
          <w:sz w:val="28"/>
          <w:szCs w:val="28"/>
        </w:rPr>
        <w:footnoteReference w:id="251"/>
      </w:r>
      <w:r w:rsidR="00F62557">
        <w:rPr>
          <w:sz w:val="28"/>
          <w:szCs w:val="28"/>
        </w:rPr>
        <w:t>.</w:t>
      </w:r>
    </w:p>
    <w:p w14:paraId="09D18183" w14:textId="77777777" w:rsidR="006833DE" w:rsidRDefault="00F62557" w:rsidP="0096644C">
      <w:pPr>
        <w:pStyle w:val="NormaleWeb"/>
        <w:spacing w:before="0" w:beforeAutospacing="0" w:after="0" w:afterAutospacing="0"/>
        <w:jc w:val="both"/>
        <w:rPr>
          <w:sz w:val="28"/>
          <w:szCs w:val="28"/>
        </w:rPr>
      </w:pPr>
      <w:r>
        <w:rPr>
          <w:sz w:val="28"/>
          <w:szCs w:val="28"/>
        </w:rPr>
        <w:t xml:space="preserve">Invece, nel caso di </w:t>
      </w:r>
      <w:r w:rsidRPr="00F62557">
        <w:rPr>
          <w:i/>
          <w:iCs/>
          <w:sz w:val="28"/>
          <w:szCs w:val="28"/>
        </w:rPr>
        <w:t>mailing list</w:t>
      </w:r>
      <w:r>
        <w:rPr>
          <w:sz w:val="28"/>
          <w:szCs w:val="28"/>
        </w:rPr>
        <w:t xml:space="preserve">, è difficile – se non impossibile – </w:t>
      </w:r>
      <w:r w:rsidR="0095713B" w:rsidRPr="0095713B">
        <w:rPr>
          <w:sz w:val="28"/>
          <w:szCs w:val="28"/>
        </w:rPr>
        <w:t>parlare di presenza</w:t>
      </w:r>
      <w:r>
        <w:rPr>
          <w:sz w:val="28"/>
          <w:szCs w:val="28"/>
        </w:rPr>
        <w:t xml:space="preserve"> </w:t>
      </w:r>
      <w:r w:rsidR="0095713B" w:rsidRPr="0095713B">
        <w:rPr>
          <w:sz w:val="28"/>
          <w:szCs w:val="28"/>
        </w:rPr>
        <w:t>virtuale, perché le e-mail sono considerate delle lettere in formato elettronico</w:t>
      </w:r>
      <w:r w:rsidR="006833DE">
        <w:rPr>
          <w:sz w:val="28"/>
          <w:szCs w:val="28"/>
        </w:rPr>
        <w:t>,</w:t>
      </w:r>
      <w:r w:rsidR="0095713B" w:rsidRPr="0095713B">
        <w:rPr>
          <w:sz w:val="28"/>
          <w:szCs w:val="28"/>
        </w:rPr>
        <w:t xml:space="preserve"> indirizzate a persone </w:t>
      </w:r>
      <w:r>
        <w:rPr>
          <w:sz w:val="28"/>
          <w:szCs w:val="28"/>
        </w:rPr>
        <w:t xml:space="preserve">che </w:t>
      </w:r>
      <w:r w:rsidR="0095713B" w:rsidRPr="0095713B">
        <w:rPr>
          <w:sz w:val="28"/>
          <w:szCs w:val="28"/>
        </w:rPr>
        <w:t xml:space="preserve">non </w:t>
      </w:r>
      <w:r>
        <w:rPr>
          <w:sz w:val="28"/>
          <w:szCs w:val="28"/>
        </w:rPr>
        <w:t xml:space="preserve">sono </w:t>
      </w:r>
      <w:r w:rsidR="0095713B" w:rsidRPr="0095713B">
        <w:rPr>
          <w:sz w:val="28"/>
          <w:szCs w:val="28"/>
        </w:rPr>
        <w:t>contestualmente presenti</w:t>
      </w:r>
      <w:r w:rsidR="006833DE">
        <w:rPr>
          <w:sz w:val="28"/>
          <w:szCs w:val="28"/>
        </w:rPr>
        <w:t>. P</w:t>
      </w:r>
      <w:r w:rsidR="0095713B" w:rsidRPr="0095713B">
        <w:rPr>
          <w:sz w:val="28"/>
          <w:szCs w:val="28"/>
        </w:rPr>
        <w:t xml:space="preserve">er </w:t>
      </w:r>
      <w:r w:rsidR="006833DE">
        <w:rPr>
          <w:sz w:val="28"/>
          <w:szCs w:val="28"/>
        </w:rPr>
        <w:t>tale ragione,</w:t>
      </w:r>
      <w:r w:rsidR="0095713B" w:rsidRPr="0095713B">
        <w:rPr>
          <w:sz w:val="28"/>
          <w:szCs w:val="28"/>
        </w:rPr>
        <w:t xml:space="preserve"> </w:t>
      </w:r>
      <w:r w:rsidR="006833DE">
        <w:rPr>
          <w:sz w:val="28"/>
          <w:szCs w:val="28"/>
        </w:rPr>
        <w:t>nonostante</w:t>
      </w:r>
      <w:r w:rsidR="0095713B" w:rsidRPr="0095713B">
        <w:rPr>
          <w:sz w:val="28"/>
          <w:szCs w:val="28"/>
        </w:rPr>
        <w:t xml:space="preserve"> il fatto si compi</w:t>
      </w:r>
      <w:r w:rsidR="006833DE">
        <w:rPr>
          <w:sz w:val="28"/>
          <w:szCs w:val="28"/>
        </w:rPr>
        <w:t>a</w:t>
      </w:r>
      <w:r w:rsidR="0095713B" w:rsidRPr="0095713B">
        <w:rPr>
          <w:sz w:val="28"/>
          <w:szCs w:val="28"/>
        </w:rPr>
        <w:t xml:space="preserve"> con un unico gesto, la trasmissione effettiva del messaggio si realizza attraverso una pluralità di atti di cui l’agente ha coscienza e volontà. </w:t>
      </w:r>
    </w:p>
    <w:p w14:paraId="664830F5" w14:textId="7EA922C5" w:rsidR="0095713B" w:rsidRPr="0095713B" w:rsidRDefault="0095713B" w:rsidP="0096644C">
      <w:pPr>
        <w:pStyle w:val="NormaleWeb"/>
        <w:spacing w:before="0" w:beforeAutospacing="0" w:after="0" w:afterAutospacing="0"/>
        <w:jc w:val="both"/>
        <w:rPr>
          <w:sz w:val="28"/>
          <w:szCs w:val="28"/>
        </w:rPr>
      </w:pPr>
      <w:r w:rsidRPr="0095713B">
        <w:rPr>
          <w:sz w:val="28"/>
          <w:szCs w:val="28"/>
        </w:rPr>
        <w:t xml:space="preserve">In </w:t>
      </w:r>
      <w:r w:rsidR="006833DE">
        <w:rPr>
          <w:sz w:val="28"/>
          <w:szCs w:val="28"/>
        </w:rPr>
        <w:t>sostanza</w:t>
      </w:r>
      <w:r w:rsidRPr="0095713B">
        <w:rPr>
          <w:sz w:val="28"/>
          <w:szCs w:val="28"/>
        </w:rPr>
        <w:t>, la Corte</w:t>
      </w:r>
      <w:r w:rsidR="006833DE">
        <w:rPr>
          <w:rStyle w:val="Rimandonotaapidipagina"/>
          <w:sz w:val="28"/>
          <w:szCs w:val="28"/>
        </w:rPr>
        <w:footnoteReference w:id="252"/>
      </w:r>
      <w:r w:rsidR="006833DE">
        <w:rPr>
          <w:sz w:val="28"/>
          <w:szCs w:val="28"/>
        </w:rPr>
        <w:t xml:space="preserve"> considera integrato il reato di</w:t>
      </w:r>
      <w:r w:rsidRPr="0095713B">
        <w:rPr>
          <w:sz w:val="28"/>
          <w:szCs w:val="28"/>
        </w:rPr>
        <w:t xml:space="preserve"> diffamazione nel caso in cui il fatto è compiuto tramite l’invio di e-mail di contenuto offensivo</w:t>
      </w:r>
      <w:r w:rsidR="006833DE">
        <w:rPr>
          <w:sz w:val="28"/>
          <w:szCs w:val="28"/>
        </w:rPr>
        <w:t>,</w:t>
      </w:r>
      <w:r w:rsidRPr="0095713B">
        <w:rPr>
          <w:sz w:val="28"/>
          <w:szCs w:val="28"/>
        </w:rPr>
        <w:t xml:space="preserve"> sebbene tra i destinatari del messaggio vi sia la persona offesa</w:t>
      </w:r>
      <w:r w:rsidR="006833DE">
        <w:rPr>
          <w:sz w:val="28"/>
          <w:szCs w:val="28"/>
        </w:rPr>
        <w:t>.</w:t>
      </w:r>
    </w:p>
    <w:p w14:paraId="7A8B0842" w14:textId="6A1AAADC" w:rsidR="0095713B" w:rsidRDefault="003A6C0E" w:rsidP="0096644C">
      <w:pPr>
        <w:pStyle w:val="NormaleWeb"/>
        <w:spacing w:before="0" w:beforeAutospacing="0" w:after="0" w:afterAutospacing="0"/>
        <w:jc w:val="both"/>
        <w:rPr>
          <w:sz w:val="28"/>
          <w:szCs w:val="28"/>
        </w:rPr>
      </w:pPr>
      <w:r>
        <w:rPr>
          <w:sz w:val="28"/>
          <w:szCs w:val="28"/>
        </w:rPr>
        <w:t>Tale</w:t>
      </w:r>
      <w:r w:rsidR="0095713B" w:rsidRPr="0095713B">
        <w:rPr>
          <w:sz w:val="28"/>
          <w:szCs w:val="28"/>
        </w:rPr>
        <w:t xml:space="preserve"> orientamento non è però pacifico</w:t>
      </w:r>
      <w:r>
        <w:rPr>
          <w:sz w:val="28"/>
          <w:szCs w:val="28"/>
        </w:rPr>
        <w:t xml:space="preserve">: </w:t>
      </w:r>
      <w:r w:rsidR="0095713B" w:rsidRPr="0095713B">
        <w:rPr>
          <w:sz w:val="28"/>
          <w:szCs w:val="28"/>
        </w:rPr>
        <w:t>in altr</w:t>
      </w:r>
      <w:r>
        <w:rPr>
          <w:sz w:val="28"/>
          <w:szCs w:val="28"/>
        </w:rPr>
        <w:t>i</w:t>
      </w:r>
      <w:r w:rsidR="0095713B" w:rsidRPr="0095713B">
        <w:rPr>
          <w:sz w:val="28"/>
          <w:szCs w:val="28"/>
        </w:rPr>
        <w:t xml:space="preserve"> </w:t>
      </w:r>
      <w:r>
        <w:rPr>
          <w:sz w:val="28"/>
          <w:szCs w:val="28"/>
        </w:rPr>
        <w:t>casi, la</w:t>
      </w:r>
      <w:r w:rsidR="0095713B" w:rsidRPr="0095713B">
        <w:rPr>
          <w:sz w:val="28"/>
          <w:szCs w:val="28"/>
        </w:rPr>
        <w:t xml:space="preserve"> “</w:t>
      </w:r>
      <w:r w:rsidR="0095713B" w:rsidRPr="003A6C0E">
        <w:rPr>
          <w:i/>
          <w:iCs/>
          <w:sz w:val="28"/>
          <w:szCs w:val="28"/>
        </w:rPr>
        <w:t>presenza</w:t>
      </w:r>
      <w:r w:rsidR="0095713B" w:rsidRPr="0095713B">
        <w:rPr>
          <w:sz w:val="28"/>
          <w:szCs w:val="28"/>
        </w:rPr>
        <w:t>”, da remoto o virtuale, dell’offes</w:t>
      </w:r>
      <w:r>
        <w:rPr>
          <w:sz w:val="28"/>
          <w:szCs w:val="28"/>
        </w:rPr>
        <w:t xml:space="preserve">o, </w:t>
      </w:r>
      <w:r w:rsidR="0095713B" w:rsidRPr="0095713B">
        <w:rPr>
          <w:sz w:val="28"/>
          <w:szCs w:val="28"/>
        </w:rPr>
        <w:t>ha guidato i giudici verso un’interpretazione rigida del dettato normativo</w:t>
      </w:r>
      <w:r>
        <w:rPr>
          <w:sz w:val="28"/>
          <w:szCs w:val="28"/>
        </w:rPr>
        <w:t>,</w:t>
      </w:r>
      <w:r w:rsidR="0095713B" w:rsidRPr="0095713B">
        <w:rPr>
          <w:sz w:val="28"/>
          <w:szCs w:val="28"/>
        </w:rPr>
        <w:t xml:space="preserve"> e </w:t>
      </w:r>
      <w:r>
        <w:rPr>
          <w:sz w:val="28"/>
          <w:szCs w:val="28"/>
        </w:rPr>
        <w:t>si è optato per l’applicazione</w:t>
      </w:r>
      <w:r w:rsidR="0095713B" w:rsidRPr="0095713B">
        <w:rPr>
          <w:sz w:val="28"/>
          <w:szCs w:val="28"/>
        </w:rPr>
        <w:t xml:space="preserve"> dell’art</w:t>
      </w:r>
      <w:r>
        <w:rPr>
          <w:sz w:val="28"/>
          <w:szCs w:val="28"/>
        </w:rPr>
        <w:t>.</w:t>
      </w:r>
      <w:r w:rsidR="0095713B" w:rsidRPr="0095713B">
        <w:rPr>
          <w:sz w:val="28"/>
          <w:szCs w:val="28"/>
        </w:rPr>
        <w:t xml:space="preserve"> 594, ultimo comma c.p.</w:t>
      </w:r>
      <w:r>
        <w:rPr>
          <w:rStyle w:val="Rimandonotaapidipagina"/>
          <w:sz w:val="28"/>
          <w:szCs w:val="28"/>
        </w:rPr>
        <w:footnoteReference w:id="253"/>
      </w:r>
    </w:p>
    <w:p w14:paraId="1C19A107" w14:textId="77777777" w:rsidR="003A6C0E" w:rsidRPr="0095713B" w:rsidRDefault="003A6C0E" w:rsidP="0096644C">
      <w:pPr>
        <w:pStyle w:val="NormaleWeb"/>
        <w:spacing w:before="0" w:beforeAutospacing="0" w:after="0" w:afterAutospacing="0"/>
        <w:jc w:val="both"/>
        <w:rPr>
          <w:sz w:val="28"/>
          <w:szCs w:val="28"/>
        </w:rPr>
      </w:pPr>
    </w:p>
    <w:p w14:paraId="5EA09A76" w14:textId="1667C4A6" w:rsidR="0095713B" w:rsidRPr="0095713B" w:rsidRDefault="003A6C0E" w:rsidP="0096644C">
      <w:pPr>
        <w:pStyle w:val="NormaleWeb"/>
        <w:spacing w:before="0" w:beforeAutospacing="0" w:after="0" w:afterAutospacing="0"/>
        <w:jc w:val="both"/>
        <w:rPr>
          <w:sz w:val="28"/>
          <w:szCs w:val="28"/>
        </w:rPr>
      </w:pPr>
      <w:r>
        <w:rPr>
          <w:sz w:val="28"/>
          <w:szCs w:val="28"/>
        </w:rPr>
        <w:t>Passando ad esaminare l</w:t>
      </w:r>
      <w:r w:rsidR="0096644C" w:rsidRPr="0096644C">
        <w:rPr>
          <w:sz w:val="28"/>
          <w:szCs w:val="28"/>
        </w:rPr>
        <w:t>’esimente del diritto di critica</w:t>
      </w:r>
      <w:r>
        <w:rPr>
          <w:sz w:val="28"/>
          <w:szCs w:val="28"/>
        </w:rPr>
        <w:t xml:space="preserve">, si può iniziare col dire che il </w:t>
      </w:r>
      <w:r w:rsidR="0095713B" w:rsidRPr="0095713B">
        <w:rPr>
          <w:sz w:val="28"/>
          <w:szCs w:val="28"/>
        </w:rPr>
        <w:t>diritto della persona a non veder leso il suo onore e la sua reputazione non è</w:t>
      </w:r>
      <w:r>
        <w:rPr>
          <w:sz w:val="28"/>
          <w:szCs w:val="28"/>
        </w:rPr>
        <w:t xml:space="preserve"> configurato come</w:t>
      </w:r>
      <w:r w:rsidR="0095713B" w:rsidRPr="0095713B">
        <w:rPr>
          <w:sz w:val="28"/>
          <w:szCs w:val="28"/>
        </w:rPr>
        <w:t xml:space="preserve"> assoluto</w:t>
      </w:r>
      <w:r>
        <w:rPr>
          <w:sz w:val="28"/>
          <w:szCs w:val="28"/>
        </w:rPr>
        <w:t xml:space="preserve"> nel nostro ordinamento</w:t>
      </w:r>
      <w:r w:rsidR="0095713B" w:rsidRPr="0095713B">
        <w:rPr>
          <w:sz w:val="28"/>
          <w:szCs w:val="28"/>
        </w:rPr>
        <w:t>, potendo</w:t>
      </w:r>
      <w:r w:rsidR="00BF3C46">
        <w:rPr>
          <w:sz w:val="28"/>
          <w:szCs w:val="28"/>
        </w:rPr>
        <w:t xml:space="preserve"> </w:t>
      </w:r>
      <w:r w:rsidR="0095713B" w:rsidRPr="0095713B">
        <w:rPr>
          <w:sz w:val="28"/>
          <w:szCs w:val="28"/>
        </w:rPr>
        <w:t>essere limitato dall’altrettanto legittima libertà di manifestazione del pensiero</w:t>
      </w:r>
      <w:r>
        <w:rPr>
          <w:sz w:val="28"/>
          <w:szCs w:val="28"/>
        </w:rPr>
        <w:t>, anche in rete,</w:t>
      </w:r>
      <w:r w:rsidR="0095713B" w:rsidRPr="0095713B">
        <w:rPr>
          <w:sz w:val="28"/>
          <w:szCs w:val="28"/>
        </w:rPr>
        <w:t xml:space="preserve"> di cui all’art</w:t>
      </w:r>
      <w:r>
        <w:rPr>
          <w:sz w:val="28"/>
          <w:szCs w:val="28"/>
        </w:rPr>
        <w:t>.</w:t>
      </w:r>
      <w:r w:rsidR="0095713B" w:rsidRPr="0095713B">
        <w:rPr>
          <w:sz w:val="28"/>
          <w:szCs w:val="28"/>
        </w:rPr>
        <w:t xml:space="preserve"> 21 </w:t>
      </w:r>
      <w:proofErr w:type="spellStart"/>
      <w:r w:rsidR="0095713B" w:rsidRPr="0095713B">
        <w:rPr>
          <w:sz w:val="28"/>
          <w:szCs w:val="28"/>
        </w:rPr>
        <w:t>Cost</w:t>
      </w:r>
      <w:proofErr w:type="spellEnd"/>
      <w:r w:rsidR="0095713B" w:rsidRPr="0095713B">
        <w:rPr>
          <w:sz w:val="28"/>
          <w:szCs w:val="28"/>
        </w:rPr>
        <w:t>.</w:t>
      </w:r>
    </w:p>
    <w:p w14:paraId="7AC6D0FB" w14:textId="6BCCC812" w:rsidR="003A6C0E" w:rsidRDefault="0095713B" w:rsidP="0096644C">
      <w:pPr>
        <w:pStyle w:val="NormaleWeb"/>
        <w:spacing w:before="0" w:beforeAutospacing="0" w:after="0" w:afterAutospacing="0"/>
        <w:jc w:val="both"/>
        <w:rPr>
          <w:sz w:val="28"/>
          <w:szCs w:val="28"/>
        </w:rPr>
      </w:pPr>
      <w:r w:rsidRPr="0095713B">
        <w:rPr>
          <w:sz w:val="28"/>
          <w:szCs w:val="28"/>
        </w:rPr>
        <w:lastRenderedPageBreak/>
        <w:t xml:space="preserve">Il diritto di </w:t>
      </w:r>
      <w:r w:rsidR="00091B42" w:rsidRPr="0095713B">
        <w:rPr>
          <w:sz w:val="28"/>
          <w:szCs w:val="28"/>
        </w:rPr>
        <w:t xml:space="preserve">critica, </w:t>
      </w:r>
      <w:r w:rsidR="003A6C0E">
        <w:rPr>
          <w:sz w:val="28"/>
          <w:szCs w:val="28"/>
        </w:rPr>
        <w:t>quindi</w:t>
      </w:r>
      <w:r w:rsidRPr="0095713B">
        <w:rPr>
          <w:sz w:val="28"/>
          <w:szCs w:val="28"/>
        </w:rPr>
        <w:t>, come il</w:t>
      </w:r>
      <w:r w:rsidR="003A6C0E">
        <w:rPr>
          <w:sz w:val="28"/>
          <w:szCs w:val="28"/>
        </w:rPr>
        <w:t xml:space="preserve"> </w:t>
      </w:r>
      <w:r w:rsidRPr="0095713B">
        <w:rPr>
          <w:sz w:val="28"/>
          <w:szCs w:val="28"/>
        </w:rPr>
        <w:t xml:space="preserve">diritto di cronaca o di satira, può, a determinate </w:t>
      </w:r>
      <w:r w:rsidR="003A6C0E">
        <w:rPr>
          <w:sz w:val="28"/>
          <w:szCs w:val="28"/>
        </w:rPr>
        <w:t>condizioni</w:t>
      </w:r>
      <w:r w:rsidRPr="0095713B">
        <w:rPr>
          <w:sz w:val="28"/>
          <w:szCs w:val="28"/>
        </w:rPr>
        <w:t xml:space="preserve">, moderare la portata del diritto </w:t>
      </w:r>
      <w:r w:rsidR="00696406">
        <w:rPr>
          <w:sz w:val="28"/>
          <w:szCs w:val="28"/>
        </w:rPr>
        <w:t>all’onore</w:t>
      </w:r>
      <w:r w:rsidRPr="0095713B">
        <w:rPr>
          <w:sz w:val="28"/>
          <w:szCs w:val="28"/>
        </w:rPr>
        <w:t xml:space="preserve">. </w:t>
      </w:r>
    </w:p>
    <w:p w14:paraId="03523FBF" w14:textId="22D6B505" w:rsidR="0095713B" w:rsidRPr="0095713B" w:rsidRDefault="0095713B" w:rsidP="0096644C">
      <w:pPr>
        <w:pStyle w:val="NormaleWeb"/>
        <w:spacing w:before="0" w:beforeAutospacing="0" w:after="0" w:afterAutospacing="0"/>
        <w:jc w:val="both"/>
        <w:rPr>
          <w:sz w:val="28"/>
          <w:szCs w:val="28"/>
        </w:rPr>
      </w:pPr>
      <w:r w:rsidRPr="0095713B">
        <w:rPr>
          <w:sz w:val="28"/>
          <w:szCs w:val="28"/>
        </w:rPr>
        <w:t xml:space="preserve">La critica si esprime in un giudizio </w:t>
      </w:r>
      <w:r w:rsidR="003A6C0E" w:rsidRPr="0095713B">
        <w:rPr>
          <w:sz w:val="28"/>
          <w:szCs w:val="28"/>
        </w:rPr>
        <w:t>soggettivo,</w:t>
      </w:r>
      <w:r w:rsidRPr="0095713B">
        <w:rPr>
          <w:sz w:val="28"/>
          <w:szCs w:val="28"/>
        </w:rPr>
        <w:t xml:space="preserve"> </w:t>
      </w:r>
      <w:r w:rsidR="003A6C0E">
        <w:rPr>
          <w:sz w:val="28"/>
          <w:szCs w:val="28"/>
        </w:rPr>
        <w:t>che</w:t>
      </w:r>
      <w:r w:rsidRPr="0095713B">
        <w:rPr>
          <w:sz w:val="28"/>
          <w:szCs w:val="28"/>
        </w:rPr>
        <w:t xml:space="preserve"> non </w:t>
      </w:r>
      <w:r w:rsidR="003A6C0E">
        <w:rPr>
          <w:sz w:val="28"/>
          <w:szCs w:val="28"/>
        </w:rPr>
        <w:t>può</w:t>
      </w:r>
      <w:r w:rsidRPr="0095713B">
        <w:rPr>
          <w:sz w:val="28"/>
          <w:szCs w:val="28"/>
        </w:rPr>
        <w:t xml:space="preserve"> certamente essere asettico o obiettivo, ma </w:t>
      </w:r>
      <w:r w:rsidR="003A6C0E">
        <w:rPr>
          <w:sz w:val="28"/>
          <w:szCs w:val="28"/>
        </w:rPr>
        <w:t>affinché si applichi</w:t>
      </w:r>
      <w:r w:rsidRPr="0095713B">
        <w:rPr>
          <w:sz w:val="28"/>
          <w:szCs w:val="28"/>
        </w:rPr>
        <w:t xml:space="preserve"> l’esimente è necessario che il fatto di cui si stia trattando sia corrispondente a verità, per cui non dovrebbe essere</w:t>
      </w:r>
      <w:r w:rsidR="00BF3C46">
        <w:rPr>
          <w:sz w:val="28"/>
          <w:szCs w:val="28"/>
        </w:rPr>
        <w:t xml:space="preserve"> </w:t>
      </w:r>
      <w:r w:rsidRPr="0095713B">
        <w:rPr>
          <w:sz w:val="28"/>
          <w:szCs w:val="28"/>
        </w:rPr>
        <w:t>arbitrariamente inventato o elaborato esorbitando da quello che è il nucleo essenziale</w:t>
      </w:r>
      <w:r w:rsidR="006527A2">
        <w:rPr>
          <w:sz w:val="28"/>
          <w:szCs w:val="28"/>
        </w:rPr>
        <w:t xml:space="preserve">, come specificato dal </w:t>
      </w:r>
      <w:r w:rsidRPr="0095713B">
        <w:rPr>
          <w:sz w:val="28"/>
          <w:szCs w:val="28"/>
        </w:rPr>
        <w:t>Trib</w:t>
      </w:r>
      <w:r w:rsidR="006527A2">
        <w:rPr>
          <w:sz w:val="28"/>
          <w:szCs w:val="28"/>
        </w:rPr>
        <w:t>unale</w:t>
      </w:r>
      <w:r w:rsidRPr="0095713B">
        <w:rPr>
          <w:sz w:val="28"/>
          <w:szCs w:val="28"/>
        </w:rPr>
        <w:t xml:space="preserve"> di Firenze</w:t>
      </w:r>
      <w:r w:rsidR="006527A2" w:rsidRPr="006527A2">
        <w:rPr>
          <w:sz w:val="28"/>
          <w:szCs w:val="28"/>
        </w:rPr>
        <w:t xml:space="preserve"> </w:t>
      </w:r>
      <w:r w:rsidR="006527A2">
        <w:rPr>
          <w:sz w:val="28"/>
          <w:szCs w:val="28"/>
        </w:rPr>
        <w:t xml:space="preserve">con la pronuncia </w:t>
      </w:r>
      <w:r w:rsidR="006527A2" w:rsidRPr="0095713B">
        <w:rPr>
          <w:sz w:val="28"/>
          <w:szCs w:val="28"/>
        </w:rPr>
        <w:t>n. 1502</w:t>
      </w:r>
      <w:r w:rsidR="006527A2">
        <w:rPr>
          <w:sz w:val="28"/>
          <w:szCs w:val="28"/>
        </w:rPr>
        <w:t xml:space="preserve"> del</w:t>
      </w:r>
      <w:r w:rsidRPr="0095713B">
        <w:rPr>
          <w:sz w:val="28"/>
          <w:szCs w:val="28"/>
        </w:rPr>
        <w:t xml:space="preserve"> 2019</w:t>
      </w:r>
      <w:r w:rsidR="006527A2">
        <w:rPr>
          <w:sz w:val="28"/>
          <w:szCs w:val="28"/>
        </w:rPr>
        <w:t xml:space="preserve">. Dunque, è necessario che la verità sia </w:t>
      </w:r>
      <w:r w:rsidR="006527A2" w:rsidRPr="0095713B">
        <w:rPr>
          <w:sz w:val="28"/>
          <w:szCs w:val="28"/>
        </w:rPr>
        <w:t>quanto meno putativa in ragione di una verifica sulle fonti da cui proviene o sul contesto all’interno del quale il fatto è avvenuto</w:t>
      </w:r>
      <w:r w:rsidR="006527A2">
        <w:rPr>
          <w:sz w:val="28"/>
          <w:szCs w:val="28"/>
        </w:rPr>
        <w:t>.</w:t>
      </w:r>
    </w:p>
    <w:p w14:paraId="056439C3" w14:textId="459CA9C4" w:rsidR="0095713B" w:rsidRPr="0095713B" w:rsidRDefault="006527A2" w:rsidP="0096644C">
      <w:pPr>
        <w:pStyle w:val="NormaleWeb"/>
        <w:spacing w:before="0" w:beforeAutospacing="0" w:after="0" w:afterAutospacing="0"/>
        <w:jc w:val="both"/>
        <w:rPr>
          <w:sz w:val="28"/>
          <w:szCs w:val="28"/>
        </w:rPr>
      </w:pPr>
      <w:r>
        <w:rPr>
          <w:sz w:val="28"/>
          <w:szCs w:val="28"/>
        </w:rPr>
        <w:t>Oltre a questo requisito della verità,</w:t>
      </w:r>
      <w:r w:rsidR="0095713B" w:rsidRPr="0095713B">
        <w:rPr>
          <w:sz w:val="28"/>
          <w:szCs w:val="28"/>
        </w:rPr>
        <w:t xml:space="preserve"> </w:t>
      </w:r>
      <w:r>
        <w:rPr>
          <w:sz w:val="28"/>
          <w:szCs w:val="28"/>
        </w:rPr>
        <w:t>devono sussistere</w:t>
      </w:r>
      <w:r w:rsidR="0095713B" w:rsidRPr="0095713B">
        <w:rPr>
          <w:sz w:val="28"/>
          <w:szCs w:val="28"/>
        </w:rPr>
        <w:t xml:space="preserve"> anche la continenza espositiva e l’interesse sociale alla notizia. </w:t>
      </w:r>
      <w:r>
        <w:rPr>
          <w:sz w:val="28"/>
          <w:szCs w:val="28"/>
        </w:rPr>
        <w:t>Quest’ultimo</w:t>
      </w:r>
      <w:r w:rsidR="0095713B" w:rsidRPr="0095713B">
        <w:rPr>
          <w:sz w:val="28"/>
          <w:szCs w:val="28"/>
        </w:rPr>
        <w:t xml:space="preserve"> è connesso alla necessità che la critica soddisfi l’interesse di un pubblico alla notizia e alla sua interpretazione critica, che non sia</w:t>
      </w:r>
      <w:r>
        <w:rPr>
          <w:sz w:val="28"/>
          <w:szCs w:val="28"/>
        </w:rPr>
        <w:t>, dunque,</w:t>
      </w:r>
      <w:r w:rsidR="0095713B" w:rsidRPr="0095713B">
        <w:rPr>
          <w:sz w:val="28"/>
          <w:szCs w:val="28"/>
        </w:rPr>
        <w:t xml:space="preserve"> mera curiosità pur potendo riguardare la vita privata di un soggetto</w:t>
      </w:r>
      <w:r w:rsidR="00696406">
        <w:rPr>
          <w:sz w:val="28"/>
          <w:szCs w:val="28"/>
        </w:rPr>
        <w:t xml:space="preserve"> (</w:t>
      </w:r>
      <w:r w:rsidR="0095713B" w:rsidRPr="0095713B">
        <w:rPr>
          <w:sz w:val="28"/>
          <w:szCs w:val="28"/>
        </w:rPr>
        <w:t>c.d. principio di pertinenza</w:t>
      </w:r>
      <w:r w:rsidR="00696406">
        <w:rPr>
          <w:sz w:val="28"/>
          <w:szCs w:val="28"/>
        </w:rPr>
        <w:t>)</w:t>
      </w:r>
      <w:r w:rsidR="0095713B" w:rsidRPr="0095713B">
        <w:rPr>
          <w:sz w:val="28"/>
          <w:szCs w:val="28"/>
        </w:rPr>
        <w:t xml:space="preserve">. </w:t>
      </w:r>
      <w:r w:rsidR="00696406">
        <w:rPr>
          <w:sz w:val="28"/>
          <w:szCs w:val="28"/>
        </w:rPr>
        <w:t xml:space="preserve">Per quanto riguarda </w:t>
      </w:r>
      <w:r w:rsidR="0095713B" w:rsidRPr="0095713B">
        <w:rPr>
          <w:sz w:val="28"/>
          <w:szCs w:val="28"/>
        </w:rPr>
        <w:t>la continenza espressiva</w:t>
      </w:r>
      <w:r w:rsidR="00696406">
        <w:rPr>
          <w:sz w:val="28"/>
          <w:szCs w:val="28"/>
        </w:rPr>
        <w:t>, questa</w:t>
      </w:r>
      <w:r w:rsidR="0095713B" w:rsidRPr="0095713B">
        <w:rPr>
          <w:sz w:val="28"/>
          <w:szCs w:val="28"/>
        </w:rPr>
        <w:t xml:space="preserve"> non esclude la possibilità di un linguaggio più colorito o pungente</w:t>
      </w:r>
      <w:r w:rsidR="00696406">
        <w:rPr>
          <w:sz w:val="28"/>
          <w:szCs w:val="28"/>
        </w:rPr>
        <w:t>,</w:t>
      </w:r>
      <w:r w:rsidR="0095713B" w:rsidRPr="0095713B">
        <w:rPr>
          <w:sz w:val="28"/>
          <w:szCs w:val="28"/>
        </w:rPr>
        <w:t xml:space="preserve"> purché </w:t>
      </w:r>
      <w:r w:rsidR="00696406">
        <w:rPr>
          <w:sz w:val="28"/>
          <w:szCs w:val="28"/>
        </w:rPr>
        <w:t xml:space="preserve">esso sia </w:t>
      </w:r>
      <w:r w:rsidR="0095713B" w:rsidRPr="0095713B">
        <w:rPr>
          <w:sz w:val="28"/>
          <w:szCs w:val="28"/>
        </w:rPr>
        <w:t>strumentalmente collegato alla manifestazione di un dissenso ragionato dall</w:t>
      </w:r>
      <w:r w:rsidR="00696406">
        <w:rPr>
          <w:sz w:val="28"/>
          <w:szCs w:val="28"/>
        </w:rPr>
        <w:t>’</w:t>
      </w:r>
      <w:r w:rsidR="0095713B" w:rsidRPr="0095713B">
        <w:rPr>
          <w:sz w:val="28"/>
          <w:szCs w:val="28"/>
        </w:rPr>
        <w:t>opinione o dal comportamento preso di mira, tanto che</w:t>
      </w:r>
      <w:r w:rsidR="00696406">
        <w:rPr>
          <w:sz w:val="28"/>
          <w:szCs w:val="28"/>
        </w:rPr>
        <w:t>,</w:t>
      </w:r>
      <w:r w:rsidR="0095713B" w:rsidRPr="0095713B">
        <w:rPr>
          <w:sz w:val="28"/>
          <w:szCs w:val="28"/>
        </w:rPr>
        <w:t xml:space="preserve"> in ultim</w:t>
      </w:r>
      <w:r w:rsidR="00696406">
        <w:rPr>
          <w:sz w:val="28"/>
          <w:szCs w:val="28"/>
        </w:rPr>
        <w:t xml:space="preserve">a analisi, </w:t>
      </w:r>
      <w:r w:rsidR="0095713B" w:rsidRPr="0095713B">
        <w:rPr>
          <w:sz w:val="28"/>
          <w:szCs w:val="28"/>
        </w:rPr>
        <w:t xml:space="preserve">il giudizio in questione deve essere accompagnato da una motivazione in merito al disvalore attribuito, </w:t>
      </w:r>
      <w:r w:rsidR="00696406">
        <w:rPr>
          <w:sz w:val="28"/>
          <w:szCs w:val="28"/>
        </w:rPr>
        <w:t>dato che la critica non può risolversi</w:t>
      </w:r>
      <w:r w:rsidR="0095713B" w:rsidRPr="0095713B">
        <w:rPr>
          <w:sz w:val="28"/>
          <w:szCs w:val="28"/>
        </w:rPr>
        <w:t xml:space="preserve"> in una aggressione </w:t>
      </w:r>
      <w:r w:rsidR="00696406" w:rsidRPr="0095713B">
        <w:rPr>
          <w:sz w:val="28"/>
          <w:szCs w:val="28"/>
        </w:rPr>
        <w:t>gratuita</w:t>
      </w:r>
      <w:r w:rsidR="00696406">
        <w:rPr>
          <w:sz w:val="28"/>
          <w:szCs w:val="28"/>
        </w:rPr>
        <w:t>, come evidenziato dalla giurisprudenza</w:t>
      </w:r>
      <w:r w:rsidR="00696406">
        <w:rPr>
          <w:rStyle w:val="Rimandonotaapidipagina"/>
          <w:sz w:val="28"/>
          <w:szCs w:val="28"/>
        </w:rPr>
        <w:footnoteReference w:id="254"/>
      </w:r>
      <w:r w:rsidR="00696406">
        <w:rPr>
          <w:sz w:val="28"/>
          <w:szCs w:val="28"/>
        </w:rPr>
        <w:t>.</w:t>
      </w:r>
    </w:p>
    <w:p w14:paraId="7108AA3B" w14:textId="0E37C1A7" w:rsidR="0095713B" w:rsidRPr="0095713B" w:rsidRDefault="0098510E" w:rsidP="0096644C">
      <w:pPr>
        <w:pStyle w:val="NormaleWeb"/>
        <w:spacing w:before="0" w:beforeAutospacing="0" w:after="0" w:afterAutospacing="0"/>
        <w:jc w:val="both"/>
        <w:rPr>
          <w:sz w:val="28"/>
          <w:szCs w:val="28"/>
        </w:rPr>
      </w:pPr>
      <w:r>
        <w:rPr>
          <w:sz w:val="28"/>
          <w:szCs w:val="28"/>
        </w:rPr>
        <w:t>Allorquando</w:t>
      </w:r>
      <w:r w:rsidR="0095713B" w:rsidRPr="0095713B">
        <w:rPr>
          <w:sz w:val="28"/>
          <w:szCs w:val="28"/>
        </w:rPr>
        <w:t xml:space="preserve"> non</w:t>
      </w:r>
      <w:r>
        <w:rPr>
          <w:sz w:val="28"/>
          <w:szCs w:val="28"/>
        </w:rPr>
        <w:t xml:space="preserve"> possa trovare applicazione </w:t>
      </w:r>
      <w:r w:rsidR="0095713B" w:rsidRPr="0095713B">
        <w:rPr>
          <w:sz w:val="28"/>
          <w:szCs w:val="28"/>
        </w:rPr>
        <w:t>l’art</w:t>
      </w:r>
      <w:r>
        <w:rPr>
          <w:sz w:val="28"/>
          <w:szCs w:val="28"/>
        </w:rPr>
        <w:t>.</w:t>
      </w:r>
      <w:r w:rsidR="0095713B" w:rsidRPr="0095713B">
        <w:rPr>
          <w:sz w:val="28"/>
          <w:szCs w:val="28"/>
        </w:rPr>
        <w:t xml:space="preserve"> 51 c.p.</w:t>
      </w:r>
      <w:r>
        <w:rPr>
          <w:sz w:val="28"/>
          <w:szCs w:val="28"/>
        </w:rPr>
        <w:t xml:space="preserve"> – che </w:t>
      </w:r>
      <w:r w:rsidR="0095713B" w:rsidRPr="0095713B">
        <w:rPr>
          <w:sz w:val="28"/>
          <w:szCs w:val="28"/>
        </w:rPr>
        <w:t xml:space="preserve">esclude la punibilità </w:t>
      </w:r>
      <w:r>
        <w:rPr>
          <w:sz w:val="28"/>
          <w:szCs w:val="28"/>
        </w:rPr>
        <w:t>nei casi in cui</w:t>
      </w:r>
      <w:r w:rsidR="0095713B" w:rsidRPr="0095713B">
        <w:rPr>
          <w:sz w:val="28"/>
          <w:szCs w:val="28"/>
        </w:rPr>
        <w:t xml:space="preserve"> il fatto sia commesso nell’adempimento di un dovere o nell’esercizio di un diritto</w:t>
      </w:r>
      <w:r>
        <w:rPr>
          <w:sz w:val="28"/>
          <w:szCs w:val="28"/>
        </w:rPr>
        <w:t xml:space="preserve"> (chiaramente quello di cui</w:t>
      </w:r>
      <w:r w:rsidR="0095713B" w:rsidRPr="0095713B">
        <w:rPr>
          <w:sz w:val="28"/>
          <w:szCs w:val="28"/>
        </w:rPr>
        <w:t xml:space="preserve"> all’art</w:t>
      </w:r>
      <w:r>
        <w:rPr>
          <w:sz w:val="28"/>
          <w:szCs w:val="28"/>
        </w:rPr>
        <w:t>.</w:t>
      </w:r>
      <w:r w:rsidR="0095713B" w:rsidRPr="0095713B">
        <w:rPr>
          <w:sz w:val="28"/>
          <w:szCs w:val="28"/>
        </w:rPr>
        <w:t xml:space="preserve"> 21 </w:t>
      </w:r>
      <w:proofErr w:type="spellStart"/>
      <w:r w:rsidR="0095713B" w:rsidRPr="0095713B">
        <w:rPr>
          <w:sz w:val="28"/>
          <w:szCs w:val="28"/>
        </w:rPr>
        <w:t>Cost</w:t>
      </w:r>
      <w:proofErr w:type="spellEnd"/>
      <w:r w:rsidR="0095713B" w:rsidRPr="0095713B">
        <w:rPr>
          <w:sz w:val="28"/>
          <w:szCs w:val="28"/>
        </w:rPr>
        <w:t>.</w:t>
      </w:r>
      <w:r>
        <w:rPr>
          <w:sz w:val="28"/>
          <w:szCs w:val="28"/>
        </w:rPr>
        <w:t xml:space="preserve">) – </w:t>
      </w:r>
      <w:r w:rsidR="0095713B" w:rsidRPr="0095713B">
        <w:rPr>
          <w:sz w:val="28"/>
          <w:szCs w:val="28"/>
        </w:rPr>
        <w:t>è possibile invocare l’</w:t>
      </w:r>
      <w:proofErr w:type="spellStart"/>
      <w:r w:rsidR="0095713B" w:rsidRPr="0098510E">
        <w:rPr>
          <w:i/>
          <w:iCs/>
          <w:sz w:val="28"/>
          <w:szCs w:val="28"/>
        </w:rPr>
        <w:t>exceptio</w:t>
      </w:r>
      <w:proofErr w:type="spellEnd"/>
      <w:r w:rsidR="0095713B" w:rsidRPr="0095713B">
        <w:rPr>
          <w:sz w:val="28"/>
          <w:szCs w:val="28"/>
        </w:rPr>
        <w:t xml:space="preserve"> </w:t>
      </w:r>
      <w:proofErr w:type="spellStart"/>
      <w:r w:rsidR="0095713B" w:rsidRPr="0098510E">
        <w:rPr>
          <w:i/>
          <w:iCs/>
          <w:sz w:val="28"/>
          <w:szCs w:val="28"/>
        </w:rPr>
        <w:t>veritatis</w:t>
      </w:r>
      <w:proofErr w:type="spellEnd"/>
      <w:r>
        <w:rPr>
          <w:sz w:val="28"/>
          <w:szCs w:val="28"/>
        </w:rPr>
        <w:t xml:space="preserve">, </w:t>
      </w:r>
      <w:r w:rsidR="0095713B" w:rsidRPr="0095713B">
        <w:rPr>
          <w:sz w:val="28"/>
          <w:szCs w:val="28"/>
        </w:rPr>
        <w:t>nei limiti di quanto previsto dall’art</w:t>
      </w:r>
      <w:r>
        <w:rPr>
          <w:sz w:val="28"/>
          <w:szCs w:val="28"/>
        </w:rPr>
        <w:t>.</w:t>
      </w:r>
      <w:r w:rsidR="0095713B" w:rsidRPr="0095713B">
        <w:rPr>
          <w:sz w:val="28"/>
          <w:szCs w:val="28"/>
        </w:rPr>
        <w:t xml:space="preserve"> 596 c.p.</w:t>
      </w:r>
      <w:r>
        <w:rPr>
          <w:rStyle w:val="Rimandonotaapidipagina"/>
          <w:sz w:val="28"/>
          <w:szCs w:val="28"/>
        </w:rPr>
        <w:footnoteReference w:id="255"/>
      </w:r>
    </w:p>
    <w:p w14:paraId="747799B3" w14:textId="50283446" w:rsidR="0095713B" w:rsidRPr="0095713B" w:rsidRDefault="0098510E" w:rsidP="0096644C">
      <w:pPr>
        <w:pStyle w:val="NormaleWeb"/>
        <w:spacing w:before="0" w:beforeAutospacing="0" w:after="0" w:afterAutospacing="0"/>
        <w:jc w:val="both"/>
        <w:rPr>
          <w:sz w:val="28"/>
          <w:szCs w:val="28"/>
        </w:rPr>
      </w:pPr>
      <w:r>
        <w:rPr>
          <w:sz w:val="28"/>
          <w:szCs w:val="28"/>
        </w:rPr>
        <w:t>Si tratta di una disposizione volta a</w:t>
      </w:r>
      <w:r w:rsidR="0095713B" w:rsidRPr="0095713B">
        <w:rPr>
          <w:sz w:val="28"/>
          <w:szCs w:val="28"/>
        </w:rPr>
        <w:t xml:space="preserve"> considerare la verità dei fatti come causa di esclusione della punibilità qualora la stessa si</w:t>
      </w:r>
      <w:r>
        <w:rPr>
          <w:sz w:val="28"/>
          <w:szCs w:val="28"/>
        </w:rPr>
        <w:t>a</w:t>
      </w:r>
      <w:r w:rsidR="0095713B" w:rsidRPr="0095713B">
        <w:rPr>
          <w:sz w:val="28"/>
          <w:szCs w:val="28"/>
        </w:rPr>
        <w:t xml:space="preserve"> accertata per fatti determinati, nei casi di accordo tra offensore ed offeso per il deferimento dell’accertamento ad un giurì d’onore, ovvero nei casi di cui al comma 3 dello stesso articol</w:t>
      </w:r>
      <w:r>
        <w:rPr>
          <w:sz w:val="28"/>
          <w:szCs w:val="28"/>
        </w:rPr>
        <w:t>o.</w:t>
      </w:r>
    </w:p>
    <w:p w14:paraId="2B5057E6" w14:textId="4CA2F840" w:rsidR="0095713B" w:rsidRPr="0095713B" w:rsidRDefault="00B81441" w:rsidP="0096644C">
      <w:pPr>
        <w:pStyle w:val="NormaleWeb"/>
        <w:spacing w:before="0" w:beforeAutospacing="0" w:after="0" w:afterAutospacing="0"/>
        <w:jc w:val="both"/>
        <w:rPr>
          <w:sz w:val="28"/>
          <w:szCs w:val="28"/>
        </w:rPr>
      </w:pPr>
      <w:r>
        <w:rPr>
          <w:sz w:val="28"/>
          <w:szCs w:val="28"/>
        </w:rPr>
        <w:t>Per escludere</w:t>
      </w:r>
      <w:r w:rsidR="0095713B" w:rsidRPr="0095713B">
        <w:rPr>
          <w:sz w:val="28"/>
          <w:szCs w:val="28"/>
        </w:rPr>
        <w:t xml:space="preserve"> la punibilità </w:t>
      </w:r>
      <w:r>
        <w:rPr>
          <w:sz w:val="28"/>
          <w:szCs w:val="28"/>
        </w:rPr>
        <w:t>serve</w:t>
      </w:r>
      <w:r w:rsidR="0095713B" w:rsidRPr="0095713B">
        <w:rPr>
          <w:sz w:val="28"/>
          <w:szCs w:val="28"/>
        </w:rPr>
        <w:t xml:space="preserve"> che la prova del fatto sia completa</w:t>
      </w:r>
      <w:r>
        <w:rPr>
          <w:sz w:val="28"/>
          <w:szCs w:val="28"/>
        </w:rPr>
        <w:t>,</w:t>
      </w:r>
      <w:r w:rsidR="0095713B" w:rsidRPr="0095713B">
        <w:rPr>
          <w:sz w:val="28"/>
          <w:szCs w:val="28"/>
        </w:rPr>
        <w:t xml:space="preserve"> e non parziale</w:t>
      </w:r>
      <w:r>
        <w:rPr>
          <w:sz w:val="28"/>
          <w:szCs w:val="28"/>
        </w:rPr>
        <w:t>,</w:t>
      </w:r>
      <w:r w:rsidR="0095713B" w:rsidRPr="0095713B">
        <w:rPr>
          <w:sz w:val="28"/>
          <w:szCs w:val="28"/>
        </w:rPr>
        <w:t xml:space="preserve"> ai fini di una perfetta aderenza dei fatti di causa con quelli realmente accaduti</w:t>
      </w:r>
      <w:r>
        <w:rPr>
          <w:sz w:val="28"/>
          <w:szCs w:val="28"/>
        </w:rPr>
        <w:t xml:space="preserve">: non devono essere </w:t>
      </w:r>
      <w:r w:rsidR="0095713B" w:rsidRPr="0095713B">
        <w:rPr>
          <w:sz w:val="28"/>
          <w:szCs w:val="28"/>
        </w:rPr>
        <w:t>riportate inesattezze non marginali</w:t>
      </w:r>
      <w:r>
        <w:rPr>
          <w:sz w:val="28"/>
          <w:szCs w:val="28"/>
        </w:rPr>
        <w:t>,</w:t>
      </w:r>
      <w:r w:rsidR="0095713B" w:rsidRPr="0095713B">
        <w:rPr>
          <w:sz w:val="28"/>
          <w:szCs w:val="28"/>
        </w:rPr>
        <w:t xml:space="preserve"> idonee a modificare l’assetto sostanziale degli eventi</w:t>
      </w:r>
      <w:r>
        <w:rPr>
          <w:rStyle w:val="Rimandonotaapidipagina"/>
          <w:sz w:val="28"/>
          <w:szCs w:val="28"/>
        </w:rPr>
        <w:footnoteReference w:id="256"/>
      </w:r>
      <w:r>
        <w:rPr>
          <w:sz w:val="28"/>
          <w:szCs w:val="28"/>
        </w:rPr>
        <w:t>. Comunque, anche</w:t>
      </w:r>
      <w:r w:rsidR="0095713B" w:rsidRPr="0095713B">
        <w:rPr>
          <w:sz w:val="28"/>
          <w:szCs w:val="28"/>
        </w:rPr>
        <w:t xml:space="preserve"> qualora la verità sia provata</w:t>
      </w:r>
      <w:r>
        <w:rPr>
          <w:sz w:val="28"/>
          <w:szCs w:val="28"/>
        </w:rPr>
        <w:t xml:space="preserve">, </w:t>
      </w:r>
      <w:r w:rsidRPr="0095713B">
        <w:rPr>
          <w:sz w:val="28"/>
          <w:szCs w:val="28"/>
        </w:rPr>
        <w:t xml:space="preserve">se i modi usati </w:t>
      </w:r>
      <w:r>
        <w:rPr>
          <w:sz w:val="28"/>
          <w:szCs w:val="28"/>
        </w:rPr>
        <w:t xml:space="preserve">sono </w:t>
      </w:r>
      <w:r>
        <w:rPr>
          <w:sz w:val="28"/>
          <w:szCs w:val="28"/>
        </w:rPr>
        <w:lastRenderedPageBreak/>
        <w:t>stati</w:t>
      </w:r>
      <w:r w:rsidRPr="0095713B">
        <w:rPr>
          <w:sz w:val="28"/>
          <w:szCs w:val="28"/>
        </w:rPr>
        <w:t xml:space="preserve"> diffamanti</w:t>
      </w:r>
      <w:r>
        <w:rPr>
          <w:sz w:val="28"/>
          <w:szCs w:val="28"/>
        </w:rPr>
        <w:t>,</w:t>
      </w:r>
      <w:r w:rsidRPr="0095713B">
        <w:rPr>
          <w:sz w:val="28"/>
          <w:szCs w:val="28"/>
        </w:rPr>
        <w:t xml:space="preserve"> secondo una valutazione conforme al principio di continenza </w:t>
      </w:r>
      <w:r>
        <w:rPr>
          <w:sz w:val="28"/>
          <w:szCs w:val="28"/>
        </w:rPr>
        <w:t>espositiva, non è automatica</w:t>
      </w:r>
      <w:r w:rsidR="0095713B" w:rsidRPr="0095713B">
        <w:rPr>
          <w:sz w:val="28"/>
          <w:szCs w:val="28"/>
        </w:rPr>
        <w:t xml:space="preserve"> </w:t>
      </w:r>
      <w:r>
        <w:rPr>
          <w:sz w:val="28"/>
          <w:szCs w:val="28"/>
        </w:rPr>
        <w:t>l’</w:t>
      </w:r>
      <w:r w:rsidR="0095713B" w:rsidRPr="0095713B">
        <w:rPr>
          <w:sz w:val="28"/>
          <w:szCs w:val="28"/>
        </w:rPr>
        <w:t>esclus</w:t>
      </w:r>
      <w:r>
        <w:rPr>
          <w:sz w:val="28"/>
          <w:szCs w:val="28"/>
        </w:rPr>
        <w:t>ione del</w:t>
      </w:r>
      <w:r w:rsidR="0095713B" w:rsidRPr="0095713B">
        <w:rPr>
          <w:sz w:val="28"/>
          <w:szCs w:val="28"/>
        </w:rPr>
        <w:t xml:space="preserve">la punibilità </w:t>
      </w:r>
      <w:r>
        <w:rPr>
          <w:sz w:val="28"/>
          <w:szCs w:val="28"/>
        </w:rPr>
        <w:t>per il reato di diffamazione.</w:t>
      </w:r>
    </w:p>
    <w:p w14:paraId="580C1BB3" w14:textId="638F889A" w:rsidR="00437093" w:rsidRDefault="00B81441" w:rsidP="0096644C">
      <w:pPr>
        <w:pStyle w:val="NormaleWeb"/>
        <w:spacing w:before="0" w:beforeAutospacing="0" w:after="0" w:afterAutospacing="0"/>
        <w:jc w:val="both"/>
        <w:rPr>
          <w:sz w:val="28"/>
          <w:szCs w:val="28"/>
        </w:rPr>
      </w:pPr>
      <w:r>
        <w:rPr>
          <w:sz w:val="28"/>
          <w:szCs w:val="28"/>
        </w:rPr>
        <w:t>In realtà, sembrerebbe che una</w:t>
      </w:r>
      <w:r w:rsidR="0095713B" w:rsidRPr="0095713B">
        <w:rPr>
          <w:sz w:val="28"/>
          <w:szCs w:val="28"/>
        </w:rPr>
        <w:t xml:space="preserve"> disposizione </w:t>
      </w:r>
      <w:r>
        <w:rPr>
          <w:sz w:val="28"/>
          <w:szCs w:val="28"/>
        </w:rPr>
        <w:t xml:space="preserve">come quella esaminata voglia </w:t>
      </w:r>
      <w:r w:rsidR="0095713B" w:rsidRPr="0095713B">
        <w:rPr>
          <w:sz w:val="28"/>
          <w:szCs w:val="28"/>
        </w:rPr>
        <w:t>sancire il divieto dell’</w:t>
      </w:r>
      <w:proofErr w:type="spellStart"/>
      <w:r w:rsidR="0095713B" w:rsidRPr="00B81441">
        <w:rPr>
          <w:i/>
          <w:iCs/>
          <w:sz w:val="28"/>
          <w:szCs w:val="28"/>
        </w:rPr>
        <w:t>exceptio</w:t>
      </w:r>
      <w:proofErr w:type="spellEnd"/>
      <w:r w:rsidR="0095713B" w:rsidRPr="00B81441">
        <w:rPr>
          <w:i/>
          <w:iCs/>
          <w:sz w:val="28"/>
          <w:szCs w:val="28"/>
        </w:rPr>
        <w:t xml:space="preserve"> </w:t>
      </w:r>
      <w:proofErr w:type="spellStart"/>
      <w:r w:rsidR="0095713B" w:rsidRPr="00B81441">
        <w:rPr>
          <w:i/>
          <w:iCs/>
          <w:sz w:val="28"/>
          <w:szCs w:val="28"/>
        </w:rPr>
        <w:t>veritatis</w:t>
      </w:r>
      <w:proofErr w:type="spellEnd"/>
      <w:r w:rsidR="0095713B" w:rsidRPr="0095713B">
        <w:rPr>
          <w:sz w:val="28"/>
          <w:szCs w:val="28"/>
        </w:rPr>
        <w:t xml:space="preserve">, </w:t>
      </w:r>
      <w:r>
        <w:rPr>
          <w:sz w:val="28"/>
          <w:szCs w:val="28"/>
        </w:rPr>
        <w:t>che</w:t>
      </w:r>
      <w:r w:rsidR="0095713B" w:rsidRPr="0095713B">
        <w:rPr>
          <w:sz w:val="28"/>
          <w:szCs w:val="28"/>
        </w:rPr>
        <w:t xml:space="preserve"> non si applica che nei casi previsti dall’art</w:t>
      </w:r>
      <w:r>
        <w:rPr>
          <w:sz w:val="28"/>
          <w:szCs w:val="28"/>
        </w:rPr>
        <w:t>.</w:t>
      </w:r>
      <w:r w:rsidR="0095713B" w:rsidRPr="0095713B">
        <w:rPr>
          <w:sz w:val="28"/>
          <w:szCs w:val="28"/>
        </w:rPr>
        <w:t xml:space="preserve"> 596 c.p. e nell’esercizio di un diritto, ex art. 51 c.p.</w:t>
      </w:r>
      <w:r>
        <w:rPr>
          <w:sz w:val="28"/>
          <w:szCs w:val="28"/>
        </w:rPr>
        <w:t xml:space="preserve"> (</w:t>
      </w:r>
      <w:r w:rsidR="0095713B" w:rsidRPr="0095713B">
        <w:rPr>
          <w:sz w:val="28"/>
          <w:szCs w:val="28"/>
        </w:rPr>
        <w:t>all’interno del quale è pacificamente ricomprendibile il diritto di critic</w:t>
      </w:r>
      <w:r>
        <w:rPr>
          <w:sz w:val="28"/>
          <w:szCs w:val="28"/>
        </w:rPr>
        <w:t>a)</w:t>
      </w:r>
      <w:r w:rsidR="0095713B" w:rsidRPr="0095713B">
        <w:rPr>
          <w:sz w:val="28"/>
          <w:szCs w:val="28"/>
        </w:rPr>
        <w:t xml:space="preserve">. In definitiva, </w:t>
      </w:r>
      <w:r>
        <w:rPr>
          <w:sz w:val="28"/>
          <w:szCs w:val="28"/>
        </w:rPr>
        <w:t xml:space="preserve">dunque, </w:t>
      </w:r>
      <w:r w:rsidR="00437093">
        <w:rPr>
          <w:sz w:val="28"/>
          <w:szCs w:val="28"/>
        </w:rPr>
        <w:t>in determinate</w:t>
      </w:r>
      <w:r w:rsidR="0095713B" w:rsidRPr="0095713B">
        <w:rPr>
          <w:sz w:val="28"/>
          <w:szCs w:val="28"/>
        </w:rPr>
        <w:t xml:space="preserve"> circostanze</w:t>
      </w:r>
      <w:r w:rsidR="00437093">
        <w:rPr>
          <w:sz w:val="28"/>
          <w:szCs w:val="28"/>
        </w:rPr>
        <w:t>,</w:t>
      </w:r>
      <w:r w:rsidR="0095713B" w:rsidRPr="0095713B">
        <w:rPr>
          <w:sz w:val="28"/>
          <w:szCs w:val="28"/>
        </w:rPr>
        <w:t xml:space="preserve"> </w:t>
      </w:r>
      <w:r>
        <w:rPr>
          <w:sz w:val="28"/>
          <w:szCs w:val="28"/>
        </w:rPr>
        <w:t xml:space="preserve">viene temperato </w:t>
      </w:r>
      <w:r w:rsidR="0095713B" w:rsidRPr="0095713B">
        <w:rPr>
          <w:sz w:val="28"/>
          <w:szCs w:val="28"/>
        </w:rPr>
        <w:t>il diritto a non veder leso il proprio onore</w:t>
      </w:r>
      <w:r w:rsidR="00437093">
        <w:rPr>
          <w:sz w:val="28"/>
          <w:szCs w:val="28"/>
        </w:rPr>
        <w:t xml:space="preserve"> </w:t>
      </w:r>
      <w:r w:rsidR="0095713B" w:rsidRPr="0095713B">
        <w:rPr>
          <w:sz w:val="28"/>
          <w:szCs w:val="28"/>
        </w:rPr>
        <w:t xml:space="preserve">con l’interesse alla verità oggettiva o putativa che sia, </w:t>
      </w:r>
      <w:r w:rsidR="00437093">
        <w:rPr>
          <w:sz w:val="28"/>
          <w:szCs w:val="28"/>
        </w:rPr>
        <w:t>che</w:t>
      </w:r>
      <w:r w:rsidR="0095713B" w:rsidRPr="0095713B">
        <w:rPr>
          <w:sz w:val="28"/>
          <w:szCs w:val="28"/>
        </w:rPr>
        <w:t xml:space="preserve"> si dimostra</w:t>
      </w:r>
      <w:r w:rsidR="00437093">
        <w:rPr>
          <w:sz w:val="28"/>
          <w:szCs w:val="28"/>
        </w:rPr>
        <w:t>,</w:t>
      </w:r>
      <w:r w:rsidR="0095713B" w:rsidRPr="0095713B">
        <w:rPr>
          <w:sz w:val="28"/>
          <w:szCs w:val="28"/>
        </w:rPr>
        <w:t xml:space="preserve"> però</w:t>
      </w:r>
      <w:r w:rsidR="00437093">
        <w:rPr>
          <w:sz w:val="28"/>
          <w:szCs w:val="28"/>
        </w:rPr>
        <w:t>,</w:t>
      </w:r>
      <w:r w:rsidR="0095713B" w:rsidRPr="0095713B">
        <w:rPr>
          <w:sz w:val="28"/>
          <w:szCs w:val="28"/>
        </w:rPr>
        <w:t xml:space="preserve"> inidonea, da sola, ad escludere la punibilità.</w:t>
      </w:r>
      <w:r w:rsidR="00437093">
        <w:rPr>
          <w:sz w:val="28"/>
          <w:szCs w:val="28"/>
        </w:rPr>
        <w:t xml:space="preserve"> Resta fermo che l’</w:t>
      </w:r>
      <w:r w:rsidR="0095713B" w:rsidRPr="0095713B">
        <w:rPr>
          <w:sz w:val="28"/>
          <w:szCs w:val="28"/>
        </w:rPr>
        <w:t xml:space="preserve">assenza di </w:t>
      </w:r>
      <w:r w:rsidR="00437093">
        <w:rPr>
          <w:sz w:val="28"/>
          <w:szCs w:val="28"/>
        </w:rPr>
        <w:t>uno dei criteri richiamati</w:t>
      </w:r>
      <w:r w:rsidR="0095713B" w:rsidRPr="0095713B">
        <w:rPr>
          <w:sz w:val="28"/>
          <w:szCs w:val="28"/>
        </w:rPr>
        <w:t xml:space="preserve"> (</w:t>
      </w:r>
      <w:r w:rsidR="00437093" w:rsidRPr="0095713B">
        <w:rPr>
          <w:sz w:val="28"/>
          <w:szCs w:val="28"/>
        </w:rPr>
        <w:t>verità</w:t>
      </w:r>
      <w:r w:rsidR="00437093">
        <w:rPr>
          <w:sz w:val="28"/>
          <w:szCs w:val="28"/>
        </w:rPr>
        <w:t>, interesse pubblico</w:t>
      </w:r>
      <w:r w:rsidR="0095713B" w:rsidRPr="0095713B">
        <w:rPr>
          <w:sz w:val="28"/>
          <w:szCs w:val="28"/>
        </w:rPr>
        <w:t xml:space="preserve">, continenza </w:t>
      </w:r>
      <w:r w:rsidR="00437093">
        <w:rPr>
          <w:sz w:val="28"/>
          <w:szCs w:val="28"/>
        </w:rPr>
        <w:t>espressiva</w:t>
      </w:r>
      <w:r w:rsidR="0095713B" w:rsidRPr="0095713B">
        <w:rPr>
          <w:sz w:val="28"/>
          <w:szCs w:val="28"/>
        </w:rPr>
        <w:t xml:space="preserve">) determina </w:t>
      </w:r>
      <w:r w:rsidR="00437093">
        <w:rPr>
          <w:sz w:val="28"/>
          <w:szCs w:val="28"/>
        </w:rPr>
        <w:t xml:space="preserve">la carenza dell’esimente del diritto di critica, per cui </w:t>
      </w:r>
      <w:r w:rsidR="0095713B" w:rsidRPr="0095713B">
        <w:rPr>
          <w:sz w:val="28"/>
          <w:szCs w:val="28"/>
        </w:rPr>
        <w:t xml:space="preserve">il diritto di manifestare liberamente il proprio pensiero </w:t>
      </w:r>
      <w:r w:rsidR="00437093">
        <w:rPr>
          <w:sz w:val="28"/>
          <w:szCs w:val="28"/>
        </w:rPr>
        <w:t xml:space="preserve">non è giustificato ma </w:t>
      </w:r>
      <w:r w:rsidR="0095713B" w:rsidRPr="0095713B">
        <w:rPr>
          <w:sz w:val="28"/>
          <w:szCs w:val="28"/>
        </w:rPr>
        <w:t>punibile</w:t>
      </w:r>
      <w:r w:rsidR="00437093">
        <w:rPr>
          <w:sz w:val="28"/>
          <w:szCs w:val="28"/>
        </w:rPr>
        <w:t>,</w:t>
      </w:r>
      <w:r w:rsidR="0095713B" w:rsidRPr="0095713B">
        <w:rPr>
          <w:sz w:val="28"/>
          <w:szCs w:val="28"/>
        </w:rPr>
        <w:t xml:space="preserve"> e dunque risarcibile. </w:t>
      </w:r>
      <w:r w:rsidR="00437093">
        <w:rPr>
          <w:sz w:val="28"/>
          <w:szCs w:val="28"/>
        </w:rPr>
        <w:t>Se accade il contrario</w:t>
      </w:r>
      <w:r w:rsidR="0095713B" w:rsidRPr="0095713B">
        <w:rPr>
          <w:sz w:val="28"/>
          <w:szCs w:val="28"/>
        </w:rPr>
        <w:t>, la condotta è da considerare lecita.</w:t>
      </w:r>
    </w:p>
    <w:p w14:paraId="14786F56" w14:textId="77777777" w:rsidR="00437093" w:rsidRDefault="00437093" w:rsidP="0096644C">
      <w:pPr>
        <w:pStyle w:val="NormaleWeb"/>
        <w:spacing w:before="0" w:beforeAutospacing="0" w:after="0" w:afterAutospacing="0"/>
        <w:jc w:val="both"/>
        <w:rPr>
          <w:sz w:val="28"/>
          <w:szCs w:val="28"/>
        </w:rPr>
      </w:pPr>
    </w:p>
    <w:p w14:paraId="342F2FF3" w14:textId="63339099" w:rsidR="0095713B" w:rsidRPr="0095713B" w:rsidRDefault="00437093" w:rsidP="0096644C">
      <w:pPr>
        <w:pStyle w:val="NormaleWeb"/>
        <w:spacing w:before="0" w:beforeAutospacing="0" w:after="0" w:afterAutospacing="0"/>
        <w:jc w:val="both"/>
        <w:rPr>
          <w:sz w:val="28"/>
          <w:szCs w:val="28"/>
        </w:rPr>
      </w:pPr>
      <w:r>
        <w:rPr>
          <w:sz w:val="28"/>
          <w:szCs w:val="28"/>
        </w:rPr>
        <w:t>Passando ad esaminare il profilo del danno, nel c</w:t>
      </w:r>
      <w:r w:rsidR="0095713B" w:rsidRPr="0095713B">
        <w:rPr>
          <w:sz w:val="28"/>
          <w:szCs w:val="28"/>
        </w:rPr>
        <w:t>aso in cui la fattispecie si perfezion</w:t>
      </w:r>
      <w:r w:rsidR="00F23E15">
        <w:rPr>
          <w:sz w:val="28"/>
          <w:szCs w:val="28"/>
        </w:rPr>
        <w:t>a</w:t>
      </w:r>
      <w:r>
        <w:rPr>
          <w:sz w:val="28"/>
          <w:szCs w:val="28"/>
        </w:rPr>
        <w:t>,</w:t>
      </w:r>
      <w:r w:rsidR="0095713B" w:rsidRPr="0095713B">
        <w:rPr>
          <w:sz w:val="28"/>
          <w:szCs w:val="28"/>
        </w:rPr>
        <w:t xml:space="preserve"> </w:t>
      </w:r>
      <w:r>
        <w:rPr>
          <w:sz w:val="28"/>
          <w:szCs w:val="28"/>
        </w:rPr>
        <w:t>questo</w:t>
      </w:r>
      <w:r w:rsidR="0095713B" w:rsidRPr="0095713B">
        <w:rPr>
          <w:sz w:val="28"/>
          <w:szCs w:val="28"/>
        </w:rPr>
        <w:t xml:space="preserve"> pregiudizio si può </w:t>
      </w:r>
      <w:r>
        <w:rPr>
          <w:sz w:val="28"/>
          <w:szCs w:val="28"/>
        </w:rPr>
        <w:t>considerare,</w:t>
      </w:r>
      <w:r w:rsidR="0095713B" w:rsidRPr="0095713B">
        <w:rPr>
          <w:sz w:val="28"/>
          <w:szCs w:val="28"/>
        </w:rPr>
        <w:t xml:space="preserve"> </w:t>
      </w:r>
      <w:r>
        <w:rPr>
          <w:sz w:val="28"/>
          <w:szCs w:val="28"/>
        </w:rPr>
        <w:t>anzitutto,</w:t>
      </w:r>
      <w:r w:rsidR="0095713B" w:rsidRPr="0095713B">
        <w:rPr>
          <w:sz w:val="28"/>
          <w:szCs w:val="28"/>
        </w:rPr>
        <w:t xml:space="preserve"> </w:t>
      </w:r>
      <w:r>
        <w:rPr>
          <w:sz w:val="28"/>
          <w:szCs w:val="28"/>
        </w:rPr>
        <w:t>come</w:t>
      </w:r>
      <w:r w:rsidR="0095713B" w:rsidRPr="0095713B">
        <w:rPr>
          <w:sz w:val="28"/>
          <w:szCs w:val="28"/>
        </w:rPr>
        <w:t xml:space="preserve"> </w:t>
      </w:r>
      <w:r w:rsidR="00F23E15">
        <w:rPr>
          <w:sz w:val="28"/>
          <w:szCs w:val="28"/>
        </w:rPr>
        <w:t xml:space="preserve">una </w:t>
      </w:r>
      <w:r w:rsidR="0095713B" w:rsidRPr="0095713B">
        <w:rPr>
          <w:sz w:val="28"/>
          <w:szCs w:val="28"/>
        </w:rPr>
        <w:t>lesione di un interesse giuridicamente apprezzabile</w:t>
      </w:r>
      <w:r w:rsidR="00F23E15">
        <w:rPr>
          <w:sz w:val="28"/>
          <w:szCs w:val="28"/>
        </w:rPr>
        <w:t>;</w:t>
      </w:r>
      <w:r w:rsidR="0095713B" w:rsidRPr="0095713B">
        <w:rPr>
          <w:sz w:val="28"/>
          <w:szCs w:val="28"/>
        </w:rPr>
        <w:t xml:space="preserve"> in secondo luogo, come </w:t>
      </w:r>
      <w:r w:rsidR="00F23E15">
        <w:rPr>
          <w:sz w:val="28"/>
          <w:szCs w:val="28"/>
        </w:rPr>
        <w:t xml:space="preserve">un </w:t>
      </w:r>
      <w:r w:rsidR="0095713B" w:rsidRPr="0095713B">
        <w:rPr>
          <w:sz w:val="28"/>
          <w:szCs w:val="28"/>
        </w:rPr>
        <w:t xml:space="preserve">effetto economico negativo; in </w:t>
      </w:r>
      <w:r w:rsidR="00F23E15">
        <w:rPr>
          <w:sz w:val="28"/>
          <w:szCs w:val="28"/>
        </w:rPr>
        <w:t>terzo luogo</w:t>
      </w:r>
      <w:r w:rsidR="0095713B" w:rsidRPr="0095713B">
        <w:rPr>
          <w:sz w:val="28"/>
          <w:szCs w:val="28"/>
        </w:rPr>
        <w:t>, come liquidazione pecuniaria dell’evento economico negativo</w:t>
      </w:r>
      <w:r w:rsidR="00EE6300">
        <w:rPr>
          <w:rStyle w:val="Rimandonotaapidipagina"/>
          <w:sz w:val="28"/>
          <w:szCs w:val="28"/>
        </w:rPr>
        <w:footnoteReference w:id="257"/>
      </w:r>
      <w:r w:rsidR="0095713B" w:rsidRPr="0095713B">
        <w:rPr>
          <w:sz w:val="28"/>
          <w:szCs w:val="28"/>
        </w:rPr>
        <w:t>.</w:t>
      </w:r>
    </w:p>
    <w:p w14:paraId="114F5BD7" w14:textId="778F0DDB" w:rsidR="0095713B" w:rsidRPr="0095713B" w:rsidRDefault="0095713B" w:rsidP="0096644C">
      <w:pPr>
        <w:pStyle w:val="NormaleWeb"/>
        <w:spacing w:before="0" w:beforeAutospacing="0" w:after="0" w:afterAutospacing="0"/>
        <w:jc w:val="both"/>
        <w:rPr>
          <w:sz w:val="28"/>
          <w:szCs w:val="28"/>
        </w:rPr>
      </w:pPr>
      <w:r w:rsidRPr="0095713B">
        <w:rPr>
          <w:sz w:val="28"/>
          <w:szCs w:val="28"/>
        </w:rPr>
        <w:t>Il danno ex art</w:t>
      </w:r>
      <w:r w:rsidR="00F23E15">
        <w:rPr>
          <w:sz w:val="28"/>
          <w:szCs w:val="28"/>
        </w:rPr>
        <w:t>.</w:t>
      </w:r>
      <w:r w:rsidRPr="0095713B">
        <w:rPr>
          <w:sz w:val="28"/>
          <w:szCs w:val="28"/>
        </w:rPr>
        <w:t xml:space="preserve"> 2043 c.c. è un danno </w:t>
      </w:r>
      <w:r w:rsidRPr="00F23E15">
        <w:rPr>
          <w:i/>
          <w:iCs/>
          <w:sz w:val="28"/>
          <w:szCs w:val="28"/>
        </w:rPr>
        <w:t>non iure</w:t>
      </w:r>
      <w:r w:rsidRPr="0095713B">
        <w:rPr>
          <w:sz w:val="28"/>
          <w:szCs w:val="28"/>
        </w:rPr>
        <w:t xml:space="preserve"> e </w:t>
      </w:r>
      <w:r w:rsidRPr="00F23E15">
        <w:rPr>
          <w:i/>
          <w:iCs/>
          <w:sz w:val="28"/>
          <w:szCs w:val="28"/>
        </w:rPr>
        <w:t xml:space="preserve">contra </w:t>
      </w:r>
      <w:proofErr w:type="spellStart"/>
      <w:r w:rsidRPr="00F23E15">
        <w:rPr>
          <w:i/>
          <w:iCs/>
          <w:sz w:val="28"/>
          <w:szCs w:val="28"/>
        </w:rPr>
        <w:t>ius</w:t>
      </w:r>
      <w:proofErr w:type="spellEnd"/>
      <w:r w:rsidR="00F23E15">
        <w:rPr>
          <w:i/>
          <w:iCs/>
          <w:sz w:val="28"/>
          <w:szCs w:val="28"/>
        </w:rPr>
        <w:t>,</w:t>
      </w:r>
      <w:r w:rsidRPr="0095713B">
        <w:rPr>
          <w:sz w:val="28"/>
          <w:szCs w:val="28"/>
        </w:rPr>
        <w:t xml:space="preserve"> perché generato da un comportamento non giustificato dall’ordinamento e che lede un interesse giuridicamente tutelato</w:t>
      </w:r>
      <w:r w:rsidR="00F23E15">
        <w:rPr>
          <w:sz w:val="28"/>
          <w:szCs w:val="28"/>
        </w:rPr>
        <w:t>. Ovviamente, g</w:t>
      </w:r>
      <w:r w:rsidRPr="0095713B">
        <w:rPr>
          <w:sz w:val="28"/>
          <w:szCs w:val="28"/>
        </w:rPr>
        <w:t>rava sulla parte che si dichiara lesa</w:t>
      </w:r>
      <w:r w:rsidR="00F23E15">
        <w:rPr>
          <w:sz w:val="28"/>
          <w:szCs w:val="28"/>
        </w:rPr>
        <w:t xml:space="preserve"> </w:t>
      </w:r>
      <w:r w:rsidRPr="0095713B">
        <w:rPr>
          <w:sz w:val="28"/>
          <w:szCs w:val="28"/>
        </w:rPr>
        <w:t>provare la sussistenza del nesso di causalità tra l’azione ed il danno ingiusto derivatone, nonché l’imputabilità soggettiva a carico del presunto offensore</w:t>
      </w:r>
      <w:r w:rsidR="00EE6300">
        <w:rPr>
          <w:rStyle w:val="Rimandonotaapidipagina"/>
          <w:sz w:val="28"/>
          <w:szCs w:val="28"/>
        </w:rPr>
        <w:footnoteReference w:id="258"/>
      </w:r>
      <w:r w:rsidRPr="0095713B">
        <w:rPr>
          <w:sz w:val="28"/>
          <w:szCs w:val="28"/>
        </w:rPr>
        <w:t>.</w:t>
      </w:r>
    </w:p>
    <w:p w14:paraId="071868E1" w14:textId="77777777" w:rsidR="00F23E15" w:rsidRDefault="00F23E15" w:rsidP="0096644C">
      <w:pPr>
        <w:pStyle w:val="NormaleWeb"/>
        <w:spacing w:before="0" w:beforeAutospacing="0" w:after="0" w:afterAutospacing="0"/>
        <w:jc w:val="both"/>
        <w:rPr>
          <w:sz w:val="28"/>
          <w:szCs w:val="28"/>
        </w:rPr>
      </w:pPr>
      <w:r>
        <w:rPr>
          <w:sz w:val="28"/>
          <w:szCs w:val="28"/>
        </w:rPr>
        <w:t>È interessante notare che nei casi di</w:t>
      </w:r>
      <w:r w:rsidR="0095713B" w:rsidRPr="0095713B">
        <w:rPr>
          <w:sz w:val="28"/>
          <w:szCs w:val="28"/>
        </w:rPr>
        <w:t xml:space="preserve"> diffamazione perpetuata in internet</w:t>
      </w:r>
      <w:r>
        <w:rPr>
          <w:sz w:val="28"/>
          <w:szCs w:val="28"/>
        </w:rPr>
        <w:t xml:space="preserve">, </w:t>
      </w:r>
      <w:r w:rsidR="0095713B" w:rsidRPr="0095713B">
        <w:rPr>
          <w:sz w:val="28"/>
          <w:szCs w:val="28"/>
        </w:rPr>
        <w:t>è stato registrato che in luogo dell’azione penale si è preferita quella civile del risarcimento del danno</w:t>
      </w:r>
      <w:r w:rsidR="00EE6300">
        <w:rPr>
          <w:rStyle w:val="Rimandonotaapidipagina"/>
          <w:sz w:val="28"/>
          <w:szCs w:val="28"/>
        </w:rPr>
        <w:footnoteReference w:id="259"/>
      </w:r>
      <w:r w:rsidR="0095713B" w:rsidRPr="0095713B">
        <w:rPr>
          <w:sz w:val="28"/>
          <w:szCs w:val="28"/>
        </w:rPr>
        <w:t xml:space="preserve"> ed inoltre, stante la difficoltà di provare il danno patrimoniale, ai sensi dell’articolo 2043 c.c., si è preferito ricorrere al danno di cui all’articolo 2059 c.c.</w:t>
      </w:r>
    </w:p>
    <w:p w14:paraId="459016F7" w14:textId="77777777" w:rsidR="00F23E15" w:rsidRDefault="00F23E15" w:rsidP="0096644C">
      <w:pPr>
        <w:pStyle w:val="NormaleWeb"/>
        <w:spacing w:before="0" w:beforeAutospacing="0" w:after="0" w:afterAutospacing="0"/>
        <w:jc w:val="both"/>
        <w:rPr>
          <w:sz w:val="28"/>
          <w:szCs w:val="28"/>
        </w:rPr>
      </w:pPr>
      <w:r>
        <w:rPr>
          <w:sz w:val="28"/>
          <w:szCs w:val="28"/>
        </w:rPr>
        <w:t xml:space="preserve">Molto spesso, infatti, </w:t>
      </w:r>
      <w:r w:rsidR="0095713B" w:rsidRPr="0095713B">
        <w:rPr>
          <w:sz w:val="28"/>
          <w:szCs w:val="28"/>
        </w:rPr>
        <w:t xml:space="preserve">il fatto illecito </w:t>
      </w:r>
      <w:r>
        <w:rPr>
          <w:sz w:val="28"/>
          <w:szCs w:val="28"/>
        </w:rPr>
        <w:t>genera comunque</w:t>
      </w:r>
      <w:r w:rsidR="0095713B" w:rsidRPr="0095713B">
        <w:rPr>
          <w:sz w:val="28"/>
          <w:szCs w:val="28"/>
        </w:rPr>
        <w:t xml:space="preserve"> un turbamento, una sofferenza interiore</w:t>
      </w:r>
      <w:r>
        <w:rPr>
          <w:sz w:val="28"/>
          <w:szCs w:val="28"/>
        </w:rPr>
        <w:t>,</w:t>
      </w:r>
      <w:r w:rsidR="0095713B" w:rsidRPr="0095713B">
        <w:rPr>
          <w:sz w:val="28"/>
          <w:szCs w:val="28"/>
        </w:rPr>
        <w:t xml:space="preserve"> con conseguenze pregiudizievoli </w:t>
      </w:r>
      <w:r>
        <w:rPr>
          <w:sz w:val="28"/>
          <w:szCs w:val="28"/>
        </w:rPr>
        <w:t>risarcibili</w:t>
      </w:r>
      <w:r w:rsidR="0095713B" w:rsidRPr="0095713B">
        <w:rPr>
          <w:sz w:val="28"/>
          <w:szCs w:val="28"/>
        </w:rPr>
        <w:t xml:space="preserve">. </w:t>
      </w:r>
    </w:p>
    <w:p w14:paraId="1C6DF1A6" w14:textId="77777777" w:rsidR="00F96C9B" w:rsidRDefault="0095713B" w:rsidP="0096644C">
      <w:pPr>
        <w:pStyle w:val="NormaleWeb"/>
        <w:spacing w:before="0" w:beforeAutospacing="0" w:after="0" w:afterAutospacing="0"/>
        <w:jc w:val="both"/>
        <w:rPr>
          <w:sz w:val="28"/>
          <w:szCs w:val="28"/>
        </w:rPr>
      </w:pPr>
      <w:r w:rsidRPr="0095713B">
        <w:rPr>
          <w:sz w:val="28"/>
          <w:szCs w:val="28"/>
        </w:rPr>
        <w:t>A</w:t>
      </w:r>
      <w:r w:rsidR="00F23E15">
        <w:rPr>
          <w:sz w:val="28"/>
          <w:szCs w:val="28"/>
        </w:rPr>
        <w:t>l riguardo, deve</w:t>
      </w:r>
      <w:r w:rsidRPr="0095713B">
        <w:rPr>
          <w:sz w:val="28"/>
          <w:szCs w:val="28"/>
        </w:rPr>
        <w:t xml:space="preserve"> </w:t>
      </w:r>
      <w:r w:rsidR="00F23E15">
        <w:rPr>
          <w:sz w:val="28"/>
          <w:szCs w:val="28"/>
        </w:rPr>
        <w:t>essere illustrato</w:t>
      </w:r>
      <w:r w:rsidRPr="0095713B">
        <w:rPr>
          <w:sz w:val="28"/>
          <w:szCs w:val="28"/>
        </w:rPr>
        <w:t xml:space="preserve"> brevemente il contributo delle S</w:t>
      </w:r>
      <w:r w:rsidR="00F23E15">
        <w:rPr>
          <w:sz w:val="28"/>
          <w:szCs w:val="28"/>
        </w:rPr>
        <w:t xml:space="preserve">ezioni </w:t>
      </w:r>
      <w:r w:rsidRPr="0095713B">
        <w:rPr>
          <w:sz w:val="28"/>
          <w:szCs w:val="28"/>
        </w:rPr>
        <w:t>U</w:t>
      </w:r>
      <w:r w:rsidR="00F23E15">
        <w:rPr>
          <w:sz w:val="28"/>
          <w:szCs w:val="28"/>
        </w:rPr>
        <w:t>nite della Cassazione che,</w:t>
      </w:r>
      <w:r w:rsidRPr="0095713B">
        <w:rPr>
          <w:sz w:val="28"/>
          <w:szCs w:val="28"/>
        </w:rPr>
        <w:t xml:space="preserve"> con le c.d. sentenze gemelle </w:t>
      </w:r>
      <w:r w:rsidR="00F23E15">
        <w:rPr>
          <w:sz w:val="28"/>
          <w:szCs w:val="28"/>
        </w:rPr>
        <w:t xml:space="preserve">del </w:t>
      </w:r>
      <w:r w:rsidR="00F23E15" w:rsidRPr="0095713B">
        <w:rPr>
          <w:sz w:val="28"/>
          <w:szCs w:val="28"/>
        </w:rPr>
        <w:t>2008</w:t>
      </w:r>
      <w:r w:rsidR="00F23E15">
        <w:rPr>
          <w:sz w:val="28"/>
          <w:szCs w:val="28"/>
        </w:rPr>
        <w:t xml:space="preserve">, </w:t>
      </w:r>
      <w:r w:rsidRPr="0095713B">
        <w:rPr>
          <w:sz w:val="28"/>
          <w:szCs w:val="28"/>
        </w:rPr>
        <w:t xml:space="preserve">hanno ridefinito i confini del danno non patrimoniale. </w:t>
      </w:r>
      <w:r w:rsidR="00F23E15">
        <w:rPr>
          <w:sz w:val="28"/>
          <w:szCs w:val="28"/>
        </w:rPr>
        <w:t>La Corte ha</w:t>
      </w:r>
      <w:r w:rsidR="00F23E15" w:rsidRPr="0095713B">
        <w:rPr>
          <w:sz w:val="28"/>
          <w:szCs w:val="28"/>
        </w:rPr>
        <w:t>, infatti,</w:t>
      </w:r>
      <w:r w:rsidRPr="0095713B">
        <w:rPr>
          <w:sz w:val="28"/>
          <w:szCs w:val="28"/>
        </w:rPr>
        <w:t xml:space="preserve"> ricon</w:t>
      </w:r>
      <w:r w:rsidR="00F23E15">
        <w:rPr>
          <w:sz w:val="28"/>
          <w:szCs w:val="28"/>
        </w:rPr>
        <w:t>dotto</w:t>
      </w:r>
      <w:r w:rsidRPr="0095713B">
        <w:rPr>
          <w:sz w:val="28"/>
          <w:szCs w:val="28"/>
        </w:rPr>
        <w:t xml:space="preserve"> ad unità fenomenica e giuridica il danno non patrimoniale, sancendo l’unitarietà del pregiudizio le cui differenti denominazioni (danno morale, </w:t>
      </w:r>
      <w:r w:rsidR="00F23E15">
        <w:rPr>
          <w:sz w:val="28"/>
          <w:szCs w:val="28"/>
        </w:rPr>
        <w:t xml:space="preserve">danno </w:t>
      </w:r>
      <w:r w:rsidRPr="0095713B">
        <w:rPr>
          <w:sz w:val="28"/>
          <w:szCs w:val="28"/>
        </w:rPr>
        <w:t xml:space="preserve">biologico, danno da perdita del rapporto parentale) sono semplicemente descrittive. </w:t>
      </w:r>
    </w:p>
    <w:p w14:paraId="2C83036D" w14:textId="61A1E4C2" w:rsidR="0095713B" w:rsidRPr="0095713B" w:rsidRDefault="00F96C9B" w:rsidP="0096644C">
      <w:pPr>
        <w:pStyle w:val="NormaleWeb"/>
        <w:spacing w:before="0" w:beforeAutospacing="0" w:after="0" w:afterAutospacing="0"/>
        <w:jc w:val="both"/>
        <w:rPr>
          <w:sz w:val="28"/>
          <w:szCs w:val="28"/>
        </w:rPr>
      </w:pPr>
      <w:r>
        <w:rPr>
          <w:sz w:val="28"/>
          <w:szCs w:val="28"/>
        </w:rPr>
        <w:lastRenderedPageBreak/>
        <w:t>Se il</w:t>
      </w:r>
      <w:r w:rsidR="0095713B" w:rsidRPr="0095713B">
        <w:rPr>
          <w:sz w:val="28"/>
          <w:szCs w:val="28"/>
        </w:rPr>
        <w:t xml:space="preserve"> fatto illecito si configur</w:t>
      </w:r>
      <w:r>
        <w:rPr>
          <w:sz w:val="28"/>
          <w:szCs w:val="28"/>
        </w:rPr>
        <w:t>a</w:t>
      </w:r>
      <w:r w:rsidR="0095713B" w:rsidRPr="0095713B">
        <w:rPr>
          <w:sz w:val="28"/>
          <w:szCs w:val="28"/>
        </w:rPr>
        <w:t xml:space="preserve"> come reato, </w:t>
      </w:r>
      <w:r>
        <w:rPr>
          <w:sz w:val="28"/>
          <w:szCs w:val="28"/>
        </w:rPr>
        <w:t xml:space="preserve">dunque, </w:t>
      </w:r>
      <w:r w:rsidR="0095713B" w:rsidRPr="0095713B">
        <w:rPr>
          <w:sz w:val="28"/>
          <w:szCs w:val="28"/>
        </w:rPr>
        <w:t>è risarcibile il danno non patrimoniale sofferto dalla persona offesa nella sua più ampia accezione di danno determinato dalla lesione di interessi inerenti alla persona, non connotati da rilevanza economica</w:t>
      </w:r>
      <w:r w:rsidR="00EE6300">
        <w:rPr>
          <w:rStyle w:val="Rimandonotaapidipagina"/>
          <w:sz w:val="28"/>
          <w:szCs w:val="28"/>
        </w:rPr>
        <w:footnoteReference w:id="260"/>
      </w:r>
      <w:r w:rsidR="0095713B" w:rsidRPr="0095713B">
        <w:rPr>
          <w:sz w:val="28"/>
          <w:szCs w:val="28"/>
        </w:rPr>
        <w:t xml:space="preserve">. Nel caso </w:t>
      </w:r>
      <w:r>
        <w:rPr>
          <w:sz w:val="28"/>
          <w:szCs w:val="28"/>
        </w:rPr>
        <w:t>di</w:t>
      </w:r>
      <w:r w:rsidR="0095713B" w:rsidRPr="0095713B">
        <w:rPr>
          <w:sz w:val="28"/>
          <w:szCs w:val="28"/>
        </w:rPr>
        <w:t xml:space="preserve"> diffamazione</w:t>
      </w:r>
      <w:r>
        <w:rPr>
          <w:sz w:val="28"/>
          <w:szCs w:val="28"/>
        </w:rPr>
        <w:t xml:space="preserve">, quindi, </w:t>
      </w:r>
      <w:r w:rsidR="0095713B" w:rsidRPr="0095713B">
        <w:rPr>
          <w:sz w:val="28"/>
          <w:szCs w:val="28"/>
        </w:rPr>
        <w:t>qualora non si possano riscontrare degenerazioni patologiche della sofferenza</w:t>
      </w:r>
      <w:r>
        <w:rPr>
          <w:sz w:val="28"/>
          <w:szCs w:val="28"/>
        </w:rPr>
        <w:t>,</w:t>
      </w:r>
      <w:r w:rsidR="0095713B" w:rsidRPr="0095713B">
        <w:rPr>
          <w:sz w:val="28"/>
          <w:szCs w:val="28"/>
        </w:rPr>
        <w:t xml:space="preserve"> si verificherà il danno morale, ove sia allegato il turbamento dell’animo o il dolore intimo sofferti</w:t>
      </w:r>
      <w:r w:rsidR="00EE6300">
        <w:rPr>
          <w:rStyle w:val="Rimandonotaapidipagina"/>
          <w:sz w:val="28"/>
          <w:szCs w:val="28"/>
        </w:rPr>
        <w:footnoteReference w:id="261"/>
      </w:r>
      <w:r w:rsidR="0095713B" w:rsidRPr="0095713B">
        <w:rPr>
          <w:sz w:val="28"/>
          <w:szCs w:val="28"/>
        </w:rPr>
        <w:t>.</w:t>
      </w:r>
    </w:p>
    <w:p w14:paraId="28292C8E" w14:textId="77777777" w:rsidR="00F96C9B" w:rsidRDefault="00F96C9B" w:rsidP="0096644C">
      <w:pPr>
        <w:pStyle w:val="NormaleWeb"/>
        <w:spacing w:before="0" w:beforeAutospacing="0" w:after="0" w:afterAutospacing="0"/>
        <w:jc w:val="both"/>
        <w:rPr>
          <w:sz w:val="28"/>
          <w:szCs w:val="28"/>
        </w:rPr>
      </w:pPr>
      <w:r>
        <w:rPr>
          <w:sz w:val="28"/>
          <w:szCs w:val="28"/>
        </w:rPr>
        <w:t>Il giudice di merito deve</w:t>
      </w:r>
      <w:r w:rsidR="0095713B" w:rsidRPr="0095713B">
        <w:rPr>
          <w:sz w:val="28"/>
          <w:szCs w:val="28"/>
        </w:rPr>
        <w:t xml:space="preserve"> accertare l</w:t>
      </w:r>
      <w:r>
        <w:rPr>
          <w:sz w:val="28"/>
          <w:szCs w:val="28"/>
        </w:rPr>
        <w:t>’</w:t>
      </w:r>
      <w:r w:rsidR="0095713B" w:rsidRPr="0095713B">
        <w:rPr>
          <w:sz w:val="28"/>
          <w:szCs w:val="28"/>
        </w:rPr>
        <w:t xml:space="preserve">effettiva consistenza del pregiudizio allegato, a prescindere dal nome attribuitogli, individuando quali ripercussioni negative sul valore-uomo si siano verificate e provvedendo alla loro integrale riparazione. </w:t>
      </w:r>
    </w:p>
    <w:p w14:paraId="3927288B" w14:textId="37159C5A" w:rsidR="0095713B" w:rsidRPr="0095713B" w:rsidRDefault="0095713B" w:rsidP="0096644C">
      <w:pPr>
        <w:pStyle w:val="NormaleWeb"/>
        <w:spacing w:before="0" w:beforeAutospacing="0" w:after="0" w:afterAutospacing="0"/>
        <w:jc w:val="both"/>
        <w:rPr>
          <w:sz w:val="28"/>
          <w:szCs w:val="28"/>
        </w:rPr>
      </w:pPr>
      <w:r w:rsidRPr="0095713B">
        <w:rPr>
          <w:sz w:val="28"/>
          <w:szCs w:val="28"/>
        </w:rPr>
        <w:t xml:space="preserve">La prova del danno </w:t>
      </w:r>
      <w:r w:rsidR="00F96C9B">
        <w:rPr>
          <w:sz w:val="28"/>
          <w:szCs w:val="28"/>
        </w:rPr>
        <w:t>è a carico</w:t>
      </w:r>
      <w:r w:rsidRPr="0095713B">
        <w:rPr>
          <w:sz w:val="28"/>
          <w:szCs w:val="28"/>
        </w:rPr>
        <w:t xml:space="preserve"> sulla parte lesa</w:t>
      </w:r>
      <w:r w:rsidR="00F96C9B">
        <w:rPr>
          <w:sz w:val="28"/>
          <w:szCs w:val="28"/>
        </w:rPr>
        <w:t>,</w:t>
      </w:r>
      <w:r w:rsidRPr="0095713B">
        <w:rPr>
          <w:sz w:val="28"/>
          <w:szCs w:val="28"/>
        </w:rPr>
        <w:t xml:space="preserve"> che potrà </w:t>
      </w:r>
      <w:r w:rsidR="00F96C9B">
        <w:rPr>
          <w:sz w:val="28"/>
          <w:szCs w:val="28"/>
        </w:rPr>
        <w:t xml:space="preserve">però </w:t>
      </w:r>
      <w:r w:rsidRPr="0095713B">
        <w:rPr>
          <w:sz w:val="28"/>
          <w:szCs w:val="28"/>
        </w:rPr>
        <w:t>servirsi anche di mezzi di prova presuntivi che testimonino che lo scritto offensivo abbia ingenerato una ripercussione dolorosa nella sfera personale. I danni così provati</w:t>
      </w:r>
      <w:r w:rsidR="00F96C9B">
        <w:rPr>
          <w:sz w:val="28"/>
          <w:szCs w:val="28"/>
        </w:rPr>
        <w:t xml:space="preserve"> non </w:t>
      </w:r>
      <w:r w:rsidRPr="0095713B">
        <w:rPr>
          <w:sz w:val="28"/>
          <w:szCs w:val="28"/>
        </w:rPr>
        <w:t>potranno che essere liquidati in via equitativa</w:t>
      </w:r>
      <w:r w:rsidR="00EE6300">
        <w:rPr>
          <w:rStyle w:val="Rimandonotaapidipagina"/>
          <w:sz w:val="28"/>
          <w:szCs w:val="28"/>
        </w:rPr>
        <w:footnoteReference w:id="262"/>
      </w:r>
      <w:r w:rsidRPr="0095713B">
        <w:rPr>
          <w:sz w:val="28"/>
          <w:szCs w:val="28"/>
        </w:rPr>
        <w:t>.</w:t>
      </w:r>
    </w:p>
    <w:p w14:paraId="6384FD7A" w14:textId="77777777" w:rsidR="00F96C9B" w:rsidRDefault="00F96C9B" w:rsidP="0096644C">
      <w:pPr>
        <w:pStyle w:val="NormaleWeb"/>
        <w:spacing w:before="0" w:beforeAutospacing="0" w:after="0" w:afterAutospacing="0"/>
        <w:jc w:val="both"/>
        <w:rPr>
          <w:sz w:val="28"/>
          <w:szCs w:val="28"/>
        </w:rPr>
      </w:pPr>
      <w:r>
        <w:rPr>
          <w:sz w:val="28"/>
          <w:szCs w:val="28"/>
        </w:rPr>
        <w:t>Molteplici sono i</w:t>
      </w:r>
      <w:r w:rsidR="0095713B" w:rsidRPr="0095713B">
        <w:rPr>
          <w:sz w:val="28"/>
          <w:szCs w:val="28"/>
        </w:rPr>
        <w:t xml:space="preserve"> parametri di quantificazione del danno adoperati dalla giurisprudenza con specifico riferimento alla liquidazione del danno da diffamazione a mezzo di comunicazione di massa</w:t>
      </w:r>
      <w:r>
        <w:rPr>
          <w:sz w:val="28"/>
          <w:szCs w:val="28"/>
        </w:rPr>
        <w:t>.</w:t>
      </w:r>
    </w:p>
    <w:p w14:paraId="2542A7DE" w14:textId="77777777" w:rsidR="003569C6" w:rsidRDefault="003569C6" w:rsidP="0096644C">
      <w:pPr>
        <w:pStyle w:val="NormaleWeb"/>
        <w:spacing w:before="0" w:beforeAutospacing="0" w:after="0" w:afterAutospacing="0"/>
        <w:jc w:val="both"/>
        <w:rPr>
          <w:sz w:val="28"/>
          <w:szCs w:val="28"/>
        </w:rPr>
      </w:pPr>
      <w:r>
        <w:rPr>
          <w:sz w:val="28"/>
          <w:szCs w:val="28"/>
        </w:rPr>
        <w:t>Anzitutto rileva</w:t>
      </w:r>
      <w:r w:rsidR="0095713B" w:rsidRPr="0095713B">
        <w:rPr>
          <w:sz w:val="28"/>
          <w:szCs w:val="28"/>
        </w:rPr>
        <w:t xml:space="preserve"> la diffusività della notizia</w:t>
      </w:r>
      <w:r>
        <w:rPr>
          <w:sz w:val="28"/>
          <w:szCs w:val="28"/>
        </w:rPr>
        <w:t>,</w:t>
      </w:r>
      <w:r w:rsidR="0095713B" w:rsidRPr="0095713B">
        <w:rPr>
          <w:sz w:val="28"/>
          <w:szCs w:val="28"/>
        </w:rPr>
        <w:t xml:space="preserve"> con riguardo</w:t>
      </w:r>
      <w:r>
        <w:rPr>
          <w:sz w:val="28"/>
          <w:szCs w:val="28"/>
        </w:rPr>
        <w:t xml:space="preserve"> </w:t>
      </w:r>
      <w:r w:rsidR="0095713B" w:rsidRPr="0095713B">
        <w:rPr>
          <w:sz w:val="28"/>
          <w:szCs w:val="28"/>
        </w:rPr>
        <w:t xml:space="preserve">alla notorietà del diffamante; </w:t>
      </w:r>
      <w:r>
        <w:rPr>
          <w:sz w:val="28"/>
          <w:szCs w:val="28"/>
        </w:rPr>
        <w:t xml:space="preserve">poi è importante un’eventuale </w:t>
      </w:r>
      <w:r w:rsidR="0095713B" w:rsidRPr="0095713B">
        <w:rPr>
          <w:sz w:val="28"/>
          <w:szCs w:val="28"/>
        </w:rPr>
        <w:t xml:space="preserve">reiterazione della condotta; </w:t>
      </w:r>
      <w:r>
        <w:rPr>
          <w:sz w:val="28"/>
          <w:szCs w:val="28"/>
        </w:rPr>
        <w:t>si guarda anche al</w:t>
      </w:r>
      <w:r w:rsidR="0095713B" w:rsidRPr="0095713B">
        <w:rPr>
          <w:sz w:val="28"/>
          <w:szCs w:val="28"/>
        </w:rPr>
        <w:t>la</w:t>
      </w:r>
      <w:r w:rsidR="00EE6300">
        <w:rPr>
          <w:sz w:val="28"/>
          <w:szCs w:val="28"/>
        </w:rPr>
        <w:t xml:space="preserve"> </w:t>
      </w:r>
      <w:r w:rsidR="0095713B" w:rsidRPr="0095713B">
        <w:rPr>
          <w:sz w:val="28"/>
          <w:szCs w:val="28"/>
        </w:rPr>
        <w:t xml:space="preserve">collocazione della notizia/commento </w:t>
      </w:r>
      <w:r>
        <w:rPr>
          <w:sz w:val="28"/>
          <w:szCs w:val="28"/>
        </w:rPr>
        <w:t>(</w:t>
      </w:r>
      <w:r w:rsidR="0095713B" w:rsidRPr="0095713B">
        <w:rPr>
          <w:sz w:val="28"/>
          <w:szCs w:val="28"/>
        </w:rPr>
        <w:t>se in una posizione rilevante rispetto ad altre</w:t>
      </w:r>
      <w:r w:rsidR="00EE6300">
        <w:rPr>
          <w:rStyle w:val="Rimandonotaapidipagina"/>
          <w:sz w:val="28"/>
          <w:szCs w:val="28"/>
        </w:rPr>
        <w:footnoteReference w:id="263"/>
      </w:r>
      <w:r>
        <w:rPr>
          <w:sz w:val="28"/>
          <w:szCs w:val="28"/>
        </w:rPr>
        <w:t>)</w:t>
      </w:r>
      <w:r w:rsidR="0095713B" w:rsidRPr="0095713B">
        <w:rPr>
          <w:sz w:val="28"/>
          <w:szCs w:val="28"/>
        </w:rPr>
        <w:t>; al mezzo</w:t>
      </w:r>
      <w:r>
        <w:rPr>
          <w:sz w:val="28"/>
          <w:szCs w:val="28"/>
        </w:rPr>
        <w:t xml:space="preserve"> (</w:t>
      </w:r>
      <w:r w:rsidR="0095713B" w:rsidRPr="0095713B">
        <w:rPr>
          <w:sz w:val="28"/>
          <w:szCs w:val="28"/>
        </w:rPr>
        <w:t>se sia o meno idoneo ad una più capillare diffusione</w:t>
      </w:r>
      <w:r>
        <w:rPr>
          <w:sz w:val="28"/>
          <w:szCs w:val="28"/>
        </w:rPr>
        <w:t>)</w:t>
      </w:r>
      <w:r w:rsidR="0095713B" w:rsidRPr="0095713B">
        <w:rPr>
          <w:sz w:val="28"/>
          <w:szCs w:val="28"/>
        </w:rPr>
        <w:t xml:space="preserve">; </w:t>
      </w:r>
      <w:r>
        <w:rPr>
          <w:sz w:val="28"/>
          <w:szCs w:val="28"/>
        </w:rPr>
        <w:t>è importante, inoltre, la</w:t>
      </w:r>
      <w:r w:rsidR="0095713B" w:rsidRPr="0095713B">
        <w:rPr>
          <w:sz w:val="28"/>
          <w:szCs w:val="28"/>
        </w:rPr>
        <w:t xml:space="preserve"> risonanza mediatica suscitata dalle notizie diffamatorie. </w:t>
      </w:r>
      <w:r>
        <w:rPr>
          <w:sz w:val="28"/>
          <w:szCs w:val="28"/>
        </w:rPr>
        <w:t xml:space="preserve">Ma non solo. Si guarda anche </w:t>
      </w:r>
      <w:r w:rsidR="0095713B" w:rsidRPr="0095713B">
        <w:rPr>
          <w:sz w:val="28"/>
          <w:szCs w:val="28"/>
        </w:rPr>
        <w:t xml:space="preserve">alla posizione sociale ricoperta dal diffamato, senza </w:t>
      </w:r>
      <w:r>
        <w:rPr>
          <w:sz w:val="28"/>
          <w:szCs w:val="28"/>
        </w:rPr>
        <w:t>però</w:t>
      </w:r>
      <w:r w:rsidR="0095713B" w:rsidRPr="0095713B">
        <w:rPr>
          <w:sz w:val="28"/>
          <w:szCs w:val="28"/>
        </w:rPr>
        <w:t xml:space="preserve"> distinguere tra reputazione professionale e personale, poiché la rilevanza è data alla complessiva diminuzione del valore della persona. </w:t>
      </w:r>
    </w:p>
    <w:p w14:paraId="1485D3F3" w14:textId="2926A342" w:rsidR="0095713B" w:rsidRPr="0095713B" w:rsidRDefault="0095713B" w:rsidP="0096644C">
      <w:pPr>
        <w:pStyle w:val="NormaleWeb"/>
        <w:spacing w:before="0" w:beforeAutospacing="0" w:after="0" w:afterAutospacing="0"/>
        <w:jc w:val="both"/>
        <w:rPr>
          <w:sz w:val="28"/>
          <w:szCs w:val="28"/>
        </w:rPr>
      </w:pPr>
      <w:r w:rsidRPr="0095713B">
        <w:rPr>
          <w:sz w:val="28"/>
          <w:szCs w:val="28"/>
        </w:rPr>
        <w:t xml:space="preserve">Certamente </w:t>
      </w:r>
      <w:r w:rsidR="003569C6">
        <w:rPr>
          <w:sz w:val="28"/>
          <w:szCs w:val="28"/>
        </w:rPr>
        <w:t>rileva l’</w:t>
      </w:r>
      <w:r w:rsidR="003569C6" w:rsidRPr="003569C6">
        <w:rPr>
          <w:i/>
          <w:iCs/>
          <w:sz w:val="28"/>
          <w:szCs w:val="28"/>
        </w:rPr>
        <w:t xml:space="preserve">animus </w:t>
      </w:r>
      <w:proofErr w:type="spellStart"/>
      <w:r w:rsidR="003569C6" w:rsidRPr="003569C6">
        <w:rPr>
          <w:i/>
          <w:iCs/>
          <w:sz w:val="28"/>
          <w:szCs w:val="28"/>
        </w:rPr>
        <w:t>diffamandi</w:t>
      </w:r>
      <w:proofErr w:type="spellEnd"/>
      <w:r w:rsidR="003569C6">
        <w:rPr>
          <w:i/>
          <w:iCs/>
          <w:sz w:val="28"/>
          <w:szCs w:val="28"/>
        </w:rPr>
        <w:t xml:space="preserve">, </w:t>
      </w:r>
      <w:r w:rsidR="003569C6" w:rsidRPr="003569C6">
        <w:rPr>
          <w:sz w:val="28"/>
          <w:szCs w:val="28"/>
        </w:rPr>
        <w:t xml:space="preserve">quindi </w:t>
      </w:r>
      <w:r w:rsidRPr="0095713B">
        <w:rPr>
          <w:sz w:val="28"/>
          <w:szCs w:val="28"/>
        </w:rPr>
        <w:t>la presenza o meno degli elementi esimenti</w:t>
      </w:r>
      <w:r w:rsidR="003569C6">
        <w:rPr>
          <w:sz w:val="28"/>
          <w:szCs w:val="28"/>
        </w:rPr>
        <w:t xml:space="preserve"> richiamati. Infatti, </w:t>
      </w:r>
      <w:r w:rsidRPr="0095713B">
        <w:rPr>
          <w:sz w:val="28"/>
          <w:szCs w:val="28"/>
        </w:rPr>
        <w:t xml:space="preserve">pur bastando l’elemento della colpa, l’intensità dell’elemento psicologico certamente rileva nella quantificazione del danno. Ancora rilevano le conseguenze dell’azione </w:t>
      </w:r>
      <w:r w:rsidR="00CD73CD" w:rsidRPr="0095713B">
        <w:rPr>
          <w:sz w:val="28"/>
          <w:szCs w:val="28"/>
        </w:rPr>
        <w:t>diffamator</w:t>
      </w:r>
      <w:r w:rsidR="00CD73CD">
        <w:rPr>
          <w:sz w:val="28"/>
          <w:szCs w:val="28"/>
        </w:rPr>
        <w:t xml:space="preserve">ia: </w:t>
      </w:r>
      <w:r w:rsidRPr="0095713B">
        <w:rPr>
          <w:sz w:val="28"/>
          <w:szCs w:val="28"/>
        </w:rPr>
        <w:t>in senso favorevole al diffamante</w:t>
      </w:r>
      <w:r w:rsidR="00CD73CD">
        <w:rPr>
          <w:sz w:val="28"/>
          <w:szCs w:val="28"/>
        </w:rPr>
        <w:t xml:space="preserve"> acquisiscono importanza</w:t>
      </w:r>
      <w:r w:rsidRPr="0095713B">
        <w:rPr>
          <w:sz w:val="28"/>
          <w:szCs w:val="28"/>
        </w:rPr>
        <w:t xml:space="preserve"> </w:t>
      </w:r>
      <w:r w:rsidR="00CD73CD">
        <w:rPr>
          <w:sz w:val="28"/>
          <w:szCs w:val="28"/>
        </w:rPr>
        <w:t xml:space="preserve">alcuni </w:t>
      </w:r>
      <w:r w:rsidRPr="0095713B">
        <w:rPr>
          <w:sz w:val="28"/>
          <w:szCs w:val="28"/>
        </w:rPr>
        <w:t>comportamenti quali la ratifica delle dichiarazioni ovvero la pubblicazione della sentenza in uno o più quotidiani.</w:t>
      </w:r>
    </w:p>
    <w:p w14:paraId="6D20E019" w14:textId="04580E8D" w:rsidR="0095713B" w:rsidRPr="0095713B" w:rsidRDefault="00CD73CD" w:rsidP="0096644C">
      <w:pPr>
        <w:pStyle w:val="NormaleWeb"/>
        <w:spacing w:before="0" w:beforeAutospacing="0" w:after="0" w:afterAutospacing="0"/>
        <w:jc w:val="both"/>
        <w:rPr>
          <w:sz w:val="28"/>
          <w:szCs w:val="28"/>
        </w:rPr>
      </w:pPr>
      <w:r>
        <w:rPr>
          <w:sz w:val="28"/>
          <w:szCs w:val="28"/>
        </w:rPr>
        <w:t>In base alle decisioni risarcitorie della giurisprudenza, sono state previste</w:t>
      </w:r>
      <w:r w:rsidR="0095713B" w:rsidRPr="0095713B">
        <w:rPr>
          <w:sz w:val="28"/>
          <w:szCs w:val="28"/>
        </w:rPr>
        <w:t xml:space="preserve"> cinque categorie di diffamazione, sulla base del grado di lesività dell’offesa complessivamente </w:t>
      </w:r>
      <w:r w:rsidR="0095713B" w:rsidRPr="0095713B">
        <w:rPr>
          <w:sz w:val="28"/>
          <w:szCs w:val="28"/>
        </w:rPr>
        <w:lastRenderedPageBreak/>
        <w:t>considerata</w:t>
      </w:r>
      <w:r w:rsidR="00EE6300">
        <w:rPr>
          <w:rStyle w:val="Rimandonotaapidipagina"/>
          <w:sz w:val="28"/>
          <w:szCs w:val="28"/>
        </w:rPr>
        <w:footnoteReference w:id="264"/>
      </w:r>
      <w:r w:rsidR="0095713B" w:rsidRPr="0095713B">
        <w:rPr>
          <w:sz w:val="28"/>
          <w:szCs w:val="28"/>
        </w:rPr>
        <w:t xml:space="preserve">. </w:t>
      </w:r>
      <w:r>
        <w:rPr>
          <w:sz w:val="28"/>
          <w:szCs w:val="28"/>
        </w:rPr>
        <w:t>Le fasce sono</w:t>
      </w:r>
      <w:r w:rsidR="0095713B" w:rsidRPr="0095713B">
        <w:rPr>
          <w:sz w:val="28"/>
          <w:szCs w:val="28"/>
        </w:rPr>
        <w:t xml:space="preserve"> </w:t>
      </w:r>
      <w:r>
        <w:rPr>
          <w:sz w:val="28"/>
          <w:szCs w:val="28"/>
        </w:rPr>
        <w:t>le seguenti:</w:t>
      </w:r>
      <w:r w:rsidR="0095713B" w:rsidRPr="0095713B">
        <w:rPr>
          <w:sz w:val="28"/>
          <w:szCs w:val="28"/>
        </w:rPr>
        <w:t xml:space="preserve"> tenue gravità, modesta gravità, media gravità, elevata gravità ed eccezionale gravità</w:t>
      </w:r>
      <w:r>
        <w:rPr>
          <w:sz w:val="28"/>
          <w:szCs w:val="28"/>
        </w:rPr>
        <w:t xml:space="preserve">; la collocazione del fatto di reato </w:t>
      </w:r>
      <w:r w:rsidR="0095713B" w:rsidRPr="0095713B">
        <w:rPr>
          <w:sz w:val="28"/>
          <w:szCs w:val="28"/>
        </w:rPr>
        <w:t>dipenderà certamente dalla posizione ricoperta dal diffamato, ma parimenti dal grado di diffusività della notizia.</w:t>
      </w:r>
    </w:p>
    <w:p w14:paraId="21422295" w14:textId="0D6CD5BD" w:rsidR="0095713B" w:rsidRPr="0095713B" w:rsidRDefault="00CD73CD" w:rsidP="0096644C">
      <w:pPr>
        <w:pStyle w:val="NormaleWeb"/>
        <w:spacing w:before="0" w:beforeAutospacing="0" w:after="0" w:afterAutospacing="0"/>
        <w:jc w:val="both"/>
        <w:rPr>
          <w:sz w:val="28"/>
          <w:szCs w:val="28"/>
        </w:rPr>
      </w:pPr>
      <w:r>
        <w:rPr>
          <w:sz w:val="28"/>
          <w:szCs w:val="28"/>
        </w:rPr>
        <w:t xml:space="preserve">Ebbene, ci chiediamo se le </w:t>
      </w:r>
      <w:r w:rsidR="0095713B" w:rsidRPr="0095713B">
        <w:rPr>
          <w:sz w:val="28"/>
          <w:szCs w:val="28"/>
        </w:rPr>
        <w:t xml:space="preserve">categorie sopra rappresentate </w:t>
      </w:r>
      <w:r>
        <w:rPr>
          <w:sz w:val="28"/>
          <w:szCs w:val="28"/>
        </w:rPr>
        <w:t>sono o meno</w:t>
      </w:r>
      <w:r w:rsidR="0095713B" w:rsidRPr="0095713B">
        <w:rPr>
          <w:sz w:val="28"/>
          <w:szCs w:val="28"/>
        </w:rPr>
        <w:t xml:space="preserve"> idonee a trovare applicazione nel mondo di internet</w:t>
      </w:r>
      <w:r>
        <w:rPr>
          <w:sz w:val="28"/>
          <w:szCs w:val="28"/>
        </w:rPr>
        <w:t xml:space="preserve">: </w:t>
      </w:r>
      <w:r w:rsidR="0095713B" w:rsidRPr="0095713B">
        <w:rPr>
          <w:sz w:val="28"/>
          <w:szCs w:val="28"/>
        </w:rPr>
        <w:t xml:space="preserve">nel grado di elevata gravità, oltre all’intensità dell’elemento soggettivo o </w:t>
      </w:r>
      <w:r w:rsidR="00A76A72">
        <w:rPr>
          <w:sz w:val="28"/>
          <w:szCs w:val="28"/>
        </w:rPr>
        <w:t xml:space="preserve">alla </w:t>
      </w:r>
      <w:r w:rsidR="0095713B" w:rsidRPr="0095713B">
        <w:rPr>
          <w:sz w:val="28"/>
          <w:szCs w:val="28"/>
        </w:rPr>
        <w:t xml:space="preserve">gravità del discredito, si fa riferimento alla risonanza mediatica. </w:t>
      </w:r>
      <w:r w:rsidR="00A76A72">
        <w:rPr>
          <w:sz w:val="28"/>
          <w:szCs w:val="28"/>
        </w:rPr>
        <w:t>Sulle</w:t>
      </w:r>
      <w:r w:rsidR="0095713B" w:rsidRPr="0095713B">
        <w:rPr>
          <w:sz w:val="28"/>
          <w:szCs w:val="28"/>
        </w:rPr>
        <w:t xml:space="preserve"> piattaforme </w:t>
      </w:r>
      <w:r w:rsidR="0095713B" w:rsidRPr="00A76A72">
        <w:rPr>
          <w:i/>
          <w:iCs/>
          <w:sz w:val="28"/>
          <w:szCs w:val="28"/>
        </w:rPr>
        <w:t>social</w:t>
      </w:r>
      <w:r w:rsidR="0095713B" w:rsidRPr="0095713B">
        <w:rPr>
          <w:sz w:val="28"/>
          <w:szCs w:val="28"/>
        </w:rPr>
        <w:t xml:space="preserve"> è già intrinseca questa risonanza mediatica, indipendentemente dalla gravità dell’offesa o dall’intensità del dolo. </w:t>
      </w:r>
      <w:r w:rsidR="00A76A72">
        <w:rPr>
          <w:sz w:val="28"/>
          <w:szCs w:val="28"/>
        </w:rPr>
        <w:t>Inoltre, se</w:t>
      </w:r>
      <w:r w:rsidR="0095713B" w:rsidRPr="0095713B">
        <w:rPr>
          <w:sz w:val="28"/>
          <w:szCs w:val="28"/>
        </w:rPr>
        <w:t xml:space="preserve"> si guardano i rimedi risarcitori, solo una deindicizzazione della notizia o la rimozione della stessa possono dare “soddisfazione” all’offeso, ma neanche in quel caso si potrà avere la certezza che il contenuto sia rimosso dalla rete, o comunque che la condotta non sia reiterata. </w:t>
      </w:r>
      <w:r w:rsidR="00A76A72">
        <w:rPr>
          <w:sz w:val="28"/>
          <w:szCs w:val="28"/>
        </w:rPr>
        <w:t xml:space="preserve">La domanda che ci si è posti è: </w:t>
      </w:r>
      <w:r w:rsidR="00A76A72" w:rsidRPr="0095713B">
        <w:rPr>
          <w:sz w:val="28"/>
          <w:szCs w:val="28"/>
        </w:rPr>
        <w:t>la condotta diffamatoria tramite il web</w:t>
      </w:r>
      <w:r w:rsidR="00A76A72">
        <w:rPr>
          <w:sz w:val="28"/>
          <w:szCs w:val="28"/>
        </w:rPr>
        <w:t xml:space="preserve"> è da </w:t>
      </w:r>
      <w:r w:rsidR="0095713B" w:rsidRPr="0095713B">
        <w:rPr>
          <w:sz w:val="28"/>
          <w:szCs w:val="28"/>
        </w:rPr>
        <w:t xml:space="preserve">considerare sempre come </w:t>
      </w:r>
      <w:r w:rsidR="00A76A72">
        <w:rPr>
          <w:sz w:val="28"/>
          <w:szCs w:val="28"/>
        </w:rPr>
        <w:t xml:space="preserve">di </w:t>
      </w:r>
      <w:r w:rsidR="0095713B" w:rsidRPr="0095713B">
        <w:rPr>
          <w:sz w:val="28"/>
          <w:szCs w:val="28"/>
        </w:rPr>
        <w:t>“elevata gravità”</w:t>
      </w:r>
      <w:r w:rsidR="00A76A72">
        <w:rPr>
          <w:sz w:val="28"/>
          <w:szCs w:val="28"/>
        </w:rPr>
        <w:t>?</w:t>
      </w:r>
      <w:r w:rsidR="00EE6300">
        <w:rPr>
          <w:rStyle w:val="Rimandonotaapidipagina"/>
          <w:sz w:val="28"/>
          <w:szCs w:val="28"/>
        </w:rPr>
        <w:footnoteReference w:id="265"/>
      </w:r>
      <w:r w:rsidR="0095713B" w:rsidRPr="0095713B">
        <w:rPr>
          <w:sz w:val="28"/>
          <w:szCs w:val="28"/>
        </w:rPr>
        <w:t>.</w:t>
      </w:r>
      <w:r w:rsidR="00A76A72">
        <w:rPr>
          <w:sz w:val="28"/>
          <w:szCs w:val="28"/>
        </w:rPr>
        <w:t xml:space="preserve"> A</w:t>
      </w:r>
      <w:r w:rsidR="0095713B" w:rsidRPr="0095713B">
        <w:rPr>
          <w:sz w:val="28"/>
          <w:szCs w:val="28"/>
        </w:rPr>
        <w:t>ccogliendo questa interpretazione</w:t>
      </w:r>
      <w:r w:rsidR="00A76A72">
        <w:rPr>
          <w:sz w:val="28"/>
          <w:szCs w:val="28"/>
        </w:rPr>
        <w:t>,</w:t>
      </w:r>
      <w:r w:rsidR="0095713B" w:rsidRPr="0095713B">
        <w:rPr>
          <w:sz w:val="28"/>
          <w:szCs w:val="28"/>
        </w:rPr>
        <w:t xml:space="preserve"> si dovrebbero ridefinire tutte le </w:t>
      </w:r>
      <w:r w:rsidR="00A76A72">
        <w:rPr>
          <w:sz w:val="28"/>
          <w:szCs w:val="28"/>
        </w:rPr>
        <w:t xml:space="preserve">altre </w:t>
      </w:r>
      <w:r w:rsidR="0095713B" w:rsidRPr="0095713B">
        <w:rPr>
          <w:sz w:val="28"/>
          <w:szCs w:val="28"/>
        </w:rPr>
        <w:t>categorie prospettate</w:t>
      </w:r>
      <w:r w:rsidR="00A76A72">
        <w:rPr>
          <w:sz w:val="28"/>
          <w:szCs w:val="28"/>
        </w:rPr>
        <w:t>,</w:t>
      </w:r>
      <w:r w:rsidR="0095713B" w:rsidRPr="0095713B">
        <w:rPr>
          <w:sz w:val="28"/>
          <w:szCs w:val="28"/>
        </w:rPr>
        <w:t xml:space="preserve"> perché al più elevato grado di lesività corrisponde un più elevato </w:t>
      </w:r>
      <w:r w:rsidR="0095713B" w:rsidRPr="00A76A72">
        <w:rPr>
          <w:i/>
          <w:iCs/>
          <w:sz w:val="28"/>
          <w:szCs w:val="28"/>
        </w:rPr>
        <w:t>quantu</w:t>
      </w:r>
      <w:r w:rsidR="00A76A72">
        <w:rPr>
          <w:i/>
          <w:iCs/>
          <w:sz w:val="28"/>
          <w:szCs w:val="28"/>
        </w:rPr>
        <w:t>m</w:t>
      </w:r>
      <w:r w:rsidR="0095713B" w:rsidRPr="0095713B">
        <w:rPr>
          <w:sz w:val="28"/>
          <w:szCs w:val="28"/>
        </w:rPr>
        <w:t xml:space="preserve"> risarcitorio</w:t>
      </w:r>
      <w:r w:rsidR="00EE6300">
        <w:rPr>
          <w:rStyle w:val="Rimandonotaapidipagina"/>
          <w:sz w:val="28"/>
          <w:szCs w:val="28"/>
        </w:rPr>
        <w:footnoteReference w:id="266"/>
      </w:r>
      <w:r w:rsidR="00A76A72">
        <w:rPr>
          <w:sz w:val="28"/>
          <w:szCs w:val="28"/>
        </w:rPr>
        <w:t xml:space="preserve">: </w:t>
      </w:r>
      <w:r w:rsidR="0095713B" w:rsidRPr="0095713B">
        <w:rPr>
          <w:sz w:val="28"/>
          <w:szCs w:val="28"/>
        </w:rPr>
        <w:t xml:space="preserve"> potrebbe</w:t>
      </w:r>
      <w:r w:rsidR="00A76A72">
        <w:rPr>
          <w:sz w:val="28"/>
          <w:szCs w:val="28"/>
        </w:rPr>
        <w:t xml:space="preserve"> allora</w:t>
      </w:r>
      <w:r w:rsidR="0095713B" w:rsidRPr="0095713B">
        <w:rPr>
          <w:sz w:val="28"/>
          <w:szCs w:val="28"/>
        </w:rPr>
        <w:t xml:space="preserve"> sembrare sproporzionato un tale rimedio, nonostante la diffusività, rispetto</w:t>
      </w:r>
      <w:r w:rsidR="00A76A72">
        <w:rPr>
          <w:sz w:val="28"/>
          <w:szCs w:val="28"/>
        </w:rPr>
        <w:t>,</w:t>
      </w:r>
      <w:r w:rsidR="0095713B" w:rsidRPr="0095713B">
        <w:rPr>
          <w:sz w:val="28"/>
          <w:szCs w:val="28"/>
        </w:rPr>
        <w:t xml:space="preserve"> ad esempio</w:t>
      </w:r>
      <w:r w:rsidR="00A76A72">
        <w:rPr>
          <w:sz w:val="28"/>
          <w:szCs w:val="28"/>
        </w:rPr>
        <w:t>,</w:t>
      </w:r>
      <w:r w:rsidR="0095713B" w:rsidRPr="0095713B">
        <w:rPr>
          <w:sz w:val="28"/>
          <w:szCs w:val="28"/>
        </w:rPr>
        <w:t xml:space="preserve"> alla diffamazione tramite </w:t>
      </w:r>
      <w:proofErr w:type="spellStart"/>
      <w:r w:rsidR="0095713B" w:rsidRPr="0095713B">
        <w:rPr>
          <w:sz w:val="28"/>
          <w:szCs w:val="28"/>
        </w:rPr>
        <w:t>Facebook</w:t>
      </w:r>
      <w:proofErr w:type="spellEnd"/>
      <w:r w:rsidR="0095713B" w:rsidRPr="0095713B">
        <w:rPr>
          <w:sz w:val="28"/>
          <w:szCs w:val="28"/>
        </w:rPr>
        <w:t>.</w:t>
      </w:r>
    </w:p>
    <w:p w14:paraId="62AD75E2" w14:textId="77777777" w:rsidR="001777A6" w:rsidRDefault="001777A6" w:rsidP="0096644C">
      <w:pPr>
        <w:pStyle w:val="NormaleWeb"/>
        <w:spacing w:before="0" w:beforeAutospacing="0" w:after="0" w:afterAutospacing="0"/>
        <w:jc w:val="both"/>
        <w:rPr>
          <w:sz w:val="28"/>
          <w:szCs w:val="28"/>
        </w:rPr>
      </w:pPr>
    </w:p>
    <w:p w14:paraId="597812D7" w14:textId="7DB61475" w:rsidR="0095713B" w:rsidRPr="0095713B" w:rsidRDefault="00A76A72" w:rsidP="0096644C">
      <w:pPr>
        <w:pStyle w:val="NormaleWeb"/>
        <w:spacing w:before="0" w:beforeAutospacing="0" w:after="0" w:afterAutospacing="0"/>
        <w:jc w:val="both"/>
        <w:rPr>
          <w:sz w:val="28"/>
          <w:szCs w:val="28"/>
        </w:rPr>
      </w:pPr>
      <w:r>
        <w:rPr>
          <w:sz w:val="28"/>
          <w:szCs w:val="28"/>
        </w:rPr>
        <w:t xml:space="preserve">Tema interessante è quello del </w:t>
      </w:r>
      <w:r w:rsidRPr="0096644C">
        <w:rPr>
          <w:i/>
          <w:iCs/>
          <w:sz w:val="28"/>
          <w:szCs w:val="28"/>
        </w:rPr>
        <w:t xml:space="preserve">locus </w:t>
      </w:r>
      <w:proofErr w:type="spellStart"/>
      <w:r w:rsidRPr="0096644C">
        <w:rPr>
          <w:i/>
          <w:iCs/>
          <w:sz w:val="28"/>
          <w:szCs w:val="28"/>
        </w:rPr>
        <w:t>commissi</w:t>
      </w:r>
      <w:proofErr w:type="spellEnd"/>
      <w:r w:rsidRPr="0096644C">
        <w:rPr>
          <w:i/>
          <w:iCs/>
          <w:sz w:val="28"/>
          <w:szCs w:val="28"/>
        </w:rPr>
        <w:t xml:space="preserve"> </w:t>
      </w:r>
      <w:proofErr w:type="spellStart"/>
      <w:r w:rsidRPr="0096644C">
        <w:rPr>
          <w:i/>
          <w:iCs/>
          <w:sz w:val="28"/>
          <w:szCs w:val="28"/>
        </w:rPr>
        <w:t>delicti</w:t>
      </w:r>
      <w:proofErr w:type="spellEnd"/>
      <w:r>
        <w:rPr>
          <w:sz w:val="28"/>
          <w:szCs w:val="28"/>
        </w:rPr>
        <w:t xml:space="preserve">: qual è </w:t>
      </w:r>
      <w:r w:rsidRPr="0095713B">
        <w:rPr>
          <w:sz w:val="28"/>
          <w:szCs w:val="28"/>
        </w:rPr>
        <w:t>il luogo di consumazione del reato</w:t>
      </w:r>
      <w:r w:rsidR="001777A6">
        <w:rPr>
          <w:sz w:val="28"/>
          <w:szCs w:val="28"/>
        </w:rPr>
        <w:t xml:space="preserve"> in caso di diffamazione </w:t>
      </w:r>
      <w:r w:rsidR="001777A6" w:rsidRPr="001777A6">
        <w:rPr>
          <w:i/>
          <w:iCs/>
          <w:sz w:val="28"/>
          <w:szCs w:val="28"/>
        </w:rPr>
        <w:t>online</w:t>
      </w:r>
      <w:r w:rsidR="001777A6">
        <w:rPr>
          <w:sz w:val="28"/>
          <w:szCs w:val="28"/>
        </w:rPr>
        <w:t>? Ciò vale per tutti i</w:t>
      </w:r>
      <w:r w:rsidR="0095713B" w:rsidRPr="0095713B">
        <w:rPr>
          <w:sz w:val="28"/>
          <w:szCs w:val="28"/>
        </w:rPr>
        <w:t xml:space="preserve"> reati informatici, </w:t>
      </w:r>
      <w:r w:rsidR="001777A6">
        <w:rPr>
          <w:sz w:val="28"/>
          <w:szCs w:val="28"/>
        </w:rPr>
        <w:t xml:space="preserve">per i quali bisogna chiedersi quale sia </w:t>
      </w:r>
      <w:r w:rsidR="0095713B" w:rsidRPr="0095713B">
        <w:rPr>
          <w:sz w:val="28"/>
          <w:szCs w:val="28"/>
        </w:rPr>
        <w:t>il luogo in cui si perfeziona la fattispecie</w:t>
      </w:r>
      <w:r w:rsidR="006C4215">
        <w:rPr>
          <w:sz w:val="28"/>
          <w:szCs w:val="28"/>
        </w:rPr>
        <w:t xml:space="preserve"> – </w:t>
      </w:r>
      <w:r w:rsidR="0095713B" w:rsidRPr="0095713B">
        <w:rPr>
          <w:sz w:val="28"/>
          <w:szCs w:val="28"/>
        </w:rPr>
        <w:t>se il luogo in cui il contenuto è caricato in rete ovvero il luogo in cui si ha</w:t>
      </w:r>
      <w:r w:rsidR="006C4215">
        <w:rPr>
          <w:sz w:val="28"/>
          <w:szCs w:val="28"/>
        </w:rPr>
        <w:t xml:space="preserve"> la</w:t>
      </w:r>
      <w:r w:rsidR="0095713B" w:rsidRPr="0095713B">
        <w:rPr>
          <w:sz w:val="28"/>
          <w:szCs w:val="28"/>
        </w:rPr>
        <w:t xml:space="preserve"> percezione dello stesso.</w:t>
      </w:r>
    </w:p>
    <w:p w14:paraId="051EB49E" w14:textId="4D81F9AA" w:rsidR="0095713B" w:rsidRPr="0095713B" w:rsidRDefault="006C4215" w:rsidP="0096644C">
      <w:pPr>
        <w:pStyle w:val="NormaleWeb"/>
        <w:spacing w:before="0" w:beforeAutospacing="0" w:after="0" w:afterAutospacing="0"/>
        <w:jc w:val="both"/>
        <w:rPr>
          <w:sz w:val="28"/>
          <w:szCs w:val="28"/>
        </w:rPr>
      </w:pPr>
      <w:r>
        <w:rPr>
          <w:sz w:val="28"/>
          <w:szCs w:val="28"/>
        </w:rPr>
        <w:t xml:space="preserve">Partiamo dal presupposto che il </w:t>
      </w:r>
      <w:r w:rsidR="0095713B" w:rsidRPr="0095713B">
        <w:rPr>
          <w:sz w:val="28"/>
          <w:szCs w:val="28"/>
        </w:rPr>
        <w:t xml:space="preserve">reato di diffamazione </w:t>
      </w:r>
      <w:r w:rsidRPr="0095713B">
        <w:rPr>
          <w:sz w:val="28"/>
          <w:szCs w:val="28"/>
        </w:rPr>
        <w:t xml:space="preserve">si consuma </w:t>
      </w:r>
      <w:r>
        <w:rPr>
          <w:sz w:val="28"/>
          <w:szCs w:val="28"/>
        </w:rPr>
        <w:t>nel</w:t>
      </w:r>
      <w:r w:rsidRPr="0095713B">
        <w:rPr>
          <w:sz w:val="28"/>
          <w:szCs w:val="28"/>
        </w:rPr>
        <w:t xml:space="preserve"> momento della percezione del contenuto lesivo della reputazione altrui da parte di terzi</w:t>
      </w:r>
      <w:r>
        <w:rPr>
          <w:sz w:val="28"/>
          <w:szCs w:val="28"/>
        </w:rPr>
        <w:t xml:space="preserve">, per cui rientra pacificamente tra i reati di evento. Sono, dunque, </w:t>
      </w:r>
      <w:r w:rsidR="0095713B" w:rsidRPr="0095713B">
        <w:rPr>
          <w:sz w:val="28"/>
          <w:szCs w:val="28"/>
        </w:rPr>
        <w:t xml:space="preserve">ipotizzabili due distinti momenti: </w:t>
      </w:r>
      <w:r>
        <w:rPr>
          <w:sz w:val="28"/>
          <w:szCs w:val="28"/>
        </w:rPr>
        <w:t xml:space="preserve">da un lato, </w:t>
      </w:r>
      <w:r w:rsidR="0095713B" w:rsidRPr="0095713B">
        <w:rPr>
          <w:sz w:val="28"/>
          <w:szCs w:val="28"/>
        </w:rPr>
        <w:t xml:space="preserve">quello dell’immissione del contenuto </w:t>
      </w:r>
      <w:r>
        <w:rPr>
          <w:sz w:val="28"/>
          <w:szCs w:val="28"/>
        </w:rPr>
        <w:t xml:space="preserve">sul web, dall’altro, </w:t>
      </w:r>
      <w:r w:rsidR="0095713B" w:rsidRPr="0095713B">
        <w:rPr>
          <w:sz w:val="28"/>
          <w:szCs w:val="28"/>
        </w:rPr>
        <w:t xml:space="preserve">quello della percezione dello stesso da parte di terzi. È </w:t>
      </w:r>
      <w:r w:rsidR="00166305">
        <w:rPr>
          <w:sz w:val="28"/>
          <w:szCs w:val="28"/>
        </w:rPr>
        <w:t>pacificamente configurabile l’ipotesi del</w:t>
      </w:r>
      <w:r w:rsidR="0095713B" w:rsidRPr="0095713B">
        <w:rPr>
          <w:sz w:val="28"/>
          <w:szCs w:val="28"/>
        </w:rPr>
        <w:t xml:space="preserve"> tentativo</w:t>
      </w:r>
      <w:r w:rsidR="00166305">
        <w:rPr>
          <w:sz w:val="28"/>
          <w:szCs w:val="28"/>
        </w:rPr>
        <w:t xml:space="preserve">: si pensi al caso in cui il diffamatore scriva il messaggio ma questo </w:t>
      </w:r>
      <w:r w:rsidR="0095713B" w:rsidRPr="0095713B">
        <w:rPr>
          <w:sz w:val="28"/>
          <w:szCs w:val="28"/>
        </w:rPr>
        <w:t xml:space="preserve">non </w:t>
      </w:r>
      <w:r w:rsidR="00166305">
        <w:rPr>
          <w:sz w:val="28"/>
          <w:szCs w:val="28"/>
        </w:rPr>
        <w:t>venga</w:t>
      </w:r>
      <w:r w:rsidR="0095713B" w:rsidRPr="0095713B">
        <w:rPr>
          <w:sz w:val="28"/>
          <w:szCs w:val="28"/>
        </w:rPr>
        <w:t xml:space="preserve"> caricato correttamente per mancanza di rete o altre motivazioni</w:t>
      </w:r>
      <w:r w:rsidR="00166305">
        <w:rPr>
          <w:sz w:val="28"/>
          <w:szCs w:val="28"/>
        </w:rPr>
        <w:t>. È anche configurabile il</w:t>
      </w:r>
      <w:r w:rsidR="0095713B" w:rsidRPr="0095713B">
        <w:rPr>
          <w:sz w:val="28"/>
          <w:szCs w:val="28"/>
        </w:rPr>
        <w:t xml:space="preserve"> reato impossibile</w:t>
      </w:r>
      <w:r w:rsidR="00166305">
        <w:rPr>
          <w:sz w:val="28"/>
          <w:szCs w:val="28"/>
        </w:rPr>
        <w:t xml:space="preserve">, quando </w:t>
      </w:r>
      <w:r w:rsidR="0095713B" w:rsidRPr="0095713B">
        <w:rPr>
          <w:sz w:val="28"/>
          <w:szCs w:val="28"/>
        </w:rPr>
        <w:t>l</w:t>
      </w:r>
      <w:r w:rsidR="00166305">
        <w:rPr>
          <w:sz w:val="28"/>
          <w:szCs w:val="28"/>
        </w:rPr>
        <w:t>’</w:t>
      </w:r>
      <w:r w:rsidR="0095713B" w:rsidRPr="0095713B">
        <w:rPr>
          <w:sz w:val="28"/>
          <w:szCs w:val="28"/>
        </w:rPr>
        <w:t>azione</w:t>
      </w:r>
      <w:r w:rsidR="00166305">
        <w:rPr>
          <w:sz w:val="28"/>
          <w:szCs w:val="28"/>
        </w:rPr>
        <w:t xml:space="preserve"> risulti in concreto </w:t>
      </w:r>
      <w:r w:rsidR="0095713B" w:rsidRPr="0095713B">
        <w:rPr>
          <w:sz w:val="28"/>
          <w:szCs w:val="28"/>
        </w:rPr>
        <w:t>inidonea</w:t>
      </w:r>
      <w:r w:rsidR="00166305">
        <w:rPr>
          <w:sz w:val="28"/>
          <w:szCs w:val="28"/>
        </w:rPr>
        <w:t xml:space="preserve"> a produrre i suoi effetti in quanto, </w:t>
      </w:r>
      <w:r w:rsidR="0095713B" w:rsidRPr="0095713B">
        <w:rPr>
          <w:sz w:val="28"/>
          <w:szCs w:val="28"/>
        </w:rPr>
        <w:t>ad esempio, l</w:t>
      </w:r>
      <w:r w:rsidR="00166305">
        <w:rPr>
          <w:sz w:val="28"/>
          <w:szCs w:val="28"/>
        </w:rPr>
        <w:t>’</w:t>
      </w:r>
      <w:r w:rsidR="0095713B" w:rsidRPr="0095713B">
        <w:rPr>
          <w:sz w:val="28"/>
          <w:szCs w:val="28"/>
        </w:rPr>
        <w:t xml:space="preserve">agente fa uso di uno strumento difettoso, che solo </w:t>
      </w:r>
      <w:r w:rsidR="00166305">
        <w:rPr>
          <w:sz w:val="28"/>
          <w:szCs w:val="28"/>
        </w:rPr>
        <w:t>in modo apparente</w:t>
      </w:r>
      <w:r w:rsidR="0095713B" w:rsidRPr="0095713B">
        <w:rPr>
          <w:sz w:val="28"/>
          <w:szCs w:val="28"/>
        </w:rPr>
        <w:t xml:space="preserve"> gli consente l</w:t>
      </w:r>
      <w:r w:rsidR="00166305">
        <w:rPr>
          <w:sz w:val="28"/>
          <w:szCs w:val="28"/>
        </w:rPr>
        <w:t>’</w:t>
      </w:r>
      <w:r w:rsidR="0095713B" w:rsidRPr="0095713B">
        <w:rPr>
          <w:sz w:val="28"/>
          <w:szCs w:val="28"/>
        </w:rPr>
        <w:t xml:space="preserve">accesso ad uno spazio web, mentre in realtà il suo messaggio non è stato </w:t>
      </w:r>
      <w:r w:rsidR="00166305" w:rsidRPr="0095713B">
        <w:rPr>
          <w:sz w:val="28"/>
          <w:szCs w:val="28"/>
        </w:rPr>
        <w:t xml:space="preserve">mai </w:t>
      </w:r>
      <w:r w:rsidR="00166305">
        <w:rPr>
          <w:sz w:val="28"/>
          <w:szCs w:val="28"/>
        </w:rPr>
        <w:t>caricato</w:t>
      </w:r>
      <w:r w:rsidR="0095713B" w:rsidRPr="0095713B">
        <w:rPr>
          <w:sz w:val="28"/>
          <w:szCs w:val="28"/>
        </w:rPr>
        <w:t xml:space="preserve"> in rete</w:t>
      </w:r>
      <w:r w:rsidR="00166305">
        <w:rPr>
          <w:rStyle w:val="Rimandonotaapidipagina"/>
          <w:sz w:val="28"/>
          <w:szCs w:val="28"/>
        </w:rPr>
        <w:footnoteReference w:id="267"/>
      </w:r>
      <w:r w:rsidR="00166305">
        <w:rPr>
          <w:sz w:val="28"/>
          <w:szCs w:val="28"/>
        </w:rPr>
        <w:t>.</w:t>
      </w:r>
    </w:p>
    <w:p w14:paraId="0603CCE5" w14:textId="29EE60B6" w:rsidR="0095713B" w:rsidRPr="0095713B" w:rsidRDefault="0098573A" w:rsidP="0096644C">
      <w:pPr>
        <w:pStyle w:val="NormaleWeb"/>
        <w:spacing w:before="0" w:beforeAutospacing="0" w:after="0" w:afterAutospacing="0"/>
        <w:jc w:val="both"/>
        <w:rPr>
          <w:sz w:val="28"/>
          <w:szCs w:val="28"/>
        </w:rPr>
      </w:pPr>
      <w:r>
        <w:rPr>
          <w:sz w:val="28"/>
          <w:szCs w:val="28"/>
        </w:rPr>
        <w:lastRenderedPageBreak/>
        <w:t>Ne deriva che</w:t>
      </w:r>
      <w:r w:rsidR="0095713B" w:rsidRPr="0095713B">
        <w:rPr>
          <w:sz w:val="28"/>
          <w:szCs w:val="28"/>
        </w:rPr>
        <w:t xml:space="preserve"> la giurisdizione </w:t>
      </w:r>
      <w:r w:rsidRPr="0095713B">
        <w:rPr>
          <w:sz w:val="28"/>
          <w:szCs w:val="28"/>
        </w:rPr>
        <w:t>appartiene al giudice italiano</w:t>
      </w:r>
      <w:r>
        <w:rPr>
          <w:sz w:val="28"/>
          <w:szCs w:val="28"/>
        </w:rPr>
        <w:t>,</w:t>
      </w:r>
      <w:r w:rsidRPr="0095713B">
        <w:rPr>
          <w:sz w:val="28"/>
          <w:szCs w:val="28"/>
        </w:rPr>
        <w:t xml:space="preserve"> </w:t>
      </w:r>
      <w:r w:rsidR="0095713B" w:rsidRPr="0095713B">
        <w:rPr>
          <w:sz w:val="28"/>
          <w:szCs w:val="28"/>
        </w:rPr>
        <w:t xml:space="preserve">ai sensi della c.d. teoria dell’ubiquità, </w:t>
      </w:r>
      <w:r>
        <w:rPr>
          <w:sz w:val="28"/>
          <w:szCs w:val="28"/>
        </w:rPr>
        <w:t>sia</w:t>
      </w:r>
      <w:r w:rsidR="0095713B" w:rsidRPr="0095713B">
        <w:rPr>
          <w:sz w:val="28"/>
          <w:szCs w:val="28"/>
        </w:rPr>
        <w:t xml:space="preserve"> </w:t>
      </w:r>
      <w:r>
        <w:rPr>
          <w:sz w:val="28"/>
          <w:szCs w:val="28"/>
        </w:rPr>
        <w:t>che</w:t>
      </w:r>
      <w:r w:rsidR="0095713B" w:rsidRPr="0095713B">
        <w:rPr>
          <w:sz w:val="28"/>
          <w:szCs w:val="28"/>
        </w:rPr>
        <w:t xml:space="preserve"> la condotta sia </w:t>
      </w:r>
      <w:proofErr w:type="gramStart"/>
      <w:r w:rsidR="0095713B" w:rsidRPr="0095713B">
        <w:rPr>
          <w:sz w:val="28"/>
          <w:szCs w:val="28"/>
        </w:rPr>
        <w:t>posta in essere</w:t>
      </w:r>
      <w:proofErr w:type="gramEnd"/>
      <w:r w:rsidR="0095713B" w:rsidRPr="0095713B">
        <w:rPr>
          <w:sz w:val="28"/>
          <w:szCs w:val="28"/>
        </w:rPr>
        <w:t xml:space="preserve"> nel territorio nazionale, </w:t>
      </w:r>
      <w:r>
        <w:rPr>
          <w:sz w:val="28"/>
          <w:szCs w:val="28"/>
        </w:rPr>
        <w:t xml:space="preserve">sia che </w:t>
      </w:r>
      <w:r w:rsidR="0095713B" w:rsidRPr="0095713B">
        <w:rPr>
          <w:sz w:val="28"/>
          <w:szCs w:val="28"/>
        </w:rPr>
        <w:t>sia solo stata percepita da terzi nel territorio italiano</w:t>
      </w:r>
      <w:r w:rsidR="00EE6300">
        <w:rPr>
          <w:rStyle w:val="Rimandonotaapidipagina"/>
          <w:sz w:val="28"/>
          <w:szCs w:val="28"/>
        </w:rPr>
        <w:footnoteReference w:id="268"/>
      </w:r>
      <w:r w:rsidR="0095713B" w:rsidRPr="0095713B">
        <w:rPr>
          <w:sz w:val="28"/>
          <w:szCs w:val="28"/>
        </w:rPr>
        <w:t>.</w:t>
      </w:r>
    </w:p>
    <w:p w14:paraId="31B1C30D" w14:textId="59E3634E" w:rsidR="0095713B" w:rsidRDefault="0098573A" w:rsidP="0096644C">
      <w:pPr>
        <w:pStyle w:val="NormaleWeb"/>
        <w:spacing w:before="0" w:beforeAutospacing="0" w:after="0" w:afterAutospacing="0"/>
        <w:jc w:val="both"/>
        <w:rPr>
          <w:sz w:val="28"/>
          <w:szCs w:val="28"/>
        </w:rPr>
      </w:pPr>
      <w:r>
        <w:rPr>
          <w:sz w:val="28"/>
          <w:szCs w:val="28"/>
        </w:rPr>
        <w:t>Il</w:t>
      </w:r>
      <w:r w:rsidR="0095713B" w:rsidRPr="0095713B">
        <w:rPr>
          <w:sz w:val="28"/>
          <w:szCs w:val="28"/>
        </w:rPr>
        <w:t xml:space="preserve"> giudice territorialmente competente per i reati informatici è</w:t>
      </w:r>
      <w:r>
        <w:rPr>
          <w:sz w:val="28"/>
          <w:szCs w:val="28"/>
        </w:rPr>
        <w:t xml:space="preserve">, invece, frutto di una presunzione: </w:t>
      </w:r>
      <w:r w:rsidR="0095713B" w:rsidRPr="0095713B">
        <w:rPr>
          <w:sz w:val="28"/>
          <w:szCs w:val="28"/>
        </w:rPr>
        <w:t>si ritiene che la percezione del contenuto lesivo si abbia nel luogo di residenza, domicilio o dimora dell</w:t>
      </w:r>
      <w:r>
        <w:rPr>
          <w:sz w:val="28"/>
          <w:szCs w:val="28"/>
        </w:rPr>
        <w:t>a persona offesa</w:t>
      </w:r>
      <w:r w:rsidR="0095713B" w:rsidRPr="0095713B">
        <w:rPr>
          <w:sz w:val="28"/>
          <w:szCs w:val="28"/>
        </w:rPr>
        <w:t xml:space="preserve">, </w:t>
      </w:r>
      <w:r>
        <w:rPr>
          <w:sz w:val="28"/>
          <w:szCs w:val="28"/>
        </w:rPr>
        <w:t>ossia il luogo dove</w:t>
      </w:r>
      <w:r w:rsidR="0095713B" w:rsidRPr="0095713B">
        <w:rPr>
          <w:sz w:val="28"/>
          <w:szCs w:val="28"/>
        </w:rPr>
        <w:t xml:space="preserve"> il soggetto vive </w:t>
      </w:r>
      <w:r w:rsidRPr="0095713B">
        <w:rPr>
          <w:sz w:val="28"/>
          <w:szCs w:val="28"/>
        </w:rPr>
        <w:t>e</w:t>
      </w:r>
      <w:r>
        <w:rPr>
          <w:sz w:val="28"/>
          <w:szCs w:val="28"/>
        </w:rPr>
        <w:t>,</w:t>
      </w:r>
      <w:r w:rsidR="0095713B" w:rsidRPr="0095713B">
        <w:rPr>
          <w:sz w:val="28"/>
          <w:szCs w:val="28"/>
        </w:rPr>
        <w:t xml:space="preserve"> in quanto tale</w:t>
      </w:r>
      <w:r>
        <w:rPr>
          <w:sz w:val="28"/>
          <w:szCs w:val="28"/>
        </w:rPr>
        <w:t>,</w:t>
      </w:r>
      <w:r w:rsidR="0095713B" w:rsidRPr="0095713B">
        <w:rPr>
          <w:sz w:val="28"/>
          <w:szCs w:val="28"/>
        </w:rPr>
        <w:t xml:space="preserve"> in cui svolge la sua personalità. </w:t>
      </w:r>
      <w:r>
        <w:rPr>
          <w:sz w:val="28"/>
          <w:szCs w:val="28"/>
        </w:rPr>
        <w:t>È un criterio elaborato dai Giudici di legittimità,</w:t>
      </w:r>
      <w:r w:rsidR="0095713B" w:rsidRPr="0095713B">
        <w:rPr>
          <w:sz w:val="28"/>
          <w:szCs w:val="28"/>
        </w:rPr>
        <w:t xml:space="preserve"> per evitare di rendere indefinito il luogo in cui è sorta l’obbligazione ovvero il luogo in cui il danno si è verificato. </w:t>
      </w:r>
      <w:r w:rsidR="00FA3158">
        <w:rPr>
          <w:sz w:val="28"/>
          <w:szCs w:val="28"/>
        </w:rPr>
        <w:t>Non</w:t>
      </w:r>
      <w:r w:rsidR="0095713B" w:rsidRPr="0095713B">
        <w:rPr>
          <w:sz w:val="28"/>
          <w:szCs w:val="28"/>
        </w:rPr>
        <w:t xml:space="preserve"> sostenibile</w:t>
      </w:r>
      <w:r w:rsidR="00FA3158">
        <w:rPr>
          <w:sz w:val="28"/>
          <w:szCs w:val="28"/>
        </w:rPr>
        <w:t xml:space="preserve"> appare, invece,</w:t>
      </w:r>
      <w:r w:rsidR="0095713B" w:rsidRPr="0095713B">
        <w:rPr>
          <w:sz w:val="28"/>
          <w:szCs w:val="28"/>
        </w:rPr>
        <w:t xml:space="preserve"> la tesi di chi </w:t>
      </w:r>
      <w:r w:rsidR="00FA3158">
        <w:rPr>
          <w:sz w:val="28"/>
          <w:szCs w:val="28"/>
        </w:rPr>
        <w:t>individua</w:t>
      </w:r>
      <w:r w:rsidR="0095713B" w:rsidRPr="0095713B">
        <w:rPr>
          <w:sz w:val="28"/>
          <w:szCs w:val="28"/>
        </w:rPr>
        <w:t xml:space="preserve"> tale luogo </w:t>
      </w:r>
      <w:r w:rsidR="00FA3158">
        <w:rPr>
          <w:sz w:val="28"/>
          <w:szCs w:val="28"/>
        </w:rPr>
        <w:t>in quello presso cui</w:t>
      </w:r>
      <w:r w:rsidR="0095713B" w:rsidRPr="0095713B">
        <w:rPr>
          <w:sz w:val="28"/>
          <w:szCs w:val="28"/>
        </w:rPr>
        <w:t xml:space="preserve"> il contenuto sia </w:t>
      </w:r>
      <w:r w:rsidR="00FA3158">
        <w:rPr>
          <w:sz w:val="28"/>
          <w:szCs w:val="28"/>
        </w:rPr>
        <w:t xml:space="preserve">stato </w:t>
      </w:r>
      <w:r w:rsidR="0095713B" w:rsidRPr="0095713B">
        <w:rPr>
          <w:sz w:val="28"/>
          <w:szCs w:val="28"/>
        </w:rPr>
        <w:t>caricato</w:t>
      </w:r>
      <w:r w:rsidR="00FA3158">
        <w:rPr>
          <w:sz w:val="28"/>
          <w:szCs w:val="28"/>
        </w:rPr>
        <w:t xml:space="preserve"> sulla rete, </w:t>
      </w:r>
      <w:r w:rsidR="00FA3158" w:rsidRPr="00323816">
        <w:rPr>
          <w:i/>
          <w:iCs/>
          <w:sz w:val="28"/>
          <w:szCs w:val="28"/>
        </w:rPr>
        <w:t>in primis</w:t>
      </w:r>
      <w:r w:rsidR="00FA3158">
        <w:rPr>
          <w:sz w:val="28"/>
          <w:szCs w:val="28"/>
        </w:rPr>
        <w:t xml:space="preserve">, </w:t>
      </w:r>
      <w:r w:rsidR="0095713B" w:rsidRPr="0095713B">
        <w:rPr>
          <w:sz w:val="28"/>
          <w:szCs w:val="28"/>
        </w:rPr>
        <w:t>perché</w:t>
      </w:r>
      <w:r w:rsidR="00FA3158">
        <w:rPr>
          <w:sz w:val="28"/>
          <w:szCs w:val="28"/>
        </w:rPr>
        <w:t xml:space="preserve"> </w:t>
      </w:r>
      <w:r w:rsidR="0095713B" w:rsidRPr="0095713B">
        <w:rPr>
          <w:sz w:val="28"/>
          <w:szCs w:val="28"/>
        </w:rPr>
        <w:t xml:space="preserve">il soggetto agente ben potrebbe essere in movimento durante il caricamento, </w:t>
      </w:r>
      <w:r w:rsidR="00FA3158">
        <w:rPr>
          <w:sz w:val="28"/>
          <w:szCs w:val="28"/>
        </w:rPr>
        <w:t xml:space="preserve">e poi perché </w:t>
      </w:r>
      <w:r w:rsidR="0095713B" w:rsidRPr="0095713B">
        <w:rPr>
          <w:sz w:val="28"/>
          <w:szCs w:val="28"/>
        </w:rPr>
        <w:t xml:space="preserve">i </w:t>
      </w:r>
      <w:r w:rsidR="0095713B" w:rsidRPr="00323816">
        <w:rPr>
          <w:i/>
          <w:iCs/>
          <w:sz w:val="28"/>
          <w:szCs w:val="28"/>
        </w:rPr>
        <w:t>server</w:t>
      </w:r>
      <w:r w:rsidR="0095713B" w:rsidRPr="0095713B">
        <w:rPr>
          <w:sz w:val="28"/>
          <w:szCs w:val="28"/>
        </w:rPr>
        <w:t xml:space="preserve"> dell’ISP potrebbero essere locati in qualsiasi luogo</w:t>
      </w:r>
      <w:r w:rsidR="00FA3158">
        <w:rPr>
          <w:sz w:val="28"/>
          <w:szCs w:val="28"/>
        </w:rPr>
        <w:t>,</w:t>
      </w:r>
      <w:r w:rsidR="0095713B" w:rsidRPr="0095713B">
        <w:rPr>
          <w:sz w:val="28"/>
          <w:szCs w:val="28"/>
        </w:rPr>
        <w:t xml:space="preserve"> rendendo </w:t>
      </w:r>
      <w:r w:rsidR="00FA3158">
        <w:rPr>
          <w:sz w:val="28"/>
          <w:szCs w:val="28"/>
        </w:rPr>
        <w:t xml:space="preserve">così </w:t>
      </w:r>
      <w:r w:rsidR="0095713B" w:rsidRPr="0095713B">
        <w:rPr>
          <w:sz w:val="28"/>
          <w:szCs w:val="28"/>
        </w:rPr>
        <w:t xml:space="preserve">quasi impossibile per la </w:t>
      </w:r>
      <w:r w:rsidR="00323816">
        <w:rPr>
          <w:sz w:val="28"/>
          <w:szCs w:val="28"/>
        </w:rPr>
        <w:t>vittima</w:t>
      </w:r>
      <w:r w:rsidR="0095713B" w:rsidRPr="0095713B">
        <w:rPr>
          <w:sz w:val="28"/>
          <w:szCs w:val="28"/>
        </w:rPr>
        <w:t xml:space="preserve"> risalire </w:t>
      </w:r>
      <w:r w:rsidR="00323816">
        <w:rPr>
          <w:sz w:val="28"/>
          <w:szCs w:val="28"/>
        </w:rPr>
        <w:t xml:space="preserve">al </w:t>
      </w:r>
      <w:r w:rsidR="00323816" w:rsidRPr="00323816">
        <w:rPr>
          <w:i/>
          <w:iCs/>
          <w:sz w:val="28"/>
          <w:szCs w:val="28"/>
        </w:rPr>
        <w:t>server</w:t>
      </w:r>
      <w:r w:rsidR="00323816">
        <w:rPr>
          <w:sz w:val="28"/>
          <w:szCs w:val="28"/>
        </w:rPr>
        <w:t xml:space="preserve"> su cui</w:t>
      </w:r>
      <w:r w:rsidR="0095713B" w:rsidRPr="0095713B">
        <w:rPr>
          <w:sz w:val="28"/>
          <w:szCs w:val="28"/>
        </w:rPr>
        <w:t xml:space="preserve"> sia stata caricata la notizia. </w:t>
      </w:r>
      <w:r w:rsidR="00DB7F3A">
        <w:rPr>
          <w:sz w:val="28"/>
          <w:szCs w:val="28"/>
        </w:rPr>
        <w:t>Non è plausibile nemmeno la tesi di chi sostiene che</w:t>
      </w:r>
      <w:r w:rsidR="0095713B" w:rsidRPr="0095713B">
        <w:rPr>
          <w:sz w:val="28"/>
          <w:szCs w:val="28"/>
        </w:rPr>
        <w:t xml:space="preserve"> la lesione del diritto si </w:t>
      </w:r>
      <w:r w:rsidR="00DB7F3A">
        <w:rPr>
          <w:sz w:val="28"/>
          <w:szCs w:val="28"/>
        </w:rPr>
        <w:t>possa verificare</w:t>
      </w:r>
      <w:r w:rsidR="0095713B" w:rsidRPr="0095713B">
        <w:rPr>
          <w:sz w:val="28"/>
          <w:szCs w:val="28"/>
        </w:rPr>
        <w:t xml:space="preserve"> in tutti i luoghi in cui </w:t>
      </w:r>
      <w:r w:rsidR="007028C4">
        <w:rPr>
          <w:sz w:val="28"/>
          <w:szCs w:val="28"/>
        </w:rPr>
        <w:t xml:space="preserve">avviene </w:t>
      </w:r>
      <w:r w:rsidR="0095713B" w:rsidRPr="0095713B">
        <w:rPr>
          <w:sz w:val="28"/>
          <w:szCs w:val="28"/>
        </w:rPr>
        <w:t>la diffusione della notizia</w:t>
      </w:r>
      <w:r w:rsidR="007028C4">
        <w:rPr>
          <w:sz w:val="28"/>
          <w:szCs w:val="28"/>
        </w:rPr>
        <w:t xml:space="preserve">, </w:t>
      </w:r>
      <w:r w:rsidR="0095713B" w:rsidRPr="0095713B">
        <w:rPr>
          <w:sz w:val="28"/>
          <w:szCs w:val="28"/>
        </w:rPr>
        <w:t xml:space="preserve">poiché </w:t>
      </w:r>
      <w:r w:rsidR="007028C4">
        <w:rPr>
          <w:sz w:val="28"/>
          <w:szCs w:val="28"/>
        </w:rPr>
        <w:t>in tal modo si</w:t>
      </w:r>
      <w:r w:rsidR="0095713B" w:rsidRPr="0095713B">
        <w:rPr>
          <w:sz w:val="28"/>
          <w:szCs w:val="28"/>
        </w:rPr>
        <w:t xml:space="preserve"> andrebbe ad incidere sulla situazione processuale dell’attore, per cui sarebbe impossibile dimostrare, </w:t>
      </w:r>
      <w:r w:rsidR="007028C4">
        <w:rPr>
          <w:sz w:val="28"/>
          <w:szCs w:val="28"/>
        </w:rPr>
        <w:t>per</w:t>
      </w:r>
      <w:r w:rsidR="0095713B" w:rsidRPr="0095713B">
        <w:rPr>
          <w:sz w:val="28"/>
          <w:szCs w:val="28"/>
        </w:rPr>
        <w:t xml:space="preserve"> </w:t>
      </w:r>
      <w:r w:rsidR="007028C4">
        <w:rPr>
          <w:sz w:val="28"/>
          <w:szCs w:val="28"/>
        </w:rPr>
        <w:t>il</w:t>
      </w:r>
      <w:r w:rsidR="0095713B" w:rsidRPr="0095713B">
        <w:rPr>
          <w:sz w:val="28"/>
          <w:szCs w:val="28"/>
        </w:rPr>
        <w:t xml:space="preserve"> risarcimento del danno, che il luogo da lui indicato sia quello della prima visita.</w:t>
      </w:r>
    </w:p>
    <w:p w14:paraId="03658321" w14:textId="77777777" w:rsidR="007028C4" w:rsidRPr="0095713B" w:rsidRDefault="007028C4" w:rsidP="0096644C">
      <w:pPr>
        <w:pStyle w:val="NormaleWeb"/>
        <w:spacing w:before="0" w:beforeAutospacing="0" w:after="0" w:afterAutospacing="0"/>
        <w:jc w:val="both"/>
        <w:rPr>
          <w:sz w:val="28"/>
          <w:szCs w:val="28"/>
        </w:rPr>
      </w:pPr>
    </w:p>
    <w:p w14:paraId="57FAFD11" w14:textId="205E706F" w:rsidR="00AE0DE1" w:rsidRDefault="0063659E" w:rsidP="0096644C">
      <w:pPr>
        <w:pStyle w:val="NormaleWeb"/>
        <w:spacing w:before="0" w:beforeAutospacing="0" w:after="0" w:afterAutospacing="0"/>
        <w:jc w:val="both"/>
        <w:rPr>
          <w:sz w:val="28"/>
          <w:szCs w:val="28"/>
        </w:rPr>
      </w:pPr>
      <w:r>
        <w:rPr>
          <w:sz w:val="28"/>
          <w:szCs w:val="28"/>
        </w:rPr>
        <w:t>Pass</w:t>
      </w:r>
      <w:r w:rsidR="00AE0DE1">
        <w:rPr>
          <w:sz w:val="28"/>
          <w:szCs w:val="28"/>
        </w:rPr>
        <w:t>iamo</w:t>
      </w:r>
      <w:r>
        <w:rPr>
          <w:sz w:val="28"/>
          <w:szCs w:val="28"/>
        </w:rPr>
        <w:t xml:space="preserve"> ad esaminare la posizione di garanzia </w:t>
      </w:r>
      <w:r w:rsidRPr="0063659E">
        <w:rPr>
          <w:i/>
          <w:iCs/>
          <w:sz w:val="28"/>
          <w:szCs w:val="28"/>
        </w:rPr>
        <w:t>online</w:t>
      </w:r>
      <w:r w:rsidR="00AE0DE1">
        <w:rPr>
          <w:sz w:val="28"/>
          <w:szCs w:val="28"/>
        </w:rPr>
        <w:t>.</w:t>
      </w:r>
    </w:p>
    <w:p w14:paraId="4467687D" w14:textId="77777777" w:rsidR="001D244F" w:rsidRDefault="00AE0DE1" w:rsidP="0096644C">
      <w:pPr>
        <w:pStyle w:val="NormaleWeb"/>
        <w:spacing w:before="0" w:beforeAutospacing="0" w:after="0" w:afterAutospacing="0"/>
        <w:jc w:val="both"/>
        <w:rPr>
          <w:sz w:val="28"/>
          <w:szCs w:val="28"/>
        </w:rPr>
      </w:pPr>
      <w:r>
        <w:rPr>
          <w:sz w:val="28"/>
          <w:szCs w:val="28"/>
        </w:rPr>
        <w:t>Nel caso in cui vi sia</w:t>
      </w:r>
      <w:r w:rsidR="0095713B" w:rsidRPr="0095713B">
        <w:rPr>
          <w:sz w:val="28"/>
          <w:szCs w:val="28"/>
        </w:rPr>
        <w:t xml:space="preserve"> una fonte di rischio che trovi </w:t>
      </w:r>
      <w:r>
        <w:rPr>
          <w:sz w:val="28"/>
          <w:szCs w:val="28"/>
        </w:rPr>
        <w:t xml:space="preserve">la </w:t>
      </w:r>
      <w:r w:rsidR="0095713B" w:rsidRPr="0095713B">
        <w:rPr>
          <w:sz w:val="28"/>
          <w:szCs w:val="28"/>
        </w:rPr>
        <w:t xml:space="preserve">causa in un rapporto qualificato tra un soggetto e l’attività da questi esercitata, l’attribuzione di una posizione di garanzia è funzionale a </w:t>
      </w:r>
      <w:r>
        <w:rPr>
          <w:sz w:val="28"/>
          <w:szCs w:val="28"/>
        </w:rPr>
        <w:t>tutelare</w:t>
      </w:r>
      <w:r w:rsidR="0095713B" w:rsidRPr="0095713B">
        <w:rPr>
          <w:sz w:val="28"/>
          <w:szCs w:val="28"/>
        </w:rPr>
        <w:t xml:space="preserve"> l’interesse</w:t>
      </w:r>
      <w:r>
        <w:rPr>
          <w:sz w:val="28"/>
          <w:szCs w:val="28"/>
        </w:rPr>
        <w:t xml:space="preserve"> previsto </w:t>
      </w:r>
      <w:r w:rsidR="0095713B" w:rsidRPr="0095713B">
        <w:rPr>
          <w:sz w:val="28"/>
          <w:szCs w:val="28"/>
        </w:rPr>
        <w:t>dall’ordinamento</w:t>
      </w:r>
      <w:r>
        <w:rPr>
          <w:sz w:val="28"/>
          <w:szCs w:val="28"/>
        </w:rPr>
        <w:t xml:space="preserve">. </w:t>
      </w:r>
    </w:p>
    <w:p w14:paraId="266BAF5F" w14:textId="3357A526" w:rsidR="0095713B" w:rsidRPr="0095713B" w:rsidRDefault="0095713B" w:rsidP="0096644C">
      <w:pPr>
        <w:pStyle w:val="NormaleWeb"/>
        <w:spacing w:before="0" w:beforeAutospacing="0" w:after="0" w:afterAutospacing="0"/>
        <w:jc w:val="both"/>
        <w:rPr>
          <w:sz w:val="28"/>
          <w:szCs w:val="28"/>
        </w:rPr>
      </w:pPr>
      <w:r w:rsidRPr="0095713B">
        <w:rPr>
          <w:sz w:val="28"/>
          <w:szCs w:val="28"/>
        </w:rPr>
        <w:t>A front</w:t>
      </w:r>
      <w:r w:rsidR="00665E46">
        <w:rPr>
          <w:sz w:val="28"/>
          <w:szCs w:val="28"/>
        </w:rPr>
        <w:t xml:space="preserve">e del recente </w:t>
      </w:r>
      <w:r w:rsidRPr="0095713B">
        <w:rPr>
          <w:sz w:val="28"/>
          <w:szCs w:val="28"/>
        </w:rPr>
        <w:t xml:space="preserve">incremento dei </w:t>
      </w:r>
      <w:proofErr w:type="spellStart"/>
      <w:r w:rsidRPr="00665E46">
        <w:rPr>
          <w:i/>
          <w:iCs/>
          <w:sz w:val="28"/>
          <w:szCs w:val="28"/>
        </w:rPr>
        <w:t>cybercrimes</w:t>
      </w:r>
      <w:proofErr w:type="spellEnd"/>
      <w:r w:rsidR="00665E46">
        <w:rPr>
          <w:i/>
          <w:iCs/>
          <w:sz w:val="28"/>
          <w:szCs w:val="28"/>
        </w:rPr>
        <w:t>,</w:t>
      </w:r>
      <w:r w:rsidRPr="0095713B">
        <w:rPr>
          <w:sz w:val="28"/>
          <w:szCs w:val="28"/>
        </w:rPr>
        <w:t xml:space="preserve"> tra cui </w:t>
      </w:r>
      <w:r w:rsidR="00665E46">
        <w:rPr>
          <w:sz w:val="28"/>
          <w:szCs w:val="28"/>
        </w:rPr>
        <w:t>rientra</w:t>
      </w:r>
      <w:r w:rsidRPr="0095713B">
        <w:rPr>
          <w:sz w:val="28"/>
          <w:szCs w:val="28"/>
        </w:rPr>
        <w:t xml:space="preserve"> la diffamazione </w:t>
      </w:r>
      <w:r w:rsidRPr="00665E46">
        <w:rPr>
          <w:i/>
          <w:iCs/>
          <w:sz w:val="28"/>
          <w:szCs w:val="28"/>
        </w:rPr>
        <w:t>online</w:t>
      </w:r>
      <w:r w:rsidR="00665E46" w:rsidRPr="00665E46">
        <w:rPr>
          <w:sz w:val="28"/>
          <w:szCs w:val="28"/>
        </w:rPr>
        <w:t xml:space="preserve"> appena esaminata</w:t>
      </w:r>
      <w:r w:rsidRPr="00665E46">
        <w:rPr>
          <w:sz w:val="28"/>
          <w:szCs w:val="28"/>
        </w:rPr>
        <w:t xml:space="preserve">, </w:t>
      </w:r>
      <w:r w:rsidRPr="0095713B">
        <w:rPr>
          <w:sz w:val="28"/>
          <w:szCs w:val="28"/>
        </w:rPr>
        <w:t xml:space="preserve">ci si </w:t>
      </w:r>
      <w:r w:rsidR="00665E46">
        <w:rPr>
          <w:sz w:val="28"/>
          <w:szCs w:val="28"/>
        </w:rPr>
        <w:t xml:space="preserve">chiede quale possa essere il soggetto cui viene affidata la posizione di garanzia e </w:t>
      </w:r>
      <w:r w:rsidRPr="0095713B">
        <w:rPr>
          <w:sz w:val="28"/>
          <w:szCs w:val="28"/>
        </w:rPr>
        <w:t xml:space="preserve">l’obbligo giuridico di attivarsi per prevenire la commissione di reati </w:t>
      </w:r>
      <w:r w:rsidRPr="00665E46">
        <w:rPr>
          <w:i/>
          <w:iCs/>
          <w:sz w:val="28"/>
          <w:szCs w:val="28"/>
        </w:rPr>
        <w:t>online</w:t>
      </w:r>
      <w:r w:rsidRPr="0095713B">
        <w:rPr>
          <w:sz w:val="28"/>
          <w:szCs w:val="28"/>
        </w:rPr>
        <w:t>.</w:t>
      </w:r>
    </w:p>
    <w:p w14:paraId="06FAB868" w14:textId="77777777" w:rsidR="00665E46" w:rsidRDefault="00665E46" w:rsidP="0096644C">
      <w:pPr>
        <w:pStyle w:val="NormaleWeb"/>
        <w:spacing w:before="0" w:beforeAutospacing="0" w:after="0" w:afterAutospacing="0"/>
        <w:jc w:val="both"/>
        <w:rPr>
          <w:sz w:val="28"/>
          <w:szCs w:val="28"/>
        </w:rPr>
      </w:pPr>
      <w:r>
        <w:rPr>
          <w:sz w:val="28"/>
          <w:szCs w:val="28"/>
        </w:rPr>
        <w:t>È diffusa la consapevolezza</w:t>
      </w:r>
      <w:r w:rsidR="0095713B" w:rsidRPr="0095713B">
        <w:rPr>
          <w:sz w:val="28"/>
          <w:szCs w:val="28"/>
        </w:rPr>
        <w:t xml:space="preserve"> della necessità di un controllo</w:t>
      </w:r>
      <w:r>
        <w:rPr>
          <w:sz w:val="28"/>
          <w:szCs w:val="28"/>
        </w:rPr>
        <w:t xml:space="preserve"> </w:t>
      </w:r>
      <w:r w:rsidRPr="00665E46">
        <w:rPr>
          <w:i/>
          <w:iCs/>
          <w:sz w:val="28"/>
          <w:szCs w:val="28"/>
        </w:rPr>
        <w:t>online</w:t>
      </w:r>
      <w:r w:rsidR="0095713B" w:rsidRPr="0095713B">
        <w:rPr>
          <w:sz w:val="28"/>
          <w:szCs w:val="28"/>
        </w:rPr>
        <w:t xml:space="preserve">, </w:t>
      </w:r>
      <w:r>
        <w:rPr>
          <w:sz w:val="28"/>
          <w:szCs w:val="28"/>
        </w:rPr>
        <w:t>eppure</w:t>
      </w:r>
      <w:r w:rsidR="0095713B" w:rsidRPr="0095713B">
        <w:rPr>
          <w:sz w:val="28"/>
          <w:szCs w:val="28"/>
        </w:rPr>
        <w:t xml:space="preserve"> </w:t>
      </w:r>
      <w:r>
        <w:rPr>
          <w:sz w:val="28"/>
          <w:szCs w:val="28"/>
        </w:rPr>
        <w:t>è nota la</w:t>
      </w:r>
      <w:r w:rsidR="0095713B" w:rsidRPr="0095713B">
        <w:rPr>
          <w:sz w:val="28"/>
          <w:szCs w:val="28"/>
        </w:rPr>
        <w:t xml:space="preserve"> difficoltà dello stesso per l’intrinseca natura del mezzo</w:t>
      </w:r>
      <w:r>
        <w:rPr>
          <w:sz w:val="28"/>
          <w:szCs w:val="28"/>
        </w:rPr>
        <w:t xml:space="preserve"> utilizzato.</w:t>
      </w:r>
    </w:p>
    <w:p w14:paraId="3B1DCF91" w14:textId="77777777" w:rsidR="00665E46" w:rsidRDefault="00665E46" w:rsidP="0096644C">
      <w:pPr>
        <w:pStyle w:val="NormaleWeb"/>
        <w:spacing w:before="0" w:beforeAutospacing="0" w:after="0" w:afterAutospacing="0"/>
        <w:jc w:val="both"/>
        <w:rPr>
          <w:sz w:val="28"/>
          <w:szCs w:val="28"/>
        </w:rPr>
      </w:pPr>
      <w:r>
        <w:rPr>
          <w:sz w:val="28"/>
          <w:szCs w:val="28"/>
        </w:rPr>
        <w:t>Si pensa, comunemente, che il</w:t>
      </w:r>
      <w:r w:rsidR="0095713B" w:rsidRPr="0095713B">
        <w:rPr>
          <w:sz w:val="28"/>
          <w:szCs w:val="28"/>
        </w:rPr>
        <w:t xml:space="preserve"> legislatore</w:t>
      </w:r>
      <w:r>
        <w:rPr>
          <w:sz w:val="28"/>
          <w:szCs w:val="28"/>
        </w:rPr>
        <w:t>, piuttosto che prevedere</w:t>
      </w:r>
      <w:r w:rsidR="0095713B" w:rsidRPr="0095713B">
        <w:rPr>
          <w:sz w:val="28"/>
          <w:szCs w:val="28"/>
        </w:rPr>
        <w:t xml:space="preserve"> </w:t>
      </w:r>
      <w:r w:rsidRPr="0095713B">
        <w:rPr>
          <w:sz w:val="28"/>
          <w:szCs w:val="28"/>
        </w:rPr>
        <w:t>meccanismi di controllo preventivo non percorribili e che potrebbero porsi in contrasto con la natura libertaria della rete</w:t>
      </w:r>
      <w:r>
        <w:rPr>
          <w:sz w:val="28"/>
          <w:szCs w:val="28"/>
        </w:rPr>
        <w:t xml:space="preserve">, </w:t>
      </w:r>
      <w:r w:rsidR="0095713B" w:rsidRPr="0095713B">
        <w:rPr>
          <w:sz w:val="28"/>
          <w:szCs w:val="28"/>
        </w:rPr>
        <w:t xml:space="preserve">dovrebbe valorizzare modelli di </w:t>
      </w:r>
      <w:proofErr w:type="spellStart"/>
      <w:r w:rsidR="0095713B" w:rsidRPr="00665E46">
        <w:rPr>
          <w:i/>
          <w:iCs/>
          <w:sz w:val="28"/>
          <w:szCs w:val="28"/>
        </w:rPr>
        <w:t>compliance</w:t>
      </w:r>
      <w:proofErr w:type="spellEnd"/>
      <w:r w:rsidR="0095713B" w:rsidRPr="0095713B">
        <w:rPr>
          <w:sz w:val="28"/>
          <w:szCs w:val="28"/>
        </w:rPr>
        <w:t xml:space="preserve"> e controllo successiv</w:t>
      </w:r>
      <w:r>
        <w:rPr>
          <w:sz w:val="28"/>
          <w:szCs w:val="28"/>
        </w:rPr>
        <w:t>o.</w:t>
      </w:r>
    </w:p>
    <w:p w14:paraId="0C3392A7" w14:textId="352EBE37" w:rsidR="0095713B" w:rsidRPr="0095713B" w:rsidRDefault="00665E46" w:rsidP="0096644C">
      <w:pPr>
        <w:pStyle w:val="NormaleWeb"/>
        <w:spacing w:before="0" w:beforeAutospacing="0" w:after="0" w:afterAutospacing="0"/>
        <w:jc w:val="both"/>
        <w:rPr>
          <w:sz w:val="28"/>
          <w:szCs w:val="28"/>
        </w:rPr>
      </w:pPr>
      <w:r>
        <w:rPr>
          <w:sz w:val="28"/>
          <w:szCs w:val="28"/>
        </w:rPr>
        <w:t>D’altro canto,</w:t>
      </w:r>
      <w:r w:rsidR="0095713B" w:rsidRPr="0095713B">
        <w:rPr>
          <w:sz w:val="28"/>
          <w:szCs w:val="28"/>
        </w:rPr>
        <w:t xml:space="preserve"> </w:t>
      </w:r>
      <w:r>
        <w:rPr>
          <w:sz w:val="28"/>
          <w:szCs w:val="28"/>
        </w:rPr>
        <w:t xml:space="preserve">è pur vero che </w:t>
      </w:r>
      <w:r w:rsidR="0095713B" w:rsidRPr="0095713B">
        <w:rPr>
          <w:sz w:val="28"/>
          <w:szCs w:val="28"/>
        </w:rPr>
        <w:t xml:space="preserve">l’esigenza </w:t>
      </w:r>
      <w:r>
        <w:rPr>
          <w:sz w:val="28"/>
          <w:szCs w:val="28"/>
        </w:rPr>
        <w:t xml:space="preserve">comunque sentita </w:t>
      </w:r>
      <w:r w:rsidR="0095713B" w:rsidRPr="0095713B">
        <w:rPr>
          <w:sz w:val="28"/>
          <w:szCs w:val="28"/>
        </w:rPr>
        <w:t xml:space="preserve">di prevenire </w:t>
      </w:r>
      <w:r>
        <w:rPr>
          <w:sz w:val="28"/>
          <w:szCs w:val="28"/>
        </w:rPr>
        <w:t xml:space="preserve">i reati </w:t>
      </w:r>
      <w:r w:rsidR="0095713B" w:rsidRPr="0095713B">
        <w:rPr>
          <w:sz w:val="28"/>
          <w:szCs w:val="28"/>
        </w:rPr>
        <w:t>mette in dubbio questo orientamento.</w:t>
      </w:r>
    </w:p>
    <w:p w14:paraId="3173F3D3" w14:textId="758A68B9" w:rsidR="007E2ED5" w:rsidRDefault="007E2ED5" w:rsidP="0096644C">
      <w:pPr>
        <w:pStyle w:val="NormaleWeb"/>
        <w:spacing w:before="0" w:beforeAutospacing="0" w:after="0" w:afterAutospacing="0"/>
        <w:jc w:val="both"/>
        <w:rPr>
          <w:sz w:val="28"/>
          <w:szCs w:val="28"/>
        </w:rPr>
      </w:pPr>
      <w:r>
        <w:rPr>
          <w:sz w:val="28"/>
          <w:szCs w:val="28"/>
        </w:rPr>
        <w:t xml:space="preserve">Ultimamente, è stato il </w:t>
      </w:r>
      <w:r w:rsidR="0095713B" w:rsidRPr="0095713B">
        <w:rPr>
          <w:sz w:val="28"/>
          <w:szCs w:val="28"/>
        </w:rPr>
        <w:t xml:space="preserve">legislatore europeo </w:t>
      </w:r>
      <w:r>
        <w:rPr>
          <w:sz w:val="28"/>
          <w:szCs w:val="28"/>
        </w:rPr>
        <w:t>a</w:t>
      </w:r>
      <w:r w:rsidR="0095713B" w:rsidRPr="0095713B">
        <w:rPr>
          <w:sz w:val="28"/>
          <w:szCs w:val="28"/>
        </w:rPr>
        <w:t xml:space="preserve"> riconosc</w:t>
      </w:r>
      <w:r>
        <w:rPr>
          <w:sz w:val="28"/>
          <w:szCs w:val="28"/>
        </w:rPr>
        <w:t>ere</w:t>
      </w:r>
      <w:r w:rsidR="0095713B" w:rsidRPr="0095713B">
        <w:rPr>
          <w:sz w:val="28"/>
          <w:szCs w:val="28"/>
        </w:rPr>
        <w:t xml:space="preserve"> un obbligo di </w:t>
      </w:r>
      <w:r>
        <w:rPr>
          <w:sz w:val="28"/>
          <w:szCs w:val="28"/>
        </w:rPr>
        <w:t>attivazione</w:t>
      </w:r>
      <w:r w:rsidR="0095713B" w:rsidRPr="0095713B">
        <w:rPr>
          <w:sz w:val="28"/>
          <w:szCs w:val="28"/>
        </w:rPr>
        <w:t xml:space="preserve"> in capo </w:t>
      </w:r>
      <w:r>
        <w:rPr>
          <w:sz w:val="28"/>
          <w:szCs w:val="28"/>
        </w:rPr>
        <w:t>ai</w:t>
      </w:r>
      <w:r w:rsidR="0095713B" w:rsidRPr="0095713B">
        <w:rPr>
          <w:sz w:val="28"/>
          <w:szCs w:val="28"/>
        </w:rPr>
        <w:t xml:space="preserve"> soggetti </w:t>
      </w:r>
      <w:r>
        <w:rPr>
          <w:sz w:val="28"/>
          <w:szCs w:val="28"/>
        </w:rPr>
        <w:t>che hanno la possibilità di</w:t>
      </w:r>
      <w:r w:rsidR="0095713B" w:rsidRPr="0095713B">
        <w:rPr>
          <w:sz w:val="28"/>
          <w:szCs w:val="28"/>
        </w:rPr>
        <w:t xml:space="preserve"> agire sui contenuti</w:t>
      </w:r>
      <w:r>
        <w:rPr>
          <w:sz w:val="28"/>
          <w:szCs w:val="28"/>
        </w:rPr>
        <w:t xml:space="preserve"> </w:t>
      </w:r>
      <w:r w:rsidRPr="007E2ED5">
        <w:rPr>
          <w:i/>
          <w:iCs/>
          <w:sz w:val="28"/>
          <w:szCs w:val="28"/>
        </w:rPr>
        <w:t>online</w:t>
      </w:r>
      <w:r>
        <w:rPr>
          <w:sz w:val="28"/>
          <w:szCs w:val="28"/>
        </w:rPr>
        <w:t xml:space="preserve">, ossia </w:t>
      </w:r>
      <w:r w:rsidR="0095713B" w:rsidRPr="0095713B">
        <w:rPr>
          <w:sz w:val="28"/>
          <w:szCs w:val="28"/>
        </w:rPr>
        <w:t xml:space="preserve">gli </w:t>
      </w:r>
      <w:r w:rsidR="0095713B" w:rsidRPr="007E2ED5">
        <w:rPr>
          <w:i/>
          <w:iCs/>
          <w:sz w:val="28"/>
          <w:szCs w:val="28"/>
        </w:rPr>
        <w:t>Internet Service Provider</w:t>
      </w:r>
      <w:r w:rsidR="0095713B" w:rsidRPr="0095713B">
        <w:rPr>
          <w:sz w:val="28"/>
          <w:szCs w:val="28"/>
        </w:rPr>
        <w:t xml:space="preserve"> (ISP)</w:t>
      </w:r>
      <w:r>
        <w:rPr>
          <w:sz w:val="28"/>
          <w:szCs w:val="28"/>
        </w:rPr>
        <w:t xml:space="preserve"> che, come noto, </w:t>
      </w:r>
      <w:r w:rsidR="0095713B" w:rsidRPr="0095713B">
        <w:rPr>
          <w:sz w:val="28"/>
          <w:szCs w:val="28"/>
        </w:rPr>
        <w:t>rappresenta</w:t>
      </w:r>
      <w:r>
        <w:rPr>
          <w:sz w:val="28"/>
          <w:szCs w:val="28"/>
        </w:rPr>
        <w:t>no</w:t>
      </w:r>
      <w:r w:rsidR="0095713B" w:rsidRPr="0095713B">
        <w:rPr>
          <w:sz w:val="28"/>
          <w:szCs w:val="28"/>
        </w:rPr>
        <w:t xml:space="preserve"> i principali intermediari dell’offerta digitale</w:t>
      </w:r>
      <w:r w:rsidR="000B1ED4">
        <w:rPr>
          <w:rStyle w:val="Rimandonotaapidipagina"/>
          <w:sz w:val="28"/>
          <w:szCs w:val="28"/>
        </w:rPr>
        <w:footnoteReference w:id="269"/>
      </w:r>
      <w:r w:rsidR="0095713B" w:rsidRPr="0095713B">
        <w:rPr>
          <w:sz w:val="28"/>
          <w:szCs w:val="28"/>
        </w:rPr>
        <w:t xml:space="preserve">. </w:t>
      </w:r>
      <w:r>
        <w:rPr>
          <w:sz w:val="28"/>
          <w:szCs w:val="28"/>
        </w:rPr>
        <w:t>La</w:t>
      </w:r>
      <w:r w:rsidR="0095713B" w:rsidRPr="0095713B">
        <w:rPr>
          <w:sz w:val="28"/>
          <w:szCs w:val="28"/>
        </w:rPr>
        <w:t xml:space="preserve"> Direttiva sul commercio elettronico (2000/31/CE), confluita </w:t>
      </w:r>
      <w:r>
        <w:rPr>
          <w:sz w:val="28"/>
          <w:szCs w:val="28"/>
        </w:rPr>
        <w:lastRenderedPageBreak/>
        <w:t xml:space="preserve">poi </w:t>
      </w:r>
      <w:r w:rsidR="0095713B" w:rsidRPr="0095713B">
        <w:rPr>
          <w:sz w:val="28"/>
          <w:szCs w:val="28"/>
        </w:rPr>
        <w:t>nel Codice del commercio elettronico (D.Lgs. 70/2003)</w:t>
      </w:r>
      <w:r>
        <w:rPr>
          <w:sz w:val="28"/>
          <w:szCs w:val="28"/>
        </w:rPr>
        <w:t>, ha introdotto</w:t>
      </w:r>
      <w:r w:rsidR="0095713B" w:rsidRPr="0095713B">
        <w:rPr>
          <w:sz w:val="28"/>
          <w:szCs w:val="28"/>
        </w:rPr>
        <w:t xml:space="preserve"> </w:t>
      </w:r>
      <w:r>
        <w:rPr>
          <w:sz w:val="28"/>
          <w:szCs w:val="28"/>
        </w:rPr>
        <w:t>gli</w:t>
      </w:r>
      <w:r w:rsidR="0095713B" w:rsidRPr="0095713B">
        <w:rPr>
          <w:sz w:val="28"/>
          <w:szCs w:val="28"/>
        </w:rPr>
        <w:t xml:space="preserve"> art</w:t>
      </w:r>
      <w:r>
        <w:rPr>
          <w:sz w:val="28"/>
          <w:szCs w:val="28"/>
        </w:rPr>
        <w:t>t.</w:t>
      </w:r>
      <w:r w:rsidR="0095713B" w:rsidRPr="0095713B">
        <w:rPr>
          <w:sz w:val="28"/>
          <w:szCs w:val="28"/>
        </w:rPr>
        <w:t xml:space="preserve"> 14 ss., che consentono di configurare </w:t>
      </w:r>
      <w:r>
        <w:rPr>
          <w:sz w:val="28"/>
          <w:szCs w:val="28"/>
        </w:rPr>
        <w:t>a carico</w:t>
      </w:r>
      <w:r w:rsidR="0095713B" w:rsidRPr="0095713B">
        <w:rPr>
          <w:sz w:val="28"/>
          <w:szCs w:val="28"/>
        </w:rPr>
        <w:t xml:space="preserve"> </w:t>
      </w:r>
      <w:r>
        <w:rPr>
          <w:sz w:val="28"/>
          <w:szCs w:val="28"/>
        </w:rPr>
        <w:t>de</w:t>
      </w:r>
      <w:r w:rsidR="0095713B" w:rsidRPr="0095713B">
        <w:rPr>
          <w:sz w:val="28"/>
          <w:szCs w:val="28"/>
        </w:rPr>
        <w:t xml:space="preserve">gli ISP un obbligo di </w:t>
      </w:r>
      <w:r>
        <w:rPr>
          <w:sz w:val="28"/>
          <w:szCs w:val="28"/>
        </w:rPr>
        <w:t>attivarsi</w:t>
      </w:r>
      <w:r w:rsidR="0095713B" w:rsidRPr="0095713B">
        <w:rPr>
          <w:sz w:val="28"/>
          <w:szCs w:val="28"/>
        </w:rPr>
        <w:t xml:space="preserve"> qualora venissero a conoscenza della trasmissione di un contenuto illecito</w:t>
      </w:r>
      <w:r>
        <w:rPr>
          <w:sz w:val="28"/>
          <w:szCs w:val="28"/>
        </w:rPr>
        <w:t xml:space="preserve">. Gli ISP si configurano, dunque, come veri e propri </w:t>
      </w:r>
      <w:r w:rsidR="0095713B" w:rsidRPr="0095713B">
        <w:rPr>
          <w:sz w:val="28"/>
          <w:szCs w:val="28"/>
        </w:rPr>
        <w:t xml:space="preserve">tutori dell’ordine virtuale, collaborando nella attenuazione ovvero eliminazione delle conseguenze dei contenuti illeciti, senza però avere alcun obbligo di verifica preventiva intervenendo esclusivamente </w:t>
      </w:r>
      <w:r w:rsidR="0095713B" w:rsidRPr="007E2ED5">
        <w:rPr>
          <w:i/>
          <w:iCs/>
          <w:sz w:val="28"/>
          <w:szCs w:val="28"/>
        </w:rPr>
        <w:t>ex post</w:t>
      </w:r>
      <w:r w:rsidR="0095713B" w:rsidRPr="0095713B">
        <w:rPr>
          <w:sz w:val="28"/>
          <w:szCs w:val="28"/>
        </w:rPr>
        <w:t xml:space="preserve">. </w:t>
      </w:r>
    </w:p>
    <w:p w14:paraId="1F063460" w14:textId="77777777" w:rsidR="007E2ED5" w:rsidRDefault="007E2ED5" w:rsidP="0096644C">
      <w:pPr>
        <w:pStyle w:val="NormaleWeb"/>
        <w:spacing w:before="0" w:beforeAutospacing="0" w:after="0" w:afterAutospacing="0"/>
        <w:jc w:val="both"/>
        <w:rPr>
          <w:sz w:val="28"/>
          <w:szCs w:val="28"/>
        </w:rPr>
      </w:pPr>
      <w:r>
        <w:rPr>
          <w:sz w:val="28"/>
          <w:szCs w:val="28"/>
        </w:rPr>
        <w:t>Resta ferma</w:t>
      </w:r>
      <w:r w:rsidR="0095713B" w:rsidRPr="0095713B">
        <w:rPr>
          <w:sz w:val="28"/>
          <w:szCs w:val="28"/>
        </w:rPr>
        <w:t xml:space="preserve"> </w:t>
      </w:r>
      <w:r>
        <w:rPr>
          <w:sz w:val="28"/>
          <w:szCs w:val="28"/>
        </w:rPr>
        <w:t>la</w:t>
      </w:r>
      <w:r w:rsidR="0095713B" w:rsidRPr="0095713B">
        <w:rPr>
          <w:sz w:val="28"/>
          <w:szCs w:val="28"/>
        </w:rPr>
        <w:t xml:space="preserve"> possibile responsabilità per concorso attivo nel reato commesso dall’utente. </w:t>
      </w:r>
      <w:r>
        <w:rPr>
          <w:sz w:val="28"/>
          <w:szCs w:val="28"/>
        </w:rPr>
        <w:t>Tale</w:t>
      </w:r>
      <w:r w:rsidR="0095713B" w:rsidRPr="0095713B">
        <w:rPr>
          <w:sz w:val="28"/>
          <w:szCs w:val="28"/>
        </w:rPr>
        <w:t xml:space="preserve"> sistema di responsabilità indiretta in capo ai </w:t>
      </w:r>
      <w:r w:rsidR="0095713B" w:rsidRPr="007E2ED5">
        <w:rPr>
          <w:i/>
          <w:iCs/>
          <w:sz w:val="28"/>
          <w:szCs w:val="28"/>
        </w:rPr>
        <w:t>provider</w:t>
      </w:r>
      <w:r w:rsidR="0095713B" w:rsidRPr="0095713B">
        <w:rPr>
          <w:sz w:val="28"/>
          <w:szCs w:val="28"/>
        </w:rPr>
        <w:t xml:space="preserve"> è stato</w:t>
      </w:r>
      <w:r>
        <w:rPr>
          <w:sz w:val="28"/>
          <w:szCs w:val="28"/>
        </w:rPr>
        <w:t>,</w:t>
      </w:r>
      <w:r w:rsidR="0095713B" w:rsidRPr="0095713B">
        <w:rPr>
          <w:sz w:val="28"/>
          <w:szCs w:val="28"/>
        </w:rPr>
        <w:t xml:space="preserve"> </w:t>
      </w:r>
      <w:r w:rsidRPr="0095713B">
        <w:rPr>
          <w:sz w:val="28"/>
          <w:szCs w:val="28"/>
        </w:rPr>
        <w:t>in parte</w:t>
      </w:r>
      <w:r>
        <w:rPr>
          <w:sz w:val="28"/>
          <w:szCs w:val="28"/>
        </w:rPr>
        <w:t>,</w:t>
      </w:r>
      <w:r w:rsidRPr="0095713B">
        <w:rPr>
          <w:sz w:val="28"/>
          <w:szCs w:val="28"/>
        </w:rPr>
        <w:t xml:space="preserve"> </w:t>
      </w:r>
      <w:r>
        <w:rPr>
          <w:sz w:val="28"/>
          <w:szCs w:val="28"/>
        </w:rPr>
        <w:t>modificato</w:t>
      </w:r>
      <w:r w:rsidR="0095713B" w:rsidRPr="0095713B">
        <w:rPr>
          <w:sz w:val="28"/>
          <w:szCs w:val="28"/>
        </w:rPr>
        <w:t xml:space="preserve"> dalla c.d. Direttiva </w:t>
      </w:r>
      <w:r w:rsidR="0095713B" w:rsidRPr="007E2ED5">
        <w:rPr>
          <w:i/>
          <w:iCs/>
          <w:sz w:val="28"/>
          <w:szCs w:val="28"/>
        </w:rPr>
        <w:t>Copyright</w:t>
      </w:r>
      <w:r w:rsidR="0095713B" w:rsidRPr="0095713B">
        <w:rPr>
          <w:sz w:val="28"/>
          <w:szCs w:val="28"/>
        </w:rPr>
        <w:t xml:space="preserve"> (2019/790/UE) che</w:t>
      </w:r>
      <w:r>
        <w:rPr>
          <w:sz w:val="28"/>
          <w:szCs w:val="28"/>
        </w:rPr>
        <w:t>,</w:t>
      </w:r>
      <w:r w:rsidR="0095713B" w:rsidRPr="0095713B">
        <w:rPr>
          <w:sz w:val="28"/>
          <w:szCs w:val="28"/>
        </w:rPr>
        <w:t xml:space="preserve"> con </w:t>
      </w:r>
      <w:r>
        <w:rPr>
          <w:sz w:val="28"/>
          <w:szCs w:val="28"/>
        </w:rPr>
        <w:t>riguardo</w:t>
      </w:r>
      <w:r w:rsidR="0095713B" w:rsidRPr="0095713B">
        <w:rPr>
          <w:sz w:val="28"/>
          <w:szCs w:val="28"/>
        </w:rPr>
        <w:t xml:space="preserve"> ai contenuti protetti dal diritto d’autore, prevede che gli ISP </w:t>
      </w:r>
      <w:r>
        <w:rPr>
          <w:sz w:val="28"/>
          <w:szCs w:val="28"/>
        </w:rPr>
        <w:t>debbano, in via preventiva,</w:t>
      </w:r>
      <w:r w:rsidR="0095713B" w:rsidRPr="0095713B">
        <w:rPr>
          <w:sz w:val="28"/>
          <w:szCs w:val="28"/>
        </w:rPr>
        <w:t xml:space="preserve"> ottenere una licenza</w:t>
      </w:r>
      <w:r>
        <w:rPr>
          <w:sz w:val="28"/>
          <w:szCs w:val="28"/>
        </w:rPr>
        <w:t xml:space="preserve"> per</w:t>
      </w:r>
      <w:r w:rsidR="0095713B" w:rsidRPr="0095713B">
        <w:rPr>
          <w:sz w:val="28"/>
          <w:szCs w:val="28"/>
        </w:rPr>
        <w:t xml:space="preserve"> carica</w:t>
      </w:r>
      <w:r>
        <w:rPr>
          <w:sz w:val="28"/>
          <w:szCs w:val="28"/>
        </w:rPr>
        <w:t>re i</w:t>
      </w:r>
      <w:r w:rsidR="0095713B" w:rsidRPr="0095713B">
        <w:rPr>
          <w:sz w:val="28"/>
          <w:szCs w:val="28"/>
        </w:rPr>
        <w:t xml:space="preserve"> contenuti</w:t>
      </w:r>
      <w:r>
        <w:rPr>
          <w:sz w:val="28"/>
          <w:szCs w:val="28"/>
        </w:rPr>
        <w:t>,</w:t>
      </w:r>
      <w:r w:rsidR="0095713B" w:rsidRPr="0095713B">
        <w:rPr>
          <w:sz w:val="28"/>
          <w:szCs w:val="28"/>
        </w:rPr>
        <w:t xml:space="preserve"> anche qualora condivisi dai propri utenti, </w:t>
      </w:r>
      <w:r>
        <w:rPr>
          <w:sz w:val="28"/>
          <w:szCs w:val="28"/>
        </w:rPr>
        <w:t>costituendo,</w:t>
      </w:r>
      <w:r w:rsidR="0095713B" w:rsidRPr="0095713B">
        <w:rPr>
          <w:sz w:val="28"/>
          <w:szCs w:val="28"/>
        </w:rPr>
        <w:t xml:space="preserve"> di fatto</w:t>
      </w:r>
      <w:r>
        <w:rPr>
          <w:sz w:val="28"/>
          <w:szCs w:val="28"/>
        </w:rPr>
        <w:t>,</w:t>
      </w:r>
      <w:r w:rsidR="0095713B" w:rsidRPr="0095713B">
        <w:rPr>
          <w:sz w:val="28"/>
          <w:szCs w:val="28"/>
        </w:rPr>
        <w:t xml:space="preserve"> un</w:t>
      </w:r>
      <w:r>
        <w:rPr>
          <w:sz w:val="28"/>
          <w:szCs w:val="28"/>
        </w:rPr>
        <w:t>a forma di</w:t>
      </w:r>
      <w:r w:rsidR="0095713B" w:rsidRPr="0095713B">
        <w:rPr>
          <w:sz w:val="28"/>
          <w:szCs w:val="28"/>
        </w:rPr>
        <w:t xml:space="preserve"> controllo </w:t>
      </w:r>
      <w:r>
        <w:rPr>
          <w:sz w:val="28"/>
          <w:szCs w:val="28"/>
        </w:rPr>
        <w:t xml:space="preserve">anche </w:t>
      </w:r>
      <w:r w:rsidR="0095713B" w:rsidRPr="007E2ED5">
        <w:rPr>
          <w:i/>
          <w:iCs/>
          <w:sz w:val="28"/>
          <w:szCs w:val="28"/>
        </w:rPr>
        <w:t>ex ante</w:t>
      </w:r>
      <w:r>
        <w:rPr>
          <w:sz w:val="28"/>
          <w:szCs w:val="28"/>
        </w:rPr>
        <w:t xml:space="preserve"> in capo agli ISP, e </w:t>
      </w:r>
      <w:r w:rsidR="0095713B" w:rsidRPr="0095713B">
        <w:rPr>
          <w:sz w:val="28"/>
          <w:szCs w:val="28"/>
        </w:rPr>
        <w:t xml:space="preserve">presupponendo un comportamento attivo degli stessi. </w:t>
      </w:r>
    </w:p>
    <w:p w14:paraId="184EF648" w14:textId="77777777" w:rsidR="00D74425" w:rsidRDefault="007E2ED5" w:rsidP="0096644C">
      <w:pPr>
        <w:pStyle w:val="NormaleWeb"/>
        <w:spacing w:before="0" w:beforeAutospacing="0" w:after="0" w:afterAutospacing="0"/>
        <w:jc w:val="both"/>
        <w:rPr>
          <w:sz w:val="28"/>
          <w:szCs w:val="28"/>
        </w:rPr>
      </w:pPr>
      <w:r>
        <w:rPr>
          <w:sz w:val="28"/>
          <w:szCs w:val="28"/>
        </w:rPr>
        <w:t>Se questo obbligo di controllo preventivo</w:t>
      </w:r>
      <w:r w:rsidR="0095713B" w:rsidRPr="0095713B">
        <w:rPr>
          <w:sz w:val="28"/>
          <w:szCs w:val="28"/>
        </w:rPr>
        <w:t xml:space="preserve"> in capo agli ISP</w:t>
      </w:r>
      <w:r>
        <w:rPr>
          <w:sz w:val="28"/>
          <w:szCs w:val="28"/>
        </w:rPr>
        <w:t xml:space="preserve"> fosse</w:t>
      </w:r>
      <w:r w:rsidR="0095713B" w:rsidRPr="0095713B">
        <w:rPr>
          <w:sz w:val="28"/>
          <w:szCs w:val="28"/>
        </w:rPr>
        <w:t xml:space="preserve"> applicato ai contenuti diffamatori o d’odio</w:t>
      </w:r>
      <w:r>
        <w:rPr>
          <w:sz w:val="28"/>
          <w:szCs w:val="28"/>
        </w:rPr>
        <w:t>, ciò</w:t>
      </w:r>
      <w:r w:rsidR="0095713B" w:rsidRPr="0095713B">
        <w:rPr>
          <w:sz w:val="28"/>
          <w:szCs w:val="28"/>
        </w:rPr>
        <w:t xml:space="preserve"> sarebbe funzionale alla prevenzione della lesione </w:t>
      </w:r>
      <w:r>
        <w:rPr>
          <w:sz w:val="28"/>
          <w:szCs w:val="28"/>
        </w:rPr>
        <w:t>esaminata fino ad ora</w:t>
      </w:r>
      <w:r w:rsidR="0095713B" w:rsidRPr="0095713B">
        <w:rPr>
          <w:sz w:val="28"/>
          <w:szCs w:val="28"/>
        </w:rPr>
        <w:t>.</w:t>
      </w:r>
      <w:r>
        <w:rPr>
          <w:sz w:val="28"/>
          <w:szCs w:val="28"/>
        </w:rPr>
        <w:t xml:space="preserve"> Tuttavia, la </w:t>
      </w:r>
      <w:r w:rsidR="0095713B" w:rsidRPr="0095713B">
        <w:rPr>
          <w:sz w:val="28"/>
          <w:szCs w:val="28"/>
        </w:rPr>
        <w:t>disciplina di cui sopra è applicabile unicamente alle violazioni in materia di Diritto d’Autore. Ai sensi dell’articolo 15</w:t>
      </w:r>
      <w:r>
        <w:rPr>
          <w:sz w:val="28"/>
          <w:szCs w:val="28"/>
        </w:rPr>
        <w:t>,</w:t>
      </w:r>
      <w:r w:rsidR="0095713B" w:rsidRPr="0095713B">
        <w:rPr>
          <w:sz w:val="28"/>
          <w:szCs w:val="28"/>
        </w:rPr>
        <w:t xml:space="preserve"> co</w:t>
      </w:r>
      <w:r>
        <w:rPr>
          <w:sz w:val="28"/>
          <w:szCs w:val="28"/>
        </w:rPr>
        <w:t xml:space="preserve">mma </w:t>
      </w:r>
      <w:r w:rsidR="0095713B" w:rsidRPr="0095713B">
        <w:rPr>
          <w:sz w:val="28"/>
          <w:szCs w:val="28"/>
        </w:rPr>
        <w:t xml:space="preserve">1, della Direttiva </w:t>
      </w:r>
      <w:r w:rsidR="0095713B" w:rsidRPr="007E2ED5">
        <w:rPr>
          <w:i/>
          <w:iCs/>
          <w:sz w:val="28"/>
          <w:szCs w:val="28"/>
        </w:rPr>
        <w:t>e-commerce</w:t>
      </w:r>
      <w:r>
        <w:rPr>
          <w:sz w:val="28"/>
          <w:szCs w:val="28"/>
        </w:rPr>
        <w:t xml:space="preserve">, </w:t>
      </w:r>
      <w:r w:rsidR="0095713B" w:rsidRPr="0095713B">
        <w:rPr>
          <w:sz w:val="28"/>
          <w:szCs w:val="28"/>
        </w:rPr>
        <w:t>infatti</w:t>
      </w:r>
      <w:r>
        <w:rPr>
          <w:sz w:val="28"/>
          <w:szCs w:val="28"/>
        </w:rPr>
        <w:t xml:space="preserve">, </w:t>
      </w:r>
      <w:r w:rsidR="0095713B" w:rsidRPr="0095713B">
        <w:rPr>
          <w:sz w:val="28"/>
          <w:szCs w:val="28"/>
        </w:rPr>
        <w:t xml:space="preserve">è </w:t>
      </w:r>
      <w:r>
        <w:rPr>
          <w:sz w:val="28"/>
          <w:szCs w:val="28"/>
        </w:rPr>
        <w:t>vietato</w:t>
      </w:r>
      <w:r w:rsidR="0095713B" w:rsidRPr="0095713B">
        <w:rPr>
          <w:sz w:val="28"/>
          <w:szCs w:val="28"/>
        </w:rPr>
        <w:t xml:space="preserve"> agli Stati membri di imporre un obbligo generale di sorveglianza o di ricerca attiva tra i contenuti veicolati dagli ISP</w:t>
      </w:r>
      <w:r w:rsidR="00521B00">
        <w:rPr>
          <w:rStyle w:val="Rimandonotaapidipagina"/>
          <w:sz w:val="28"/>
          <w:szCs w:val="28"/>
        </w:rPr>
        <w:footnoteReference w:id="270"/>
      </w:r>
      <w:r w:rsidR="0095713B" w:rsidRPr="0095713B">
        <w:rPr>
          <w:sz w:val="28"/>
          <w:szCs w:val="28"/>
        </w:rPr>
        <w:t xml:space="preserve">. </w:t>
      </w:r>
    </w:p>
    <w:p w14:paraId="36FCF2F2" w14:textId="77777777" w:rsidR="000B1ED4" w:rsidRDefault="00D74425" w:rsidP="0096644C">
      <w:pPr>
        <w:pStyle w:val="NormaleWeb"/>
        <w:spacing w:before="0" w:beforeAutospacing="0" w:after="0" w:afterAutospacing="0"/>
        <w:jc w:val="both"/>
        <w:rPr>
          <w:sz w:val="28"/>
          <w:szCs w:val="28"/>
        </w:rPr>
      </w:pPr>
      <w:r>
        <w:rPr>
          <w:sz w:val="28"/>
          <w:szCs w:val="28"/>
        </w:rPr>
        <w:t>Per cui, chi</w:t>
      </w:r>
      <w:r w:rsidR="0095713B" w:rsidRPr="0095713B">
        <w:rPr>
          <w:sz w:val="28"/>
          <w:szCs w:val="28"/>
        </w:rPr>
        <w:t xml:space="preserve"> subisce una lesione del proprio onore e della propria reputazione in internet, ha</w:t>
      </w:r>
      <w:r>
        <w:rPr>
          <w:sz w:val="28"/>
          <w:szCs w:val="28"/>
        </w:rPr>
        <w:t xml:space="preserve"> la</w:t>
      </w:r>
      <w:r w:rsidR="0095713B" w:rsidRPr="0095713B">
        <w:rPr>
          <w:sz w:val="28"/>
          <w:szCs w:val="28"/>
        </w:rPr>
        <w:t xml:space="preserve"> facoltà di chiedere la </w:t>
      </w:r>
      <w:proofErr w:type="spellStart"/>
      <w:r w:rsidR="0095713B" w:rsidRPr="0095713B">
        <w:rPr>
          <w:sz w:val="28"/>
          <w:szCs w:val="28"/>
        </w:rPr>
        <w:t>disabilitazione</w:t>
      </w:r>
      <w:proofErr w:type="spellEnd"/>
      <w:r w:rsidR="0095713B" w:rsidRPr="0095713B">
        <w:rPr>
          <w:sz w:val="28"/>
          <w:szCs w:val="28"/>
        </w:rPr>
        <w:t xml:space="preserve"> all’accesso dei singoli contenuti diffamatori</w:t>
      </w:r>
      <w:r>
        <w:rPr>
          <w:sz w:val="28"/>
          <w:szCs w:val="28"/>
        </w:rPr>
        <w:t>,</w:t>
      </w:r>
      <w:r w:rsidR="0095713B" w:rsidRPr="0095713B">
        <w:rPr>
          <w:sz w:val="28"/>
          <w:szCs w:val="28"/>
        </w:rPr>
        <w:t xml:space="preserve"> ma non ne può chiedere una </w:t>
      </w:r>
      <w:proofErr w:type="spellStart"/>
      <w:r w:rsidR="0095713B" w:rsidRPr="0095713B">
        <w:rPr>
          <w:sz w:val="28"/>
          <w:szCs w:val="28"/>
        </w:rPr>
        <w:t>disabilitazione</w:t>
      </w:r>
      <w:proofErr w:type="spellEnd"/>
      <w:r w:rsidR="0095713B" w:rsidRPr="0095713B">
        <w:rPr>
          <w:sz w:val="28"/>
          <w:szCs w:val="28"/>
        </w:rPr>
        <w:t xml:space="preserve"> preventiva o generalizzata indipendente dalla sua richiesta. </w:t>
      </w:r>
    </w:p>
    <w:p w14:paraId="614DE692" w14:textId="0C97CF6B" w:rsidR="00D74425" w:rsidRDefault="0095713B" w:rsidP="0096644C">
      <w:pPr>
        <w:pStyle w:val="NormaleWeb"/>
        <w:spacing w:before="0" w:beforeAutospacing="0" w:after="0" w:afterAutospacing="0"/>
        <w:jc w:val="both"/>
        <w:rPr>
          <w:sz w:val="28"/>
          <w:szCs w:val="28"/>
        </w:rPr>
      </w:pPr>
      <w:r w:rsidRPr="0095713B">
        <w:rPr>
          <w:sz w:val="28"/>
          <w:szCs w:val="28"/>
        </w:rPr>
        <w:t>Nel 2018</w:t>
      </w:r>
      <w:r w:rsidR="00D74425">
        <w:rPr>
          <w:sz w:val="28"/>
          <w:szCs w:val="28"/>
        </w:rPr>
        <w:t xml:space="preserve">, </w:t>
      </w:r>
      <w:r w:rsidRPr="0095713B">
        <w:rPr>
          <w:sz w:val="28"/>
          <w:szCs w:val="28"/>
        </w:rPr>
        <w:t>però</w:t>
      </w:r>
      <w:r w:rsidR="00D74425">
        <w:rPr>
          <w:sz w:val="28"/>
          <w:szCs w:val="28"/>
        </w:rPr>
        <w:t>,</w:t>
      </w:r>
      <w:r w:rsidRPr="0095713B">
        <w:rPr>
          <w:sz w:val="28"/>
          <w:szCs w:val="28"/>
        </w:rPr>
        <w:t xml:space="preserve"> la </w:t>
      </w:r>
      <w:r w:rsidR="00D74425">
        <w:rPr>
          <w:sz w:val="28"/>
          <w:szCs w:val="28"/>
        </w:rPr>
        <w:t>Corte di Giustizia</w:t>
      </w:r>
      <w:r w:rsidRPr="0095713B">
        <w:rPr>
          <w:sz w:val="28"/>
          <w:szCs w:val="28"/>
        </w:rPr>
        <w:t xml:space="preserve"> è intervenuta con una sentenz</w:t>
      </w:r>
      <w:r w:rsidR="00D74425">
        <w:rPr>
          <w:sz w:val="28"/>
          <w:szCs w:val="28"/>
        </w:rPr>
        <w:t>a</w:t>
      </w:r>
      <w:r w:rsidRPr="0095713B">
        <w:rPr>
          <w:sz w:val="28"/>
          <w:szCs w:val="28"/>
        </w:rPr>
        <w:t xml:space="preserve"> rivoluzionaria in materia</w:t>
      </w:r>
      <w:r w:rsidR="00D74425">
        <w:rPr>
          <w:rStyle w:val="Rimandonotaapidipagina"/>
          <w:sz w:val="28"/>
          <w:szCs w:val="28"/>
        </w:rPr>
        <w:footnoteReference w:id="271"/>
      </w:r>
      <w:r w:rsidRPr="0095713B">
        <w:rPr>
          <w:sz w:val="28"/>
          <w:szCs w:val="28"/>
        </w:rPr>
        <w:t>, perché, pur ribadendo quanto disposto dall’art</w:t>
      </w:r>
      <w:r w:rsidR="00D74425">
        <w:rPr>
          <w:sz w:val="28"/>
          <w:szCs w:val="28"/>
        </w:rPr>
        <w:t>.</w:t>
      </w:r>
      <w:r w:rsidRPr="0095713B">
        <w:rPr>
          <w:sz w:val="28"/>
          <w:szCs w:val="28"/>
        </w:rPr>
        <w:t xml:space="preserve"> 15, </w:t>
      </w:r>
      <w:r w:rsidR="00D74425">
        <w:rPr>
          <w:sz w:val="28"/>
          <w:szCs w:val="28"/>
        </w:rPr>
        <w:t>ha riconosciuto</w:t>
      </w:r>
      <w:r w:rsidRPr="0095713B">
        <w:rPr>
          <w:sz w:val="28"/>
          <w:szCs w:val="28"/>
        </w:rPr>
        <w:t xml:space="preserve"> </w:t>
      </w:r>
      <w:r w:rsidR="00D74425">
        <w:rPr>
          <w:sz w:val="28"/>
          <w:szCs w:val="28"/>
        </w:rPr>
        <w:t>la possibilità di intimare</w:t>
      </w:r>
      <w:r w:rsidRPr="0095713B">
        <w:rPr>
          <w:sz w:val="28"/>
          <w:szCs w:val="28"/>
        </w:rPr>
        <w:t xml:space="preserve"> agli ISP di bloccare l’accesso alle informazioni di contenuto identico ed equivalente</w:t>
      </w:r>
      <w:r w:rsidR="00521B00">
        <w:rPr>
          <w:rStyle w:val="Rimandonotaapidipagina"/>
          <w:sz w:val="28"/>
          <w:szCs w:val="28"/>
        </w:rPr>
        <w:footnoteReference w:id="272"/>
      </w:r>
      <w:r w:rsidRPr="0095713B">
        <w:rPr>
          <w:sz w:val="28"/>
          <w:szCs w:val="28"/>
        </w:rPr>
        <w:t xml:space="preserve">, anche qualora condivisi da utenti terzi. </w:t>
      </w:r>
    </w:p>
    <w:p w14:paraId="6967CC61" w14:textId="1E9BDF3F" w:rsidR="00D74425" w:rsidRDefault="00D74425" w:rsidP="0096644C">
      <w:pPr>
        <w:pStyle w:val="NormaleWeb"/>
        <w:spacing w:before="0" w:beforeAutospacing="0" w:after="0" w:afterAutospacing="0"/>
        <w:jc w:val="both"/>
        <w:rPr>
          <w:sz w:val="28"/>
          <w:szCs w:val="28"/>
        </w:rPr>
      </w:pPr>
      <w:r>
        <w:rPr>
          <w:sz w:val="28"/>
          <w:szCs w:val="28"/>
        </w:rPr>
        <w:lastRenderedPageBreak/>
        <w:t xml:space="preserve">Tale </w:t>
      </w:r>
      <w:r w:rsidR="0095713B" w:rsidRPr="0095713B">
        <w:rPr>
          <w:sz w:val="28"/>
          <w:szCs w:val="28"/>
        </w:rPr>
        <w:t xml:space="preserve">riconoscimento </w:t>
      </w:r>
      <w:r>
        <w:rPr>
          <w:sz w:val="28"/>
          <w:szCs w:val="28"/>
        </w:rPr>
        <w:t>deriva</w:t>
      </w:r>
      <w:r w:rsidR="0095713B" w:rsidRPr="0095713B">
        <w:rPr>
          <w:sz w:val="28"/>
          <w:szCs w:val="28"/>
        </w:rPr>
        <w:t xml:space="preserve"> </w:t>
      </w:r>
      <w:r>
        <w:rPr>
          <w:sz w:val="28"/>
          <w:szCs w:val="28"/>
        </w:rPr>
        <w:t>d</w:t>
      </w:r>
      <w:r w:rsidR="0095713B" w:rsidRPr="0095713B">
        <w:rPr>
          <w:sz w:val="28"/>
          <w:szCs w:val="28"/>
        </w:rPr>
        <w:t>all’applicazione del combinato disposto dell’art</w:t>
      </w:r>
      <w:r>
        <w:rPr>
          <w:sz w:val="28"/>
          <w:szCs w:val="28"/>
        </w:rPr>
        <w:t>.</w:t>
      </w:r>
      <w:r w:rsidR="0095713B" w:rsidRPr="0095713B">
        <w:rPr>
          <w:sz w:val="28"/>
          <w:szCs w:val="28"/>
        </w:rPr>
        <w:t xml:space="preserve"> 18 della medesima Direttiva e del Considerando 47, poiché il primo consente di intimare ai </w:t>
      </w:r>
      <w:r w:rsidR="0095713B" w:rsidRPr="00D74425">
        <w:rPr>
          <w:i/>
          <w:iCs/>
          <w:sz w:val="28"/>
          <w:szCs w:val="28"/>
        </w:rPr>
        <w:t>provider</w:t>
      </w:r>
      <w:r w:rsidR="0095713B" w:rsidRPr="0095713B">
        <w:rPr>
          <w:sz w:val="28"/>
          <w:szCs w:val="28"/>
        </w:rPr>
        <w:t xml:space="preserve"> di tenere un comportamento</w:t>
      </w:r>
      <w:r>
        <w:rPr>
          <w:sz w:val="28"/>
          <w:szCs w:val="28"/>
        </w:rPr>
        <w:t xml:space="preserve"> </w:t>
      </w:r>
      <w:r w:rsidRPr="00D74425">
        <w:rPr>
          <w:i/>
          <w:iCs/>
          <w:sz w:val="28"/>
          <w:szCs w:val="28"/>
        </w:rPr>
        <w:t>attivo</w:t>
      </w:r>
      <w:r>
        <w:rPr>
          <w:sz w:val="28"/>
          <w:szCs w:val="28"/>
        </w:rPr>
        <w:t xml:space="preserve">, </w:t>
      </w:r>
      <w:r w:rsidR="0095713B" w:rsidRPr="0095713B">
        <w:rPr>
          <w:sz w:val="28"/>
          <w:szCs w:val="28"/>
        </w:rPr>
        <w:t xml:space="preserve">teso a porre fine alle violazioni e a impedire ulteriori danni agli interessi in causa; </w:t>
      </w:r>
      <w:r>
        <w:rPr>
          <w:sz w:val="28"/>
          <w:szCs w:val="28"/>
        </w:rPr>
        <w:t>mentre</w:t>
      </w:r>
      <w:r w:rsidR="0095713B" w:rsidRPr="0095713B">
        <w:rPr>
          <w:sz w:val="28"/>
          <w:szCs w:val="28"/>
        </w:rPr>
        <w:t xml:space="preserve"> il secondo, nel rispetto del divieto di sorveglianza generale, ammette una </w:t>
      </w:r>
      <w:r>
        <w:rPr>
          <w:sz w:val="28"/>
          <w:szCs w:val="28"/>
        </w:rPr>
        <w:t>tale</w:t>
      </w:r>
      <w:r w:rsidR="0095713B" w:rsidRPr="0095713B">
        <w:rPr>
          <w:sz w:val="28"/>
          <w:szCs w:val="28"/>
        </w:rPr>
        <w:t xml:space="preserve"> possibilità unicamente con riguardo a casi specifici e ben determinati in sede di richiesta del provvedimento</w:t>
      </w:r>
      <w:r w:rsidR="00521B00">
        <w:rPr>
          <w:rStyle w:val="Rimandonotaapidipagina"/>
          <w:sz w:val="28"/>
          <w:szCs w:val="28"/>
        </w:rPr>
        <w:footnoteReference w:id="273"/>
      </w:r>
      <w:r w:rsidR="0095713B" w:rsidRPr="0095713B">
        <w:rPr>
          <w:sz w:val="28"/>
          <w:szCs w:val="28"/>
        </w:rPr>
        <w:t>.</w:t>
      </w:r>
    </w:p>
    <w:p w14:paraId="6DF8392E" w14:textId="77777777" w:rsidR="00FF356F" w:rsidRDefault="00D74425" w:rsidP="0096644C">
      <w:pPr>
        <w:pStyle w:val="NormaleWeb"/>
        <w:spacing w:before="0" w:beforeAutospacing="0" w:after="0" w:afterAutospacing="0"/>
        <w:jc w:val="both"/>
        <w:rPr>
          <w:sz w:val="28"/>
          <w:szCs w:val="28"/>
        </w:rPr>
      </w:pPr>
      <w:r>
        <w:rPr>
          <w:sz w:val="28"/>
          <w:szCs w:val="28"/>
        </w:rPr>
        <w:t>Secondo quest’ottica,</w:t>
      </w:r>
      <w:r w:rsidR="0095713B" w:rsidRPr="0095713B">
        <w:rPr>
          <w:sz w:val="28"/>
          <w:szCs w:val="28"/>
        </w:rPr>
        <w:t xml:space="preserve"> l’ingiunzione dovrebbe individuare</w:t>
      </w:r>
      <w:r>
        <w:rPr>
          <w:sz w:val="28"/>
          <w:szCs w:val="28"/>
        </w:rPr>
        <w:t xml:space="preserve"> sia</w:t>
      </w:r>
      <w:r w:rsidR="0095713B" w:rsidRPr="0095713B">
        <w:rPr>
          <w:sz w:val="28"/>
          <w:szCs w:val="28"/>
        </w:rPr>
        <w:t xml:space="preserve"> il nome della persona interessata dalla violazione accertata, </w:t>
      </w:r>
      <w:r>
        <w:rPr>
          <w:sz w:val="28"/>
          <w:szCs w:val="28"/>
        </w:rPr>
        <w:t xml:space="preserve">sia </w:t>
      </w:r>
      <w:r w:rsidR="0095713B" w:rsidRPr="0095713B">
        <w:rPr>
          <w:sz w:val="28"/>
          <w:szCs w:val="28"/>
        </w:rPr>
        <w:t>le circostanze in cui è stata accertata tale violazione</w:t>
      </w:r>
      <w:r w:rsidR="00FF356F">
        <w:rPr>
          <w:sz w:val="28"/>
          <w:szCs w:val="28"/>
        </w:rPr>
        <w:t>,</w:t>
      </w:r>
      <w:r w:rsidR="0095713B" w:rsidRPr="0095713B">
        <w:rPr>
          <w:sz w:val="28"/>
          <w:szCs w:val="28"/>
        </w:rPr>
        <w:t xml:space="preserve"> nonché un contenuto equivalente a quello dichiarato illecito. </w:t>
      </w:r>
    </w:p>
    <w:p w14:paraId="5CAA433C" w14:textId="4C56364E" w:rsidR="0095713B" w:rsidRPr="0095713B" w:rsidRDefault="00FF356F" w:rsidP="0096644C">
      <w:pPr>
        <w:pStyle w:val="NormaleWeb"/>
        <w:spacing w:before="0" w:beforeAutospacing="0" w:after="0" w:afterAutospacing="0"/>
        <w:jc w:val="both"/>
        <w:rPr>
          <w:sz w:val="28"/>
          <w:szCs w:val="28"/>
        </w:rPr>
      </w:pPr>
      <w:r>
        <w:rPr>
          <w:sz w:val="28"/>
          <w:szCs w:val="28"/>
        </w:rPr>
        <w:t>Le d</w:t>
      </w:r>
      <w:r w:rsidR="0095713B" w:rsidRPr="0095713B">
        <w:rPr>
          <w:sz w:val="28"/>
          <w:szCs w:val="28"/>
        </w:rPr>
        <w:t>ifferenze nella formulazione di tale contenuto equivalente</w:t>
      </w:r>
      <w:r>
        <w:rPr>
          <w:sz w:val="28"/>
          <w:szCs w:val="28"/>
        </w:rPr>
        <w:t>,</w:t>
      </w:r>
      <w:r w:rsidR="0095713B" w:rsidRPr="0095713B">
        <w:rPr>
          <w:sz w:val="28"/>
          <w:szCs w:val="28"/>
        </w:rPr>
        <w:t xml:space="preserve"> rispetto al contenuto dichiarato illecito</w:t>
      </w:r>
      <w:r>
        <w:rPr>
          <w:sz w:val="28"/>
          <w:szCs w:val="28"/>
        </w:rPr>
        <w:t>,</w:t>
      </w:r>
      <w:r w:rsidR="0095713B" w:rsidRPr="0095713B">
        <w:rPr>
          <w:sz w:val="28"/>
          <w:szCs w:val="28"/>
        </w:rPr>
        <w:t xml:space="preserve"> non </w:t>
      </w:r>
      <w:r>
        <w:rPr>
          <w:sz w:val="28"/>
          <w:szCs w:val="28"/>
        </w:rPr>
        <w:t>dovrebbero</w:t>
      </w:r>
      <w:r w:rsidR="0095713B" w:rsidRPr="0095713B">
        <w:rPr>
          <w:sz w:val="28"/>
          <w:szCs w:val="28"/>
        </w:rPr>
        <w:t xml:space="preserve">, ad ogni modo, essere tali da costringere il prestatore di servizi di </w:t>
      </w:r>
      <w:r w:rsidR="0095713B" w:rsidRPr="00FF356F">
        <w:rPr>
          <w:i/>
          <w:iCs/>
          <w:sz w:val="28"/>
          <w:szCs w:val="28"/>
        </w:rPr>
        <w:t>hosting</w:t>
      </w:r>
      <w:r w:rsidR="0095713B" w:rsidRPr="0095713B">
        <w:rPr>
          <w:sz w:val="28"/>
          <w:szCs w:val="28"/>
        </w:rPr>
        <w:t xml:space="preserve"> interessato ad effettuare una valutazione autonoma di tale contenuto, </w:t>
      </w:r>
      <w:r>
        <w:rPr>
          <w:sz w:val="28"/>
          <w:szCs w:val="28"/>
        </w:rPr>
        <w:t>così</w:t>
      </w:r>
      <w:r w:rsidR="0095713B" w:rsidRPr="0095713B">
        <w:rPr>
          <w:sz w:val="28"/>
          <w:szCs w:val="28"/>
        </w:rPr>
        <w:t xml:space="preserve"> che siano bilanciati l’interesse dell’offeso a non veder leso il suo onore</w:t>
      </w:r>
      <w:r>
        <w:rPr>
          <w:sz w:val="28"/>
          <w:szCs w:val="28"/>
        </w:rPr>
        <w:t xml:space="preserve">, </w:t>
      </w:r>
      <w:r w:rsidR="0095713B" w:rsidRPr="0095713B">
        <w:rPr>
          <w:sz w:val="28"/>
          <w:szCs w:val="28"/>
        </w:rPr>
        <w:t xml:space="preserve">anche </w:t>
      </w:r>
      <w:proofErr w:type="gramStart"/>
      <w:r w:rsidRPr="00FF356F">
        <w:rPr>
          <w:i/>
          <w:iCs/>
          <w:sz w:val="28"/>
          <w:szCs w:val="28"/>
        </w:rPr>
        <w:t>pro</w:t>
      </w:r>
      <w:r>
        <w:rPr>
          <w:i/>
          <w:iCs/>
          <w:sz w:val="28"/>
          <w:szCs w:val="28"/>
        </w:rPr>
        <w:t xml:space="preserve"> </w:t>
      </w:r>
      <w:r w:rsidRPr="00FF356F">
        <w:rPr>
          <w:i/>
          <w:iCs/>
          <w:sz w:val="28"/>
          <w:szCs w:val="28"/>
        </w:rPr>
        <w:t>futuro</w:t>
      </w:r>
      <w:proofErr w:type="gramEnd"/>
      <w:r>
        <w:rPr>
          <w:i/>
          <w:iCs/>
          <w:sz w:val="28"/>
          <w:szCs w:val="28"/>
        </w:rPr>
        <w:t>,</w:t>
      </w:r>
      <w:r w:rsidR="0095713B" w:rsidRPr="0095713B">
        <w:rPr>
          <w:sz w:val="28"/>
          <w:szCs w:val="28"/>
        </w:rPr>
        <w:t xml:space="preserve"> e la fattibilità tecnica</w:t>
      </w:r>
      <w:r w:rsidR="00521B00">
        <w:rPr>
          <w:rStyle w:val="Rimandonotaapidipagina"/>
          <w:sz w:val="28"/>
          <w:szCs w:val="28"/>
        </w:rPr>
        <w:footnoteReference w:id="274"/>
      </w:r>
      <w:r w:rsidR="0095713B" w:rsidRPr="0095713B">
        <w:rPr>
          <w:sz w:val="28"/>
          <w:szCs w:val="28"/>
        </w:rPr>
        <w:t xml:space="preserve"> della misura inibitoria </w:t>
      </w:r>
      <w:r>
        <w:rPr>
          <w:sz w:val="28"/>
          <w:szCs w:val="28"/>
        </w:rPr>
        <w:t>a carico degli</w:t>
      </w:r>
      <w:r w:rsidR="0095713B" w:rsidRPr="0095713B">
        <w:rPr>
          <w:sz w:val="28"/>
          <w:szCs w:val="28"/>
        </w:rPr>
        <w:t xml:space="preserve"> </w:t>
      </w:r>
      <w:r w:rsidR="0095713B" w:rsidRPr="00FF356F">
        <w:rPr>
          <w:i/>
          <w:iCs/>
          <w:sz w:val="28"/>
          <w:szCs w:val="28"/>
        </w:rPr>
        <w:t>I</w:t>
      </w:r>
      <w:r w:rsidRPr="00FF356F">
        <w:rPr>
          <w:i/>
          <w:iCs/>
          <w:sz w:val="28"/>
          <w:szCs w:val="28"/>
        </w:rPr>
        <w:t xml:space="preserve">nternet </w:t>
      </w:r>
      <w:r w:rsidR="0095713B" w:rsidRPr="00FF356F">
        <w:rPr>
          <w:i/>
          <w:iCs/>
          <w:sz w:val="28"/>
          <w:szCs w:val="28"/>
        </w:rPr>
        <w:t>S</w:t>
      </w:r>
      <w:r w:rsidRPr="00FF356F">
        <w:rPr>
          <w:i/>
          <w:iCs/>
          <w:sz w:val="28"/>
          <w:szCs w:val="28"/>
        </w:rPr>
        <w:t xml:space="preserve">ervice </w:t>
      </w:r>
      <w:r w:rsidR="0095713B" w:rsidRPr="00FF356F">
        <w:rPr>
          <w:i/>
          <w:iCs/>
          <w:sz w:val="28"/>
          <w:szCs w:val="28"/>
        </w:rPr>
        <w:t>P</w:t>
      </w:r>
      <w:r w:rsidRPr="00FF356F">
        <w:rPr>
          <w:i/>
          <w:iCs/>
          <w:sz w:val="28"/>
          <w:szCs w:val="28"/>
        </w:rPr>
        <w:t>rovider</w:t>
      </w:r>
      <w:r w:rsidR="0095713B" w:rsidRPr="0095713B">
        <w:rPr>
          <w:sz w:val="28"/>
          <w:szCs w:val="28"/>
        </w:rPr>
        <w:t>.</w:t>
      </w:r>
    </w:p>
    <w:p w14:paraId="43B22C49" w14:textId="77777777" w:rsidR="00FF356F" w:rsidRDefault="00FF356F" w:rsidP="0096644C">
      <w:pPr>
        <w:pStyle w:val="NormaleWeb"/>
        <w:spacing w:before="0" w:beforeAutospacing="0" w:after="0" w:afterAutospacing="0"/>
        <w:jc w:val="both"/>
        <w:rPr>
          <w:sz w:val="28"/>
          <w:szCs w:val="28"/>
        </w:rPr>
      </w:pPr>
      <w:r>
        <w:rPr>
          <w:sz w:val="28"/>
          <w:szCs w:val="28"/>
        </w:rPr>
        <w:t xml:space="preserve">Seguendo quanto tracciato dalla giurisprudenza europea, </w:t>
      </w:r>
      <w:r w:rsidR="0095713B" w:rsidRPr="0095713B">
        <w:rPr>
          <w:sz w:val="28"/>
          <w:szCs w:val="28"/>
        </w:rPr>
        <w:t xml:space="preserve">si potrebbe pensare </w:t>
      </w:r>
      <w:r>
        <w:rPr>
          <w:sz w:val="28"/>
          <w:szCs w:val="28"/>
        </w:rPr>
        <w:t>a</w:t>
      </w:r>
      <w:r w:rsidR="0095713B" w:rsidRPr="0095713B">
        <w:rPr>
          <w:sz w:val="28"/>
          <w:szCs w:val="28"/>
        </w:rPr>
        <w:t xml:space="preserve"> strumenti di intelligenza artificiale in grado di discernere i contenuti caricati nelle piattaforme per ottimizzare le procedure di controllo e </w:t>
      </w:r>
      <w:r>
        <w:rPr>
          <w:sz w:val="28"/>
          <w:szCs w:val="28"/>
        </w:rPr>
        <w:t>l’</w:t>
      </w:r>
      <w:r w:rsidR="0095713B" w:rsidRPr="0095713B">
        <w:rPr>
          <w:sz w:val="28"/>
          <w:szCs w:val="28"/>
        </w:rPr>
        <w:t>analisi dei contenuti</w:t>
      </w:r>
      <w:r>
        <w:rPr>
          <w:sz w:val="28"/>
          <w:szCs w:val="28"/>
        </w:rPr>
        <w:t xml:space="preserve">, </w:t>
      </w:r>
      <w:r w:rsidR="0095713B" w:rsidRPr="0095713B">
        <w:rPr>
          <w:sz w:val="28"/>
          <w:szCs w:val="28"/>
        </w:rPr>
        <w:t xml:space="preserve">approccio non </w:t>
      </w:r>
      <w:r>
        <w:rPr>
          <w:sz w:val="28"/>
          <w:szCs w:val="28"/>
        </w:rPr>
        <w:t>del tutto</w:t>
      </w:r>
      <w:r w:rsidR="0095713B" w:rsidRPr="0095713B">
        <w:rPr>
          <w:sz w:val="28"/>
          <w:szCs w:val="28"/>
        </w:rPr>
        <w:t xml:space="preserve"> sconosciuto alle piattaforme di grandi dimensioni che si servono già </w:t>
      </w:r>
      <w:r>
        <w:rPr>
          <w:sz w:val="28"/>
          <w:szCs w:val="28"/>
        </w:rPr>
        <w:t xml:space="preserve">di elementi del genere (ma </w:t>
      </w:r>
      <w:r w:rsidR="0095713B" w:rsidRPr="0095713B">
        <w:rPr>
          <w:sz w:val="28"/>
          <w:szCs w:val="28"/>
        </w:rPr>
        <w:t>in via riparativa</w:t>
      </w:r>
      <w:r>
        <w:rPr>
          <w:sz w:val="28"/>
          <w:szCs w:val="28"/>
        </w:rPr>
        <w:t>)</w:t>
      </w:r>
      <w:r w:rsidR="0095713B" w:rsidRPr="0095713B">
        <w:rPr>
          <w:sz w:val="28"/>
          <w:szCs w:val="28"/>
        </w:rPr>
        <w:t xml:space="preserve">. </w:t>
      </w:r>
    </w:p>
    <w:p w14:paraId="6AEDEF9E" w14:textId="6535AB36" w:rsidR="0095713B" w:rsidRPr="0095713B" w:rsidRDefault="00FF356F" w:rsidP="0096644C">
      <w:pPr>
        <w:pStyle w:val="NormaleWeb"/>
        <w:spacing w:before="0" w:beforeAutospacing="0" w:after="0" w:afterAutospacing="0"/>
        <w:jc w:val="both"/>
        <w:rPr>
          <w:sz w:val="28"/>
          <w:szCs w:val="28"/>
        </w:rPr>
      </w:pPr>
      <w:r>
        <w:rPr>
          <w:sz w:val="28"/>
          <w:szCs w:val="28"/>
        </w:rPr>
        <w:t>Potrebbe allora essere ripensato l’uso</w:t>
      </w:r>
      <w:r w:rsidR="0095713B" w:rsidRPr="0095713B">
        <w:rPr>
          <w:sz w:val="28"/>
          <w:szCs w:val="28"/>
        </w:rPr>
        <w:t xml:space="preserve"> dei sistemi automatizzati in funzione garantista dei contenuti veicolati, </w:t>
      </w:r>
      <w:r w:rsidR="00B478EC">
        <w:rPr>
          <w:sz w:val="28"/>
          <w:szCs w:val="28"/>
        </w:rPr>
        <w:t xml:space="preserve">ma </w:t>
      </w:r>
      <w:r w:rsidR="0095713B" w:rsidRPr="0095713B">
        <w:rPr>
          <w:sz w:val="28"/>
          <w:szCs w:val="28"/>
        </w:rPr>
        <w:t xml:space="preserve">un </w:t>
      </w:r>
      <w:r w:rsidR="00B478EC">
        <w:rPr>
          <w:sz w:val="28"/>
          <w:szCs w:val="28"/>
        </w:rPr>
        <w:t>tale</w:t>
      </w:r>
      <w:r w:rsidR="0095713B" w:rsidRPr="0095713B">
        <w:rPr>
          <w:sz w:val="28"/>
          <w:szCs w:val="28"/>
        </w:rPr>
        <w:t xml:space="preserve"> approccio dovrebbe essere</w:t>
      </w:r>
      <w:r w:rsidR="00B478EC">
        <w:rPr>
          <w:sz w:val="28"/>
          <w:szCs w:val="28"/>
        </w:rPr>
        <w:t xml:space="preserve"> ponderato, </w:t>
      </w:r>
      <w:r w:rsidR="0095713B" w:rsidRPr="0095713B">
        <w:rPr>
          <w:sz w:val="28"/>
          <w:szCs w:val="28"/>
        </w:rPr>
        <w:t xml:space="preserve">sia </w:t>
      </w:r>
      <w:r w:rsidR="00B478EC">
        <w:rPr>
          <w:sz w:val="28"/>
          <w:szCs w:val="28"/>
        </w:rPr>
        <w:t>per quanto riguarda il punto</w:t>
      </w:r>
      <w:r w:rsidR="0095713B" w:rsidRPr="0095713B">
        <w:rPr>
          <w:sz w:val="28"/>
          <w:szCs w:val="28"/>
        </w:rPr>
        <w:t xml:space="preserve"> di vista etico che dal punto</w:t>
      </w:r>
      <w:r w:rsidR="00521B00">
        <w:rPr>
          <w:sz w:val="28"/>
          <w:szCs w:val="28"/>
        </w:rPr>
        <w:t xml:space="preserve"> </w:t>
      </w:r>
      <w:r w:rsidR="0095713B" w:rsidRPr="0095713B">
        <w:rPr>
          <w:sz w:val="28"/>
          <w:szCs w:val="28"/>
        </w:rPr>
        <w:t xml:space="preserve">di vista della responsabilità </w:t>
      </w:r>
      <w:r w:rsidR="00B478EC" w:rsidRPr="0095713B">
        <w:rPr>
          <w:sz w:val="28"/>
          <w:szCs w:val="28"/>
        </w:rPr>
        <w:t>e</w:t>
      </w:r>
      <w:r w:rsidR="00B478EC">
        <w:rPr>
          <w:sz w:val="28"/>
          <w:szCs w:val="28"/>
        </w:rPr>
        <w:t>,</w:t>
      </w:r>
      <w:r w:rsidR="0095713B" w:rsidRPr="0095713B">
        <w:rPr>
          <w:sz w:val="28"/>
          <w:szCs w:val="28"/>
        </w:rPr>
        <w:t xml:space="preserve"> in ultima analisi</w:t>
      </w:r>
      <w:r w:rsidR="00B478EC">
        <w:rPr>
          <w:sz w:val="28"/>
          <w:szCs w:val="28"/>
        </w:rPr>
        <w:t>,</w:t>
      </w:r>
      <w:r w:rsidR="0095713B" w:rsidRPr="0095713B">
        <w:rPr>
          <w:sz w:val="28"/>
          <w:szCs w:val="28"/>
        </w:rPr>
        <w:t xml:space="preserve"> anche dal punto di vista di un eventuale controllo umano</w:t>
      </w:r>
      <w:r w:rsidR="00521B00">
        <w:rPr>
          <w:sz w:val="28"/>
          <w:szCs w:val="28"/>
        </w:rPr>
        <w:t xml:space="preserve"> </w:t>
      </w:r>
      <w:r w:rsidR="0095713B" w:rsidRPr="0095713B">
        <w:rPr>
          <w:sz w:val="28"/>
          <w:szCs w:val="28"/>
        </w:rPr>
        <w:t>sulle decisioni della macchina.</w:t>
      </w:r>
    </w:p>
    <w:p w14:paraId="73AA53ED" w14:textId="49607AAC" w:rsidR="00B478EC" w:rsidRDefault="00B478EC" w:rsidP="0096644C">
      <w:pPr>
        <w:pStyle w:val="NormaleWeb"/>
        <w:spacing w:before="0" w:beforeAutospacing="0" w:after="0" w:afterAutospacing="0"/>
        <w:jc w:val="both"/>
        <w:rPr>
          <w:sz w:val="28"/>
          <w:szCs w:val="28"/>
        </w:rPr>
      </w:pPr>
      <w:r>
        <w:rPr>
          <w:sz w:val="28"/>
          <w:szCs w:val="28"/>
        </w:rPr>
        <w:t>Più d</w:t>
      </w:r>
      <w:r w:rsidR="0095713B" w:rsidRPr="0095713B">
        <w:rPr>
          <w:sz w:val="28"/>
          <w:szCs w:val="28"/>
        </w:rPr>
        <w:t xml:space="preserve">i recente, la Commissione europea ha elaborato una proposta di regolamento sui servizi digitali, il </w:t>
      </w:r>
      <w:proofErr w:type="spellStart"/>
      <w:r w:rsidR="0095713B" w:rsidRPr="0095713B">
        <w:rPr>
          <w:sz w:val="28"/>
          <w:szCs w:val="28"/>
        </w:rPr>
        <w:t>c.d</w:t>
      </w:r>
      <w:proofErr w:type="spellEnd"/>
      <w:r w:rsidR="0095713B" w:rsidRPr="0095713B">
        <w:rPr>
          <w:sz w:val="28"/>
          <w:szCs w:val="28"/>
        </w:rPr>
        <w:t xml:space="preserve"> </w:t>
      </w:r>
      <w:r w:rsidR="0095713B" w:rsidRPr="00FF356F">
        <w:rPr>
          <w:i/>
          <w:iCs/>
          <w:sz w:val="28"/>
          <w:szCs w:val="28"/>
        </w:rPr>
        <w:t>Digital Service</w:t>
      </w:r>
      <w:r w:rsidR="00125AE2">
        <w:rPr>
          <w:i/>
          <w:iCs/>
          <w:sz w:val="28"/>
          <w:szCs w:val="28"/>
        </w:rPr>
        <w:t>s</w:t>
      </w:r>
      <w:r w:rsidR="0095713B" w:rsidRPr="00FF356F">
        <w:rPr>
          <w:i/>
          <w:iCs/>
          <w:sz w:val="28"/>
          <w:szCs w:val="28"/>
        </w:rPr>
        <w:t xml:space="preserve"> </w:t>
      </w:r>
      <w:proofErr w:type="spellStart"/>
      <w:r w:rsidR="0095713B" w:rsidRPr="00FF356F">
        <w:rPr>
          <w:i/>
          <w:iCs/>
          <w:sz w:val="28"/>
          <w:szCs w:val="28"/>
        </w:rPr>
        <w:t>Act</w:t>
      </w:r>
      <w:proofErr w:type="spellEnd"/>
      <w:r w:rsidR="0095713B" w:rsidRPr="0095713B">
        <w:rPr>
          <w:sz w:val="28"/>
          <w:szCs w:val="28"/>
        </w:rPr>
        <w:t xml:space="preserve"> (DSA), che </w:t>
      </w:r>
      <w:r>
        <w:rPr>
          <w:sz w:val="28"/>
          <w:szCs w:val="28"/>
        </w:rPr>
        <w:t xml:space="preserve">si basa </w:t>
      </w:r>
      <w:r w:rsidR="0095713B" w:rsidRPr="0095713B">
        <w:rPr>
          <w:sz w:val="28"/>
          <w:szCs w:val="28"/>
        </w:rPr>
        <w:t>sui principi già affermati dalla Direttiva sul commercio elettronico,</w:t>
      </w:r>
      <w:r>
        <w:rPr>
          <w:sz w:val="28"/>
          <w:szCs w:val="28"/>
        </w:rPr>
        <w:t xml:space="preserve"> e tuttavia</w:t>
      </w:r>
      <w:r w:rsidR="0095713B" w:rsidRPr="0095713B">
        <w:rPr>
          <w:sz w:val="28"/>
          <w:szCs w:val="28"/>
        </w:rPr>
        <w:t xml:space="preserve"> mira ad assicurare le condizioni migliori per la prestazione d</w:t>
      </w:r>
      <w:r>
        <w:rPr>
          <w:sz w:val="28"/>
          <w:szCs w:val="28"/>
        </w:rPr>
        <w:t>ei</w:t>
      </w:r>
      <w:r w:rsidR="0095713B" w:rsidRPr="0095713B">
        <w:rPr>
          <w:sz w:val="28"/>
          <w:szCs w:val="28"/>
        </w:rPr>
        <w:t xml:space="preserve"> servizi digitali innovativi nel mercato interno</w:t>
      </w:r>
      <w:r>
        <w:rPr>
          <w:sz w:val="28"/>
          <w:szCs w:val="28"/>
        </w:rPr>
        <w:t>. La proposta vuole</w:t>
      </w:r>
      <w:r w:rsidR="0095713B" w:rsidRPr="0095713B">
        <w:rPr>
          <w:sz w:val="28"/>
          <w:szCs w:val="28"/>
        </w:rPr>
        <w:t xml:space="preserve"> contribuire alla sicurezza </w:t>
      </w:r>
      <w:r w:rsidR="0095713B" w:rsidRPr="00B478EC">
        <w:rPr>
          <w:i/>
          <w:iCs/>
          <w:sz w:val="28"/>
          <w:szCs w:val="28"/>
        </w:rPr>
        <w:t>online</w:t>
      </w:r>
      <w:r w:rsidR="0095713B" w:rsidRPr="0095713B">
        <w:rPr>
          <w:sz w:val="28"/>
          <w:szCs w:val="28"/>
        </w:rPr>
        <w:t xml:space="preserve"> e alla protezione dei diritti fondamentali, nonché </w:t>
      </w:r>
      <w:r>
        <w:rPr>
          <w:sz w:val="28"/>
          <w:szCs w:val="28"/>
        </w:rPr>
        <w:t>creare</w:t>
      </w:r>
      <w:r w:rsidR="0095713B" w:rsidRPr="0095713B">
        <w:rPr>
          <w:sz w:val="28"/>
          <w:szCs w:val="28"/>
        </w:rPr>
        <w:t xml:space="preserve"> una struttura di </w:t>
      </w:r>
      <w:proofErr w:type="spellStart"/>
      <w:r w:rsidR="0095713B" w:rsidRPr="00B478EC">
        <w:rPr>
          <w:i/>
          <w:iCs/>
          <w:sz w:val="28"/>
          <w:szCs w:val="28"/>
        </w:rPr>
        <w:t>governance</w:t>
      </w:r>
      <w:proofErr w:type="spellEnd"/>
      <w:r w:rsidR="0095713B" w:rsidRPr="0095713B">
        <w:rPr>
          <w:sz w:val="28"/>
          <w:szCs w:val="28"/>
        </w:rPr>
        <w:t xml:space="preserve"> solida e duratura per una vigilanza efficace sui prestatori di servizi intermediari. </w:t>
      </w:r>
    </w:p>
    <w:p w14:paraId="26C333B1" w14:textId="77777777" w:rsidR="00B478EC" w:rsidRDefault="0095713B" w:rsidP="0096644C">
      <w:pPr>
        <w:pStyle w:val="NormaleWeb"/>
        <w:spacing w:before="0" w:beforeAutospacing="0" w:after="0" w:afterAutospacing="0"/>
        <w:jc w:val="both"/>
        <w:rPr>
          <w:sz w:val="28"/>
          <w:szCs w:val="28"/>
        </w:rPr>
      </w:pPr>
      <w:r w:rsidRPr="0095713B">
        <w:rPr>
          <w:sz w:val="28"/>
          <w:szCs w:val="28"/>
        </w:rPr>
        <w:t xml:space="preserve">La proposta </w:t>
      </w:r>
      <w:r w:rsidR="00B478EC">
        <w:rPr>
          <w:sz w:val="28"/>
          <w:szCs w:val="28"/>
        </w:rPr>
        <w:t>di regolamento mantiene</w:t>
      </w:r>
      <w:r w:rsidRPr="0095713B">
        <w:rPr>
          <w:sz w:val="28"/>
          <w:szCs w:val="28"/>
        </w:rPr>
        <w:t xml:space="preserve"> il sistema di esonero da responsabilità per i </w:t>
      </w:r>
      <w:r w:rsidRPr="00B478EC">
        <w:rPr>
          <w:i/>
          <w:iCs/>
          <w:sz w:val="28"/>
          <w:szCs w:val="28"/>
        </w:rPr>
        <w:t>provider</w:t>
      </w:r>
      <w:r w:rsidRPr="0095713B">
        <w:rPr>
          <w:sz w:val="28"/>
          <w:szCs w:val="28"/>
        </w:rPr>
        <w:t xml:space="preserve"> che non svolgano un ruolo attivo nella trasmissione dei contenuti,</w:t>
      </w:r>
      <w:r w:rsidR="00B478EC">
        <w:rPr>
          <w:sz w:val="28"/>
          <w:szCs w:val="28"/>
        </w:rPr>
        <w:t xml:space="preserve"> tuttavia </w:t>
      </w:r>
      <w:r w:rsidRPr="0095713B">
        <w:rPr>
          <w:sz w:val="28"/>
          <w:szCs w:val="28"/>
        </w:rPr>
        <w:t xml:space="preserve">ne modifica le condizioni, rendendole più </w:t>
      </w:r>
      <w:r w:rsidR="00B478EC">
        <w:rPr>
          <w:sz w:val="28"/>
          <w:szCs w:val="28"/>
        </w:rPr>
        <w:t>rigide</w:t>
      </w:r>
      <w:r w:rsidRPr="0095713B">
        <w:rPr>
          <w:sz w:val="28"/>
          <w:szCs w:val="28"/>
        </w:rPr>
        <w:t xml:space="preserve"> per i c.d. </w:t>
      </w:r>
      <w:r w:rsidRPr="00B478EC">
        <w:rPr>
          <w:i/>
          <w:iCs/>
          <w:sz w:val="28"/>
          <w:szCs w:val="28"/>
        </w:rPr>
        <w:t>hosting provider</w:t>
      </w:r>
      <w:r w:rsidR="00B478EC">
        <w:rPr>
          <w:sz w:val="28"/>
          <w:szCs w:val="28"/>
        </w:rPr>
        <w:t>.</w:t>
      </w:r>
    </w:p>
    <w:p w14:paraId="450E5F7C" w14:textId="0D0C4749" w:rsidR="0095713B" w:rsidRPr="0095713B" w:rsidRDefault="00B478EC" w:rsidP="0096644C">
      <w:pPr>
        <w:pStyle w:val="NormaleWeb"/>
        <w:spacing w:before="0" w:beforeAutospacing="0" w:after="0" w:afterAutospacing="0"/>
        <w:jc w:val="both"/>
        <w:rPr>
          <w:sz w:val="28"/>
          <w:szCs w:val="28"/>
        </w:rPr>
      </w:pPr>
      <w:r>
        <w:rPr>
          <w:sz w:val="28"/>
          <w:szCs w:val="28"/>
        </w:rPr>
        <w:t xml:space="preserve">Si </w:t>
      </w:r>
      <w:r w:rsidR="0095713B" w:rsidRPr="0095713B">
        <w:rPr>
          <w:sz w:val="28"/>
          <w:szCs w:val="28"/>
        </w:rPr>
        <w:t>impon</w:t>
      </w:r>
      <w:r>
        <w:rPr>
          <w:sz w:val="28"/>
          <w:szCs w:val="28"/>
        </w:rPr>
        <w:t>gono, infatti,</w:t>
      </w:r>
      <w:r w:rsidR="0095713B" w:rsidRPr="0095713B">
        <w:rPr>
          <w:sz w:val="28"/>
          <w:szCs w:val="28"/>
        </w:rPr>
        <w:t xml:space="preserve"> obblighi di comunicazione ed informazione più chiari e trasparenti; </w:t>
      </w:r>
      <w:r>
        <w:rPr>
          <w:sz w:val="28"/>
          <w:szCs w:val="28"/>
        </w:rPr>
        <w:t xml:space="preserve">obblighi </w:t>
      </w:r>
      <w:r w:rsidR="0095713B" w:rsidRPr="0095713B">
        <w:rPr>
          <w:sz w:val="28"/>
          <w:szCs w:val="28"/>
        </w:rPr>
        <w:t xml:space="preserve">di moderazione dei contenuti e </w:t>
      </w:r>
      <w:r>
        <w:rPr>
          <w:sz w:val="28"/>
          <w:szCs w:val="28"/>
        </w:rPr>
        <w:t xml:space="preserve">di </w:t>
      </w:r>
      <w:r w:rsidR="0095713B" w:rsidRPr="0095713B">
        <w:rPr>
          <w:sz w:val="28"/>
          <w:szCs w:val="28"/>
        </w:rPr>
        <w:t xml:space="preserve">azioni disincentivanti alla pubblicazione di contenuti illeciti; </w:t>
      </w:r>
      <w:r w:rsidR="00AE686A">
        <w:rPr>
          <w:sz w:val="28"/>
          <w:szCs w:val="28"/>
        </w:rPr>
        <w:t xml:space="preserve">si introduce </w:t>
      </w:r>
      <w:r w:rsidR="0095713B" w:rsidRPr="0095713B">
        <w:rPr>
          <w:sz w:val="28"/>
          <w:szCs w:val="28"/>
        </w:rPr>
        <w:t xml:space="preserve">la possibilità di impugnare le decisioni; </w:t>
      </w:r>
      <w:r w:rsidR="00AE686A">
        <w:rPr>
          <w:sz w:val="28"/>
          <w:szCs w:val="28"/>
        </w:rPr>
        <w:t xml:space="preserve">si </w:t>
      </w:r>
      <w:r w:rsidR="0095713B" w:rsidRPr="0095713B">
        <w:rPr>
          <w:sz w:val="28"/>
          <w:szCs w:val="28"/>
        </w:rPr>
        <w:t>istitui</w:t>
      </w:r>
      <w:r w:rsidR="00AE686A">
        <w:rPr>
          <w:sz w:val="28"/>
          <w:szCs w:val="28"/>
        </w:rPr>
        <w:t>sce</w:t>
      </w:r>
      <w:r w:rsidR="0095713B" w:rsidRPr="0095713B">
        <w:rPr>
          <w:sz w:val="28"/>
          <w:szCs w:val="28"/>
        </w:rPr>
        <w:t xml:space="preserve"> un sistema interno di gestione dei reclami ed inoltre </w:t>
      </w:r>
      <w:r w:rsidR="00AE686A">
        <w:rPr>
          <w:sz w:val="28"/>
          <w:szCs w:val="28"/>
        </w:rPr>
        <w:t xml:space="preserve">la proposta </w:t>
      </w:r>
      <w:r w:rsidR="0095713B" w:rsidRPr="0095713B">
        <w:rPr>
          <w:sz w:val="28"/>
          <w:szCs w:val="28"/>
        </w:rPr>
        <w:t>delinea degli speciali obblighi per le piattaforme di grandi dimensioni</w:t>
      </w:r>
      <w:r w:rsidR="00AE686A">
        <w:rPr>
          <w:sz w:val="28"/>
          <w:szCs w:val="28"/>
        </w:rPr>
        <w:t>,</w:t>
      </w:r>
      <w:r w:rsidR="0095713B" w:rsidRPr="0095713B">
        <w:rPr>
          <w:sz w:val="28"/>
          <w:szCs w:val="28"/>
        </w:rPr>
        <w:t xml:space="preserve"> soprattutto </w:t>
      </w:r>
      <w:r w:rsidR="00AE686A">
        <w:rPr>
          <w:sz w:val="28"/>
          <w:szCs w:val="28"/>
        </w:rPr>
        <w:t xml:space="preserve">per quanto </w:t>
      </w:r>
      <w:r w:rsidR="00AE686A">
        <w:rPr>
          <w:sz w:val="28"/>
          <w:szCs w:val="28"/>
        </w:rPr>
        <w:lastRenderedPageBreak/>
        <w:t>concerne</w:t>
      </w:r>
      <w:r w:rsidR="0095713B" w:rsidRPr="0095713B">
        <w:rPr>
          <w:sz w:val="28"/>
          <w:szCs w:val="28"/>
        </w:rPr>
        <w:t xml:space="preserve"> </w:t>
      </w:r>
      <w:r w:rsidR="00AE686A">
        <w:rPr>
          <w:sz w:val="28"/>
          <w:szCs w:val="28"/>
        </w:rPr>
        <w:t>i</w:t>
      </w:r>
      <w:r w:rsidR="0095713B" w:rsidRPr="0095713B">
        <w:rPr>
          <w:sz w:val="28"/>
          <w:szCs w:val="28"/>
        </w:rPr>
        <w:t xml:space="preserve"> rischi sistemici. </w:t>
      </w:r>
      <w:r w:rsidR="00AE686A">
        <w:rPr>
          <w:sz w:val="28"/>
          <w:szCs w:val="28"/>
        </w:rPr>
        <w:t>Rimane</w:t>
      </w:r>
      <w:r w:rsidR="0095713B" w:rsidRPr="0095713B">
        <w:rPr>
          <w:sz w:val="28"/>
          <w:szCs w:val="28"/>
        </w:rPr>
        <w:t xml:space="preserve"> fermo il divieto di obbligo di controllo o di accertamento attivo, ma </w:t>
      </w:r>
      <w:r w:rsidR="00AE686A">
        <w:rPr>
          <w:sz w:val="28"/>
          <w:szCs w:val="28"/>
        </w:rPr>
        <w:t>tale divieto deve essere rispettato seguendo i</w:t>
      </w:r>
      <w:r w:rsidR="0095713B" w:rsidRPr="0095713B">
        <w:rPr>
          <w:sz w:val="28"/>
          <w:szCs w:val="28"/>
        </w:rPr>
        <w:t xml:space="preserve"> principi </w:t>
      </w:r>
      <w:r w:rsidR="00AE686A">
        <w:rPr>
          <w:sz w:val="28"/>
          <w:szCs w:val="28"/>
        </w:rPr>
        <w:t xml:space="preserve">esaminati </w:t>
      </w:r>
      <w:r w:rsidR="0095713B" w:rsidRPr="0095713B">
        <w:rPr>
          <w:sz w:val="28"/>
          <w:szCs w:val="28"/>
        </w:rPr>
        <w:t>e</w:t>
      </w:r>
      <w:r w:rsidR="00AE686A">
        <w:rPr>
          <w:sz w:val="28"/>
          <w:szCs w:val="28"/>
        </w:rPr>
        <w:t>,</w:t>
      </w:r>
      <w:r w:rsidR="0095713B" w:rsidRPr="0095713B">
        <w:rPr>
          <w:sz w:val="28"/>
          <w:szCs w:val="28"/>
        </w:rPr>
        <w:t xml:space="preserve"> purché </w:t>
      </w:r>
      <w:r w:rsidR="00AE686A">
        <w:rPr>
          <w:sz w:val="28"/>
          <w:szCs w:val="28"/>
        </w:rPr>
        <w:t>non si pongano a carico degli</w:t>
      </w:r>
      <w:r w:rsidR="0095713B" w:rsidRPr="0095713B">
        <w:rPr>
          <w:sz w:val="28"/>
          <w:szCs w:val="28"/>
        </w:rPr>
        <w:t xml:space="preserve"> ISP</w:t>
      </w:r>
      <w:r w:rsidR="00AE686A">
        <w:rPr>
          <w:sz w:val="28"/>
          <w:szCs w:val="28"/>
        </w:rPr>
        <w:t xml:space="preserve"> </w:t>
      </w:r>
      <w:r w:rsidR="0095713B" w:rsidRPr="0095713B">
        <w:rPr>
          <w:sz w:val="28"/>
          <w:szCs w:val="28"/>
        </w:rPr>
        <w:t>oneri spropositati</w:t>
      </w:r>
      <w:r w:rsidR="00AE686A">
        <w:rPr>
          <w:sz w:val="28"/>
          <w:szCs w:val="28"/>
        </w:rPr>
        <w:t xml:space="preserve">, </w:t>
      </w:r>
      <w:r w:rsidR="0095713B" w:rsidRPr="0095713B">
        <w:rPr>
          <w:sz w:val="28"/>
          <w:szCs w:val="28"/>
        </w:rPr>
        <w:t>si lascerebbe impregiudicata la possibilità, da parte delle autorità nazionali, di ordinare che vengano contrastati determinati contenuti illegali specifici o di fornire informazioni specifiche.</w:t>
      </w:r>
    </w:p>
    <w:p w14:paraId="5371EA64" w14:textId="6852F8C8" w:rsidR="0095713B" w:rsidRPr="0095713B" w:rsidRDefault="00AE686A" w:rsidP="0096644C">
      <w:pPr>
        <w:pStyle w:val="NormaleWeb"/>
        <w:spacing w:before="0" w:beforeAutospacing="0" w:after="0" w:afterAutospacing="0"/>
        <w:jc w:val="both"/>
        <w:rPr>
          <w:sz w:val="28"/>
          <w:szCs w:val="28"/>
        </w:rPr>
      </w:pPr>
      <w:r>
        <w:rPr>
          <w:sz w:val="28"/>
          <w:szCs w:val="28"/>
        </w:rPr>
        <w:t>Dunque,</w:t>
      </w:r>
      <w:r w:rsidR="0095713B" w:rsidRPr="0095713B">
        <w:rPr>
          <w:sz w:val="28"/>
          <w:szCs w:val="28"/>
        </w:rPr>
        <w:t xml:space="preserve"> il legislatore europeo continua ad essere garante della libertà della rete e della libertà di opinione, </w:t>
      </w:r>
      <w:r>
        <w:rPr>
          <w:sz w:val="28"/>
          <w:szCs w:val="28"/>
        </w:rPr>
        <w:t xml:space="preserve">operando però un bilanciamento </w:t>
      </w:r>
      <w:r w:rsidR="0095713B" w:rsidRPr="0095713B">
        <w:rPr>
          <w:sz w:val="28"/>
          <w:szCs w:val="28"/>
        </w:rPr>
        <w:t>con la possibilità di un intervent</w:t>
      </w:r>
      <w:r>
        <w:rPr>
          <w:sz w:val="28"/>
          <w:szCs w:val="28"/>
        </w:rPr>
        <w:t>o postumo</w:t>
      </w:r>
      <w:r w:rsidR="0095713B" w:rsidRPr="0095713B">
        <w:rPr>
          <w:sz w:val="28"/>
          <w:szCs w:val="28"/>
        </w:rPr>
        <w:t xml:space="preserve">, sottraendo le opinioni altrui ad un vaglio preventivo, con obblighi </w:t>
      </w:r>
      <w:r>
        <w:rPr>
          <w:sz w:val="28"/>
          <w:szCs w:val="28"/>
        </w:rPr>
        <w:t xml:space="preserve">più rigidi </w:t>
      </w:r>
      <w:r w:rsidR="0095713B" w:rsidRPr="0095713B">
        <w:rPr>
          <w:sz w:val="28"/>
          <w:szCs w:val="28"/>
        </w:rPr>
        <w:t>di trasparenza</w:t>
      </w:r>
      <w:r>
        <w:rPr>
          <w:sz w:val="28"/>
          <w:szCs w:val="28"/>
        </w:rPr>
        <w:t xml:space="preserve"> e informazione.</w:t>
      </w:r>
    </w:p>
    <w:p w14:paraId="5DB42490" w14:textId="77777777" w:rsidR="0096644C" w:rsidRDefault="0096644C" w:rsidP="0096644C">
      <w:pPr>
        <w:pStyle w:val="NormaleWeb"/>
        <w:spacing w:before="0" w:beforeAutospacing="0" w:after="0" w:afterAutospacing="0"/>
        <w:jc w:val="both"/>
        <w:rPr>
          <w:sz w:val="32"/>
          <w:szCs w:val="32"/>
        </w:rPr>
      </w:pPr>
    </w:p>
    <w:p w14:paraId="3F2EE675" w14:textId="77777777" w:rsidR="00235475" w:rsidRDefault="00281B59" w:rsidP="0096644C">
      <w:pPr>
        <w:pStyle w:val="NormaleWeb"/>
        <w:spacing w:before="0" w:beforeAutospacing="0" w:after="0" w:afterAutospacing="0"/>
        <w:jc w:val="both"/>
        <w:rPr>
          <w:sz w:val="28"/>
          <w:szCs w:val="28"/>
        </w:rPr>
      </w:pPr>
      <w:r>
        <w:rPr>
          <w:sz w:val="28"/>
          <w:szCs w:val="28"/>
        </w:rPr>
        <w:t>Per quanto concerne le</w:t>
      </w:r>
      <w:r w:rsidR="0095713B" w:rsidRPr="0095713B">
        <w:rPr>
          <w:sz w:val="28"/>
          <w:szCs w:val="28"/>
        </w:rPr>
        <w:t xml:space="preserve"> singole </w:t>
      </w:r>
      <w:proofErr w:type="spellStart"/>
      <w:r w:rsidR="0095713B" w:rsidRPr="00281B59">
        <w:rPr>
          <w:i/>
          <w:iCs/>
          <w:sz w:val="28"/>
          <w:szCs w:val="28"/>
        </w:rPr>
        <w:t>policies</w:t>
      </w:r>
      <w:proofErr w:type="spellEnd"/>
      <w:r w:rsidR="0095713B" w:rsidRPr="0095713B">
        <w:rPr>
          <w:sz w:val="28"/>
          <w:szCs w:val="28"/>
        </w:rPr>
        <w:t xml:space="preserve"> adottat</w:t>
      </w:r>
      <w:r>
        <w:rPr>
          <w:sz w:val="28"/>
          <w:szCs w:val="28"/>
        </w:rPr>
        <w:t>e</w:t>
      </w:r>
      <w:r w:rsidR="0095713B" w:rsidRPr="0095713B">
        <w:rPr>
          <w:sz w:val="28"/>
          <w:szCs w:val="28"/>
        </w:rPr>
        <w:t xml:space="preserve">, </w:t>
      </w:r>
      <w:r>
        <w:rPr>
          <w:sz w:val="28"/>
          <w:szCs w:val="28"/>
        </w:rPr>
        <w:t>si osserva che</w:t>
      </w:r>
      <w:r w:rsidR="0095713B" w:rsidRPr="0095713B">
        <w:rPr>
          <w:sz w:val="28"/>
          <w:szCs w:val="28"/>
        </w:rPr>
        <w:t xml:space="preserve"> </w:t>
      </w:r>
      <w:r w:rsidRPr="00281B59">
        <w:rPr>
          <w:i/>
          <w:iCs/>
          <w:sz w:val="28"/>
          <w:szCs w:val="28"/>
        </w:rPr>
        <w:t>social network</w:t>
      </w:r>
      <w:r>
        <w:rPr>
          <w:sz w:val="28"/>
          <w:szCs w:val="28"/>
        </w:rPr>
        <w:t xml:space="preserve"> come</w:t>
      </w:r>
      <w:r w:rsidR="0095713B" w:rsidRPr="0095713B">
        <w:rPr>
          <w:sz w:val="28"/>
          <w:szCs w:val="28"/>
        </w:rPr>
        <w:t xml:space="preserve"> </w:t>
      </w:r>
      <w:proofErr w:type="spellStart"/>
      <w:r w:rsidR="0095713B" w:rsidRPr="0095713B">
        <w:rPr>
          <w:sz w:val="28"/>
          <w:szCs w:val="28"/>
        </w:rPr>
        <w:t>Facebook</w:t>
      </w:r>
      <w:proofErr w:type="spellEnd"/>
      <w:r w:rsidR="0095713B" w:rsidRPr="0095713B">
        <w:rPr>
          <w:sz w:val="28"/>
          <w:szCs w:val="28"/>
        </w:rPr>
        <w:t xml:space="preserve">, Instagram, </w:t>
      </w:r>
      <w:proofErr w:type="spellStart"/>
      <w:r w:rsidR="0095713B" w:rsidRPr="0095713B">
        <w:rPr>
          <w:sz w:val="28"/>
          <w:szCs w:val="28"/>
        </w:rPr>
        <w:t>Twitter</w:t>
      </w:r>
      <w:proofErr w:type="spellEnd"/>
      <w:r w:rsidR="0095713B" w:rsidRPr="0095713B">
        <w:rPr>
          <w:sz w:val="28"/>
          <w:szCs w:val="28"/>
        </w:rPr>
        <w:t xml:space="preserve"> stabilisc</w:t>
      </w:r>
      <w:r>
        <w:rPr>
          <w:sz w:val="28"/>
          <w:szCs w:val="28"/>
        </w:rPr>
        <w:t>o</w:t>
      </w:r>
      <w:r w:rsidR="0095713B" w:rsidRPr="0095713B">
        <w:rPr>
          <w:sz w:val="28"/>
          <w:szCs w:val="28"/>
        </w:rPr>
        <w:t xml:space="preserve">no linee guida per i propri utenti. </w:t>
      </w:r>
      <w:r>
        <w:rPr>
          <w:sz w:val="28"/>
          <w:szCs w:val="28"/>
        </w:rPr>
        <w:t>Il discorso è legato anche al fenomeno dell’</w:t>
      </w:r>
      <w:proofErr w:type="spellStart"/>
      <w:r w:rsidRPr="00281B59">
        <w:rPr>
          <w:i/>
          <w:iCs/>
          <w:sz w:val="28"/>
          <w:szCs w:val="28"/>
        </w:rPr>
        <w:t>hate</w:t>
      </w:r>
      <w:proofErr w:type="spellEnd"/>
      <w:r w:rsidRPr="00281B59">
        <w:rPr>
          <w:i/>
          <w:iCs/>
          <w:sz w:val="28"/>
          <w:szCs w:val="28"/>
        </w:rPr>
        <w:t xml:space="preserve"> </w:t>
      </w:r>
      <w:proofErr w:type="spellStart"/>
      <w:r w:rsidRPr="00281B59">
        <w:rPr>
          <w:i/>
          <w:iCs/>
          <w:sz w:val="28"/>
          <w:szCs w:val="28"/>
        </w:rPr>
        <w:t>speech</w:t>
      </w:r>
      <w:proofErr w:type="spellEnd"/>
      <w:r>
        <w:rPr>
          <w:sz w:val="28"/>
          <w:szCs w:val="28"/>
        </w:rPr>
        <w:t xml:space="preserve">: </w:t>
      </w:r>
      <w:r w:rsidRPr="0095713B">
        <w:rPr>
          <w:sz w:val="28"/>
          <w:szCs w:val="28"/>
        </w:rPr>
        <w:t>le piattaforme</w:t>
      </w:r>
      <w:r>
        <w:rPr>
          <w:sz w:val="28"/>
          <w:szCs w:val="28"/>
        </w:rPr>
        <w:t xml:space="preserve"> </w:t>
      </w:r>
      <w:r w:rsidRPr="00281B59">
        <w:rPr>
          <w:i/>
          <w:iCs/>
          <w:sz w:val="28"/>
          <w:szCs w:val="28"/>
        </w:rPr>
        <w:t>social</w:t>
      </w:r>
      <w:r>
        <w:rPr>
          <w:sz w:val="28"/>
          <w:szCs w:val="28"/>
        </w:rPr>
        <w:t>,</w:t>
      </w:r>
      <w:r w:rsidRPr="0095713B">
        <w:rPr>
          <w:sz w:val="28"/>
          <w:szCs w:val="28"/>
        </w:rPr>
        <w:t xml:space="preserve"> nel condannare comportamenti </w:t>
      </w:r>
      <w:r>
        <w:rPr>
          <w:sz w:val="28"/>
          <w:szCs w:val="28"/>
        </w:rPr>
        <w:t xml:space="preserve">come la </w:t>
      </w:r>
      <w:r w:rsidRPr="0095713B">
        <w:rPr>
          <w:sz w:val="28"/>
          <w:szCs w:val="28"/>
        </w:rPr>
        <w:t>lesione dell’onore e della reputazione</w:t>
      </w:r>
      <w:r>
        <w:rPr>
          <w:sz w:val="28"/>
          <w:szCs w:val="28"/>
        </w:rPr>
        <w:t xml:space="preserve">, il </w:t>
      </w:r>
      <w:proofErr w:type="spellStart"/>
      <w:r w:rsidRPr="00281B59">
        <w:rPr>
          <w:i/>
          <w:iCs/>
          <w:sz w:val="28"/>
          <w:szCs w:val="28"/>
        </w:rPr>
        <w:t>cyberbullismo</w:t>
      </w:r>
      <w:proofErr w:type="spellEnd"/>
      <w:r w:rsidRPr="0095713B">
        <w:rPr>
          <w:sz w:val="28"/>
          <w:szCs w:val="28"/>
        </w:rPr>
        <w:t>, e</w:t>
      </w:r>
      <w:r>
        <w:rPr>
          <w:sz w:val="28"/>
          <w:szCs w:val="28"/>
        </w:rPr>
        <w:t xml:space="preserve">cc., </w:t>
      </w:r>
      <w:r w:rsidRPr="0095713B">
        <w:rPr>
          <w:sz w:val="28"/>
          <w:szCs w:val="28"/>
        </w:rPr>
        <w:t xml:space="preserve">stabiliscono un sistema di segnalazione interno che valuta il contenuto ed eventualmente lo rimuove. </w:t>
      </w:r>
    </w:p>
    <w:p w14:paraId="0A1BC1F6" w14:textId="38F8BFCD" w:rsidR="00521B00" w:rsidRDefault="00235475" w:rsidP="0096644C">
      <w:pPr>
        <w:pStyle w:val="NormaleWeb"/>
        <w:spacing w:before="0" w:beforeAutospacing="0" w:after="0" w:afterAutospacing="0"/>
        <w:jc w:val="both"/>
        <w:rPr>
          <w:sz w:val="28"/>
          <w:szCs w:val="28"/>
        </w:rPr>
      </w:pPr>
      <w:r>
        <w:rPr>
          <w:sz w:val="28"/>
          <w:szCs w:val="28"/>
        </w:rPr>
        <w:t xml:space="preserve">I </w:t>
      </w:r>
      <w:r w:rsidR="0095713B" w:rsidRPr="0095713B">
        <w:rPr>
          <w:sz w:val="28"/>
          <w:szCs w:val="28"/>
        </w:rPr>
        <w:t>contenuti</w:t>
      </w:r>
      <w:r>
        <w:rPr>
          <w:sz w:val="28"/>
          <w:szCs w:val="28"/>
        </w:rPr>
        <w:t>, inoltre,</w:t>
      </w:r>
      <w:r w:rsidR="0095713B" w:rsidRPr="0095713B">
        <w:rPr>
          <w:sz w:val="28"/>
          <w:szCs w:val="28"/>
        </w:rPr>
        <w:t xml:space="preserve"> </w:t>
      </w:r>
      <w:r w:rsidRPr="0095713B">
        <w:rPr>
          <w:sz w:val="28"/>
          <w:szCs w:val="28"/>
        </w:rPr>
        <w:t xml:space="preserve">quando violino le norme della </w:t>
      </w:r>
      <w:r w:rsidRPr="00235475">
        <w:rPr>
          <w:i/>
          <w:iCs/>
          <w:sz w:val="28"/>
          <w:szCs w:val="28"/>
        </w:rPr>
        <w:t>community</w:t>
      </w:r>
      <w:r>
        <w:rPr>
          <w:i/>
          <w:iCs/>
          <w:sz w:val="28"/>
          <w:szCs w:val="28"/>
        </w:rPr>
        <w:t>,</w:t>
      </w:r>
      <w:r w:rsidRPr="0095713B">
        <w:rPr>
          <w:sz w:val="28"/>
          <w:szCs w:val="28"/>
        </w:rPr>
        <w:t xml:space="preserve"> </w:t>
      </w:r>
      <w:r w:rsidR="0095713B" w:rsidRPr="0095713B">
        <w:rPr>
          <w:sz w:val="28"/>
          <w:szCs w:val="28"/>
        </w:rPr>
        <w:t>possono essere moderati</w:t>
      </w:r>
      <w:r>
        <w:rPr>
          <w:sz w:val="28"/>
          <w:szCs w:val="28"/>
        </w:rPr>
        <w:t xml:space="preserve">, </w:t>
      </w:r>
      <w:r w:rsidR="0095713B" w:rsidRPr="0095713B">
        <w:rPr>
          <w:sz w:val="28"/>
          <w:szCs w:val="28"/>
        </w:rPr>
        <w:t>retrocessi (deindicizzati)</w:t>
      </w:r>
      <w:r>
        <w:rPr>
          <w:sz w:val="28"/>
          <w:szCs w:val="28"/>
        </w:rPr>
        <w:t xml:space="preserve">, oppure </w:t>
      </w:r>
      <w:r w:rsidR="0095713B" w:rsidRPr="0095713B">
        <w:rPr>
          <w:sz w:val="28"/>
          <w:szCs w:val="28"/>
        </w:rPr>
        <w:t xml:space="preserve">può essere disabilitato l’accesso agli stessi. Nei casi </w:t>
      </w:r>
      <w:r>
        <w:rPr>
          <w:sz w:val="28"/>
          <w:szCs w:val="28"/>
        </w:rPr>
        <w:t>più gravi,</w:t>
      </w:r>
      <w:r w:rsidR="0095713B" w:rsidRPr="0095713B">
        <w:rPr>
          <w:sz w:val="28"/>
          <w:szCs w:val="28"/>
        </w:rPr>
        <w:t xml:space="preserve"> le piattaforme possono </w:t>
      </w:r>
      <w:r>
        <w:rPr>
          <w:sz w:val="28"/>
          <w:szCs w:val="28"/>
        </w:rPr>
        <w:t>anche</w:t>
      </w:r>
      <w:r w:rsidR="0095713B" w:rsidRPr="0095713B">
        <w:rPr>
          <w:sz w:val="28"/>
          <w:szCs w:val="28"/>
        </w:rPr>
        <w:t xml:space="preserve"> inibire l’utilizzo del </w:t>
      </w:r>
      <w:r w:rsidR="0095713B" w:rsidRPr="00235475">
        <w:rPr>
          <w:i/>
          <w:iCs/>
          <w:sz w:val="28"/>
          <w:szCs w:val="28"/>
        </w:rPr>
        <w:t>social</w:t>
      </w:r>
      <w:r w:rsidR="0095713B" w:rsidRPr="0095713B">
        <w:rPr>
          <w:sz w:val="28"/>
          <w:szCs w:val="28"/>
        </w:rPr>
        <w:t xml:space="preserve"> per un periodo di tempo, oscurando il profilo </w:t>
      </w:r>
      <w:r>
        <w:rPr>
          <w:sz w:val="28"/>
          <w:szCs w:val="28"/>
        </w:rPr>
        <w:t>oppure</w:t>
      </w:r>
      <w:r w:rsidR="0095713B" w:rsidRPr="0095713B">
        <w:rPr>
          <w:sz w:val="28"/>
          <w:szCs w:val="28"/>
        </w:rPr>
        <w:t xml:space="preserve"> configurandolo come “</w:t>
      </w:r>
      <w:r w:rsidR="0095713B" w:rsidRPr="00235475">
        <w:rPr>
          <w:i/>
          <w:iCs/>
          <w:sz w:val="28"/>
          <w:szCs w:val="28"/>
        </w:rPr>
        <w:t>sola lettura</w:t>
      </w:r>
      <w:r w:rsidR="0095713B" w:rsidRPr="0095713B">
        <w:rPr>
          <w:sz w:val="28"/>
          <w:szCs w:val="28"/>
        </w:rPr>
        <w:t>”</w:t>
      </w:r>
      <w:r>
        <w:rPr>
          <w:sz w:val="28"/>
          <w:szCs w:val="28"/>
        </w:rPr>
        <w:t xml:space="preserve"> (</w:t>
      </w:r>
      <w:r w:rsidR="0095713B" w:rsidRPr="0095713B">
        <w:rPr>
          <w:sz w:val="28"/>
          <w:szCs w:val="28"/>
        </w:rPr>
        <w:t xml:space="preserve">l’utente può effettivamente accedere al </w:t>
      </w:r>
      <w:r w:rsidR="0095713B" w:rsidRPr="00235475">
        <w:rPr>
          <w:i/>
          <w:iCs/>
          <w:sz w:val="28"/>
          <w:szCs w:val="28"/>
        </w:rPr>
        <w:t>social</w:t>
      </w:r>
      <w:r w:rsidR="0095713B" w:rsidRPr="0095713B">
        <w:rPr>
          <w:sz w:val="28"/>
          <w:szCs w:val="28"/>
        </w:rPr>
        <w:t xml:space="preserve"> ma non può in alcun modo interagire con gli altri utenti o pubblicare ulteriori contenuti</w:t>
      </w:r>
      <w:r>
        <w:rPr>
          <w:sz w:val="28"/>
          <w:szCs w:val="28"/>
        </w:rPr>
        <w:t>).</w:t>
      </w:r>
    </w:p>
    <w:p w14:paraId="77B8FD1F" w14:textId="25748D63" w:rsidR="0095713B" w:rsidRPr="0095713B" w:rsidRDefault="0095713B" w:rsidP="0096644C">
      <w:pPr>
        <w:pStyle w:val="NormaleWeb"/>
        <w:spacing w:before="0" w:beforeAutospacing="0" w:after="0" w:afterAutospacing="0"/>
        <w:jc w:val="both"/>
        <w:rPr>
          <w:sz w:val="28"/>
          <w:szCs w:val="28"/>
        </w:rPr>
      </w:pPr>
      <w:proofErr w:type="spellStart"/>
      <w:r w:rsidRPr="00235475">
        <w:rPr>
          <w:i/>
          <w:iCs/>
          <w:sz w:val="28"/>
          <w:szCs w:val="28"/>
        </w:rPr>
        <w:t>Twitter</w:t>
      </w:r>
      <w:proofErr w:type="spellEnd"/>
      <w:r w:rsidRPr="0095713B">
        <w:rPr>
          <w:sz w:val="28"/>
          <w:szCs w:val="28"/>
        </w:rPr>
        <w:t xml:space="preserve">, in particolare, oltre ad attuare quanto </w:t>
      </w:r>
      <w:r w:rsidR="00235475">
        <w:rPr>
          <w:sz w:val="28"/>
          <w:szCs w:val="28"/>
        </w:rPr>
        <w:t>appena detto</w:t>
      </w:r>
      <w:r w:rsidRPr="0095713B">
        <w:rPr>
          <w:sz w:val="28"/>
          <w:szCs w:val="28"/>
        </w:rPr>
        <w:t>, prevede la possibilità di etichettare il contenuto e renderlo visibile solo a chi lo desidera</w:t>
      </w:r>
      <w:r w:rsidR="00235475">
        <w:rPr>
          <w:sz w:val="28"/>
          <w:szCs w:val="28"/>
        </w:rPr>
        <w:t>,</w:t>
      </w:r>
      <w:r w:rsidRPr="0095713B">
        <w:rPr>
          <w:sz w:val="28"/>
          <w:szCs w:val="28"/>
        </w:rPr>
        <w:t xml:space="preserve"> </w:t>
      </w:r>
      <w:r w:rsidR="00235475">
        <w:rPr>
          <w:sz w:val="28"/>
          <w:szCs w:val="28"/>
        </w:rPr>
        <w:t>avvertendo</w:t>
      </w:r>
      <w:r w:rsidRPr="0095713B">
        <w:rPr>
          <w:sz w:val="28"/>
          <w:szCs w:val="28"/>
        </w:rPr>
        <w:t xml:space="preserve"> che dietro l’avviso si cela un contenuto che potrebbe includere informazioni errate o fuorvianti</w:t>
      </w:r>
      <w:r w:rsidR="00235475">
        <w:rPr>
          <w:sz w:val="28"/>
          <w:szCs w:val="28"/>
        </w:rPr>
        <w:t>;</w:t>
      </w:r>
      <w:r w:rsidRPr="0095713B">
        <w:rPr>
          <w:sz w:val="28"/>
          <w:szCs w:val="28"/>
        </w:rPr>
        <w:t xml:space="preserve"> ciò nei soli casi di covid-19, integrità civica e contenuti artificiosi e manipolati. </w:t>
      </w:r>
      <w:r w:rsidR="00235475">
        <w:rPr>
          <w:sz w:val="28"/>
          <w:szCs w:val="28"/>
        </w:rPr>
        <w:t>Potrebbe accadere lo stesso</w:t>
      </w:r>
      <w:r w:rsidRPr="0095713B">
        <w:rPr>
          <w:sz w:val="28"/>
          <w:szCs w:val="28"/>
        </w:rPr>
        <w:t xml:space="preserve"> anche nel caso di </w:t>
      </w:r>
      <w:proofErr w:type="spellStart"/>
      <w:r w:rsidRPr="00235475">
        <w:rPr>
          <w:i/>
          <w:iCs/>
          <w:sz w:val="28"/>
          <w:szCs w:val="28"/>
        </w:rPr>
        <w:t>tweet</w:t>
      </w:r>
      <w:proofErr w:type="spellEnd"/>
      <w:r w:rsidRPr="0095713B">
        <w:rPr>
          <w:sz w:val="28"/>
          <w:szCs w:val="28"/>
        </w:rPr>
        <w:t xml:space="preserve"> in cui la piattaforma riscontri un interesse pubblico</w:t>
      </w:r>
      <w:r w:rsidR="00235475">
        <w:rPr>
          <w:sz w:val="28"/>
          <w:szCs w:val="28"/>
        </w:rPr>
        <w:t>: si possono</w:t>
      </w:r>
      <w:r w:rsidRPr="0095713B">
        <w:rPr>
          <w:sz w:val="28"/>
          <w:szCs w:val="28"/>
        </w:rPr>
        <w:t xml:space="preserve"> adotta</w:t>
      </w:r>
      <w:r w:rsidR="00235475">
        <w:rPr>
          <w:sz w:val="28"/>
          <w:szCs w:val="28"/>
        </w:rPr>
        <w:t>re</w:t>
      </w:r>
      <w:r w:rsidRPr="0095713B">
        <w:rPr>
          <w:sz w:val="28"/>
          <w:szCs w:val="28"/>
        </w:rPr>
        <w:t xml:space="preserve"> accortezze che limit</w:t>
      </w:r>
      <w:r w:rsidR="00235475">
        <w:rPr>
          <w:sz w:val="28"/>
          <w:szCs w:val="28"/>
        </w:rPr>
        <w:t>a</w:t>
      </w:r>
      <w:r w:rsidRPr="0095713B">
        <w:rPr>
          <w:sz w:val="28"/>
          <w:szCs w:val="28"/>
        </w:rPr>
        <w:t xml:space="preserve">no la visibilità sul </w:t>
      </w:r>
      <w:r w:rsidRPr="00235475">
        <w:rPr>
          <w:i/>
          <w:iCs/>
          <w:sz w:val="28"/>
          <w:szCs w:val="28"/>
        </w:rPr>
        <w:t>social</w:t>
      </w:r>
      <w:r w:rsidRPr="0095713B">
        <w:rPr>
          <w:sz w:val="28"/>
          <w:szCs w:val="28"/>
        </w:rPr>
        <w:t xml:space="preserve">. Ancora, in caso di messaggi offensivi via conversazione diretta, lo stesso </w:t>
      </w:r>
      <w:r w:rsidRPr="00235475">
        <w:rPr>
          <w:i/>
          <w:iCs/>
          <w:sz w:val="28"/>
          <w:szCs w:val="28"/>
        </w:rPr>
        <w:t>social</w:t>
      </w:r>
      <w:r w:rsidRPr="0095713B">
        <w:rPr>
          <w:sz w:val="28"/>
          <w:szCs w:val="28"/>
        </w:rPr>
        <w:t xml:space="preserve"> può porre fine alla conversazione a seguito di segnalazione da parte dell’offeso.</w:t>
      </w:r>
    </w:p>
    <w:p w14:paraId="0ED37584" w14:textId="3CF32590" w:rsidR="0095713B" w:rsidRPr="0095713B" w:rsidRDefault="0095713B" w:rsidP="0096644C">
      <w:pPr>
        <w:pStyle w:val="NormaleWeb"/>
        <w:spacing w:before="0" w:beforeAutospacing="0" w:after="0" w:afterAutospacing="0"/>
        <w:jc w:val="both"/>
        <w:rPr>
          <w:sz w:val="28"/>
          <w:szCs w:val="28"/>
        </w:rPr>
      </w:pPr>
      <w:proofErr w:type="spellStart"/>
      <w:r w:rsidRPr="00235475">
        <w:rPr>
          <w:i/>
          <w:iCs/>
          <w:sz w:val="28"/>
          <w:szCs w:val="28"/>
        </w:rPr>
        <w:t>Facebook</w:t>
      </w:r>
      <w:proofErr w:type="spellEnd"/>
      <w:r w:rsidR="00235475">
        <w:rPr>
          <w:sz w:val="28"/>
          <w:szCs w:val="28"/>
        </w:rPr>
        <w:t xml:space="preserve"> è la</w:t>
      </w:r>
      <w:r w:rsidRPr="0095713B">
        <w:rPr>
          <w:sz w:val="28"/>
          <w:szCs w:val="28"/>
        </w:rPr>
        <w:t xml:space="preserve"> piattaforma </w:t>
      </w:r>
      <w:r w:rsidR="00235475" w:rsidRPr="0095713B">
        <w:rPr>
          <w:sz w:val="28"/>
          <w:szCs w:val="28"/>
        </w:rPr>
        <w:t xml:space="preserve">più visitata </w:t>
      </w:r>
      <w:r w:rsidRPr="00235475">
        <w:rPr>
          <w:i/>
          <w:iCs/>
          <w:sz w:val="28"/>
          <w:szCs w:val="28"/>
        </w:rPr>
        <w:t>online</w:t>
      </w:r>
      <w:r w:rsidR="00F1257F">
        <w:rPr>
          <w:sz w:val="28"/>
          <w:szCs w:val="28"/>
        </w:rPr>
        <w:t xml:space="preserve">: </w:t>
      </w:r>
      <w:r w:rsidRPr="0095713B">
        <w:rPr>
          <w:sz w:val="28"/>
          <w:szCs w:val="28"/>
        </w:rPr>
        <w:t xml:space="preserve">vanta al 2020 il 77,5% del traffico totale rispetto alle altre piattaforme </w:t>
      </w:r>
      <w:r w:rsidRPr="00235475">
        <w:rPr>
          <w:i/>
          <w:iCs/>
          <w:sz w:val="28"/>
          <w:szCs w:val="28"/>
        </w:rPr>
        <w:t>online</w:t>
      </w:r>
      <w:r w:rsidRPr="0095713B">
        <w:rPr>
          <w:sz w:val="28"/>
          <w:szCs w:val="28"/>
        </w:rPr>
        <w:t xml:space="preserve"> in Europa, </w:t>
      </w:r>
      <w:r w:rsidR="00235475">
        <w:rPr>
          <w:sz w:val="28"/>
          <w:szCs w:val="28"/>
        </w:rPr>
        <w:t>e</w:t>
      </w:r>
      <w:r w:rsidRPr="0095713B">
        <w:rPr>
          <w:sz w:val="28"/>
          <w:szCs w:val="28"/>
        </w:rPr>
        <w:t xml:space="preserve"> oltre ad un sistema automatizzato di analisi dei contenuti segnalati, ha istituito dal 2020 un </w:t>
      </w:r>
      <w:proofErr w:type="spellStart"/>
      <w:r w:rsidRPr="00235475">
        <w:rPr>
          <w:i/>
          <w:iCs/>
          <w:sz w:val="28"/>
          <w:szCs w:val="28"/>
        </w:rPr>
        <w:t>Oversight</w:t>
      </w:r>
      <w:proofErr w:type="spellEnd"/>
      <w:r w:rsidRPr="00235475">
        <w:rPr>
          <w:i/>
          <w:iCs/>
          <w:sz w:val="28"/>
          <w:szCs w:val="28"/>
        </w:rPr>
        <w:t xml:space="preserve"> Board</w:t>
      </w:r>
      <w:r w:rsidRPr="0095713B">
        <w:rPr>
          <w:sz w:val="28"/>
          <w:szCs w:val="28"/>
        </w:rPr>
        <w:t xml:space="preserve"> chiamato a giudicare la sorte dei contenuti contrari alle linee guida della </w:t>
      </w:r>
      <w:r w:rsidRPr="00235475">
        <w:rPr>
          <w:i/>
          <w:iCs/>
          <w:sz w:val="28"/>
          <w:szCs w:val="28"/>
        </w:rPr>
        <w:t>community</w:t>
      </w:r>
      <w:r w:rsidRPr="0095713B">
        <w:rPr>
          <w:sz w:val="28"/>
          <w:szCs w:val="28"/>
        </w:rPr>
        <w:t>.</w:t>
      </w:r>
    </w:p>
    <w:p w14:paraId="5FF4E410" w14:textId="48C3F381" w:rsidR="0095713B" w:rsidRPr="0095713B" w:rsidRDefault="0095713B" w:rsidP="0096644C">
      <w:pPr>
        <w:pStyle w:val="NormaleWeb"/>
        <w:spacing w:before="0" w:beforeAutospacing="0" w:after="0" w:afterAutospacing="0"/>
        <w:jc w:val="both"/>
        <w:rPr>
          <w:sz w:val="28"/>
          <w:szCs w:val="28"/>
        </w:rPr>
      </w:pPr>
      <w:r w:rsidRPr="0095713B">
        <w:rPr>
          <w:sz w:val="28"/>
          <w:szCs w:val="28"/>
        </w:rPr>
        <w:t xml:space="preserve">Il </w:t>
      </w:r>
      <w:r w:rsidR="00F1257F">
        <w:rPr>
          <w:sz w:val="28"/>
          <w:szCs w:val="28"/>
        </w:rPr>
        <w:t>comitato</w:t>
      </w:r>
      <w:r w:rsidRPr="0095713B">
        <w:rPr>
          <w:sz w:val="28"/>
          <w:szCs w:val="28"/>
        </w:rPr>
        <w:t xml:space="preserve"> è stato soprannominato una Corte Suprema della libertà di parola digitale, </w:t>
      </w:r>
      <w:r w:rsidR="00F1257F">
        <w:rPr>
          <w:sz w:val="28"/>
          <w:szCs w:val="28"/>
        </w:rPr>
        <w:t xml:space="preserve">è </w:t>
      </w:r>
      <w:r w:rsidRPr="0095713B">
        <w:rPr>
          <w:sz w:val="28"/>
          <w:szCs w:val="28"/>
        </w:rPr>
        <w:t>compost</w:t>
      </w:r>
      <w:r w:rsidR="00F1257F">
        <w:rPr>
          <w:sz w:val="28"/>
          <w:szCs w:val="28"/>
        </w:rPr>
        <w:t>o</w:t>
      </w:r>
      <w:r w:rsidRPr="0095713B">
        <w:rPr>
          <w:sz w:val="28"/>
          <w:szCs w:val="28"/>
        </w:rPr>
        <w:t xml:space="preserve"> da venti membri scelti e chiamati a pronunciarsi su alcuni casi controversi</w:t>
      </w:r>
      <w:r w:rsidR="00F1257F">
        <w:rPr>
          <w:sz w:val="28"/>
          <w:szCs w:val="28"/>
        </w:rPr>
        <w:t>, casi</w:t>
      </w:r>
      <w:r w:rsidRPr="0095713B">
        <w:rPr>
          <w:sz w:val="28"/>
          <w:szCs w:val="28"/>
        </w:rPr>
        <w:t xml:space="preserve"> che </w:t>
      </w:r>
      <w:r w:rsidR="00F1257F">
        <w:rPr>
          <w:sz w:val="28"/>
          <w:szCs w:val="28"/>
        </w:rPr>
        <w:t>sono stati considerati</w:t>
      </w:r>
      <w:r w:rsidRPr="0095713B">
        <w:rPr>
          <w:sz w:val="28"/>
          <w:szCs w:val="28"/>
        </w:rPr>
        <w:t xml:space="preserve"> confliggenti con gli standard del </w:t>
      </w:r>
      <w:r w:rsidRPr="00F1257F">
        <w:rPr>
          <w:i/>
          <w:iCs/>
          <w:sz w:val="28"/>
          <w:szCs w:val="28"/>
        </w:rPr>
        <w:t>social</w:t>
      </w:r>
      <w:r w:rsidRPr="0095713B">
        <w:rPr>
          <w:sz w:val="28"/>
          <w:szCs w:val="28"/>
        </w:rPr>
        <w:t xml:space="preserve"> e a cui l’autore si è opposto. Il </w:t>
      </w:r>
      <w:r w:rsidRPr="00F1257F">
        <w:rPr>
          <w:i/>
          <w:iCs/>
          <w:sz w:val="28"/>
          <w:szCs w:val="28"/>
        </w:rPr>
        <w:t>Board</w:t>
      </w:r>
      <w:r w:rsidRPr="0095713B">
        <w:rPr>
          <w:sz w:val="28"/>
          <w:szCs w:val="28"/>
        </w:rPr>
        <w:t xml:space="preserve"> </w:t>
      </w:r>
      <w:r w:rsidR="00F1257F">
        <w:rPr>
          <w:sz w:val="28"/>
          <w:szCs w:val="28"/>
        </w:rPr>
        <w:t>deve effettuare</w:t>
      </w:r>
      <w:r w:rsidRPr="0095713B">
        <w:rPr>
          <w:sz w:val="28"/>
          <w:szCs w:val="28"/>
        </w:rPr>
        <w:t xml:space="preserve"> una sintesi tra i diritti fondamentali e le regole private del </w:t>
      </w:r>
      <w:r w:rsidRPr="00F1257F">
        <w:rPr>
          <w:i/>
          <w:iCs/>
          <w:sz w:val="28"/>
          <w:szCs w:val="28"/>
        </w:rPr>
        <w:t>social</w:t>
      </w:r>
      <w:r w:rsidRPr="0095713B">
        <w:rPr>
          <w:sz w:val="28"/>
          <w:szCs w:val="28"/>
        </w:rPr>
        <w:t xml:space="preserve">, operando una valutazione anche di contesto che sfugge ai sistemi automatizzati. </w:t>
      </w:r>
      <w:r w:rsidR="00F1257F">
        <w:rPr>
          <w:sz w:val="28"/>
          <w:szCs w:val="28"/>
        </w:rPr>
        <w:t xml:space="preserve">Lo stesso </w:t>
      </w:r>
      <w:r w:rsidR="00F1257F" w:rsidRPr="00F1257F">
        <w:rPr>
          <w:i/>
          <w:iCs/>
          <w:sz w:val="28"/>
          <w:szCs w:val="28"/>
        </w:rPr>
        <w:t>social network</w:t>
      </w:r>
      <w:r w:rsidR="00F1257F" w:rsidRPr="0095713B">
        <w:rPr>
          <w:sz w:val="28"/>
          <w:szCs w:val="28"/>
        </w:rPr>
        <w:t xml:space="preserve"> sarà </w:t>
      </w:r>
      <w:r w:rsidR="00F1257F">
        <w:rPr>
          <w:sz w:val="28"/>
          <w:szCs w:val="28"/>
        </w:rPr>
        <w:t xml:space="preserve">poi </w:t>
      </w:r>
      <w:r w:rsidR="00F1257F" w:rsidRPr="0095713B">
        <w:rPr>
          <w:sz w:val="28"/>
          <w:szCs w:val="28"/>
        </w:rPr>
        <w:t xml:space="preserve">vincolato </w:t>
      </w:r>
      <w:r w:rsidR="00F1257F">
        <w:rPr>
          <w:sz w:val="28"/>
          <w:szCs w:val="28"/>
        </w:rPr>
        <w:t>a</w:t>
      </w:r>
      <w:r w:rsidRPr="0095713B">
        <w:rPr>
          <w:sz w:val="28"/>
          <w:szCs w:val="28"/>
        </w:rPr>
        <w:t xml:space="preserve"> tali decisioni</w:t>
      </w:r>
      <w:r w:rsidR="00F1257F">
        <w:rPr>
          <w:sz w:val="28"/>
          <w:szCs w:val="28"/>
        </w:rPr>
        <w:t>.</w:t>
      </w:r>
    </w:p>
    <w:p w14:paraId="1C288E69" w14:textId="77777777" w:rsidR="00F1257F" w:rsidRDefault="00F1257F" w:rsidP="0096644C">
      <w:pPr>
        <w:pStyle w:val="NormaleWeb"/>
        <w:spacing w:before="0" w:beforeAutospacing="0" w:after="0" w:afterAutospacing="0"/>
        <w:jc w:val="both"/>
        <w:rPr>
          <w:sz w:val="28"/>
          <w:szCs w:val="28"/>
        </w:rPr>
      </w:pPr>
      <w:r>
        <w:rPr>
          <w:sz w:val="28"/>
          <w:szCs w:val="28"/>
        </w:rPr>
        <w:t>La decisione di affidare</w:t>
      </w:r>
      <w:r w:rsidR="0095713B" w:rsidRPr="0095713B">
        <w:rPr>
          <w:sz w:val="28"/>
          <w:szCs w:val="28"/>
        </w:rPr>
        <w:t xml:space="preserve"> ad un comitato le </w:t>
      </w:r>
      <w:r>
        <w:rPr>
          <w:sz w:val="28"/>
          <w:szCs w:val="28"/>
        </w:rPr>
        <w:t>scelte</w:t>
      </w:r>
      <w:r w:rsidR="0095713B" w:rsidRPr="0095713B">
        <w:rPr>
          <w:sz w:val="28"/>
          <w:szCs w:val="28"/>
        </w:rPr>
        <w:t xml:space="preserve"> in merito ai contenuti più controversi, </w:t>
      </w:r>
      <w:r>
        <w:rPr>
          <w:sz w:val="28"/>
          <w:szCs w:val="28"/>
        </w:rPr>
        <w:t xml:space="preserve">secondo alcuni </w:t>
      </w:r>
      <w:r w:rsidR="0095713B" w:rsidRPr="0095713B">
        <w:rPr>
          <w:sz w:val="28"/>
          <w:szCs w:val="28"/>
        </w:rPr>
        <w:t xml:space="preserve">è </w:t>
      </w:r>
      <w:r>
        <w:rPr>
          <w:sz w:val="28"/>
          <w:szCs w:val="28"/>
        </w:rPr>
        <w:t>da</w:t>
      </w:r>
      <w:r w:rsidR="0095713B" w:rsidRPr="0095713B">
        <w:rPr>
          <w:sz w:val="28"/>
          <w:szCs w:val="28"/>
        </w:rPr>
        <w:t xml:space="preserve"> condivi</w:t>
      </w:r>
      <w:r>
        <w:rPr>
          <w:sz w:val="28"/>
          <w:szCs w:val="28"/>
        </w:rPr>
        <w:t>dere</w:t>
      </w:r>
      <w:r w:rsidR="0095713B" w:rsidRPr="0095713B">
        <w:rPr>
          <w:sz w:val="28"/>
          <w:szCs w:val="28"/>
        </w:rPr>
        <w:t xml:space="preserve"> e apprezza</w:t>
      </w:r>
      <w:r>
        <w:rPr>
          <w:sz w:val="28"/>
          <w:szCs w:val="28"/>
        </w:rPr>
        <w:t>re,</w:t>
      </w:r>
      <w:r w:rsidR="0095713B" w:rsidRPr="0095713B">
        <w:rPr>
          <w:sz w:val="28"/>
          <w:szCs w:val="28"/>
        </w:rPr>
        <w:t xml:space="preserve"> perché intesa come garanzia aggiuntiva di moderazione nelle scelte di oscuramento o rimozione dei contenuti</w:t>
      </w:r>
      <w:r>
        <w:rPr>
          <w:sz w:val="28"/>
          <w:szCs w:val="28"/>
        </w:rPr>
        <w:t>.</w:t>
      </w:r>
    </w:p>
    <w:p w14:paraId="7B60D427" w14:textId="77777777" w:rsidR="00F5453A" w:rsidRDefault="00F1257F" w:rsidP="0096644C">
      <w:pPr>
        <w:pStyle w:val="NormaleWeb"/>
        <w:spacing w:before="0" w:beforeAutospacing="0" w:after="0" w:afterAutospacing="0"/>
        <w:jc w:val="both"/>
        <w:rPr>
          <w:sz w:val="28"/>
          <w:szCs w:val="28"/>
        </w:rPr>
      </w:pPr>
      <w:r>
        <w:rPr>
          <w:sz w:val="28"/>
          <w:szCs w:val="28"/>
        </w:rPr>
        <w:lastRenderedPageBreak/>
        <w:t>Secondo altri, invece,</w:t>
      </w:r>
      <w:r w:rsidR="0095713B" w:rsidRPr="0095713B">
        <w:rPr>
          <w:sz w:val="28"/>
          <w:szCs w:val="28"/>
        </w:rPr>
        <w:t xml:space="preserve"> il comitato </w:t>
      </w:r>
      <w:r>
        <w:rPr>
          <w:sz w:val="28"/>
          <w:szCs w:val="28"/>
        </w:rPr>
        <w:t xml:space="preserve">– </w:t>
      </w:r>
      <w:r w:rsidR="0095713B" w:rsidRPr="0095713B">
        <w:rPr>
          <w:sz w:val="28"/>
          <w:szCs w:val="28"/>
        </w:rPr>
        <w:t>composto da venti tra uomini e donne bianchi e occidentali</w:t>
      </w:r>
      <w:r w:rsidR="00F5453A">
        <w:rPr>
          <w:sz w:val="28"/>
          <w:szCs w:val="28"/>
        </w:rPr>
        <w:t xml:space="preserve"> – </w:t>
      </w:r>
      <w:r w:rsidR="0095713B" w:rsidRPr="0095713B">
        <w:rPr>
          <w:sz w:val="28"/>
          <w:szCs w:val="28"/>
        </w:rPr>
        <w:t xml:space="preserve">non </w:t>
      </w:r>
      <w:r w:rsidR="00F5453A">
        <w:rPr>
          <w:sz w:val="28"/>
          <w:szCs w:val="28"/>
        </w:rPr>
        <w:t>potrebbe</w:t>
      </w:r>
      <w:r w:rsidR="0095713B" w:rsidRPr="0095713B">
        <w:rPr>
          <w:sz w:val="28"/>
          <w:szCs w:val="28"/>
        </w:rPr>
        <w:t xml:space="preserve"> </w:t>
      </w:r>
      <w:r w:rsidR="00F5453A">
        <w:rPr>
          <w:sz w:val="28"/>
          <w:szCs w:val="28"/>
        </w:rPr>
        <w:t>divenire</w:t>
      </w:r>
      <w:r w:rsidR="0095713B" w:rsidRPr="0095713B">
        <w:rPr>
          <w:sz w:val="28"/>
          <w:szCs w:val="28"/>
        </w:rPr>
        <w:t xml:space="preserve"> fonte di uguaglianza, </w:t>
      </w:r>
      <w:r w:rsidR="00F5453A">
        <w:rPr>
          <w:sz w:val="28"/>
          <w:szCs w:val="28"/>
        </w:rPr>
        <w:t>perché dimostrerebbe,</w:t>
      </w:r>
      <w:r w:rsidR="0095713B" w:rsidRPr="0095713B">
        <w:rPr>
          <w:sz w:val="28"/>
          <w:szCs w:val="28"/>
        </w:rPr>
        <w:t xml:space="preserve"> nelle decisioni prese</w:t>
      </w:r>
      <w:r w:rsidR="00F5453A">
        <w:rPr>
          <w:sz w:val="28"/>
          <w:szCs w:val="28"/>
        </w:rPr>
        <w:t>,</w:t>
      </w:r>
      <w:r w:rsidR="0095713B" w:rsidRPr="0095713B">
        <w:rPr>
          <w:sz w:val="28"/>
          <w:szCs w:val="28"/>
        </w:rPr>
        <w:t xml:space="preserve"> il contesto culturale di provenienza. </w:t>
      </w:r>
    </w:p>
    <w:p w14:paraId="4DAE0C27" w14:textId="29150FF5" w:rsidR="000021BF" w:rsidRPr="0095713B" w:rsidRDefault="0095713B" w:rsidP="000021BF">
      <w:pPr>
        <w:pStyle w:val="NormaleWeb"/>
        <w:spacing w:before="0" w:beforeAutospacing="0" w:after="0" w:afterAutospacing="0"/>
        <w:jc w:val="both"/>
        <w:rPr>
          <w:sz w:val="28"/>
          <w:szCs w:val="28"/>
        </w:rPr>
      </w:pPr>
      <w:r w:rsidRPr="0095713B">
        <w:rPr>
          <w:sz w:val="28"/>
          <w:szCs w:val="28"/>
        </w:rPr>
        <w:t>A ciò si aggiunga che</w:t>
      </w:r>
      <w:r w:rsidR="00F5453A">
        <w:rPr>
          <w:sz w:val="28"/>
          <w:szCs w:val="28"/>
        </w:rPr>
        <w:t xml:space="preserve"> gli standard sono </w:t>
      </w:r>
      <w:r w:rsidRPr="0095713B">
        <w:rPr>
          <w:sz w:val="28"/>
          <w:szCs w:val="28"/>
        </w:rPr>
        <w:t xml:space="preserve">univocamente decisi da </w:t>
      </w:r>
      <w:proofErr w:type="spellStart"/>
      <w:r w:rsidRPr="00F5453A">
        <w:rPr>
          <w:sz w:val="28"/>
          <w:szCs w:val="28"/>
        </w:rPr>
        <w:t>Facebook</w:t>
      </w:r>
      <w:proofErr w:type="spellEnd"/>
      <w:r w:rsidRPr="0095713B">
        <w:rPr>
          <w:sz w:val="28"/>
          <w:szCs w:val="28"/>
        </w:rPr>
        <w:t xml:space="preserve">, </w:t>
      </w:r>
      <w:r w:rsidR="00F5453A">
        <w:rPr>
          <w:sz w:val="28"/>
          <w:szCs w:val="28"/>
        </w:rPr>
        <w:t>che “</w:t>
      </w:r>
      <w:r w:rsidRPr="0095713B">
        <w:rPr>
          <w:sz w:val="28"/>
          <w:szCs w:val="28"/>
        </w:rPr>
        <w:t>spaccia</w:t>
      </w:r>
      <w:r w:rsidR="00F5453A">
        <w:rPr>
          <w:sz w:val="28"/>
          <w:szCs w:val="28"/>
        </w:rPr>
        <w:t>”</w:t>
      </w:r>
      <w:r w:rsidRPr="0095713B">
        <w:rPr>
          <w:sz w:val="28"/>
          <w:szCs w:val="28"/>
        </w:rPr>
        <w:t xml:space="preserve"> per assoluti i parametri della piattaforma in un mondo culturalmente e socialmente variegato. </w:t>
      </w:r>
      <w:r w:rsidR="00F5453A">
        <w:rPr>
          <w:sz w:val="28"/>
          <w:szCs w:val="28"/>
        </w:rPr>
        <w:t xml:space="preserve">È pur vero che, </w:t>
      </w:r>
      <w:r w:rsidRPr="0095713B">
        <w:rPr>
          <w:sz w:val="28"/>
          <w:szCs w:val="28"/>
        </w:rPr>
        <w:t xml:space="preserve">sottoscrivendo i termini e le condizioni d’uso del </w:t>
      </w:r>
      <w:r w:rsidRPr="00F5453A">
        <w:rPr>
          <w:i/>
          <w:iCs/>
          <w:sz w:val="28"/>
          <w:szCs w:val="28"/>
        </w:rPr>
        <w:t>social</w:t>
      </w:r>
      <w:r w:rsidR="00F5453A">
        <w:rPr>
          <w:i/>
          <w:iCs/>
          <w:sz w:val="28"/>
          <w:szCs w:val="28"/>
        </w:rPr>
        <w:t>,</w:t>
      </w:r>
      <w:r w:rsidRPr="0095713B">
        <w:rPr>
          <w:sz w:val="28"/>
          <w:szCs w:val="28"/>
        </w:rPr>
        <w:t xml:space="preserve"> si accettano dichiaratamente </w:t>
      </w:r>
      <w:r w:rsidR="00F5453A">
        <w:rPr>
          <w:sz w:val="28"/>
          <w:szCs w:val="28"/>
        </w:rPr>
        <w:t>le</w:t>
      </w:r>
      <w:r w:rsidRPr="0095713B">
        <w:rPr>
          <w:sz w:val="28"/>
          <w:szCs w:val="28"/>
        </w:rPr>
        <w:t xml:space="preserve"> regole</w:t>
      </w:r>
      <w:r w:rsidR="00F5453A">
        <w:rPr>
          <w:sz w:val="28"/>
          <w:szCs w:val="28"/>
        </w:rPr>
        <w:t xml:space="preserve"> ivi </w:t>
      </w:r>
      <w:r w:rsidRPr="0095713B">
        <w:rPr>
          <w:sz w:val="28"/>
          <w:szCs w:val="28"/>
        </w:rPr>
        <w:t>decis</w:t>
      </w:r>
      <w:r w:rsidR="00F5453A">
        <w:rPr>
          <w:sz w:val="28"/>
          <w:szCs w:val="28"/>
        </w:rPr>
        <w:t xml:space="preserve">e. In conclusione, sicuramente si può </w:t>
      </w:r>
      <w:r w:rsidRPr="0095713B">
        <w:rPr>
          <w:sz w:val="28"/>
          <w:szCs w:val="28"/>
        </w:rPr>
        <w:t>dubita</w:t>
      </w:r>
      <w:r w:rsidR="00F5453A">
        <w:rPr>
          <w:sz w:val="28"/>
          <w:szCs w:val="28"/>
        </w:rPr>
        <w:t>re</w:t>
      </w:r>
      <w:r w:rsidRPr="0095713B">
        <w:rPr>
          <w:sz w:val="28"/>
          <w:szCs w:val="28"/>
        </w:rPr>
        <w:t xml:space="preserve"> che possano esistere delle linee guida che soddisfino tutti</w:t>
      </w:r>
      <w:r w:rsidR="00F5453A">
        <w:rPr>
          <w:sz w:val="28"/>
          <w:szCs w:val="28"/>
        </w:rPr>
        <w:t xml:space="preserve">, </w:t>
      </w:r>
      <w:r w:rsidRPr="0095713B">
        <w:rPr>
          <w:sz w:val="28"/>
          <w:szCs w:val="28"/>
        </w:rPr>
        <w:t>in qualsiasi parte del mondo, ma si potrebbe pure dubitare che per favorire la libertà nella rete e garantire la libertà d’espressione, il parametro sia quello individuato dagli operatori del sistema</w:t>
      </w:r>
      <w:r w:rsidR="003D07F0">
        <w:rPr>
          <w:sz w:val="28"/>
          <w:szCs w:val="28"/>
        </w:rPr>
        <w:t>.</w:t>
      </w:r>
    </w:p>
    <w:p w14:paraId="06FCA8B8" w14:textId="64080A94" w:rsidR="002315B9" w:rsidRPr="006733D4" w:rsidRDefault="002315B9" w:rsidP="006733D4">
      <w:pPr>
        <w:rPr>
          <w:rFonts w:ascii="Times New Roman" w:eastAsia="Times New Roman" w:hAnsi="Times New Roman" w:cs="Times New Roman"/>
          <w:sz w:val="28"/>
          <w:szCs w:val="28"/>
          <w:lang w:eastAsia="it-IT"/>
        </w:rPr>
      </w:pPr>
      <w:r>
        <w:rPr>
          <w:sz w:val="28"/>
          <w:szCs w:val="28"/>
        </w:rPr>
        <w:br w:type="page"/>
      </w:r>
    </w:p>
    <w:p w14:paraId="3358284A" w14:textId="44FD5033" w:rsidR="00871650" w:rsidRPr="00871650" w:rsidRDefault="00794E7F" w:rsidP="00794E7F">
      <w:pPr>
        <w:spacing w:after="0" w:line="240" w:lineRule="auto"/>
        <w:rPr>
          <w:rFonts w:ascii="Times New Roman" w:eastAsia="Times New Roman" w:hAnsi="Times New Roman" w:cs="Times New Roman"/>
          <w:b/>
          <w:sz w:val="32"/>
          <w:szCs w:val="32"/>
        </w:rPr>
      </w:pPr>
      <w:r w:rsidRPr="00871650">
        <w:rPr>
          <w:rFonts w:ascii="Times New Roman" w:eastAsia="Times New Roman" w:hAnsi="Times New Roman" w:cs="Times New Roman"/>
          <w:b/>
          <w:sz w:val="32"/>
          <w:szCs w:val="32"/>
        </w:rPr>
        <w:lastRenderedPageBreak/>
        <w:t>Cap</w:t>
      </w:r>
      <w:r w:rsidR="00871650" w:rsidRPr="00871650">
        <w:rPr>
          <w:rFonts w:ascii="Times New Roman" w:eastAsia="Times New Roman" w:hAnsi="Times New Roman" w:cs="Times New Roman"/>
          <w:b/>
          <w:sz w:val="32"/>
          <w:szCs w:val="32"/>
        </w:rPr>
        <w:t>itolo</w:t>
      </w:r>
      <w:r w:rsidR="00130E61" w:rsidRPr="00130E61">
        <w:rPr>
          <w:rFonts w:ascii="Times New Roman" w:eastAsia="Times New Roman" w:hAnsi="Times New Roman" w:cs="Times New Roman"/>
          <w:b/>
          <w:sz w:val="32"/>
          <w:szCs w:val="32"/>
        </w:rPr>
        <w:t xml:space="preserve"> </w:t>
      </w:r>
      <w:r w:rsidR="00A94353">
        <w:rPr>
          <w:rFonts w:ascii="Times New Roman" w:eastAsia="Times New Roman" w:hAnsi="Times New Roman" w:cs="Times New Roman"/>
          <w:b/>
          <w:sz w:val="32"/>
          <w:szCs w:val="32"/>
        </w:rPr>
        <w:t>XVII</w:t>
      </w:r>
    </w:p>
    <w:p w14:paraId="3E6540F0" w14:textId="77777777" w:rsidR="00871650" w:rsidRPr="00871650" w:rsidRDefault="00871650" w:rsidP="00794E7F">
      <w:pPr>
        <w:spacing w:after="0" w:line="240" w:lineRule="auto"/>
        <w:rPr>
          <w:rFonts w:ascii="Times New Roman" w:eastAsia="Times New Roman" w:hAnsi="Times New Roman" w:cs="Times New Roman"/>
          <w:b/>
          <w:sz w:val="32"/>
          <w:szCs w:val="32"/>
        </w:rPr>
      </w:pPr>
    </w:p>
    <w:p w14:paraId="783377AF" w14:textId="1716C92F" w:rsidR="002315B9" w:rsidRPr="00871650" w:rsidRDefault="002315B9" w:rsidP="00794E7F">
      <w:pPr>
        <w:spacing w:after="0" w:line="240" w:lineRule="auto"/>
        <w:rPr>
          <w:rFonts w:ascii="Times New Roman" w:eastAsia="Times New Roman" w:hAnsi="Times New Roman" w:cs="Times New Roman"/>
          <w:b/>
          <w:sz w:val="32"/>
          <w:szCs w:val="32"/>
        </w:rPr>
      </w:pPr>
      <w:r w:rsidRPr="00871650">
        <w:rPr>
          <w:rFonts w:ascii="Times New Roman" w:eastAsia="Times New Roman" w:hAnsi="Times New Roman" w:cs="Times New Roman"/>
          <w:b/>
          <w:sz w:val="32"/>
          <w:szCs w:val="32"/>
        </w:rPr>
        <w:t>L</w:t>
      </w:r>
      <w:r w:rsidR="00871650" w:rsidRPr="00871650">
        <w:rPr>
          <w:rFonts w:ascii="Times New Roman" w:eastAsia="Times New Roman" w:hAnsi="Times New Roman" w:cs="Times New Roman"/>
          <w:b/>
          <w:sz w:val="32"/>
          <w:szCs w:val="32"/>
        </w:rPr>
        <w:t>’interoperabilità</w:t>
      </w:r>
      <w:r w:rsidRPr="00871650">
        <w:rPr>
          <w:rFonts w:ascii="Times New Roman" w:eastAsia="Times New Roman" w:hAnsi="Times New Roman" w:cs="Times New Roman"/>
          <w:b/>
          <w:sz w:val="32"/>
          <w:szCs w:val="32"/>
        </w:rPr>
        <w:t>: il dialogo necessario tra il digitale e il diritto</w:t>
      </w:r>
    </w:p>
    <w:p w14:paraId="720A14B6" w14:textId="4F61D3F9" w:rsidR="002315B9" w:rsidRPr="006C1713" w:rsidRDefault="002315B9" w:rsidP="00871650">
      <w:pPr>
        <w:spacing w:after="0" w:line="240" w:lineRule="auto"/>
        <w:jc w:val="both"/>
        <w:rPr>
          <w:rFonts w:ascii="Times New Roman" w:eastAsia="Times New Roman" w:hAnsi="Times New Roman" w:cs="Times New Roman"/>
          <w:sz w:val="32"/>
          <w:szCs w:val="32"/>
        </w:rPr>
      </w:pPr>
    </w:p>
    <w:p w14:paraId="07C97EB6" w14:textId="3D27EA43"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Il termine “</w:t>
      </w:r>
      <w:r w:rsidRPr="00871650">
        <w:rPr>
          <w:rFonts w:ascii="Times New Roman" w:eastAsia="Times New Roman" w:hAnsi="Times New Roman" w:cs="Times New Roman"/>
          <w:i/>
          <w:iCs/>
          <w:sz w:val="28"/>
          <w:szCs w:val="28"/>
        </w:rPr>
        <w:t>interoperabilità</w:t>
      </w:r>
      <w:r w:rsidRPr="00794E7F">
        <w:rPr>
          <w:rFonts w:ascii="Times New Roman" w:eastAsia="Times New Roman" w:hAnsi="Times New Roman" w:cs="Times New Roman"/>
          <w:sz w:val="28"/>
          <w:szCs w:val="28"/>
        </w:rPr>
        <w:t>” esprime il concetto moderno, oggi sempre più applicato a molteplici settori, di permettere, mediante procedure tecniche unificanti e standardizzate, l</w:t>
      </w:r>
      <w:r w:rsidR="006C1713">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interscambio di dati e l</w:t>
      </w:r>
      <w:r w:rsidR="006C1713">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interazione dei sistemi nei campi dell</w:t>
      </w:r>
      <w:r w:rsidR="006C1713">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informatica, delle comunicazioni, della sanità, dell’istruzione, dei trasporti ferroviari ed aerei e dei sistemi di sicurezza di un Paese.</w:t>
      </w:r>
    </w:p>
    <w:p w14:paraId="580EB181" w14:textId="32396378"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Più precisamente, il Codice dell’amministrazione digitale (D.Lgs. n. 82/2015, </w:t>
      </w:r>
      <w:proofErr w:type="gramStart"/>
      <w:r w:rsidRPr="00794E7F">
        <w:rPr>
          <w:rFonts w:ascii="Times New Roman" w:eastAsia="Times New Roman" w:hAnsi="Times New Roman" w:cs="Times New Roman"/>
          <w:sz w:val="28"/>
          <w:szCs w:val="28"/>
        </w:rPr>
        <w:t>in prosieguo</w:t>
      </w:r>
      <w:proofErr w:type="gramEnd"/>
      <w:r w:rsidRPr="00794E7F">
        <w:rPr>
          <w:rFonts w:ascii="Times New Roman" w:eastAsia="Times New Roman" w:hAnsi="Times New Roman" w:cs="Times New Roman"/>
          <w:sz w:val="28"/>
          <w:szCs w:val="28"/>
        </w:rPr>
        <w:t xml:space="preserve"> “CAD”) definisce l’interoperabilità come la “</w:t>
      </w:r>
      <w:r w:rsidRPr="00794E7F">
        <w:rPr>
          <w:rFonts w:ascii="Times New Roman" w:eastAsia="Times New Roman" w:hAnsi="Times New Roman" w:cs="Times New Roman"/>
          <w:i/>
          <w:sz w:val="28"/>
          <w:szCs w:val="28"/>
        </w:rPr>
        <w:t>caratteristica di un sistema informativo, le cui interfacce sono pubbliche e aperte, di interagire in maniera automatica con altri sistemi informativi per lo scambio di informazioni e l’erogazione di servizi</w:t>
      </w:r>
      <w:r w:rsidRPr="00794E7F">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vertAlign w:val="superscript"/>
        </w:rPr>
        <w:footnoteReference w:id="275"/>
      </w:r>
      <w:r w:rsidRPr="00794E7F">
        <w:rPr>
          <w:rFonts w:ascii="Times New Roman" w:eastAsia="Times New Roman" w:hAnsi="Times New Roman" w:cs="Times New Roman"/>
          <w:sz w:val="28"/>
          <w:szCs w:val="28"/>
        </w:rPr>
        <w:t>. Questa definizione deve essere associata a quella di cooperazione applicativa, definita nel CAD come “</w:t>
      </w:r>
      <w:r w:rsidRPr="00794E7F">
        <w:rPr>
          <w:rFonts w:ascii="Times New Roman" w:eastAsia="Times New Roman" w:hAnsi="Times New Roman" w:cs="Times New Roman"/>
          <w:i/>
          <w:sz w:val="28"/>
          <w:szCs w:val="28"/>
        </w:rPr>
        <w:t>la parte del Sistema Pubblico di Connettività finalizzata all’interazione tra i sistemi informativi dei soggetti partecipanti, per garantire l’integrazione dei metadati, delle informazioni, dei processi e procedimenti amministrativi</w:t>
      </w:r>
      <w:r w:rsidRPr="00794E7F">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vertAlign w:val="superscript"/>
        </w:rPr>
        <w:footnoteReference w:id="276"/>
      </w:r>
      <w:r w:rsidRPr="00794E7F">
        <w:rPr>
          <w:rFonts w:ascii="Times New Roman" w:eastAsia="Times New Roman" w:hAnsi="Times New Roman" w:cs="Times New Roman"/>
          <w:sz w:val="28"/>
          <w:szCs w:val="28"/>
        </w:rPr>
        <w:t>.</w:t>
      </w:r>
    </w:p>
    <w:p w14:paraId="46BC9434"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In breve, la combinazione e l’applicazione dei due principi consente lo scambio dati tra PPAA e i soggetti interessati in modo standard, al fine di consentire lo svolgimento di procedimenti amministrativi complessi, ovvero che coinvolgono più amministrazioni, ovvero, ancora, più banche dati anche esterne alla Pubblica Amministrazione.</w:t>
      </w:r>
    </w:p>
    <w:p w14:paraId="15E98E84" w14:textId="77777777" w:rsidR="006C1713"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Sempre il CAD, in più punti, ribadisce il principio in forza del quale le pubbliche amministrazioni sono tenute a gestire i procedimenti amministrativi utilizzando le tecnologie dell’informazione e della comunicazione (c</w:t>
      </w:r>
      <w:r w:rsidR="006C1713">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d. ICT). Lo specifico procedimento, dunque, deve fornire opportuni servizi di interoperabilità o integrazione/cooperazione a carico dell’amministrazione</w:t>
      </w:r>
      <w:r w:rsidRPr="00794E7F">
        <w:rPr>
          <w:rFonts w:ascii="Times New Roman" w:eastAsia="Times New Roman" w:hAnsi="Times New Roman" w:cs="Times New Roman"/>
          <w:sz w:val="28"/>
          <w:szCs w:val="28"/>
          <w:vertAlign w:val="superscript"/>
        </w:rPr>
        <w:footnoteReference w:id="277"/>
      </w:r>
      <w:r w:rsidRPr="00794E7F">
        <w:rPr>
          <w:rFonts w:ascii="Times New Roman" w:eastAsia="Times New Roman" w:hAnsi="Times New Roman" w:cs="Times New Roman"/>
          <w:sz w:val="28"/>
          <w:szCs w:val="28"/>
        </w:rPr>
        <w:t xml:space="preserve">. Tali servizi </w:t>
      </w:r>
      <w:r w:rsidR="00871650" w:rsidRPr="00794E7F">
        <w:rPr>
          <w:rFonts w:ascii="Times New Roman" w:eastAsia="Times New Roman" w:hAnsi="Times New Roman" w:cs="Times New Roman"/>
          <w:sz w:val="28"/>
          <w:szCs w:val="28"/>
        </w:rPr>
        <w:t>devono risultare</w:t>
      </w:r>
      <w:r w:rsidRPr="00794E7F">
        <w:rPr>
          <w:rFonts w:ascii="Times New Roman" w:eastAsia="Times New Roman" w:hAnsi="Times New Roman" w:cs="Times New Roman"/>
          <w:sz w:val="28"/>
          <w:szCs w:val="28"/>
        </w:rPr>
        <w:t xml:space="preserve"> conformi alle Linee Guida elaborate dall’</w:t>
      </w:r>
      <w:proofErr w:type="spellStart"/>
      <w:r w:rsidRPr="00794E7F">
        <w:rPr>
          <w:rFonts w:ascii="Times New Roman" w:eastAsia="Times New Roman" w:hAnsi="Times New Roman" w:cs="Times New Roman"/>
          <w:sz w:val="28"/>
          <w:szCs w:val="28"/>
        </w:rPr>
        <w:t>AgID</w:t>
      </w:r>
      <w:proofErr w:type="spellEnd"/>
      <w:r w:rsidRPr="00794E7F">
        <w:rPr>
          <w:rFonts w:ascii="Times New Roman" w:eastAsia="Times New Roman" w:hAnsi="Times New Roman" w:cs="Times New Roman"/>
          <w:sz w:val="28"/>
          <w:szCs w:val="28"/>
          <w:vertAlign w:val="superscript"/>
        </w:rPr>
        <w:footnoteReference w:id="278"/>
      </w:r>
      <w:r w:rsidRPr="00794E7F">
        <w:rPr>
          <w:rFonts w:ascii="Times New Roman" w:eastAsia="Times New Roman" w:hAnsi="Times New Roman" w:cs="Times New Roman"/>
          <w:sz w:val="28"/>
          <w:szCs w:val="28"/>
        </w:rPr>
        <w:t xml:space="preserve"> </w:t>
      </w:r>
      <w:r w:rsidR="00871650" w:rsidRPr="00794E7F">
        <w:rPr>
          <w:rFonts w:ascii="Times New Roman" w:eastAsia="Times New Roman" w:hAnsi="Times New Roman" w:cs="Times New Roman"/>
          <w:sz w:val="28"/>
          <w:szCs w:val="28"/>
        </w:rPr>
        <w:t>(Autorità</w:t>
      </w:r>
      <w:r w:rsidRPr="00794E7F">
        <w:rPr>
          <w:rFonts w:ascii="Times New Roman" w:eastAsia="Times New Roman" w:hAnsi="Times New Roman" w:cs="Times New Roman"/>
          <w:sz w:val="28"/>
          <w:szCs w:val="28"/>
        </w:rPr>
        <w:t xml:space="preserve"> per l’Italia Digitale</w:t>
      </w:r>
      <w:r w:rsidR="00871650" w:rsidRPr="00794E7F">
        <w:rPr>
          <w:rFonts w:ascii="Times New Roman" w:eastAsia="Times New Roman" w:hAnsi="Times New Roman" w:cs="Times New Roman"/>
          <w:sz w:val="28"/>
          <w:szCs w:val="28"/>
        </w:rPr>
        <w:t xml:space="preserve">). </w:t>
      </w:r>
    </w:p>
    <w:p w14:paraId="2ED8412A" w14:textId="77777777" w:rsidR="006C1713" w:rsidRDefault="00871650" w:rsidP="00D02B4E">
      <w:pPr>
        <w:snapToGrid w:val="0"/>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lastRenderedPageBreak/>
        <w:t>L’art.</w:t>
      </w:r>
      <w:r>
        <w:rPr>
          <w:rFonts w:ascii="Times New Roman" w:eastAsia="Times New Roman" w:hAnsi="Times New Roman" w:cs="Times New Roman"/>
          <w:sz w:val="28"/>
          <w:szCs w:val="28"/>
        </w:rPr>
        <w:t xml:space="preserve"> </w:t>
      </w:r>
      <w:r w:rsidR="002315B9" w:rsidRPr="00794E7F">
        <w:rPr>
          <w:rFonts w:ascii="Times New Roman" w:eastAsia="Times New Roman" w:hAnsi="Times New Roman" w:cs="Times New Roman"/>
          <w:sz w:val="28"/>
          <w:szCs w:val="28"/>
        </w:rPr>
        <w:t>71 del Codice dell’Amministrazione Digitale, norma primaria, richiede che le Linee Guida dell’</w:t>
      </w:r>
      <w:proofErr w:type="spellStart"/>
      <w:r w:rsidR="002315B9" w:rsidRPr="00794E7F">
        <w:rPr>
          <w:rFonts w:ascii="Times New Roman" w:eastAsia="Times New Roman" w:hAnsi="Times New Roman" w:cs="Times New Roman"/>
          <w:sz w:val="28"/>
          <w:szCs w:val="28"/>
        </w:rPr>
        <w:t>Agid</w:t>
      </w:r>
      <w:proofErr w:type="spellEnd"/>
      <w:r w:rsidR="002315B9" w:rsidRPr="00794E7F">
        <w:rPr>
          <w:rFonts w:ascii="Times New Roman" w:eastAsia="Times New Roman" w:hAnsi="Times New Roman" w:cs="Times New Roman"/>
          <w:sz w:val="28"/>
          <w:szCs w:val="28"/>
        </w:rPr>
        <w:t xml:space="preserve"> debbano essere adottate su parere positivo rilasciato dal Garante per la </w:t>
      </w:r>
      <w:r w:rsidR="002315B9" w:rsidRPr="006C1713">
        <w:rPr>
          <w:rFonts w:ascii="Times New Roman" w:eastAsia="Times New Roman" w:hAnsi="Times New Roman" w:cs="Times New Roman"/>
          <w:sz w:val="28"/>
          <w:szCs w:val="28"/>
        </w:rPr>
        <w:t>Privacy</w:t>
      </w:r>
      <w:r w:rsidR="006C1713" w:rsidRPr="006C1713">
        <w:rPr>
          <w:rFonts w:ascii="Times New Roman" w:eastAsia="Times New Roman" w:hAnsi="Times New Roman" w:cs="Times New Roman"/>
          <w:sz w:val="28"/>
          <w:szCs w:val="28"/>
        </w:rPr>
        <w:t>.</w:t>
      </w:r>
      <w:r w:rsidR="002315B9" w:rsidRPr="00794E7F">
        <w:rPr>
          <w:rFonts w:ascii="Times New Roman" w:eastAsia="Times New Roman" w:hAnsi="Times New Roman" w:cs="Times New Roman"/>
          <w:b/>
          <w:bCs/>
          <w:sz w:val="28"/>
          <w:szCs w:val="28"/>
        </w:rPr>
        <w:t xml:space="preserve"> </w:t>
      </w:r>
      <w:r w:rsidR="002315B9" w:rsidRPr="00794E7F">
        <w:rPr>
          <w:rFonts w:ascii="Times New Roman" w:eastAsia="Times New Roman" w:hAnsi="Times New Roman" w:cs="Times New Roman"/>
          <w:sz w:val="28"/>
          <w:szCs w:val="28"/>
        </w:rPr>
        <w:t>I punti che rilevano sono:</w:t>
      </w:r>
    </w:p>
    <w:p w14:paraId="3F41EC29" w14:textId="2079E764" w:rsidR="006C1713" w:rsidRPr="006C1713" w:rsidRDefault="006C1713" w:rsidP="00D02B4E">
      <w:pPr>
        <w:snapToGrid w:val="0"/>
        <w:spacing w:after="0" w:line="240" w:lineRule="auto"/>
        <w:jc w:val="both"/>
        <w:rPr>
          <w:rFonts w:ascii="Times New Roman" w:eastAsia="Times New Roman" w:hAnsi="Times New Roman" w:cs="Times New Roman"/>
          <w:sz w:val="28"/>
          <w:szCs w:val="28"/>
        </w:rPr>
      </w:pPr>
      <w:r w:rsidRPr="006C171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2315B9" w:rsidRPr="006C1713">
        <w:rPr>
          <w:rFonts w:ascii="Times New Roman" w:eastAsia="Times New Roman" w:hAnsi="Times New Roman" w:cs="Times New Roman"/>
          <w:sz w:val="28"/>
          <w:szCs w:val="28"/>
        </w:rPr>
        <w:t xml:space="preserve">nello scambio di dati tra PA chi deve considerarsi titolare del </w:t>
      </w:r>
      <w:proofErr w:type="gramStart"/>
      <w:r w:rsidR="002315B9" w:rsidRPr="006C1713">
        <w:rPr>
          <w:rFonts w:ascii="Times New Roman" w:eastAsia="Times New Roman" w:hAnsi="Times New Roman" w:cs="Times New Roman"/>
          <w:sz w:val="28"/>
          <w:szCs w:val="28"/>
        </w:rPr>
        <w:t>trattamento?;</w:t>
      </w:r>
      <w:proofErr w:type="gramEnd"/>
      <w:r w:rsidR="002315B9" w:rsidRPr="006C1713">
        <w:rPr>
          <w:rFonts w:ascii="Times New Roman" w:eastAsia="Times New Roman" w:hAnsi="Times New Roman" w:cs="Times New Roman"/>
          <w:b/>
          <w:bCs/>
          <w:sz w:val="28"/>
          <w:szCs w:val="28"/>
        </w:rPr>
        <w:t xml:space="preserve"> </w:t>
      </w:r>
      <w:r w:rsidRPr="006C1713">
        <w:rPr>
          <w:rFonts w:ascii="Times New Roman" w:eastAsia="Times New Roman" w:hAnsi="Times New Roman" w:cs="Times New Roman"/>
          <w:b/>
          <w:bCs/>
          <w:sz w:val="28"/>
          <w:szCs w:val="28"/>
        </w:rPr>
        <w:br/>
      </w:r>
      <w:r w:rsidR="002315B9" w:rsidRPr="006C1713">
        <w:rPr>
          <w:rFonts w:ascii="Times New Roman" w:eastAsia="Times New Roman" w:hAnsi="Times New Roman" w:cs="Times New Roman"/>
          <w:sz w:val="28"/>
          <w:szCs w:val="28"/>
        </w:rPr>
        <w:t>2)</w:t>
      </w:r>
      <w:r w:rsidR="002315B9" w:rsidRPr="006C1713">
        <w:rPr>
          <w:rFonts w:ascii="Times New Roman" w:eastAsia="Times New Roman" w:hAnsi="Times New Roman" w:cs="Times New Roman"/>
          <w:b/>
          <w:bCs/>
          <w:sz w:val="28"/>
          <w:szCs w:val="28"/>
        </w:rPr>
        <w:t xml:space="preserve"> </w:t>
      </w:r>
      <w:r w:rsidR="002315B9" w:rsidRPr="006C1713">
        <w:rPr>
          <w:rFonts w:ascii="Times New Roman" w:eastAsia="Times New Roman" w:hAnsi="Times New Roman" w:cs="Times New Roman"/>
          <w:sz w:val="28"/>
          <w:szCs w:val="28"/>
        </w:rPr>
        <w:t>che tempo di</w:t>
      </w:r>
      <w:r w:rsidR="002315B9" w:rsidRPr="006C1713">
        <w:rPr>
          <w:rFonts w:ascii="Times New Roman" w:eastAsia="Times New Roman" w:hAnsi="Times New Roman" w:cs="Times New Roman"/>
          <w:b/>
          <w:bCs/>
          <w:sz w:val="28"/>
          <w:szCs w:val="28"/>
        </w:rPr>
        <w:t xml:space="preserve"> </w:t>
      </w:r>
      <w:r w:rsidR="002315B9" w:rsidRPr="006C1713">
        <w:rPr>
          <w:rFonts w:ascii="Times New Roman" w:eastAsia="Times New Roman" w:hAnsi="Times New Roman" w:cs="Times New Roman"/>
          <w:sz w:val="28"/>
          <w:szCs w:val="28"/>
        </w:rPr>
        <w:t xml:space="preserve">durata deve avere la conservazione dei dati nell’attività di </w:t>
      </w:r>
      <w:proofErr w:type="spellStart"/>
      <w:r w:rsidR="002315B9" w:rsidRPr="006C1713">
        <w:rPr>
          <w:rFonts w:ascii="Times New Roman" w:eastAsia="Times New Roman" w:hAnsi="Times New Roman" w:cs="Times New Roman"/>
          <w:i/>
          <w:iCs/>
          <w:sz w:val="28"/>
          <w:szCs w:val="28"/>
        </w:rPr>
        <w:t>caching</w:t>
      </w:r>
      <w:proofErr w:type="spellEnd"/>
      <w:r w:rsidR="002315B9" w:rsidRPr="006C1713">
        <w:rPr>
          <w:rFonts w:ascii="Times New Roman" w:eastAsia="Times New Roman" w:hAnsi="Times New Roman" w:cs="Times New Roman"/>
          <w:sz w:val="28"/>
          <w:szCs w:val="28"/>
        </w:rPr>
        <w:t>?;</w:t>
      </w:r>
      <w:r w:rsidR="00871650" w:rsidRPr="006C1713">
        <w:rPr>
          <w:rFonts w:ascii="Times New Roman" w:eastAsia="Times New Roman" w:hAnsi="Times New Roman" w:cs="Times New Roman"/>
          <w:sz w:val="28"/>
          <w:szCs w:val="28"/>
        </w:rPr>
        <w:t xml:space="preserve"> </w:t>
      </w:r>
      <w:r w:rsidRPr="006C1713">
        <w:rPr>
          <w:rFonts w:ascii="Times New Roman" w:eastAsia="Times New Roman" w:hAnsi="Times New Roman" w:cs="Times New Roman"/>
          <w:sz w:val="28"/>
          <w:szCs w:val="28"/>
        </w:rPr>
        <w:br/>
      </w:r>
      <w:r w:rsidR="002315B9" w:rsidRPr="006C1713">
        <w:rPr>
          <w:rFonts w:ascii="Times New Roman" w:eastAsia="Times New Roman" w:hAnsi="Times New Roman" w:cs="Times New Roman"/>
          <w:sz w:val="28"/>
          <w:szCs w:val="28"/>
        </w:rPr>
        <w:t>3) chi è il responsabile del trattamento dei dati a cui il privato può rivolgersi per eventuali osservazioni o richieste di chiarimento</w:t>
      </w:r>
      <w:r>
        <w:rPr>
          <w:rFonts w:ascii="Times New Roman" w:eastAsia="Times New Roman" w:hAnsi="Times New Roman" w:cs="Times New Roman"/>
          <w:sz w:val="28"/>
          <w:szCs w:val="28"/>
        </w:rPr>
        <w:t>?</w:t>
      </w:r>
      <w:r w:rsidR="002315B9" w:rsidRPr="006C1713">
        <w:rPr>
          <w:rFonts w:ascii="Times New Roman" w:eastAsia="Times New Roman" w:hAnsi="Times New Roman" w:cs="Times New Roman"/>
          <w:sz w:val="28"/>
          <w:szCs w:val="28"/>
        </w:rPr>
        <w:t>;</w:t>
      </w:r>
    </w:p>
    <w:p w14:paraId="3E152131" w14:textId="4AAB5845" w:rsidR="00D02B4E" w:rsidRDefault="002315B9" w:rsidP="00D02B4E">
      <w:pPr>
        <w:spacing w:after="0" w:line="240" w:lineRule="auto"/>
        <w:jc w:val="both"/>
        <w:rPr>
          <w:rFonts w:ascii="Times New Roman" w:hAnsi="Times New Roman" w:cs="Times New Roman"/>
          <w:sz w:val="28"/>
          <w:szCs w:val="28"/>
        </w:rPr>
      </w:pPr>
      <w:r w:rsidRPr="006C1713">
        <w:rPr>
          <w:rFonts w:ascii="Times New Roman" w:hAnsi="Times New Roman" w:cs="Times New Roman"/>
          <w:sz w:val="28"/>
          <w:szCs w:val="28"/>
        </w:rPr>
        <w:t>4)</w:t>
      </w:r>
      <w:r w:rsidR="00871650" w:rsidRPr="006C1713">
        <w:rPr>
          <w:rFonts w:ascii="Times New Roman" w:hAnsi="Times New Roman" w:cs="Times New Roman"/>
          <w:sz w:val="28"/>
          <w:szCs w:val="28"/>
        </w:rPr>
        <w:t xml:space="preserve"> </w:t>
      </w:r>
      <w:r w:rsidRPr="006C1713">
        <w:rPr>
          <w:rFonts w:ascii="Times New Roman" w:hAnsi="Times New Roman" w:cs="Times New Roman"/>
          <w:sz w:val="28"/>
          <w:szCs w:val="28"/>
        </w:rPr>
        <w:t xml:space="preserve">vi è una modulazione dei sistemi di sicurezza in relazione al grado di riservatezza dei dati, ad esempio quelli </w:t>
      </w:r>
      <w:proofErr w:type="gramStart"/>
      <w:r w:rsidRPr="006C1713">
        <w:rPr>
          <w:rFonts w:ascii="Times New Roman" w:hAnsi="Times New Roman" w:cs="Times New Roman"/>
          <w:sz w:val="28"/>
          <w:szCs w:val="28"/>
        </w:rPr>
        <w:t>giudiziari?;</w:t>
      </w:r>
      <w:proofErr w:type="gramEnd"/>
    </w:p>
    <w:p w14:paraId="7D4EFB82" w14:textId="77777777" w:rsidR="00D02B4E" w:rsidRDefault="002315B9" w:rsidP="00D02B4E">
      <w:pPr>
        <w:spacing w:after="0" w:line="240" w:lineRule="auto"/>
        <w:jc w:val="both"/>
        <w:rPr>
          <w:rFonts w:ascii="Times New Roman" w:hAnsi="Times New Roman" w:cs="Times New Roman"/>
          <w:b/>
          <w:bCs/>
          <w:sz w:val="28"/>
          <w:szCs w:val="28"/>
        </w:rPr>
      </w:pPr>
      <w:r w:rsidRPr="006C1713">
        <w:rPr>
          <w:rFonts w:ascii="Times New Roman" w:hAnsi="Times New Roman" w:cs="Times New Roman"/>
          <w:sz w:val="28"/>
          <w:szCs w:val="28"/>
        </w:rPr>
        <w:t>5)</w:t>
      </w:r>
      <w:r w:rsidR="00871650" w:rsidRPr="006C1713">
        <w:rPr>
          <w:rFonts w:ascii="Times New Roman" w:hAnsi="Times New Roman" w:cs="Times New Roman"/>
          <w:sz w:val="28"/>
          <w:szCs w:val="28"/>
        </w:rPr>
        <w:t xml:space="preserve"> </w:t>
      </w:r>
      <w:r w:rsidRPr="006C1713">
        <w:rPr>
          <w:rFonts w:ascii="Times New Roman" w:hAnsi="Times New Roman" w:cs="Times New Roman"/>
          <w:sz w:val="28"/>
          <w:szCs w:val="28"/>
        </w:rPr>
        <w:t xml:space="preserve">il principio di </w:t>
      </w:r>
      <w:r w:rsidRPr="006C1713">
        <w:rPr>
          <w:rFonts w:ascii="Times New Roman" w:hAnsi="Times New Roman" w:cs="Times New Roman"/>
          <w:i/>
          <w:iCs/>
          <w:sz w:val="28"/>
          <w:szCs w:val="28"/>
        </w:rPr>
        <w:t>privacy by design and by default</w:t>
      </w:r>
      <w:r w:rsidRPr="006C1713">
        <w:rPr>
          <w:rFonts w:ascii="Times New Roman" w:hAnsi="Times New Roman" w:cs="Times New Roman"/>
          <w:sz w:val="28"/>
          <w:szCs w:val="28"/>
        </w:rPr>
        <w:t xml:space="preserve"> riguarda solo la fase di</w:t>
      </w:r>
      <w:r w:rsidR="00D02B4E">
        <w:rPr>
          <w:rFonts w:ascii="Times New Roman" w:hAnsi="Times New Roman" w:cs="Times New Roman"/>
          <w:sz w:val="28"/>
          <w:szCs w:val="28"/>
        </w:rPr>
        <w:t xml:space="preserve"> </w:t>
      </w:r>
      <w:r w:rsidRPr="006C1713">
        <w:rPr>
          <w:rFonts w:ascii="Times New Roman" w:hAnsi="Times New Roman" w:cs="Times New Roman"/>
          <w:sz w:val="28"/>
          <w:szCs w:val="28"/>
        </w:rPr>
        <w:t>conservazione o anche la fase di gestione dei dati?</w:t>
      </w:r>
      <w:r w:rsidRPr="006C1713">
        <w:rPr>
          <w:rFonts w:ascii="Times New Roman" w:hAnsi="Times New Roman" w:cs="Times New Roman"/>
          <w:b/>
          <w:bCs/>
          <w:sz w:val="28"/>
          <w:szCs w:val="28"/>
        </w:rPr>
        <w:t xml:space="preserve"> </w:t>
      </w:r>
    </w:p>
    <w:p w14:paraId="3262D373" w14:textId="361C78B1" w:rsidR="002315B9" w:rsidRPr="00D02B4E" w:rsidRDefault="002315B9" w:rsidP="00D02B4E">
      <w:pPr>
        <w:spacing w:after="0" w:line="240" w:lineRule="auto"/>
        <w:jc w:val="both"/>
        <w:rPr>
          <w:rFonts w:ascii="Times New Roman" w:hAnsi="Times New Roman" w:cs="Times New Roman"/>
          <w:sz w:val="28"/>
          <w:szCs w:val="28"/>
        </w:rPr>
      </w:pPr>
      <w:r w:rsidRPr="006C1713">
        <w:rPr>
          <w:rFonts w:ascii="Times New Roman" w:eastAsia="Times New Roman" w:hAnsi="Times New Roman" w:cs="Times New Roman"/>
          <w:sz w:val="28"/>
          <w:szCs w:val="28"/>
        </w:rPr>
        <w:t>Per cogliere gli</w:t>
      </w:r>
      <w:r w:rsidRPr="00794E7F">
        <w:rPr>
          <w:rFonts w:ascii="Times New Roman" w:eastAsia="Times New Roman" w:hAnsi="Times New Roman" w:cs="Times New Roman"/>
          <w:sz w:val="28"/>
          <w:szCs w:val="28"/>
        </w:rPr>
        <w:t xml:space="preserve"> aspetti problematici del rapporto tra interoperabilità e tutela dei dati personali, occorre chiarire il concetto di interoperabilità, strettamente connesso a quello di cooperazione applicativa. Le pubbliche amministrazioni, infatti, possono dialogare in via digitale non solo con i tradizionali mezzi di trasmissione telematica, ossia la posta elettronica e la posta elettronica certificata, ma anche tramite la cooperazione applicativa.</w:t>
      </w:r>
    </w:p>
    <w:p w14:paraId="1456B86C" w14:textId="77777777" w:rsidR="002315B9" w:rsidRPr="00794E7F" w:rsidRDefault="002315B9" w:rsidP="00D02B4E">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La cooperazione applicativa, ai sensi del CAD, è quella parte del sistema pubblico di connettività (di seguito anche “SPC”) finalizzata all’interazione tra i sistemi informatici delle pubbliche amministrazioni al fine di garantire l’integrazione dei metadati, delle informazioni e dei procedimenti amministrativi.</w:t>
      </w:r>
    </w:p>
    <w:p w14:paraId="4772AC59" w14:textId="77777777" w:rsidR="00D02B4E"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lastRenderedPageBreak/>
        <w:t>Il sistema pubblico di connettività</w:t>
      </w:r>
      <w:r w:rsidRPr="00794E7F">
        <w:rPr>
          <w:rFonts w:ascii="Times New Roman" w:eastAsia="Times New Roman" w:hAnsi="Times New Roman" w:cs="Times New Roman"/>
          <w:sz w:val="28"/>
          <w:szCs w:val="28"/>
          <w:vertAlign w:val="superscript"/>
        </w:rPr>
        <w:footnoteReference w:id="279"/>
      </w:r>
      <w:r w:rsidRPr="00794E7F">
        <w:rPr>
          <w:rFonts w:ascii="Times New Roman" w:eastAsia="Times New Roman" w:hAnsi="Times New Roman" w:cs="Times New Roman"/>
          <w:sz w:val="28"/>
          <w:szCs w:val="28"/>
        </w:rPr>
        <w:t xml:space="preserve"> costituisce l’infrastruttura telematica abilitante della pubblica amministrazione, definita anche la c</w:t>
      </w:r>
      <w:r w:rsidR="00D02B4E">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d. «</w:t>
      </w:r>
      <w:r w:rsidRPr="00D02B4E">
        <w:rPr>
          <w:rFonts w:ascii="Times New Roman" w:eastAsia="Times New Roman" w:hAnsi="Times New Roman" w:cs="Times New Roman"/>
          <w:i/>
          <w:iCs/>
          <w:sz w:val="28"/>
          <w:szCs w:val="28"/>
        </w:rPr>
        <w:t>autostrada del sole digitale</w:t>
      </w:r>
      <w:r w:rsidRPr="00794E7F">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vertAlign w:val="superscript"/>
        </w:rPr>
        <w:footnoteReference w:id="280"/>
      </w:r>
      <w:r w:rsidRPr="00794E7F">
        <w:rPr>
          <w:rFonts w:ascii="Times New Roman" w:eastAsia="Times New Roman" w:hAnsi="Times New Roman" w:cs="Times New Roman"/>
          <w:sz w:val="28"/>
          <w:szCs w:val="28"/>
        </w:rPr>
        <w:t>; è l’insieme di infrastrutture tecnologiche e di regole tecniche per lo sviluppo, la condivisione, l’integrazione e la diffusione del patrimonio informativo e dei dati dell’amministrazione pubblica, necessarie per assicurare l’interoperabilità di base ed evoluta e la cooperazione applicativa dei sistemi informatici</w:t>
      </w:r>
      <w:r w:rsidRPr="00794E7F">
        <w:rPr>
          <w:rFonts w:ascii="Times New Roman" w:eastAsia="Times New Roman" w:hAnsi="Times New Roman" w:cs="Times New Roman"/>
          <w:sz w:val="28"/>
          <w:szCs w:val="28"/>
          <w:vertAlign w:val="superscript"/>
        </w:rPr>
        <w:footnoteReference w:id="281"/>
      </w:r>
      <w:r w:rsidRPr="00794E7F">
        <w:rPr>
          <w:rFonts w:ascii="Times New Roman" w:eastAsia="Times New Roman" w:hAnsi="Times New Roman" w:cs="Times New Roman"/>
          <w:sz w:val="28"/>
          <w:szCs w:val="28"/>
        </w:rPr>
        <w:t xml:space="preserve"> e dei flussi informativi, garantendo la sicurezza, la riservatezza delle informazioni, nonché la salvaguardia e l’autonomia del patrimonio informativo di ciascuna amministrazione</w:t>
      </w:r>
      <w:r w:rsidRPr="00794E7F">
        <w:rPr>
          <w:rFonts w:ascii="Times New Roman" w:eastAsia="Times New Roman" w:hAnsi="Times New Roman" w:cs="Times New Roman"/>
          <w:sz w:val="28"/>
          <w:szCs w:val="28"/>
          <w:vertAlign w:val="superscript"/>
        </w:rPr>
        <w:footnoteReference w:id="282"/>
      </w:r>
      <w:r w:rsidRPr="00794E7F">
        <w:rPr>
          <w:rFonts w:ascii="Times New Roman" w:eastAsia="Times New Roman" w:hAnsi="Times New Roman" w:cs="Times New Roman"/>
          <w:sz w:val="28"/>
          <w:szCs w:val="28"/>
        </w:rPr>
        <w:t xml:space="preserve">. </w:t>
      </w:r>
      <w:r w:rsidR="00871650" w:rsidRPr="00794E7F">
        <w:rPr>
          <w:rFonts w:ascii="Times New Roman" w:eastAsia="Times New Roman" w:hAnsi="Times New Roman" w:cs="Times New Roman"/>
          <w:sz w:val="28"/>
          <w:szCs w:val="28"/>
        </w:rPr>
        <w:t>È</w:t>
      </w:r>
      <w:r w:rsidRPr="00794E7F">
        <w:rPr>
          <w:rFonts w:ascii="Times New Roman" w:eastAsia="Times New Roman" w:hAnsi="Times New Roman" w:cs="Times New Roman"/>
          <w:sz w:val="28"/>
          <w:szCs w:val="28"/>
        </w:rPr>
        <w:t xml:space="preserve"> il concetto della </w:t>
      </w:r>
      <w:r w:rsidRPr="00D02B4E">
        <w:rPr>
          <w:rFonts w:ascii="Times New Roman" w:eastAsia="Times New Roman" w:hAnsi="Times New Roman" w:cs="Times New Roman"/>
          <w:sz w:val="28"/>
          <w:szCs w:val="28"/>
        </w:rPr>
        <w:t>c</w:t>
      </w:r>
      <w:r w:rsidR="00D02B4E" w:rsidRPr="00D02B4E">
        <w:rPr>
          <w:rFonts w:ascii="Times New Roman" w:eastAsia="Times New Roman" w:hAnsi="Times New Roman" w:cs="Times New Roman"/>
          <w:sz w:val="28"/>
          <w:szCs w:val="28"/>
        </w:rPr>
        <w:t>.</w:t>
      </w:r>
      <w:r w:rsidRPr="00D02B4E">
        <w:rPr>
          <w:rFonts w:ascii="Times New Roman" w:eastAsia="Times New Roman" w:hAnsi="Times New Roman" w:cs="Times New Roman"/>
          <w:sz w:val="28"/>
          <w:szCs w:val="28"/>
        </w:rPr>
        <w:t>d. “</w:t>
      </w:r>
      <w:r w:rsidRPr="00794E7F">
        <w:rPr>
          <w:rFonts w:ascii="Times New Roman" w:eastAsia="Times New Roman" w:hAnsi="Times New Roman" w:cs="Times New Roman"/>
          <w:i/>
          <w:iCs/>
          <w:sz w:val="28"/>
          <w:szCs w:val="28"/>
        </w:rPr>
        <w:t>infrastruttura immateriale</w:t>
      </w:r>
      <w:r w:rsidRPr="00794E7F">
        <w:rPr>
          <w:rFonts w:ascii="Times New Roman" w:eastAsia="Times New Roman" w:hAnsi="Times New Roman" w:cs="Times New Roman"/>
          <w:sz w:val="28"/>
          <w:szCs w:val="28"/>
        </w:rPr>
        <w:t>” alla base dell’economia della conoscenza dei dati</w:t>
      </w:r>
      <w:r w:rsidRPr="00794E7F">
        <w:rPr>
          <w:rFonts w:ascii="Times New Roman" w:eastAsia="Times New Roman" w:hAnsi="Times New Roman" w:cs="Times New Roman"/>
          <w:i/>
          <w:iCs/>
          <w:sz w:val="28"/>
          <w:szCs w:val="28"/>
        </w:rPr>
        <w:t>.</w:t>
      </w:r>
      <w:r w:rsidRPr="00794E7F">
        <w:rPr>
          <w:rFonts w:ascii="Times New Roman" w:eastAsia="Times New Roman" w:hAnsi="Times New Roman" w:cs="Times New Roman"/>
          <w:sz w:val="28"/>
          <w:szCs w:val="28"/>
        </w:rPr>
        <w:t xml:space="preserve">  </w:t>
      </w:r>
    </w:p>
    <w:p w14:paraId="5DEDD250" w14:textId="5A396F32" w:rsidR="002315B9" w:rsidRPr="00794E7F" w:rsidRDefault="002315B9" w:rsidP="00794E7F">
      <w:pPr>
        <w:spacing w:after="0" w:line="240" w:lineRule="auto"/>
        <w:jc w:val="both"/>
        <w:rPr>
          <w:rFonts w:ascii="Times New Roman" w:eastAsia="Times New Roman" w:hAnsi="Times New Roman" w:cs="Times New Roman"/>
          <w:i/>
          <w:sz w:val="28"/>
          <w:szCs w:val="28"/>
        </w:rPr>
      </w:pPr>
      <w:r w:rsidRPr="00794E7F">
        <w:rPr>
          <w:rFonts w:ascii="Times New Roman" w:eastAsia="Times New Roman" w:hAnsi="Times New Roman" w:cs="Times New Roman"/>
          <w:sz w:val="28"/>
          <w:szCs w:val="28"/>
        </w:rPr>
        <w:t>L’art. 73 del Codice dell’Amministrazione Digitale, riguardo al Sistema Pubblico di Connettività, afferma che “</w:t>
      </w:r>
      <w:r w:rsidRPr="00794E7F">
        <w:rPr>
          <w:rFonts w:ascii="Times New Roman" w:eastAsia="Times New Roman" w:hAnsi="Times New Roman" w:cs="Times New Roman"/>
          <w:i/>
          <w:sz w:val="28"/>
          <w:szCs w:val="28"/>
        </w:rPr>
        <w:t>1. Nel rispetto dell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articolo 117, secondo comma, lettera r), della Costituzione, e nel rispetto dell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autonomia dell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organizzazione interna delle funzioni informative delle regioni e delle autonomie locali il presente Capo definisce e disciplina il Sistema pubblico di connettività e cooperazione (SPC), quale insieme di infrastrutture tecnologiche e di regole tecniche che assicura 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interoperabilità tra i sistemi informativi delle pubbliche amministrazioni, permette il coordinamento informativo e informatico dei dati tra le amministrazioni centrali, regionali e locali e tra queste e i sistemi dell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Unione europea ed è aperto all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adesione da parte dei gestori di servizi pubblici e dei soggetti privati.</w:t>
      </w:r>
    </w:p>
    <w:p w14:paraId="07AA210E" w14:textId="78DC09A9" w:rsidR="002315B9" w:rsidRPr="00794E7F" w:rsidRDefault="002315B9" w:rsidP="00794E7F">
      <w:pPr>
        <w:spacing w:after="0" w:line="240" w:lineRule="auto"/>
        <w:jc w:val="both"/>
        <w:rPr>
          <w:rFonts w:ascii="Times New Roman" w:eastAsia="Times New Roman" w:hAnsi="Times New Roman" w:cs="Times New Roman"/>
          <w:i/>
          <w:sz w:val="28"/>
          <w:szCs w:val="28"/>
          <w:u w:val="single"/>
        </w:rPr>
      </w:pPr>
      <w:r w:rsidRPr="00794E7F">
        <w:rPr>
          <w:rFonts w:ascii="Times New Roman" w:eastAsia="Times New Roman" w:hAnsi="Times New Roman" w:cs="Times New Roman"/>
          <w:i/>
          <w:sz w:val="28"/>
          <w:szCs w:val="28"/>
        </w:rPr>
        <w:t xml:space="preserve">2. </w:t>
      </w:r>
      <w:r w:rsidRPr="00794E7F">
        <w:rPr>
          <w:rFonts w:ascii="Times New Roman" w:eastAsia="Times New Roman" w:hAnsi="Times New Roman" w:cs="Times New Roman"/>
          <w:i/>
          <w:sz w:val="28"/>
          <w:szCs w:val="28"/>
          <w:u w:val="single"/>
        </w:rPr>
        <w:t>Il SPC garantisce la sicurezza e la riservatezza delle informazioni, nonché la salvaguardia e l</w:t>
      </w:r>
      <w:r w:rsidR="00D02B4E">
        <w:rPr>
          <w:rFonts w:ascii="Times New Roman" w:eastAsia="Times New Roman" w:hAnsi="Times New Roman" w:cs="Times New Roman"/>
          <w:i/>
          <w:sz w:val="28"/>
          <w:szCs w:val="28"/>
          <w:u w:val="single"/>
        </w:rPr>
        <w:t>’</w:t>
      </w:r>
      <w:r w:rsidRPr="00794E7F">
        <w:rPr>
          <w:rFonts w:ascii="Times New Roman" w:eastAsia="Times New Roman" w:hAnsi="Times New Roman" w:cs="Times New Roman"/>
          <w:i/>
          <w:sz w:val="28"/>
          <w:szCs w:val="28"/>
          <w:u w:val="single"/>
        </w:rPr>
        <w:t>autonomia del patrimonio informativo di ciascun soggetto aderente.</w:t>
      </w:r>
    </w:p>
    <w:p w14:paraId="24C2CF55" w14:textId="77777777" w:rsidR="002315B9" w:rsidRPr="00794E7F" w:rsidRDefault="002315B9" w:rsidP="00794E7F">
      <w:pPr>
        <w:spacing w:after="0" w:line="240" w:lineRule="auto"/>
        <w:jc w:val="both"/>
        <w:rPr>
          <w:rFonts w:ascii="Times New Roman" w:eastAsia="Times New Roman" w:hAnsi="Times New Roman" w:cs="Times New Roman"/>
          <w:i/>
          <w:sz w:val="28"/>
          <w:szCs w:val="28"/>
        </w:rPr>
      </w:pPr>
      <w:r w:rsidRPr="00794E7F">
        <w:rPr>
          <w:rFonts w:ascii="Times New Roman" w:eastAsia="Times New Roman" w:hAnsi="Times New Roman" w:cs="Times New Roman"/>
          <w:i/>
          <w:sz w:val="28"/>
          <w:szCs w:val="28"/>
        </w:rPr>
        <w:t>3. La realizzazione del SPC avviene nel rispetto dei seguenti principi:</w:t>
      </w:r>
    </w:p>
    <w:p w14:paraId="6098C106" w14:textId="4A9DFF68" w:rsidR="002315B9" w:rsidRPr="00794E7F" w:rsidRDefault="002315B9" w:rsidP="00794E7F">
      <w:pPr>
        <w:spacing w:after="0" w:line="240" w:lineRule="auto"/>
        <w:jc w:val="both"/>
        <w:rPr>
          <w:rFonts w:ascii="Times New Roman" w:eastAsia="Times New Roman" w:hAnsi="Times New Roman" w:cs="Times New Roman"/>
          <w:i/>
          <w:sz w:val="28"/>
          <w:szCs w:val="28"/>
        </w:rPr>
      </w:pPr>
      <w:r w:rsidRPr="00794E7F">
        <w:rPr>
          <w:rFonts w:ascii="Times New Roman" w:eastAsia="Times New Roman" w:hAnsi="Times New Roman" w:cs="Times New Roman"/>
          <w:i/>
          <w:sz w:val="28"/>
          <w:szCs w:val="28"/>
        </w:rPr>
        <w:t xml:space="preserve">a) sviluppo architetturale e organizzativo atto a garantire la </w:t>
      </w:r>
      <w:proofErr w:type="spellStart"/>
      <w:r w:rsidRPr="00794E7F">
        <w:rPr>
          <w:rFonts w:ascii="Times New Roman" w:eastAsia="Times New Roman" w:hAnsi="Times New Roman" w:cs="Times New Roman"/>
          <w:i/>
          <w:sz w:val="28"/>
          <w:szCs w:val="28"/>
        </w:rPr>
        <w:t>federabilità</w:t>
      </w:r>
      <w:proofErr w:type="spellEnd"/>
      <w:r w:rsidRPr="00794E7F">
        <w:rPr>
          <w:rFonts w:ascii="Times New Roman" w:eastAsia="Times New Roman" w:hAnsi="Times New Roman" w:cs="Times New Roman"/>
          <w:i/>
          <w:sz w:val="28"/>
          <w:szCs w:val="28"/>
        </w:rPr>
        <w:t xml:space="preserve"> dei sistemi; b) economicità nell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utilizzo dei servizi di rete, di interoperabilità e di supporto alla cooperazione applicativa; b-bis) aggiornamento continuo del sistema e aderenza alle migliori pratiche internazionali; c) sviluppo del mercato e della concorrenza nel settore delle tecnologie dell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informazione e della comunicazione.</w:t>
      </w:r>
    </w:p>
    <w:p w14:paraId="5F31F884" w14:textId="550E98EC" w:rsidR="002315B9" w:rsidRPr="00794E7F" w:rsidRDefault="002315B9" w:rsidP="00794E7F">
      <w:pPr>
        <w:spacing w:after="0" w:line="240" w:lineRule="auto"/>
        <w:jc w:val="both"/>
        <w:rPr>
          <w:rFonts w:ascii="Times New Roman" w:eastAsia="Times New Roman" w:hAnsi="Times New Roman" w:cs="Times New Roman"/>
          <w:b/>
          <w:i/>
          <w:color w:val="1155CC"/>
          <w:sz w:val="28"/>
          <w:szCs w:val="28"/>
          <w:u w:val="single"/>
        </w:rPr>
      </w:pPr>
      <w:r w:rsidRPr="00794E7F">
        <w:rPr>
          <w:rFonts w:ascii="Times New Roman" w:eastAsia="Times New Roman" w:hAnsi="Times New Roman" w:cs="Times New Roman"/>
          <w:i/>
          <w:sz w:val="28"/>
          <w:szCs w:val="28"/>
        </w:rPr>
        <w:lastRenderedPageBreak/>
        <w:t>3-bis. [Le regole tecniche del Sistema pubblico di connettività sono dettate ai sensi dell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articolo 71.]</w:t>
      </w:r>
      <w:r w:rsidRPr="00794E7F">
        <w:rPr>
          <w:rFonts w:ascii="Times New Roman" w:eastAsia="Times New Roman" w:hAnsi="Times New Roman" w:cs="Times New Roman"/>
          <w:i/>
          <w:sz w:val="28"/>
          <w:szCs w:val="28"/>
          <w:vertAlign w:val="superscript"/>
        </w:rPr>
        <w:footnoteReference w:id="283"/>
      </w:r>
    </w:p>
    <w:p w14:paraId="1B17CB07" w14:textId="77777777" w:rsidR="002315B9" w:rsidRPr="00794E7F" w:rsidRDefault="002315B9" w:rsidP="00794E7F">
      <w:pPr>
        <w:spacing w:after="0" w:line="240" w:lineRule="auto"/>
        <w:jc w:val="both"/>
        <w:rPr>
          <w:rFonts w:ascii="Times New Roman" w:eastAsia="Times New Roman" w:hAnsi="Times New Roman" w:cs="Times New Roman"/>
          <w:i/>
          <w:sz w:val="28"/>
          <w:szCs w:val="28"/>
        </w:rPr>
      </w:pPr>
      <w:r w:rsidRPr="00794E7F">
        <w:rPr>
          <w:rFonts w:ascii="Times New Roman" w:eastAsia="Times New Roman" w:hAnsi="Times New Roman" w:cs="Times New Roman"/>
          <w:i/>
          <w:sz w:val="28"/>
          <w:szCs w:val="28"/>
        </w:rPr>
        <w:t>3-ter. Il SPC è costituito da un insieme di elementi che comprendono:</w:t>
      </w:r>
    </w:p>
    <w:p w14:paraId="7AD494AB" w14:textId="677CCF3D" w:rsidR="002315B9" w:rsidRPr="00794E7F" w:rsidRDefault="002315B9" w:rsidP="00794E7F">
      <w:pPr>
        <w:spacing w:after="0" w:line="240" w:lineRule="auto"/>
        <w:jc w:val="both"/>
        <w:rPr>
          <w:rFonts w:ascii="Times New Roman" w:eastAsia="Times New Roman" w:hAnsi="Times New Roman" w:cs="Times New Roman"/>
          <w:i/>
          <w:sz w:val="28"/>
          <w:szCs w:val="28"/>
        </w:rPr>
      </w:pPr>
      <w:r w:rsidRPr="00794E7F">
        <w:rPr>
          <w:rFonts w:ascii="Times New Roman" w:eastAsia="Times New Roman" w:hAnsi="Times New Roman" w:cs="Times New Roman"/>
          <w:i/>
          <w:sz w:val="28"/>
          <w:szCs w:val="28"/>
        </w:rPr>
        <w:t>a) infrastrutture, architetture e interfacce tecnologiche; b) linee guida e regole per la cooperazione e 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interoperabilità; c) catalogo di servizi e applicazioni.</w:t>
      </w:r>
    </w:p>
    <w:p w14:paraId="48586F1D" w14:textId="2C67FB6A"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i/>
          <w:sz w:val="28"/>
          <w:szCs w:val="28"/>
        </w:rPr>
        <w:t>3-quater. Ai sensi dell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articolo 71 sono dettate le regole tecniche del Sistema pubblico di connettività e cooperazione, al fine di assicurarne: 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aggiornamento rispetto alla evoluzione della tecnologia; 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aderenza alle linee guida europee in materia di interoperabilità; l</w:t>
      </w:r>
      <w:r w:rsidR="00D02B4E">
        <w:rPr>
          <w:rFonts w:ascii="Times New Roman" w:eastAsia="Times New Roman" w:hAnsi="Times New Roman" w:cs="Times New Roman"/>
          <w:i/>
          <w:sz w:val="28"/>
          <w:szCs w:val="28"/>
        </w:rPr>
        <w:t>’</w:t>
      </w:r>
      <w:r w:rsidRPr="00794E7F">
        <w:rPr>
          <w:rFonts w:ascii="Times New Roman" w:eastAsia="Times New Roman" w:hAnsi="Times New Roman" w:cs="Times New Roman"/>
          <w:i/>
          <w:sz w:val="28"/>
          <w:szCs w:val="28"/>
        </w:rPr>
        <w:t>adeguatezza rispetto alle esigenze delle pubbliche amministrazioni e dei suoi utenti; la più efficace e semplice adozione da parte di tutti i soggetti, pubblici e privati, il rispetto di necessari livelli di sicurezza.</w:t>
      </w:r>
      <w:r w:rsidRPr="00794E7F">
        <w:rPr>
          <w:rFonts w:ascii="Times New Roman" w:eastAsia="Times New Roman" w:hAnsi="Times New Roman" w:cs="Times New Roman"/>
          <w:sz w:val="28"/>
          <w:szCs w:val="28"/>
        </w:rPr>
        <w:t>”.</w:t>
      </w:r>
    </w:p>
    <w:p w14:paraId="03AB8348" w14:textId="1CCD84E1"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Il SPC </w:t>
      </w:r>
      <w:r w:rsidR="00871650" w:rsidRPr="00794E7F">
        <w:rPr>
          <w:rFonts w:ascii="Times New Roman" w:eastAsia="Times New Roman" w:hAnsi="Times New Roman" w:cs="Times New Roman"/>
          <w:sz w:val="28"/>
          <w:szCs w:val="28"/>
        </w:rPr>
        <w:t>ha, quindi</w:t>
      </w:r>
      <w:r w:rsidRPr="00794E7F">
        <w:rPr>
          <w:rFonts w:ascii="Times New Roman" w:eastAsia="Times New Roman" w:hAnsi="Times New Roman" w:cs="Times New Roman"/>
          <w:sz w:val="28"/>
          <w:szCs w:val="28"/>
        </w:rPr>
        <w:t>, il compito di assicurare la sicurezza e il buon esito della trasmissione dei dati, esito garantito dai fornitori del servizio, che possono svolgere questa attività solo laddove in possesso di determinati requisiti di qualità e sicurezza. Non si tratta</w:t>
      </w:r>
      <w:r w:rsidR="00D02B4E">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 xml:space="preserve"> quindi</w:t>
      </w:r>
      <w:r w:rsidR="00D02B4E">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 xml:space="preserve"> solo ed esclusivamente di una rete tecnologica, ma della condizione abilitante per il corretto funzionamento dell’</w:t>
      </w:r>
      <w:r w:rsidRPr="00794E7F">
        <w:rPr>
          <w:rFonts w:ascii="Times New Roman" w:eastAsia="Times New Roman" w:hAnsi="Times New Roman" w:cs="Times New Roman"/>
          <w:i/>
          <w:iCs/>
          <w:sz w:val="28"/>
          <w:szCs w:val="28"/>
        </w:rPr>
        <w:t>e-</w:t>
      </w:r>
      <w:proofErr w:type="spellStart"/>
      <w:r w:rsidRPr="00794E7F">
        <w:rPr>
          <w:rFonts w:ascii="Times New Roman" w:eastAsia="Times New Roman" w:hAnsi="Times New Roman" w:cs="Times New Roman"/>
          <w:i/>
          <w:iCs/>
          <w:sz w:val="28"/>
          <w:szCs w:val="28"/>
        </w:rPr>
        <w:t>government</w:t>
      </w:r>
      <w:proofErr w:type="spellEnd"/>
      <w:r w:rsidRPr="00794E7F">
        <w:rPr>
          <w:rFonts w:ascii="Times New Roman" w:eastAsia="Times New Roman" w:hAnsi="Times New Roman" w:cs="Times New Roman"/>
          <w:sz w:val="28"/>
          <w:szCs w:val="28"/>
        </w:rPr>
        <w:t>, dal momento che influenza fortemente le scelte organizzative ed è volta a promuovere la collaborazione tra amministrazioni, finalità quest’ultima estremamente rilevante in un sistema pubblico articolato su molte istruzioni e livelli diversi</w:t>
      </w:r>
      <w:r w:rsidRPr="00794E7F">
        <w:rPr>
          <w:rFonts w:ascii="Times New Roman" w:eastAsia="Times New Roman" w:hAnsi="Times New Roman" w:cs="Times New Roman"/>
          <w:sz w:val="28"/>
          <w:szCs w:val="28"/>
          <w:vertAlign w:val="superscript"/>
        </w:rPr>
        <w:footnoteReference w:id="284"/>
      </w:r>
      <w:r w:rsidRPr="00794E7F">
        <w:rPr>
          <w:rFonts w:ascii="Times New Roman" w:eastAsia="Times New Roman" w:hAnsi="Times New Roman" w:cs="Times New Roman"/>
          <w:sz w:val="28"/>
          <w:szCs w:val="28"/>
        </w:rPr>
        <w:t>.</w:t>
      </w:r>
    </w:p>
    <w:p w14:paraId="65D8092A" w14:textId="194A3B37" w:rsidR="002315B9" w:rsidRPr="00794E7F" w:rsidRDefault="00871650"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È</w:t>
      </w:r>
      <w:r w:rsidR="002315B9" w:rsidRPr="00794E7F">
        <w:rPr>
          <w:rFonts w:ascii="Times New Roman" w:eastAsia="Times New Roman" w:hAnsi="Times New Roman" w:cs="Times New Roman"/>
          <w:sz w:val="28"/>
          <w:szCs w:val="28"/>
        </w:rPr>
        <w:t xml:space="preserve"> proprio la cooperazione applicativa ad entrare in gioco nella trasmissione e nello scambio di dati e informazioni tra amministrazioni: le comunicazioni telematiche, in tal caso, si atteggiano in modo molto diverso rispetto alla posta elettronica e alla posta elettronica certificata che, si può dire, riproducono a livello informatico rispettivamente il meccanismo della posta ordinaria e della raccomandata. Nella cooperazione applicativa la comunicazione avviene, invece, attraverso l’interfacciamento fra le porte di dominio</w:t>
      </w:r>
      <w:r w:rsidR="002315B9" w:rsidRPr="00794E7F">
        <w:rPr>
          <w:rFonts w:ascii="Times New Roman" w:eastAsia="Times New Roman" w:hAnsi="Times New Roman" w:cs="Times New Roman"/>
          <w:sz w:val="28"/>
          <w:szCs w:val="28"/>
          <w:vertAlign w:val="superscript"/>
        </w:rPr>
        <w:footnoteReference w:id="285"/>
      </w:r>
      <w:r w:rsidR="002315B9" w:rsidRPr="00794E7F">
        <w:rPr>
          <w:rFonts w:ascii="Times New Roman" w:eastAsia="Times New Roman" w:hAnsi="Times New Roman" w:cs="Times New Roman"/>
          <w:sz w:val="28"/>
          <w:szCs w:val="28"/>
        </w:rPr>
        <w:t xml:space="preserve"> delle amministrazioni pubbliche, in quanto si basa sulle capacità di esportare i propri servizi applicativi e di accedere ai servizi erogati da altre amministrazioni attraverso le porte di dominio, punto di contatto telematico fra </w:t>
      </w:r>
      <w:r w:rsidR="002315B9" w:rsidRPr="00794E7F">
        <w:rPr>
          <w:rFonts w:ascii="Times New Roman" w:eastAsia="Times New Roman" w:hAnsi="Times New Roman" w:cs="Times New Roman"/>
          <w:sz w:val="28"/>
          <w:szCs w:val="28"/>
        </w:rPr>
        <w:lastRenderedPageBreak/>
        <w:t>amministrazioni che gestiscono i messaggi in entrata e in uscita. Le porte di dominio devono rispondere a determinati standard e regole di comunicazione definite; ciò le distingue dai domini che sono invece l’insieme di risorse software, hardware e di comunicazione di una pubblica amministrazione, da intendersi come lo spazio di competenza di ciascuna amministrazione in relazione al proprio sistema informativo e informatico, che per questo possono conservare strutture autonome, dato che la funzione di adattamento è compiuta dalle porte di dominio</w:t>
      </w:r>
      <w:r w:rsidR="002315B9" w:rsidRPr="00794E7F">
        <w:rPr>
          <w:rFonts w:ascii="Times New Roman" w:eastAsia="Times New Roman" w:hAnsi="Times New Roman" w:cs="Times New Roman"/>
          <w:sz w:val="28"/>
          <w:szCs w:val="28"/>
          <w:vertAlign w:val="superscript"/>
        </w:rPr>
        <w:footnoteReference w:id="286"/>
      </w:r>
      <w:r w:rsidR="002315B9" w:rsidRPr="00794E7F">
        <w:rPr>
          <w:rFonts w:ascii="Times New Roman" w:eastAsia="Times New Roman" w:hAnsi="Times New Roman" w:cs="Times New Roman"/>
          <w:sz w:val="28"/>
          <w:szCs w:val="28"/>
        </w:rPr>
        <w:t>.</w:t>
      </w:r>
    </w:p>
    <w:p w14:paraId="2BE49050"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Di conseguenza, la cooperazione applicativa non si limita all’aspetto tecnologico, ma implica una vera e propria riorganizzazione e reingegnerizzazione dei processi all’interno delle pubbliche amministrazioni. Segna il passaggio concreto dall’informatizzazione alla vera e propria “digitalizzazione” in senso non solo formale, ma anche sostanziale nel rispetto del principio “</w:t>
      </w:r>
      <w:r w:rsidRPr="00794E7F">
        <w:rPr>
          <w:rFonts w:ascii="Times New Roman" w:eastAsia="Times New Roman" w:hAnsi="Times New Roman" w:cs="Times New Roman"/>
          <w:i/>
          <w:iCs/>
          <w:sz w:val="28"/>
          <w:szCs w:val="28"/>
        </w:rPr>
        <w:t xml:space="preserve">once </w:t>
      </w:r>
      <w:proofErr w:type="spellStart"/>
      <w:r w:rsidRPr="00794E7F">
        <w:rPr>
          <w:rFonts w:ascii="Times New Roman" w:eastAsia="Times New Roman" w:hAnsi="Times New Roman" w:cs="Times New Roman"/>
          <w:i/>
          <w:iCs/>
          <w:sz w:val="28"/>
          <w:szCs w:val="28"/>
        </w:rPr>
        <w:t>only</w:t>
      </w:r>
      <w:proofErr w:type="spellEnd"/>
      <w:r w:rsidRPr="00871650">
        <w:rPr>
          <w:rFonts w:ascii="Times New Roman" w:eastAsia="Times New Roman" w:hAnsi="Times New Roman" w:cs="Times New Roman"/>
          <w:sz w:val="28"/>
          <w:szCs w:val="28"/>
        </w:rPr>
        <w:t>”.</w:t>
      </w:r>
    </w:p>
    <w:p w14:paraId="446E43BE" w14:textId="78AC915B"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Sebbene l’importanza del meccanismo di cooperazione si colga primariamente sotto il profilo dello scambio di informazioni e delle comunicazioni che intercorrono tra soggetti pubblici, più in generale la cooperazione costituisce l’asse portante delle relazioni tra amministrazioni e, in quanto tale, dovrebbe essere favorita ed implementata al fine di garantire semplificazione, efficacia e sicurezza nell’ottica di una profonda evoluzione e modernizzazione dell’intero sistema pubblico</w:t>
      </w:r>
      <w:r w:rsidRPr="00794E7F">
        <w:rPr>
          <w:rFonts w:ascii="Times New Roman" w:eastAsia="Times New Roman" w:hAnsi="Times New Roman" w:cs="Times New Roman"/>
          <w:sz w:val="28"/>
          <w:szCs w:val="28"/>
          <w:vertAlign w:val="superscript"/>
        </w:rPr>
        <w:footnoteReference w:id="287"/>
      </w:r>
      <w:r w:rsidRPr="00794E7F">
        <w:rPr>
          <w:rFonts w:ascii="Times New Roman" w:eastAsia="Times New Roman" w:hAnsi="Times New Roman" w:cs="Times New Roman"/>
          <w:sz w:val="28"/>
          <w:szCs w:val="28"/>
        </w:rPr>
        <w:t>.</w:t>
      </w:r>
    </w:p>
    <w:p w14:paraId="05D47340" w14:textId="77777777" w:rsidR="00D02B4E" w:rsidRDefault="00D02B4E" w:rsidP="00794E7F">
      <w:pPr>
        <w:spacing w:after="0" w:line="240" w:lineRule="auto"/>
        <w:jc w:val="both"/>
        <w:rPr>
          <w:rFonts w:ascii="Times New Roman" w:eastAsia="Times New Roman" w:hAnsi="Times New Roman" w:cs="Times New Roman"/>
          <w:b/>
          <w:bCs/>
          <w:sz w:val="28"/>
          <w:szCs w:val="28"/>
        </w:rPr>
      </w:pPr>
    </w:p>
    <w:p w14:paraId="5DBA3E53" w14:textId="4FEDD585" w:rsidR="002315B9" w:rsidRPr="00794E7F" w:rsidRDefault="0074307B"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Il </w:t>
      </w:r>
      <w:r>
        <w:rPr>
          <w:rFonts w:ascii="Times New Roman" w:eastAsia="Times New Roman" w:hAnsi="Times New Roman" w:cs="Times New Roman"/>
          <w:sz w:val="28"/>
          <w:szCs w:val="28"/>
        </w:rPr>
        <w:t>c</w:t>
      </w:r>
      <w:r w:rsidRPr="00794E7F">
        <w:rPr>
          <w:rFonts w:ascii="Times New Roman" w:eastAsia="Times New Roman" w:hAnsi="Times New Roman" w:cs="Times New Roman"/>
          <w:sz w:val="28"/>
          <w:szCs w:val="28"/>
        </w:rPr>
        <w:t>omma 2 dell’art. 73 del CAD</w:t>
      </w:r>
      <w:r w:rsidR="002315B9" w:rsidRPr="00794E7F">
        <w:rPr>
          <w:rFonts w:ascii="Times New Roman" w:eastAsia="Times New Roman" w:hAnsi="Times New Roman" w:cs="Times New Roman"/>
          <w:sz w:val="28"/>
          <w:szCs w:val="28"/>
        </w:rPr>
        <w:t xml:space="preserve"> pone in rilievo la necessità che l’SPC garantisca “sicurezza” e “riservatezza” delle informazioni: la seconda è da intendere come direttamente – sebbene non unicamente – condizionata dalla prima: è del tutto evidente, difatti, che un sistema non sicuro è potenzialmente idoneo a pregiudicare anche la riservatezza delle informazioni trasmissibili e</w:t>
      </w:r>
      <w:r>
        <w:rPr>
          <w:rFonts w:ascii="Times New Roman" w:eastAsia="Times New Roman" w:hAnsi="Times New Roman" w:cs="Times New Roman"/>
          <w:sz w:val="28"/>
          <w:szCs w:val="28"/>
        </w:rPr>
        <w:t>d</w:t>
      </w:r>
      <w:r w:rsidR="002315B9" w:rsidRPr="00794E7F">
        <w:rPr>
          <w:rFonts w:ascii="Times New Roman" w:eastAsia="Times New Roman" w:hAnsi="Times New Roman" w:cs="Times New Roman"/>
          <w:sz w:val="28"/>
          <w:szCs w:val="28"/>
        </w:rPr>
        <w:t xml:space="preserve"> acquisibili per il suo tramite. Più precisamente, un sistema non sicuro potrebbe esporre al rischio di </w:t>
      </w:r>
      <w:r w:rsidR="002315B9" w:rsidRPr="00794E7F">
        <w:rPr>
          <w:rFonts w:ascii="Times New Roman" w:eastAsia="Times New Roman" w:hAnsi="Times New Roman" w:cs="Times New Roman"/>
          <w:i/>
          <w:sz w:val="28"/>
          <w:szCs w:val="28"/>
        </w:rPr>
        <w:t xml:space="preserve">data </w:t>
      </w:r>
      <w:proofErr w:type="spellStart"/>
      <w:r w:rsidR="002315B9" w:rsidRPr="00794E7F">
        <w:rPr>
          <w:rFonts w:ascii="Times New Roman" w:eastAsia="Times New Roman" w:hAnsi="Times New Roman" w:cs="Times New Roman"/>
          <w:i/>
          <w:sz w:val="28"/>
          <w:szCs w:val="28"/>
        </w:rPr>
        <w:t>breach</w:t>
      </w:r>
      <w:proofErr w:type="spellEnd"/>
      <w:r w:rsidR="002315B9" w:rsidRPr="00794E7F">
        <w:rPr>
          <w:rFonts w:ascii="Times New Roman" w:eastAsia="Times New Roman" w:hAnsi="Times New Roman" w:cs="Times New Roman"/>
          <w:sz w:val="28"/>
          <w:szCs w:val="28"/>
        </w:rPr>
        <w:t>, al verificarsi dei quali il Regolamento UE GDPR (n.</w:t>
      </w:r>
      <w:r w:rsidR="00871650">
        <w:rPr>
          <w:rFonts w:ascii="Times New Roman" w:eastAsia="Times New Roman" w:hAnsi="Times New Roman" w:cs="Times New Roman"/>
          <w:sz w:val="28"/>
          <w:szCs w:val="28"/>
        </w:rPr>
        <w:t xml:space="preserve"> </w:t>
      </w:r>
      <w:r w:rsidR="002315B9" w:rsidRPr="00794E7F">
        <w:rPr>
          <w:rFonts w:ascii="Times New Roman" w:eastAsia="Times New Roman" w:hAnsi="Times New Roman" w:cs="Times New Roman"/>
          <w:sz w:val="28"/>
          <w:szCs w:val="28"/>
        </w:rPr>
        <w:t xml:space="preserve">676/16) fa discendere l’obbligo di relativa comunicazione all’Autorità Garante Privacy e al ricorrere di determinati presupposti, anche agli interessati cui i dati si riferiscono, in entrambi i casi entro tempi assai ristretti. Senza trascurare l’evenienza di possibili richieste risarcitorie. Gli standard di sicurezza prescritti per l’SPC </w:t>
      </w:r>
      <w:r w:rsidR="00C54F2E">
        <w:rPr>
          <w:rFonts w:ascii="Times New Roman" w:eastAsia="Times New Roman" w:hAnsi="Times New Roman" w:cs="Times New Roman"/>
          <w:sz w:val="28"/>
          <w:szCs w:val="28"/>
        </w:rPr>
        <w:t>sono stati</w:t>
      </w:r>
      <w:r w:rsidR="002315B9" w:rsidRPr="00794E7F">
        <w:rPr>
          <w:rFonts w:ascii="Times New Roman" w:eastAsia="Times New Roman" w:hAnsi="Times New Roman" w:cs="Times New Roman"/>
          <w:sz w:val="28"/>
          <w:szCs w:val="28"/>
        </w:rPr>
        <w:t xml:space="preserve"> stabiliti, secondo quanto disposto dal comma 3-quater, dall’</w:t>
      </w:r>
      <w:proofErr w:type="spellStart"/>
      <w:r w:rsidR="002315B9" w:rsidRPr="00794E7F">
        <w:rPr>
          <w:rFonts w:ascii="Times New Roman" w:eastAsia="Times New Roman" w:hAnsi="Times New Roman" w:cs="Times New Roman"/>
          <w:sz w:val="28"/>
          <w:szCs w:val="28"/>
        </w:rPr>
        <w:t>AgID</w:t>
      </w:r>
      <w:proofErr w:type="spellEnd"/>
      <w:r w:rsidR="002315B9" w:rsidRPr="00794E7F">
        <w:rPr>
          <w:rFonts w:ascii="Times New Roman" w:eastAsia="Times New Roman" w:hAnsi="Times New Roman" w:cs="Times New Roman"/>
          <w:sz w:val="28"/>
          <w:szCs w:val="28"/>
        </w:rPr>
        <w:t>, attraverso lo strumento delle Linee Guida di cui all’art. 71 del CAD</w:t>
      </w:r>
      <w:r w:rsidR="00C54F2E">
        <w:rPr>
          <w:rStyle w:val="Rimandonotaapidipagina"/>
          <w:rFonts w:ascii="Times New Roman" w:eastAsia="Times New Roman" w:hAnsi="Times New Roman" w:cs="Times New Roman"/>
          <w:sz w:val="28"/>
          <w:szCs w:val="28"/>
        </w:rPr>
        <w:footnoteReference w:id="288"/>
      </w:r>
      <w:r w:rsidR="002315B9" w:rsidRPr="00794E7F">
        <w:rPr>
          <w:rFonts w:ascii="Times New Roman" w:eastAsia="Times New Roman" w:hAnsi="Times New Roman" w:cs="Times New Roman"/>
          <w:sz w:val="28"/>
          <w:szCs w:val="28"/>
        </w:rPr>
        <w:t>.</w:t>
      </w:r>
    </w:p>
    <w:p w14:paraId="4CF5D3AA" w14:textId="204A78B4"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lastRenderedPageBreak/>
        <w:t>Tale aspetto viene ribadito anche dal Consiglio di Stato</w:t>
      </w:r>
      <w:r w:rsidRPr="00794E7F">
        <w:rPr>
          <w:rFonts w:ascii="Times New Roman" w:eastAsia="Times New Roman" w:hAnsi="Times New Roman" w:cs="Times New Roman"/>
          <w:sz w:val="28"/>
          <w:szCs w:val="28"/>
          <w:vertAlign w:val="superscript"/>
        </w:rPr>
        <w:footnoteReference w:id="289"/>
      </w:r>
      <w:r w:rsidRPr="00794E7F">
        <w:rPr>
          <w:rFonts w:ascii="Times New Roman" w:eastAsia="Times New Roman" w:hAnsi="Times New Roman" w:cs="Times New Roman"/>
          <w:sz w:val="28"/>
          <w:szCs w:val="28"/>
        </w:rPr>
        <w:t xml:space="preserve"> che, con riferimento all’art.</w:t>
      </w:r>
      <w:r w:rsidR="00871650">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73, precisa che il SPC (Sistema Pubblico di Connettività) deve garantire la sicurezza e la riservatezza delle informazioni</w:t>
      </w:r>
      <w:r w:rsidR="0074307B">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 xml:space="preserve"> nonché la salvaguardia e l’autonomia del patrimonio informativo di ciascun soggetto aderente secondo le regole tecniche di cui all’art.71 del CAD.</w:t>
      </w:r>
    </w:p>
    <w:p w14:paraId="0DC5EE9D"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Con essa ed i relativi allegati, l’</w:t>
      </w:r>
      <w:proofErr w:type="spellStart"/>
      <w:r w:rsidRPr="00794E7F">
        <w:rPr>
          <w:rFonts w:ascii="Times New Roman" w:eastAsia="Times New Roman" w:hAnsi="Times New Roman" w:cs="Times New Roman"/>
          <w:sz w:val="28"/>
          <w:szCs w:val="28"/>
        </w:rPr>
        <w:t>AgID</w:t>
      </w:r>
      <w:proofErr w:type="spellEnd"/>
      <w:r w:rsidRPr="00794E7F">
        <w:rPr>
          <w:rFonts w:ascii="Times New Roman" w:eastAsia="Times New Roman" w:hAnsi="Times New Roman" w:cs="Times New Roman"/>
          <w:sz w:val="28"/>
          <w:szCs w:val="28"/>
        </w:rPr>
        <w:t xml:space="preserve"> ha definito la Linea di indirizzo sull’interoperabilità tecnica che tutte le Pubbliche Amministrazioni devono adottare al fine di garantire l’interoperabilità dei propri sistemi con quelli di altri soggetti e favorire l’implementazione complessiva del Sistema informativo della PA. In </w:t>
      </w:r>
      <w:r w:rsidRPr="00794E7F">
        <w:rPr>
          <w:rFonts w:ascii="Times New Roman" w:eastAsia="Times New Roman" w:hAnsi="Times New Roman" w:cs="Times New Roman"/>
          <w:sz w:val="28"/>
          <w:szCs w:val="28"/>
        </w:rPr>
        <w:lastRenderedPageBreak/>
        <w:t>particolare, circolare ed allegati si occupano di individuare le tecnologie e gli standard che le PPAA devono tenere in considerazione nella realizzazione dei propri sistemi informatici, al fine di permettere il coordinamento informatico dei dati tra le amministrazioni nonché tra i gestori di servizi pubblici e i soggetti privati e l’Unione Europea.</w:t>
      </w:r>
    </w:p>
    <w:p w14:paraId="7D5FA5F1"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L’Agenzia per l’Italia Digitale è, del resto, l’autorità responsabile delle attività di </w:t>
      </w:r>
      <w:proofErr w:type="spellStart"/>
      <w:r w:rsidRPr="00794E7F">
        <w:rPr>
          <w:rFonts w:ascii="Times New Roman" w:eastAsia="Times New Roman" w:hAnsi="Times New Roman" w:cs="Times New Roman"/>
          <w:i/>
          <w:iCs/>
          <w:sz w:val="28"/>
          <w:szCs w:val="28"/>
        </w:rPr>
        <w:t>governance</w:t>
      </w:r>
      <w:proofErr w:type="spellEnd"/>
      <w:r w:rsidRPr="00794E7F">
        <w:rPr>
          <w:rFonts w:ascii="Times New Roman" w:eastAsia="Times New Roman" w:hAnsi="Times New Roman" w:cs="Times New Roman"/>
          <w:sz w:val="28"/>
          <w:szCs w:val="28"/>
        </w:rPr>
        <w:t xml:space="preserve"> con l’obiettivo di definire, condividere e assicurare l’aggiornamento continuo dei seguenti aspetti: </w:t>
      </w:r>
    </w:p>
    <w:p w14:paraId="596E157F" w14:textId="77777777" w:rsidR="002315B9" w:rsidRPr="00794E7F" w:rsidRDefault="002315B9" w:rsidP="00794E7F">
      <w:pPr>
        <w:spacing w:after="0" w:line="240" w:lineRule="auto"/>
        <w:ind w:left="360"/>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l’insieme delle tecnologie che abilitano l’interoperabilità tra PA, cittadini e imprese;</w:t>
      </w:r>
    </w:p>
    <w:p w14:paraId="6F3B8838" w14:textId="77777777" w:rsidR="002315B9" w:rsidRPr="00794E7F" w:rsidRDefault="002315B9" w:rsidP="00794E7F">
      <w:pPr>
        <w:spacing w:after="0" w:line="240" w:lineRule="auto"/>
        <w:ind w:left="360"/>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 xml:space="preserve">i </w:t>
      </w:r>
      <w:r w:rsidRPr="0074307B">
        <w:rPr>
          <w:rFonts w:ascii="Times New Roman" w:eastAsia="Times New Roman" w:hAnsi="Times New Roman" w:cs="Times New Roman"/>
          <w:i/>
          <w:iCs/>
          <w:sz w:val="28"/>
          <w:szCs w:val="28"/>
        </w:rPr>
        <w:t>pattern</w:t>
      </w:r>
      <w:r w:rsidRPr="00794E7F">
        <w:rPr>
          <w:rFonts w:ascii="Times New Roman" w:eastAsia="Times New Roman" w:hAnsi="Times New Roman" w:cs="Times New Roman"/>
          <w:sz w:val="28"/>
          <w:szCs w:val="28"/>
        </w:rPr>
        <w:t xml:space="preserve"> di interoperabilità (interazione e sicurezza); </w:t>
      </w:r>
    </w:p>
    <w:p w14:paraId="59E5B970" w14:textId="77777777" w:rsidR="002315B9" w:rsidRPr="00794E7F" w:rsidRDefault="002315B9" w:rsidP="00794E7F">
      <w:pPr>
        <w:spacing w:after="0" w:line="240" w:lineRule="auto"/>
        <w:ind w:left="360"/>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 xml:space="preserve">i profili di interoperabilità. </w:t>
      </w:r>
    </w:p>
    <w:p w14:paraId="5D07E982" w14:textId="0B041A1C"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Tutte le amministrazioni devono, dunque, aderire agli standard tecnologici ed utilizzare </w:t>
      </w:r>
      <w:r w:rsidRPr="0074307B">
        <w:rPr>
          <w:rFonts w:ascii="Times New Roman" w:eastAsia="Times New Roman" w:hAnsi="Times New Roman" w:cs="Times New Roman"/>
          <w:i/>
          <w:iCs/>
          <w:sz w:val="28"/>
          <w:szCs w:val="28"/>
        </w:rPr>
        <w:t>pattern</w:t>
      </w:r>
      <w:r w:rsidRPr="00794E7F">
        <w:rPr>
          <w:rFonts w:ascii="Times New Roman" w:eastAsia="Times New Roman" w:hAnsi="Times New Roman" w:cs="Times New Roman"/>
          <w:sz w:val="28"/>
          <w:szCs w:val="28"/>
        </w:rPr>
        <w:t xml:space="preserve"> e profili del nuovo Modello di interoperabilità, che consentirà di definire ed esporre </w:t>
      </w:r>
      <w:r w:rsidRPr="00794E7F">
        <w:rPr>
          <w:rFonts w:ascii="Times New Roman" w:eastAsia="Times New Roman" w:hAnsi="Times New Roman" w:cs="Times New Roman"/>
          <w:i/>
          <w:iCs/>
          <w:sz w:val="28"/>
          <w:szCs w:val="28"/>
        </w:rPr>
        <w:t>Application Programming Interface</w:t>
      </w:r>
      <w:r w:rsidRPr="00794E7F">
        <w:rPr>
          <w:rFonts w:ascii="Times New Roman" w:eastAsia="Times New Roman" w:hAnsi="Times New Roman" w:cs="Times New Roman"/>
          <w:sz w:val="28"/>
          <w:szCs w:val="28"/>
        </w:rPr>
        <w:t xml:space="preserve"> (c</w:t>
      </w:r>
      <w:r w:rsidR="00871650">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d.</w:t>
      </w:r>
      <w:r w:rsidR="00871650">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API) conformi agli standard consolidati anche in ambito EU.  Le API realizzate in conformità con il nuovo Modello di Interoperabilità garantiscono in particolare:</w:t>
      </w:r>
    </w:p>
    <w:p w14:paraId="139608AE" w14:textId="77777777" w:rsidR="002315B9" w:rsidRPr="00794E7F" w:rsidRDefault="002315B9" w:rsidP="00794E7F">
      <w:pPr>
        <w:spacing w:after="0" w:line="240" w:lineRule="auto"/>
        <w:ind w:left="360"/>
        <w:jc w:val="both"/>
        <w:rPr>
          <w:rFonts w:ascii="Times New Roman" w:eastAsia="Times New Roman" w:hAnsi="Times New Roman" w:cs="Times New Roman"/>
          <w:i/>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tracciabilità delle diverse versioni delle API, allo scopo di consentire evoluzioni non distruttive (</w:t>
      </w:r>
      <w:proofErr w:type="spellStart"/>
      <w:r w:rsidRPr="00794E7F">
        <w:rPr>
          <w:rFonts w:ascii="Times New Roman" w:eastAsia="Times New Roman" w:hAnsi="Times New Roman" w:cs="Times New Roman"/>
          <w:i/>
          <w:sz w:val="28"/>
          <w:szCs w:val="28"/>
        </w:rPr>
        <w:t>versioning</w:t>
      </w:r>
      <w:proofErr w:type="spellEnd"/>
      <w:r w:rsidRPr="00794E7F">
        <w:rPr>
          <w:rFonts w:ascii="Times New Roman" w:eastAsia="Times New Roman" w:hAnsi="Times New Roman" w:cs="Times New Roman"/>
          <w:i/>
          <w:sz w:val="28"/>
          <w:szCs w:val="28"/>
        </w:rPr>
        <w:t>)</w:t>
      </w:r>
      <w:r w:rsidRPr="0074307B">
        <w:rPr>
          <w:rFonts w:ascii="Times New Roman" w:eastAsia="Times New Roman" w:hAnsi="Times New Roman" w:cs="Times New Roman"/>
          <w:iCs/>
          <w:sz w:val="28"/>
          <w:szCs w:val="28"/>
        </w:rPr>
        <w:t>;</w:t>
      </w:r>
    </w:p>
    <w:p w14:paraId="7DD7B6A0" w14:textId="77777777" w:rsidR="002315B9" w:rsidRPr="00794E7F" w:rsidRDefault="002315B9" w:rsidP="00794E7F">
      <w:pPr>
        <w:spacing w:after="0" w:line="240" w:lineRule="auto"/>
        <w:ind w:left="360"/>
        <w:jc w:val="both"/>
        <w:rPr>
          <w:rFonts w:ascii="Times New Roman" w:eastAsia="Times New Roman" w:hAnsi="Times New Roman" w:cs="Times New Roman"/>
          <w:i/>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documentazione coordinata con la versione delle API (</w:t>
      </w:r>
      <w:proofErr w:type="spellStart"/>
      <w:r w:rsidRPr="00794E7F">
        <w:rPr>
          <w:rFonts w:ascii="Times New Roman" w:eastAsia="Times New Roman" w:hAnsi="Times New Roman" w:cs="Times New Roman"/>
          <w:i/>
          <w:sz w:val="28"/>
          <w:szCs w:val="28"/>
        </w:rPr>
        <w:t>documentation</w:t>
      </w:r>
      <w:proofErr w:type="spellEnd"/>
      <w:r w:rsidRPr="00794E7F">
        <w:rPr>
          <w:rFonts w:ascii="Times New Roman" w:eastAsia="Times New Roman" w:hAnsi="Times New Roman" w:cs="Times New Roman"/>
          <w:i/>
          <w:sz w:val="28"/>
          <w:szCs w:val="28"/>
        </w:rPr>
        <w:t>)</w:t>
      </w:r>
      <w:r w:rsidRPr="0074307B">
        <w:rPr>
          <w:rFonts w:ascii="Times New Roman" w:eastAsia="Times New Roman" w:hAnsi="Times New Roman" w:cs="Times New Roman"/>
          <w:iCs/>
          <w:sz w:val="28"/>
          <w:szCs w:val="28"/>
        </w:rPr>
        <w:t>;</w:t>
      </w:r>
    </w:p>
    <w:p w14:paraId="578619E6" w14:textId="77777777" w:rsidR="002315B9" w:rsidRPr="00794E7F" w:rsidRDefault="002315B9" w:rsidP="00794E7F">
      <w:pPr>
        <w:spacing w:after="0" w:line="240" w:lineRule="auto"/>
        <w:ind w:left="360"/>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limitazioni di utilizzo collegate alle caratteristiche delle API stesse e della classe di utilizzatori (</w:t>
      </w:r>
      <w:proofErr w:type="spellStart"/>
      <w:r w:rsidRPr="00794E7F">
        <w:rPr>
          <w:rFonts w:ascii="Times New Roman" w:eastAsia="Times New Roman" w:hAnsi="Times New Roman" w:cs="Times New Roman"/>
          <w:i/>
          <w:sz w:val="28"/>
          <w:szCs w:val="28"/>
        </w:rPr>
        <w:t>throttling</w:t>
      </w:r>
      <w:proofErr w:type="spellEnd"/>
      <w:r w:rsidRPr="00794E7F">
        <w:rPr>
          <w:rFonts w:ascii="Times New Roman" w:eastAsia="Times New Roman" w:hAnsi="Times New Roman" w:cs="Times New Roman"/>
          <w:sz w:val="28"/>
          <w:szCs w:val="28"/>
        </w:rPr>
        <w:t>)</w:t>
      </w:r>
      <w:r w:rsidRPr="0074307B">
        <w:rPr>
          <w:rFonts w:ascii="Times New Roman" w:eastAsia="Times New Roman" w:hAnsi="Times New Roman" w:cs="Times New Roman"/>
          <w:sz w:val="28"/>
          <w:szCs w:val="28"/>
        </w:rPr>
        <w:t>;</w:t>
      </w:r>
    </w:p>
    <w:p w14:paraId="4E9C7D79" w14:textId="77777777" w:rsidR="002315B9" w:rsidRPr="00794E7F" w:rsidRDefault="002315B9" w:rsidP="00794E7F">
      <w:pPr>
        <w:spacing w:after="0" w:line="240" w:lineRule="auto"/>
        <w:ind w:left="360"/>
        <w:jc w:val="both"/>
        <w:rPr>
          <w:rFonts w:ascii="Times New Roman" w:eastAsia="Times New Roman" w:hAnsi="Times New Roman" w:cs="Times New Roman"/>
          <w:i/>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tracciabilità delle richieste ricevute e del loro esito (</w:t>
      </w:r>
      <w:proofErr w:type="spellStart"/>
      <w:r w:rsidRPr="00794E7F">
        <w:rPr>
          <w:rFonts w:ascii="Times New Roman" w:eastAsia="Times New Roman" w:hAnsi="Times New Roman" w:cs="Times New Roman"/>
          <w:i/>
          <w:sz w:val="28"/>
          <w:szCs w:val="28"/>
        </w:rPr>
        <w:t>logging</w:t>
      </w:r>
      <w:proofErr w:type="spellEnd"/>
      <w:r w:rsidRPr="00794E7F">
        <w:rPr>
          <w:rFonts w:ascii="Times New Roman" w:eastAsia="Times New Roman" w:hAnsi="Times New Roman" w:cs="Times New Roman"/>
          <w:i/>
          <w:sz w:val="28"/>
          <w:szCs w:val="28"/>
        </w:rPr>
        <w:t xml:space="preserve"> </w:t>
      </w:r>
      <w:r w:rsidRPr="0074307B">
        <w:rPr>
          <w:rFonts w:ascii="Times New Roman" w:eastAsia="Times New Roman" w:hAnsi="Times New Roman" w:cs="Times New Roman"/>
          <w:iCs/>
          <w:sz w:val="28"/>
          <w:szCs w:val="28"/>
        </w:rPr>
        <w:t>e</w:t>
      </w:r>
      <w:r w:rsidRPr="00794E7F">
        <w:rPr>
          <w:rFonts w:ascii="Times New Roman" w:eastAsia="Times New Roman" w:hAnsi="Times New Roman" w:cs="Times New Roman"/>
          <w:i/>
          <w:sz w:val="28"/>
          <w:szCs w:val="28"/>
        </w:rPr>
        <w:t xml:space="preserve"> </w:t>
      </w:r>
      <w:proofErr w:type="spellStart"/>
      <w:r w:rsidRPr="00794E7F">
        <w:rPr>
          <w:rFonts w:ascii="Times New Roman" w:eastAsia="Times New Roman" w:hAnsi="Times New Roman" w:cs="Times New Roman"/>
          <w:i/>
          <w:sz w:val="28"/>
          <w:szCs w:val="28"/>
        </w:rPr>
        <w:t>accounting</w:t>
      </w:r>
      <w:proofErr w:type="spellEnd"/>
      <w:r w:rsidRPr="00794E7F">
        <w:rPr>
          <w:rFonts w:ascii="Times New Roman" w:eastAsia="Times New Roman" w:hAnsi="Times New Roman" w:cs="Times New Roman"/>
          <w:i/>
          <w:sz w:val="28"/>
          <w:szCs w:val="28"/>
        </w:rPr>
        <w:t>)</w:t>
      </w:r>
      <w:r w:rsidRPr="0074307B">
        <w:rPr>
          <w:rFonts w:ascii="Times New Roman" w:eastAsia="Times New Roman" w:hAnsi="Times New Roman" w:cs="Times New Roman"/>
          <w:iCs/>
          <w:sz w:val="28"/>
          <w:szCs w:val="28"/>
        </w:rPr>
        <w:t>;</w:t>
      </w:r>
    </w:p>
    <w:p w14:paraId="64865A87" w14:textId="77777777" w:rsidR="002315B9" w:rsidRPr="00794E7F" w:rsidRDefault="002315B9" w:rsidP="00794E7F">
      <w:pPr>
        <w:spacing w:after="0" w:line="240" w:lineRule="auto"/>
        <w:ind w:left="360"/>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un adeguato livello di servizio in base alla tipologia del servizio fornito (SLA);</w:t>
      </w:r>
    </w:p>
    <w:p w14:paraId="114BE981" w14:textId="77777777" w:rsidR="002315B9" w:rsidRPr="00794E7F" w:rsidRDefault="002315B9" w:rsidP="00794E7F">
      <w:pPr>
        <w:spacing w:after="0" w:line="240" w:lineRule="auto"/>
        <w:ind w:left="360"/>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configurazione scalabile delle risorse.</w:t>
      </w:r>
    </w:p>
    <w:p w14:paraId="2849A207" w14:textId="12B1F6D5"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Il nuovo Modello di interoperabilità rappresenta un asse portante del Piano triennale per l</w:t>
      </w:r>
      <w:r w:rsidR="0074307B">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informatica nella PA 2020-2022.  Come stabilito nel Piano, l</w:t>
      </w:r>
      <w:r w:rsidR="0074307B">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Agenzia per l</w:t>
      </w:r>
      <w:r w:rsidR="0074307B">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Italia Digitale:</w:t>
      </w:r>
    </w:p>
    <w:p w14:paraId="2BD9A7CF" w14:textId="77777777" w:rsidR="002315B9" w:rsidRPr="00794E7F" w:rsidRDefault="002315B9" w:rsidP="00794E7F">
      <w:pPr>
        <w:spacing w:after="0" w:line="240" w:lineRule="auto"/>
        <w:ind w:left="360"/>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fornisce un catalogo delle API e dei servizi disponibili con una interfaccia di accesso unica;</w:t>
      </w:r>
    </w:p>
    <w:p w14:paraId="58076BB1" w14:textId="77777777" w:rsidR="002315B9" w:rsidRPr="00794E7F" w:rsidRDefault="002315B9" w:rsidP="00794E7F">
      <w:pPr>
        <w:spacing w:after="0" w:line="240" w:lineRule="auto"/>
        <w:ind w:left="360"/>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rende disponibili appositi strumenti di cooperazione per agevolare la risoluzione di problematiche relative alle API;</w:t>
      </w:r>
    </w:p>
    <w:p w14:paraId="2FBB47AF" w14:textId="77777777" w:rsidR="002315B9" w:rsidRPr="00794E7F" w:rsidRDefault="002315B9" w:rsidP="00794E7F">
      <w:pPr>
        <w:spacing w:after="0" w:line="240" w:lineRule="auto"/>
        <w:ind w:left="360"/>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stabilisce e pubblica le metriche di utilizzo delle API.</w:t>
      </w:r>
    </w:p>
    <w:p w14:paraId="3EB9CB02"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La Circolare n. 1 del 9 settembre 2020 aggiorna, altresì, il Sistema pubblico di cooperazione (</w:t>
      </w:r>
      <w:proofErr w:type="spellStart"/>
      <w:r w:rsidRPr="00794E7F">
        <w:rPr>
          <w:rFonts w:ascii="Times New Roman" w:eastAsia="Times New Roman" w:hAnsi="Times New Roman" w:cs="Times New Roman"/>
          <w:sz w:val="28"/>
          <w:szCs w:val="28"/>
        </w:rPr>
        <w:t>SPCoop</w:t>
      </w:r>
      <w:proofErr w:type="spellEnd"/>
      <w:r w:rsidRPr="00794E7F">
        <w:rPr>
          <w:rFonts w:ascii="Times New Roman" w:eastAsia="Times New Roman" w:hAnsi="Times New Roman" w:cs="Times New Roman"/>
          <w:sz w:val="28"/>
          <w:szCs w:val="28"/>
        </w:rPr>
        <w:t xml:space="preserve">) proseguendo nel processo di aggiornamento avviato con la determinazione </w:t>
      </w:r>
      <w:proofErr w:type="spellStart"/>
      <w:r w:rsidRPr="00794E7F">
        <w:rPr>
          <w:rFonts w:ascii="Times New Roman" w:eastAsia="Times New Roman" w:hAnsi="Times New Roman" w:cs="Times New Roman"/>
          <w:sz w:val="28"/>
          <w:szCs w:val="28"/>
        </w:rPr>
        <w:t>AgID</w:t>
      </w:r>
      <w:proofErr w:type="spellEnd"/>
      <w:r w:rsidRPr="00794E7F">
        <w:rPr>
          <w:rFonts w:ascii="Times New Roman" w:eastAsia="Times New Roman" w:hAnsi="Times New Roman" w:cs="Times New Roman"/>
          <w:sz w:val="28"/>
          <w:szCs w:val="28"/>
        </w:rPr>
        <w:t xml:space="preserve"> 219/2017. </w:t>
      </w:r>
    </w:p>
    <w:p w14:paraId="78ADDBAC"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La messa in opera delle regole di interoperabilità, di integrazione e cooperazione per lo scambio di informazioni e l’erogazione di servizi nella PA è un percorso che parte da lontano, ma presenta ancora molte criticità.</w:t>
      </w:r>
    </w:p>
    <w:p w14:paraId="40D14E6B"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Il tema dell’interoperabilità per lo scambio di informazioni e l’erogazione di servizi nella Pubblica Amministrazione rappresenta, infatti, un tema tra i più importanti per lo sviluppo del digitale nella PA insieme alla gestione dell’identità digitale anche in chiave anagrafica e di sicurezza dei dati e dei sistemi.</w:t>
      </w:r>
    </w:p>
    <w:p w14:paraId="38BA3F4E"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lastRenderedPageBreak/>
        <w:t>Non è un caso che nell’ultima versione del “</w:t>
      </w:r>
      <w:proofErr w:type="spellStart"/>
      <w:r w:rsidRPr="00871650">
        <w:rPr>
          <w:rFonts w:ascii="Times New Roman" w:eastAsia="Times New Roman" w:hAnsi="Times New Roman" w:cs="Times New Roman"/>
          <w:i/>
          <w:iCs/>
          <w:sz w:val="28"/>
          <w:szCs w:val="28"/>
        </w:rPr>
        <w:t>Recovery</w:t>
      </w:r>
      <w:proofErr w:type="spellEnd"/>
      <w:r w:rsidRPr="00871650">
        <w:rPr>
          <w:rFonts w:ascii="Times New Roman" w:eastAsia="Times New Roman" w:hAnsi="Times New Roman" w:cs="Times New Roman"/>
          <w:i/>
          <w:iCs/>
          <w:sz w:val="28"/>
          <w:szCs w:val="28"/>
        </w:rPr>
        <w:t xml:space="preserve"> Plan</w:t>
      </w:r>
      <w:r w:rsidRPr="00794E7F">
        <w:rPr>
          <w:rFonts w:ascii="Times New Roman" w:eastAsia="Times New Roman" w:hAnsi="Times New Roman" w:cs="Times New Roman"/>
          <w:sz w:val="28"/>
          <w:szCs w:val="28"/>
        </w:rPr>
        <w:t>” si citi, tra gli obiettivi di “</w:t>
      </w:r>
      <w:r w:rsidRPr="00794E7F">
        <w:rPr>
          <w:rFonts w:ascii="Times New Roman" w:eastAsia="Times New Roman" w:hAnsi="Times New Roman" w:cs="Times New Roman"/>
          <w:i/>
          <w:sz w:val="28"/>
          <w:szCs w:val="28"/>
        </w:rPr>
        <w:t>digitalizzazione, innovazione, competitività e cultura</w:t>
      </w:r>
      <w:r w:rsidRPr="00794E7F">
        <w:rPr>
          <w:rFonts w:ascii="Times New Roman" w:eastAsia="Times New Roman" w:hAnsi="Times New Roman" w:cs="Times New Roman"/>
          <w:sz w:val="28"/>
          <w:szCs w:val="28"/>
        </w:rPr>
        <w:t>”, l’implementazione dell’interoperabilità nella Pubblica Amministrazione, con uno sguardo costante ai dati personali</w:t>
      </w:r>
      <w:r w:rsidRPr="00794E7F">
        <w:rPr>
          <w:rFonts w:ascii="Times New Roman" w:eastAsia="Times New Roman" w:hAnsi="Times New Roman" w:cs="Times New Roman"/>
          <w:sz w:val="28"/>
          <w:szCs w:val="28"/>
          <w:vertAlign w:val="superscript"/>
        </w:rPr>
        <w:footnoteReference w:id="290"/>
      </w:r>
      <w:r w:rsidRPr="00794E7F">
        <w:rPr>
          <w:rFonts w:ascii="Times New Roman" w:eastAsia="Times New Roman" w:hAnsi="Times New Roman" w:cs="Times New Roman"/>
          <w:sz w:val="28"/>
          <w:szCs w:val="28"/>
        </w:rPr>
        <w:t>.</w:t>
      </w:r>
    </w:p>
    <w:p w14:paraId="5C1B6468" w14:textId="4D6CADD2"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Non solo. Nel decreto cd. Semplificazioni</w:t>
      </w:r>
      <w:r w:rsidRPr="00794E7F">
        <w:rPr>
          <w:rFonts w:ascii="Times New Roman" w:eastAsia="Times New Roman" w:hAnsi="Times New Roman" w:cs="Times New Roman"/>
          <w:sz w:val="28"/>
          <w:szCs w:val="28"/>
          <w:vertAlign w:val="superscript"/>
        </w:rPr>
        <w:footnoteReference w:id="291"/>
      </w:r>
      <w:r w:rsidRPr="00794E7F">
        <w:rPr>
          <w:rFonts w:ascii="Times New Roman" w:eastAsia="Times New Roman" w:hAnsi="Times New Roman" w:cs="Times New Roman"/>
          <w:sz w:val="28"/>
          <w:szCs w:val="28"/>
        </w:rPr>
        <w:t>, gli art</w:t>
      </w:r>
      <w:r w:rsidR="0074307B">
        <w:rPr>
          <w:rFonts w:ascii="Times New Roman" w:eastAsia="Times New Roman" w:hAnsi="Times New Roman" w:cs="Times New Roman"/>
          <w:sz w:val="28"/>
          <w:szCs w:val="28"/>
        </w:rPr>
        <w:t>t</w:t>
      </w:r>
      <w:r w:rsidRPr="00794E7F">
        <w:rPr>
          <w:rFonts w:ascii="Times New Roman" w:eastAsia="Times New Roman" w:hAnsi="Times New Roman" w:cs="Times New Roman"/>
          <w:sz w:val="28"/>
          <w:szCs w:val="28"/>
        </w:rPr>
        <w:t xml:space="preserve">. 24 e 25 prevedono una valorizzazione dei sistemi di identificazione digitale </w:t>
      </w:r>
      <w:proofErr w:type="spellStart"/>
      <w:r w:rsidRPr="00794E7F">
        <w:rPr>
          <w:rFonts w:ascii="Times New Roman" w:eastAsia="Times New Roman" w:hAnsi="Times New Roman" w:cs="Times New Roman"/>
          <w:sz w:val="28"/>
          <w:szCs w:val="28"/>
        </w:rPr>
        <w:t>Spid</w:t>
      </w:r>
      <w:proofErr w:type="spellEnd"/>
      <w:r w:rsidRPr="00794E7F">
        <w:rPr>
          <w:rFonts w:ascii="Times New Roman" w:eastAsia="Times New Roman" w:hAnsi="Times New Roman" w:cs="Times New Roman"/>
          <w:sz w:val="28"/>
          <w:szCs w:val="28"/>
        </w:rPr>
        <w:t xml:space="preserve"> e </w:t>
      </w:r>
      <w:proofErr w:type="spellStart"/>
      <w:r w:rsidRPr="00794E7F">
        <w:rPr>
          <w:rFonts w:ascii="Times New Roman" w:eastAsia="Times New Roman" w:hAnsi="Times New Roman" w:cs="Times New Roman"/>
          <w:sz w:val="28"/>
          <w:szCs w:val="28"/>
        </w:rPr>
        <w:t>Cie</w:t>
      </w:r>
      <w:proofErr w:type="spellEnd"/>
      <w:r w:rsidRPr="00794E7F">
        <w:rPr>
          <w:rFonts w:ascii="Times New Roman" w:eastAsia="Times New Roman" w:hAnsi="Times New Roman" w:cs="Times New Roman"/>
          <w:sz w:val="28"/>
          <w:szCs w:val="28"/>
        </w:rPr>
        <w:t xml:space="preserve"> per l</w:t>
      </w:r>
      <w:r w:rsidR="0074307B">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 xml:space="preserve">accesso ai servizi </w:t>
      </w:r>
      <w:r w:rsidRPr="00794E7F">
        <w:rPr>
          <w:rFonts w:ascii="Times New Roman" w:eastAsia="Times New Roman" w:hAnsi="Times New Roman" w:cs="Times New Roman"/>
          <w:i/>
          <w:iCs/>
          <w:sz w:val="28"/>
          <w:szCs w:val="28"/>
        </w:rPr>
        <w:t>on line</w:t>
      </w:r>
      <w:r w:rsidRPr="00794E7F">
        <w:rPr>
          <w:rFonts w:ascii="Times New Roman" w:eastAsia="Times New Roman" w:hAnsi="Times New Roman" w:cs="Times New Roman"/>
          <w:sz w:val="28"/>
          <w:szCs w:val="28"/>
        </w:rPr>
        <w:t>, rafforzando il concetto di identità digitale anche attraverso il “</w:t>
      </w:r>
      <w:r w:rsidRPr="00794E7F">
        <w:rPr>
          <w:rFonts w:ascii="Times New Roman" w:eastAsia="Times New Roman" w:hAnsi="Times New Roman" w:cs="Times New Roman"/>
          <w:i/>
          <w:sz w:val="28"/>
          <w:szCs w:val="28"/>
        </w:rPr>
        <w:t>punto di accesso telematico previsto dall’art.</w:t>
      </w:r>
      <w:r w:rsidR="00871650">
        <w:rPr>
          <w:rFonts w:ascii="Times New Roman" w:eastAsia="Times New Roman" w:hAnsi="Times New Roman" w:cs="Times New Roman"/>
          <w:i/>
          <w:sz w:val="28"/>
          <w:szCs w:val="28"/>
        </w:rPr>
        <w:t xml:space="preserve"> </w:t>
      </w:r>
      <w:r w:rsidRPr="00794E7F">
        <w:rPr>
          <w:rFonts w:ascii="Times New Roman" w:eastAsia="Times New Roman" w:hAnsi="Times New Roman" w:cs="Times New Roman"/>
          <w:i/>
          <w:sz w:val="28"/>
          <w:szCs w:val="28"/>
        </w:rPr>
        <w:t>64-bis</w:t>
      </w:r>
      <w:r w:rsidRPr="00794E7F">
        <w:rPr>
          <w:rFonts w:ascii="Times New Roman" w:eastAsia="Times New Roman" w:hAnsi="Times New Roman" w:cs="Times New Roman"/>
          <w:sz w:val="28"/>
          <w:szCs w:val="28"/>
        </w:rPr>
        <w:t xml:space="preserve">”, ossia l’applicazione per </w:t>
      </w:r>
      <w:proofErr w:type="spellStart"/>
      <w:r w:rsidRPr="00871650">
        <w:rPr>
          <w:rFonts w:ascii="Times New Roman" w:eastAsia="Times New Roman" w:hAnsi="Times New Roman" w:cs="Times New Roman"/>
          <w:i/>
          <w:iCs/>
          <w:sz w:val="28"/>
          <w:szCs w:val="28"/>
        </w:rPr>
        <w:t>smartphone</w:t>
      </w:r>
      <w:proofErr w:type="spellEnd"/>
      <w:r w:rsidRPr="00794E7F">
        <w:rPr>
          <w:rFonts w:ascii="Times New Roman" w:eastAsia="Times New Roman" w:hAnsi="Times New Roman" w:cs="Times New Roman"/>
          <w:sz w:val="28"/>
          <w:szCs w:val="28"/>
        </w:rPr>
        <w:t xml:space="preserve"> IO, la piattaforma unica per tutte le Pubbliche amministrazioni integrata con le piattaforme abilitanti come </w:t>
      </w:r>
      <w:proofErr w:type="spellStart"/>
      <w:r w:rsidRPr="00794E7F">
        <w:rPr>
          <w:rFonts w:ascii="Times New Roman" w:eastAsia="Times New Roman" w:hAnsi="Times New Roman" w:cs="Times New Roman"/>
          <w:sz w:val="28"/>
          <w:szCs w:val="28"/>
        </w:rPr>
        <w:t>pagoPA</w:t>
      </w:r>
      <w:proofErr w:type="spellEnd"/>
      <w:r w:rsidRPr="00794E7F">
        <w:rPr>
          <w:rFonts w:ascii="Times New Roman" w:eastAsia="Times New Roman" w:hAnsi="Times New Roman" w:cs="Times New Roman"/>
          <w:sz w:val="28"/>
          <w:szCs w:val="28"/>
        </w:rPr>
        <w:t xml:space="preserve">, </w:t>
      </w:r>
      <w:proofErr w:type="spellStart"/>
      <w:r w:rsidRPr="00794E7F">
        <w:rPr>
          <w:rFonts w:ascii="Times New Roman" w:eastAsia="Times New Roman" w:hAnsi="Times New Roman" w:cs="Times New Roman"/>
          <w:sz w:val="28"/>
          <w:szCs w:val="28"/>
        </w:rPr>
        <w:t>Spid</w:t>
      </w:r>
      <w:proofErr w:type="spellEnd"/>
      <w:r w:rsidRPr="00794E7F">
        <w:rPr>
          <w:rFonts w:ascii="Times New Roman" w:eastAsia="Times New Roman" w:hAnsi="Times New Roman" w:cs="Times New Roman"/>
          <w:sz w:val="28"/>
          <w:szCs w:val="28"/>
        </w:rPr>
        <w:t xml:space="preserve"> e </w:t>
      </w:r>
      <w:proofErr w:type="spellStart"/>
      <w:r w:rsidRPr="00794E7F">
        <w:rPr>
          <w:rFonts w:ascii="Times New Roman" w:eastAsia="Times New Roman" w:hAnsi="Times New Roman" w:cs="Times New Roman"/>
          <w:sz w:val="28"/>
          <w:szCs w:val="28"/>
        </w:rPr>
        <w:t>Cie</w:t>
      </w:r>
      <w:proofErr w:type="spellEnd"/>
      <w:r w:rsidRPr="00794E7F">
        <w:rPr>
          <w:rFonts w:ascii="Times New Roman" w:eastAsia="Times New Roman" w:hAnsi="Times New Roman" w:cs="Times New Roman"/>
          <w:sz w:val="28"/>
          <w:szCs w:val="28"/>
        </w:rPr>
        <w:t>. Allo stesso modo, l’art. 26 prevede una piattaforma unica per la notificazione digitale degli atti della Pubblica Amministrazione, e il comma 15 dell’art. 26 prevede un’articolata procedura da adottarsi con uno o più DPCM, sentito il Ministero dell</w:t>
      </w:r>
      <w:r w:rsidR="00D634A8">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 xml:space="preserve">Economia e il Garante per la Privacy, nel termine ordinatorio di 120 giorni dalla data di entrata in vigore del decreto con cui vengano stabilite le regole tecniche, l’infrastruttura tecnologia e le modalità di inserimento degli atti, nonché il piano test per la verifica del corretto funzionamento. Ultimato il test, con atto del Capo della competente struttura presso la Presidenza del </w:t>
      </w:r>
      <w:proofErr w:type="gramStart"/>
      <w:r w:rsidRPr="00794E7F">
        <w:rPr>
          <w:rFonts w:ascii="Times New Roman" w:eastAsia="Times New Roman" w:hAnsi="Times New Roman" w:cs="Times New Roman"/>
          <w:sz w:val="28"/>
          <w:szCs w:val="28"/>
        </w:rPr>
        <w:t>Consiglio dei Ministri</w:t>
      </w:r>
      <w:proofErr w:type="gramEnd"/>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i/>
          <w:sz w:val="28"/>
          <w:szCs w:val="28"/>
        </w:rPr>
        <w:t>è fissato il termine a decorrere dal quale le amministrazioni possono aderire alla piattaforma</w:t>
      </w:r>
      <w:r w:rsidRPr="00794E7F">
        <w:rPr>
          <w:rFonts w:ascii="Times New Roman" w:eastAsia="Times New Roman" w:hAnsi="Times New Roman" w:cs="Times New Roman"/>
          <w:sz w:val="28"/>
          <w:szCs w:val="28"/>
        </w:rPr>
        <w:t>”. Anche per l’elenco dei domicili digitali il comma 3-bis dell’art.</w:t>
      </w:r>
      <w:r w:rsidR="00D634A8">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 xml:space="preserve">3-bis prevede che sia un DPCM, sentito </w:t>
      </w:r>
      <w:proofErr w:type="spellStart"/>
      <w:r w:rsidRPr="00794E7F">
        <w:rPr>
          <w:rFonts w:ascii="Times New Roman" w:eastAsia="Times New Roman" w:hAnsi="Times New Roman" w:cs="Times New Roman"/>
          <w:sz w:val="28"/>
          <w:szCs w:val="28"/>
        </w:rPr>
        <w:t>Agid</w:t>
      </w:r>
      <w:proofErr w:type="spellEnd"/>
      <w:r w:rsidRPr="00794E7F">
        <w:rPr>
          <w:rFonts w:ascii="Times New Roman" w:eastAsia="Times New Roman" w:hAnsi="Times New Roman" w:cs="Times New Roman"/>
          <w:sz w:val="28"/>
          <w:szCs w:val="28"/>
        </w:rPr>
        <w:t>, il Garante per la Privacy e la Conferenza unificata, a fissare la data in cui le comunicazioni tra i soggetti non digitale e la PA avvenga “</w:t>
      </w:r>
      <w:r w:rsidRPr="00794E7F">
        <w:rPr>
          <w:rFonts w:ascii="Times New Roman" w:eastAsia="Times New Roman" w:hAnsi="Times New Roman" w:cs="Times New Roman"/>
          <w:i/>
          <w:sz w:val="28"/>
          <w:szCs w:val="28"/>
        </w:rPr>
        <w:t>esclusivamente in forma elettronica</w:t>
      </w:r>
      <w:r w:rsidRPr="00794E7F">
        <w:rPr>
          <w:rFonts w:ascii="Times New Roman" w:eastAsia="Times New Roman" w:hAnsi="Times New Roman" w:cs="Times New Roman"/>
          <w:sz w:val="28"/>
          <w:szCs w:val="28"/>
        </w:rPr>
        <w:t xml:space="preserve">”, mettendosi a disposizione di tali </w:t>
      </w:r>
      <w:r w:rsidRPr="00794E7F">
        <w:rPr>
          <w:rFonts w:ascii="Times New Roman" w:eastAsia="Times New Roman" w:hAnsi="Times New Roman" w:cs="Times New Roman"/>
          <w:sz w:val="28"/>
          <w:szCs w:val="28"/>
        </w:rPr>
        <w:lastRenderedPageBreak/>
        <w:t xml:space="preserve">soggetti un domicilio digitale o altre modalità per superare il </w:t>
      </w:r>
      <w:r w:rsidRPr="00794E7F">
        <w:rPr>
          <w:rFonts w:ascii="Times New Roman" w:eastAsia="Times New Roman" w:hAnsi="Times New Roman" w:cs="Times New Roman"/>
          <w:i/>
          <w:iCs/>
          <w:sz w:val="28"/>
          <w:szCs w:val="28"/>
        </w:rPr>
        <w:t>Digital divide</w:t>
      </w:r>
      <w:r w:rsidRPr="00794E7F">
        <w:rPr>
          <w:rFonts w:ascii="Times New Roman" w:eastAsia="Times New Roman" w:hAnsi="Times New Roman" w:cs="Times New Roman"/>
          <w:sz w:val="28"/>
          <w:szCs w:val="28"/>
        </w:rPr>
        <w:t xml:space="preserve">. Occorre precisare che più recentemente il Ministro per l’Innovazione tecnologica e la transizione digitale </w:t>
      </w:r>
      <w:proofErr w:type="spellStart"/>
      <w:r w:rsidRPr="00794E7F">
        <w:rPr>
          <w:rFonts w:ascii="Times New Roman" w:eastAsia="Times New Roman" w:hAnsi="Times New Roman" w:cs="Times New Roman"/>
          <w:sz w:val="28"/>
          <w:szCs w:val="28"/>
        </w:rPr>
        <w:t>Colao</w:t>
      </w:r>
      <w:proofErr w:type="spellEnd"/>
      <w:r w:rsidRPr="00794E7F">
        <w:rPr>
          <w:rFonts w:ascii="Times New Roman" w:eastAsia="Times New Roman" w:hAnsi="Times New Roman" w:cs="Times New Roman"/>
          <w:sz w:val="28"/>
          <w:szCs w:val="28"/>
        </w:rPr>
        <w:t xml:space="preserve"> ha annunciato il progetto di realizzazione di una Rete Unica Digitale entro il 2026 con la necessità di un’unificazione dello </w:t>
      </w:r>
      <w:proofErr w:type="spellStart"/>
      <w:r w:rsidRPr="00794E7F">
        <w:rPr>
          <w:rFonts w:ascii="Times New Roman" w:eastAsia="Times New Roman" w:hAnsi="Times New Roman" w:cs="Times New Roman"/>
          <w:sz w:val="28"/>
          <w:szCs w:val="28"/>
        </w:rPr>
        <w:t>Spid</w:t>
      </w:r>
      <w:proofErr w:type="spellEnd"/>
      <w:r w:rsidRPr="00794E7F">
        <w:rPr>
          <w:rFonts w:ascii="Times New Roman" w:eastAsia="Times New Roman" w:hAnsi="Times New Roman" w:cs="Times New Roman"/>
          <w:sz w:val="28"/>
          <w:szCs w:val="28"/>
        </w:rPr>
        <w:t xml:space="preserve"> con la carta di identità elettronica. La tutela dei dati personali verrà a realizzarsi, anche in questo caso, con il rispetto delle procedure standardizzate contenute nelle Linee Guida </w:t>
      </w:r>
      <w:proofErr w:type="spellStart"/>
      <w:r w:rsidRPr="00794E7F">
        <w:rPr>
          <w:rFonts w:ascii="Times New Roman" w:eastAsia="Times New Roman" w:hAnsi="Times New Roman" w:cs="Times New Roman"/>
          <w:sz w:val="28"/>
          <w:szCs w:val="28"/>
        </w:rPr>
        <w:t>Agid</w:t>
      </w:r>
      <w:proofErr w:type="spellEnd"/>
      <w:r w:rsidRPr="00794E7F">
        <w:rPr>
          <w:rFonts w:ascii="Times New Roman" w:eastAsia="Times New Roman" w:hAnsi="Times New Roman" w:cs="Times New Roman"/>
          <w:sz w:val="28"/>
          <w:szCs w:val="28"/>
        </w:rPr>
        <w:t xml:space="preserve"> da aggiornarsi con l’evoluzione continua dei protocolli informatici grazie anche all’apporto tecnico di un apposito Dipartimento, il Dipartimento per la trasformazione digitale, struttura di supporto al Ministro per l’innovazione e la transizione digitale per la promozione il coordinamento delle azioni Governo finalizzate alla definizione di una strategia unitaria in materia di trasformazione digitale e di modernizzazione del Paese</w:t>
      </w:r>
      <w:r w:rsidR="0063116A" w:rsidRPr="00794E7F">
        <w:rPr>
          <w:rFonts w:ascii="Times New Roman" w:eastAsia="Times New Roman" w:hAnsi="Times New Roman" w:cs="Times New Roman"/>
          <w:sz w:val="28"/>
          <w:szCs w:val="28"/>
        </w:rPr>
        <w:t>.</w:t>
      </w:r>
    </w:p>
    <w:p w14:paraId="21E7D827"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p>
    <w:p w14:paraId="3206F763" w14:textId="77777777" w:rsidR="003D7996"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Un campo in cui la tutela dei dati personali viene messa maggiormente in discussione è quello della tecnologia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vertAlign w:val="superscript"/>
        </w:rPr>
        <w:footnoteReference w:id="292"/>
      </w:r>
      <w:r w:rsidRPr="00794E7F">
        <w:rPr>
          <w:rFonts w:ascii="Times New Roman" w:eastAsia="Times New Roman" w:hAnsi="Times New Roman" w:cs="Times New Roman"/>
          <w:sz w:val="28"/>
          <w:szCs w:val="28"/>
        </w:rPr>
        <w:t xml:space="preserve"> che si sta applicando in vari settori dell’agire pubblico, sanitario, appalti, transazioni. Tale tecnologia si scontra con i due principi Cardini del GDPR</w:t>
      </w:r>
      <w:r w:rsidRPr="00794E7F">
        <w:rPr>
          <w:rFonts w:ascii="Times New Roman" w:eastAsia="Times New Roman" w:hAnsi="Times New Roman" w:cs="Times New Roman"/>
          <w:sz w:val="28"/>
          <w:szCs w:val="28"/>
          <w:vertAlign w:val="superscript"/>
        </w:rPr>
        <w:footnoteReference w:id="293"/>
      </w:r>
      <w:r w:rsidRPr="00794E7F">
        <w:rPr>
          <w:rFonts w:ascii="Times New Roman" w:eastAsia="Times New Roman" w:hAnsi="Times New Roman" w:cs="Times New Roman"/>
          <w:sz w:val="28"/>
          <w:szCs w:val="28"/>
        </w:rPr>
        <w:t xml:space="preserve">: i dati inseriti nelle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sono pubblici ed accessibili da chiunque partecipi alla catena e i dati presenti nelle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sono conservati illimitatamente. </w:t>
      </w:r>
    </w:p>
    <w:p w14:paraId="48431D43" w14:textId="60F1A9AB"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Le parole chiave del GDPR, ossia centralizzazione, limitazione e rimovibilità, si pongono in contrasto con la tecnologia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basata su decentralizzazione, distribuzione e immutabilità. La tutela del dato personale risiede sempre in un </w:t>
      </w:r>
      <w:proofErr w:type="spellStart"/>
      <w:r w:rsidRPr="00871650">
        <w:rPr>
          <w:rFonts w:ascii="Times New Roman" w:eastAsia="Times New Roman" w:hAnsi="Times New Roman" w:cs="Times New Roman"/>
          <w:i/>
          <w:iCs/>
          <w:sz w:val="28"/>
          <w:szCs w:val="28"/>
        </w:rPr>
        <w:t>hash</w:t>
      </w:r>
      <w:proofErr w:type="spellEnd"/>
      <w:r w:rsidRPr="00794E7F">
        <w:rPr>
          <w:rFonts w:ascii="Times New Roman" w:eastAsia="Times New Roman" w:hAnsi="Times New Roman" w:cs="Times New Roman"/>
          <w:sz w:val="28"/>
          <w:szCs w:val="28"/>
        </w:rPr>
        <w:t xml:space="preserve"> crittografato</w:t>
      </w:r>
      <w:r w:rsidRPr="00794E7F">
        <w:rPr>
          <w:rFonts w:ascii="Times New Roman" w:eastAsia="Times New Roman" w:hAnsi="Times New Roman" w:cs="Times New Roman"/>
          <w:sz w:val="28"/>
          <w:szCs w:val="28"/>
          <w:vertAlign w:val="superscript"/>
        </w:rPr>
        <w:footnoteReference w:id="294"/>
      </w:r>
      <w:r w:rsidRPr="00794E7F">
        <w:rPr>
          <w:rFonts w:ascii="Times New Roman" w:eastAsia="Times New Roman" w:hAnsi="Times New Roman" w:cs="Times New Roman"/>
          <w:sz w:val="28"/>
          <w:szCs w:val="28"/>
        </w:rPr>
        <w:t xml:space="preserve"> e nella </w:t>
      </w:r>
      <w:proofErr w:type="spellStart"/>
      <w:r w:rsidRPr="00794E7F">
        <w:rPr>
          <w:rFonts w:ascii="Times New Roman" w:eastAsia="Times New Roman" w:hAnsi="Times New Roman" w:cs="Times New Roman"/>
          <w:sz w:val="28"/>
          <w:szCs w:val="28"/>
        </w:rPr>
        <w:t>anomizzazione</w:t>
      </w:r>
      <w:proofErr w:type="spellEnd"/>
      <w:r w:rsidRPr="00794E7F">
        <w:rPr>
          <w:rFonts w:ascii="Times New Roman" w:eastAsia="Times New Roman" w:hAnsi="Times New Roman" w:cs="Times New Roman"/>
          <w:sz w:val="28"/>
          <w:szCs w:val="28"/>
        </w:rPr>
        <w:t xml:space="preserve"> dei soggetti coinvolti.</w:t>
      </w:r>
    </w:p>
    <w:p w14:paraId="51C67F9C" w14:textId="260C471A"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I servizi di gestione dei dati e l</w:t>
      </w:r>
      <w:r w:rsidR="00D634A8">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architettura dei dati, progettati per conservare, utilizzare, riutilizzare e organizzare i dati, sono componenti decisivi della catena del valore dell</w:t>
      </w:r>
      <w:r w:rsidR="00D634A8">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economia digitale europea</w:t>
      </w:r>
      <w:r w:rsidRPr="00794E7F">
        <w:rPr>
          <w:rFonts w:ascii="Times New Roman" w:eastAsia="Times New Roman" w:hAnsi="Times New Roman" w:cs="Times New Roman"/>
          <w:sz w:val="28"/>
          <w:szCs w:val="28"/>
          <w:vertAlign w:val="superscript"/>
        </w:rPr>
        <w:footnoteReference w:id="295"/>
      </w:r>
      <w:r w:rsidRPr="00794E7F">
        <w:rPr>
          <w:rFonts w:ascii="Times New Roman" w:eastAsia="Times New Roman" w:hAnsi="Times New Roman" w:cs="Times New Roman"/>
          <w:sz w:val="28"/>
          <w:szCs w:val="28"/>
        </w:rPr>
        <w:t>. Per questo motivo, si pone l’attenzione sui costi e sulle competenze inerenti all</w:t>
      </w:r>
      <w:r w:rsidR="00D634A8">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accesso e alla conservazione dei dati, che determinano la velocità, la profondità e la portata dell</w:t>
      </w:r>
      <w:r w:rsidR="00D634A8">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 xml:space="preserve">adozione di infrastrutture e prodotti digitali, in particolare per le PMI e le </w:t>
      </w:r>
      <w:r w:rsidRPr="00871650">
        <w:rPr>
          <w:rFonts w:ascii="Times New Roman" w:eastAsia="Times New Roman" w:hAnsi="Times New Roman" w:cs="Times New Roman"/>
          <w:i/>
          <w:iCs/>
          <w:sz w:val="28"/>
          <w:szCs w:val="28"/>
        </w:rPr>
        <w:t>start-up</w:t>
      </w:r>
      <w:r w:rsidRPr="00794E7F">
        <w:rPr>
          <w:rFonts w:ascii="Times New Roman" w:eastAsia="Times New Roman" w:hAnsi="Times New Roman" w:cs="Times New Roman"/>
          <w:sz w:val="28"/>
          <w:szCs w:val="28"/>
          <w:vertAlign w:val="superscript"/>
        </w:rPr>
        <w:footnoteReference w:id="296"/>
      </w:r>
      <w:r w:rsidRPr="00794E7F">
        <w:rPr>
          <w:rFonts w:ascii="Times New Roman" w:eastAsia="Times New Roman" w:hAnsi="Times New Roman" w:cs="Times New Roman"/>
          <w:sz w:val="28"/>
          <w:szCs w:val="28"/>
        </w:rPr>
        <w:t>.</w:t>
      </w:r>
    </w:p>
    <w:p w14:paraId="471A6F92"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lastRenderedPageBreak/>
        <w:t>Negli ultimi anni, infatti, si sono sviluppati tanto gli ecosistemi tecnologici</w:t>
      </w:r>
      <w:r w:rsidRPr="00794E7F">
        <w:rPr>
          <w:rFonts w:ascii="Times New Roman" w:eastAsia="Times New Roman" w:hAnsi="Times New Roman" w:cs="Times New Roman"/>
          <w:sz w:val="28"/>
          <w:szCs w:val="28"/>
          <w:vertAlign w:val="superscript"/>
        </w:rPr>
        <w:footnoteReference w:id="297"/>
      </w:r>
      <w:r w:rsidRPr="00794E7F">
        <w:rPr>
          <w:rFonts w:ascii="Times New Roman" w:eastAsia="Times New Roman" w:hAnsi="Times New Roman" w:cs="Times New Roman"/>
          <w:sz w:val="28"/>
          <w:szCs w:val="28"/>
        </w:rPr>
        <w:t xml:space="preserve"> basati e sviluppati sul web, quanto, di conseguenza, i relativi problemi in ambito di sicurezza e trattamento dei dati, non solo delle aziende o dei professionisti, ma di tutti gli utenti in generale.</w:t>
      </w:r>
    </w:p>
    <w:p w14:paraId="5C36FD18" w14:textId="5DFE0429" w:rsidR="002315B9" w:rsidRPr="00794E7F" w:rsidRDefault="00871650"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È</w:t>
      </w:r>
      <w:r w:rsidR="002315B9" w:rsidRPr="00794E7F">
        <w:rPr>
          <w:rFonts w:ascii="Times New Roman" w:eastAsia="Times New Roman" w:hAnsi="Times New Roman" w:cs="Times New Roman"/>
          <w:sz w:val="28"/>
          <w:szCs w:val="28"/>
        </w:rPr>
        <w:t xml:space="preserve"> chiaro che qualsiasi strumento, se usato in modo improprio, può causare danni, più o meno gravi. Spesso, quindi, non è tanto lo strumento in </w:t>
      </w:r>
      <w:r w:rsidRPr="00794E7F">
        <w:rPr>
          <w:rFonts w:ascii="Times New Roman" w:eastAsia="Times New Roman" w:hAnsi="Times New Roman" w:cs="Times New Roman"/>
          <w:sz w:val="28"/>
          <w:szCs w:val="28"/>
        </w:rPr>
        <w:t>sé</w:t>
      </w:r>
      <w:r w:rsidR="002315B9" w:rsidRPr="00794E7F">
        <w:rPr>
          <w:rFonts w:ascii="Times New Roman" w:eastAsia="Times New Roman" w:hAnsi="Times New Roman" w:cs="Times New Roman"/>
          <w:sz w:val="28"/>
          <w:szCs w:val="28"/>
        </w:rPr>
        <w:t xml:space="preserve"> ad essere la causa del danno, bensì le modalità attraverso cui viene utilizzato, il che vale anche per gli strumenti più semplici. Tali problematiche investono naturalmente anche l’utilizzo della </w:t>
      </w:r>
      <w:proofErr w:type="spellStart"/>
      <w:r w:rsidR="002315B9" w:rsidRPr="00871650">
        <w:rPr>
          <w:rFonts w:ascii="Times New Roman" w:eastAsia="Times New Roman" w:hAnsi="Times New Roman" w:cs="Times New Roman"/>
          <w:i/>
          <w:iCs/>
          <w:sz w:val="28"/>
          <w:szCs w:val="28"/>
        </w:rPr>
        <w:t>Blockchain</w:t>
      </w:r>
      <w:proofErr w:type="spellEnd"/>
      <w:r w:rsidR="002315B9" w:rsidRPr="00794E7F">
        <w:rPr>
          <w:rFonts w:ascii="Times New Roman" w:eastAsia="Times New Roman" w:hAnsi="Times New Roman" w:cs="Times New Roman"/>
          <w:sz w:val="28"/>
          <w:szCs w:val="28"/>
        </w:rPr>
        <w:t>.</w:t>
      </w:r>
    </w:p>
    <w:p w14:paraId="44985F61"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Molto spesso si è inclini a collocare la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nell’ambito dei </w:t>
      </w:r>
      <w:proofErr w:type="spellStart"/>
      <w:r w:rsidRPr="00871650">
        <w:rPr>
          <w:rFonts w:ascii="Times New Roman" w:eastAsia="Times New Roman" w:hAnsi="Times New Roman" w:cs="Times New Roman"/>
          <w:i/>
          <w:iCs/>
          <w:sz w:val="28"/>
          <w:szCs w:val="28"/>
        </w:rPr>
        <w:t>Bitcoin</w:t>
      </w:r>
      <w:proofErr w:type="spellEnd"/>
      <w:r w:rsidRPr="00794E7F">
        <w:rPr>
          <w:rFonts w:ascii="Times New Roman" w:eastAsia="Times New Roman" w:hAnsi="Times New Roman" w:cs="Times New Roman"/>
          <w:sz w:val="28"/>
          <w:szCs w:val="28"/>
        </w:rPr>
        <w:t xml:space="preserve">, delle </w:t>
      </w:r>
      <w:proofErr w:type="spellStart"/>
      <w:r w:rsidRPr="00794E7F">
        <w:rPr>
          <w:rFonts w:ascii="Times New Roman" w:eastAsia="Times New Roman" w:hAnsi="Times New Roman" w:cs="Times New Roman"/>
          <w:sz w:val="28"/>
          <w:szCs w:val="28"/>
        </w:rPr>
        <w:t>criptovalute</w:t>
      </w:r>
      <w:proofErr w:type="spellEnd"/>
      <w:r w:rsidRPr="00794E7F">
        <w:rPr>
          <w:rFonts w:ascii="Times New Roman" w:eastAsia="Times New Roman" w:hAnsi="Times New Roman" w:cs="Times New Roman"/>
          <w:sz w:val="28"/>
          <w:szCs w:val="28"/>
        </w:rPr>
        <w:t xml:space="preserve"> o delle transazioni finanziarie; ma la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può dare risposte assolutamente innovative anche sul piano della creazione di un sistema di relazioni interamente basato su un nuovo concetto di fiducia. In questo caso, occorre trovare uno strumento di disintermediazione, che permetta di dare un indirizzo di vita quotidiana per creare </w:t>
      </w:r>
      <w:proofErr w:type="spellStart"/>
      <w:r w:rsidRPr="00794E7F">
        <w:rPr>
          <w:rFonts w:ascii="Times New Roman" w:eastAsia="Times New Roman" w:hAnsi="Times New Roman" w:cs="Times New Roman"/>
          <w:sz w:val="28"/>
          <w:szCs w:val="28"/>
        </w:rPr>
        <w:t>ecosostenibilità</w:t>
      </w:r>
      <w:proofErr w:type="spellEnd"/>
      <w:r w:rsidRPr="00794E7F">
        <w:rPr>
          <w:rFonts w:ascii="Times New Roman" w:eastAsia="Times New Roman" w:hAnsi="Times New Roman" w:cs="Times New Roman"/>
          <w:sz w:val="28"/>
          <w:szCs w:val="28"/>
        </w:rPr>
        <w:t xml:space="preserve"> e benessere attraverso il digitale. Il che tradotto significa che la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nella PA può e deve apportare dei benefici al cittadino e non la sola funzionalità</w:t>
      </w:r>
      <w:r w:rsidRPr="00794E7F">
        <w:rPr>
          <w:rFonts w:ascii="Times New Roman" w:eastAsia="Times New Roman" w:hAnsi="Times New Roman" w:cs="Times New Roman"/>
          <w:sz w:val="28"/>
          <w:szCs w:val="28"/>
          <w:vertAlign w:val="superscript"/>
        </w:rPr>
        <w:footnoteReference w:id="298"/>
      </w:r>
      <w:r w:rsidRPr="00794E7F">
        <w:rPr>
          <w:rFonts w:ascii="Times New Roman" w:eastAsia="Times New Roman" w:hAnsi="Times New Roman" w:cs="Times New Roman"/>
          <w:sz w:val="28"/>
          <w:szCs w:val="28"/>
        </w:rPr>
        <w:t>.</w:t>
      </w:r>
    </w:p>
    <w:p w14:paraId="248FE807"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La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di per sé è lo strumento che, se usato in modo inappropriato, può portare ad incorrere in situazioni contrarie alle normative nazionali e/o sovranazionali approvate a tutela del diritto alla riservatezza del cittadino. Il caso lampante è quello del trattamento dei dati personali</w:t>
      </w:r>
      <w:r w:rsidRPr="00794E7F">
        <w:rPr>
          <w:rFonts w:ascii="Times New Roman" w:eastAsia="Times New Roman" w:hAnsi="Times New Roman" w:cs="Times New Roman"/>
          <w:sz w:val="28"/>
          <w:szCs w:val="28"/>
          <w:vertAlign w:val="superscript"/>
        </w:rPr>
        <w:footnoteReference w:id="299"/>
      </w:r>
      <w:r w:rsidRPr="00794E7F">
        <w:rPr>
          <w:rFonts w:ascii="Times New Roman" w:eastAsia="Times New Roman" w:hAnsi="Times New Roman" w:cs="Times New Roman"/>
          <w:sz w:val="28"/>
          <w:szCs w:val="28"/>
        </w:rPr>
        <w:t>.</w:t>
      </w:r>
    </w:p>
    <w:p w14:paraId="3FC51B93" w14:textId="53288053"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In merito all’adeguamento della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al Regolamento UE 2016/679, lo scoglio apparentemente insormontabile è garantire i diritti dell’interessato, disciplinati al capo III, negli artt. 12</w:t>
      </w:r>
      <w:r w:rsidR="00CA47B9">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23 del Regolamento in oggetto.</w:t>
      </w:r>
    </w:p>
    <w:p w14:paraId="07BFB7BD" w14:textId="39A39453"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In particolar modo</w:t>
      </w:r>
      <w:r w:rsidR="00CA47B9">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 xml:space="preserve"> la peculiarità intrinseca della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della non modificabilità e cancellazione risulta essere in forte contrasto con il più noto (per il clamore datogli post GDPR) “diritto all’oblio” sancito nell’art. 17 del GDPR.</w:t>
      </w:r>
    </w:p>
    <w:p w14:paraId="60F87F43"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Secondo lo studio condotto dalla “</w:t>
      </w:r>
      <w:r w:rsidRPr="00871650">
        <w:rPr>
          <w:rFonts w:ascii="Times New Roman" w:eastAsia="Times New Roman" w:hAnsi="Times New Roman" w:cs="Times New Roman"/>
          <w:i/>
          <w:iCs/>
          <w:sz w:val="28"/>
          <w:szCs w:val="28"/>
        </w:rPr>
        <w:t xml:space="preserve">Queen Mary </w:t>
      </w:r>
      <w:proofErr w:type="spellStart"/>
      <w:r w:rsidRPr="00871650">
        <w:rPr>
          <w:rFonts w:ascii="Times New Roman" w:eastAsia="Times New Roman" w:hAnsi="Times New Roman" w:cs="Times New Roman"/>
          <w:i/>
          <w:iCs/>
          <w:sz w:val="28"/>
          <w:szCs w:val="28"/>
        </w:rPr>
        <w:t>University</w:t>
      </w:r>
      <w:proofErr w:type="spellEnd"/>
      <w:r w:rsidRPr="00794E7F">
        <w:rPr>
          <w:rFonts w:ascii="Times New Roman" w:eastAsia="Times New Roman" w:hAnsi="Times New Roman" w:cs="Times New Roman"/>
          <w:sz w:val="28"/>
          <w:szCs w:val="28"/>
        </w:rPr>
        <w:t xml:space="preserve">” di Londra, sarebbe ipotizzabile una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w:t>
      </w:r>
      <w:proofErr w:type="spellStart"/>
      <w:r w:rsidRPr="00871650">
        <w:rPr>
          <w:rFonts w:ascii="Times New Roman" w:eastAsia="Times New Roman" w:hAnsi="Times New Roman" w:cs="Times New Roman"/>
          <w:i/>
          <w:iCs/>
          <w:sz w:val="28"/>
          <w:szCs w:val="28"/>
        </w:rPr>
        <w:t>compliance</w:t>
      </w:r>
      <w:proofErr w:type="spellEnd"/>
      <w:r w:rsidRPr="00794E7F">
        <w:rPr>
          <w:rFonts w:ascii="Times New Roman" w:eastAsia="Times New Roman" w:hAnsi="Times New Roman" w:cs="Times New Roman"/>
          <w:sz w:val="28"/>
          <w:szCs w:val="28"/>
        </w:rPr>
        <w:t xml:space="preserve"> al GDPR mediante la crittografia dei dati personali e la successiva eliminazione delle corrispettive chiavi </w:t>
      </w:r>
      <w:proofErr w:type="spellStart"/>
      <w:r w:rsidRPr="00794E7F">
        <w:rPr>
          <w:rFonts w:ascii="Times New Roman" w:eastAsia="Times New Roman" w:hAnsi="Times New Roman" w:cs="Times New Roman"/>
          <w:sz w:val="28"/>
          <w:szCs w:val="28"/>
        </w:rPr>
        <w:t>decrittografiche</w:t>
      </w:r>
      <w:proofErr w:type="spellEnd"/>
      <w:r w:rsidRPr="00794E7F">
        <w:rPr>
          <w:rFonts w:ascii="Times New Roman" w:eastAsia="Times New Roman" w:hAnsi="Times New Roman" w:cs="Times New Roman"/>
          <w:sz w:val="28"/>
          <w:szCs w:val="28"/>
        </w:rPr>
        <w:t xml:space="preserve">, lasciando su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solo i dati indecifrabili o mediante l’uso dei cosiddetti modelli di memoria “fuori catena”</w:t>
      </w:r>
      <w:r w:rsidRPr="00794E7F">
        <w:rPr>
          <w:rFonts w:ascii="Times New Roman" w:eastAsia="Times New Roman" w:hAnsi="Times New Roman" w:cs="Times New Roman"/>
          <w:sz w:val="28"/>
          <w:szCs w:val="28"/>
          <w:vertAlign w:val="superscript"/>
        </w:rPr>
        <w:footnoteReference w:id="300"/>
      </w:r>
      <w:r w:rsidRPr="00794E7F">
        <w:rPr>
          <w:rFonts w:ascii="Times New Roman" w:eastAsia="Times New Roman" w:hAnsi="Times New Roman" w:cs="Times New Roman"/>
          <w:sz w:val="28"/>
          <w:szCs w:val="28"/>
        </w:rPr>
        <w:t>.</w:t>
      </w:r>
    </w:p>
    <w:p w14:paraId="3837109F" w14:textId="10BB17D1" w:rsidR="002315B9" w:rsidRPr="00794E7F" w:rsidRDefault="002315B9" w:rsidP="00794E7F">
      <w:pPr>
        <w:spacing w:after="0" w:line="240" w:lineRule="auto"/>
        <w:jc w:val="both"/>
        <w:rPr>
          <w:rFonts w:ascii="Times New Roman" w:eastAsia="Times New Roman" w:hAnsi="Times New Roman" w:cs="Times New Roman"/>
          <w:sz w:val="28"/>
          <w:szCs w:val="28"/>
          <w:highlight w:val="white"/>
        </w:rPr>
      </w:pPr>
      <w:r w:rsidRPr="00794E7F">
        <w:rPr>
          <w:rFonts w:ascii="Times New Roman" w:eastAsia="Times New Roman" w:hAnsi="Times New Roman" w:cs="Times New Roman"/>
          <w:sz w:val="28"/>
          <w:szCs w:val="28"/>
          <w:highlight w:val="white"/>
        </w:rPr>
        <w:t>Come sostiene N. Boldrini</w:t>
      </w:r>
      <w:r w:rsidRPr="00794E7F">
        <w:rPr>
          <w:rFonts w:ascii="Times New Roman" w:eastAsia="Times New Roman" w:hAnsi="Times New Roman" w:cs="Times New Roman"/>
          <w:sz w:val="28"/>
          <w:szCs w:val="28"/>
          <w:highlight w:val="white"/>
          <w:vertAlign w:val="superscript"/>
        </w:rPr>
        <w:footnoteReference w:id="301"/>
      </w:r>
      <w:r w:rsidRPr="00794E7F">
        <w:rPr>
          <w:rFonts w:ascii="Times New Roman" w:eastAsia="Times New Roman" w:hAnsi="Times New Roman" w:cs="Times New Roman"/>
          <w:sz w:val="28"/>
          <w:szCs w:val="28"/>
          <w:highlight w:val="white"/>
        </w:rPr>
        <w:t xml:space="preserve">, infatti, le tecnologie </w:t>
      </w:r>
      <w:proofErr w:type="spellStart"/>
      <w:r w:rsidRPr="00871650">
        <w:rPr>
          <w:rFonts w:ascii="Times New Roman" w:eastAsia="Times New Roman" w:hAnsi="Times New Roman" w:cs="Times New Roman"/>
          <w:i/>
          <w:iCs/>
          <w:sz w:val="28"/>
          <w:szCs w:val="28"/>
          <w:highlight w:val="white"/>
        </w:rPr>
        <w:t>Blockchain</w:t>
      </w:r>
      <w:proofErr w:type="spellEnd"/>
      <w:r w:rsidRPr="00794E7F">
        <w:rPr>
          <w:rFonts w:ascii="Times New Roman" w:eastAsia="Times New Roman" w:hAnsi="Times New Roman" w:cs="Times New Roman"/>
          <w:sz w:val="28"/>
          <w:szCs w:val="28"/>
          <w:highlight w:val="white"/>
        </w:rPr>
        <w:t xml:space="preserve"> stanno rompendo molti schemi, soprattutto quelle di natura pubblica su cui si basa la circolazione delle </w:t>
      </w:r>
      <w:proofErr w:type="spellStart"/>
      <w:r w:rsidRPr="00871650">
        <w:rPr>
          <w:rFonts w:ascii="Times New Roman" w:eastAsia="Times New Roman" w:hAnsi="Times New Roman" w:cs="Times New Roman"/>
          <w:i/>
          <w:iCs/>
          <w:sz w:val="28"/>
          <w:szCs w:val="28"/>
          <w:highlight w:val="white"/>
        </w:rPr>
        <w:t>criptovalute</w:t>
      </w:r>
      <w:proofErr w:type="spellEnd"/>
      <w:r w:rsidRPr="00871650">
        <w:rPr>
          <w:rFonts w:ascii="Times New Roman" w:eastAsia="Times New Roman" w:hAnsi="Times New Roman" w:cs="Times New Roman"/>
          <w:i/>
          <w:iCs/>
          <w:sz w:val="28"/>
          <w:szCs w:val="28"/>
          <w:highlight w:val="white"/>
        </w:rPr>
        <w:t xml:space="preserve"> </w:t>
      </w:r>
      <w:hyperlink r:id="rId8">
        <w:proofErr w:type="spellStart"/>
        <w:r w:rsidRPr="00871650">
          <w:rPr>
            <w:rFonts w:ascii="Times New Roman" w:eastAsia="Times New Roman" w:hAnsi="Times New Roman" w:cs="Times New Roman"/>
            <w:i/>
            <w:iCs/>
            <w:sz w:val="28"/>
            <w:szCs w:val="28"/>
            <w:highlight w:val="white"/>
          </w:rPr>
          <w:t>bitcoin</w:t>
        </w:r>
        <w:proofErr w:type="spellEnd"/>
      </w:hyperlink>
      <w:r w:rsidRPr="00871650">
        <w:rPr>
          <w:rFonts w:ascii="Times New Roman" w:eastAsia="Times New Roman" w:hAnsi="Times New Roman" w:cs="Times New Roman"/>
          <w:i/>
          <w:iCs/>
          <w:sz w:val="28"/>
          <w:szCs w:val="28"/>
          <w:highlight w:val="white"/>
        </w:rPr>
        <w:t xml:space="preserve"> </w:t>
      </w:r>
      <w:r w:rsidRPr="00871650">
        <w:rPr>
          <w:rFonts w:ascii="Times New Roman" w:eastAsia="Times New Roman" w:hAnsi="Times New Roman" w:cs="Times New Roman"/>
          <w:sz w:val="28"/>
          <w:szCs w:val="28"/>
          <w:highlight w:val="white"/>
        </w:rPr>
        <w:t>ed</w:t>
      </w:r>
      <w:r w:rsidRPr="00871650">
        <w:rPr>
          <w:rFonts w:ascii="Times New Roman" w:eastAsia="Times New Roman" w:hAnsi="Times New Roman" w:cs="Times New Roman"/>
          <w:i/>
          <w:iCs/>
          <w:sz w:val="28"/>
          <w:szCs w:val="28"/>
          <w:highlight w:val="white"/>
        </w:rPr>
        <w:t xml:space="preserve"> </w:t>
      </w:r>
      <w:proofErr w:type="spellStart"/>
      <w:r w:rsidRPr="00871650">
        <w:rPr>
          <w:rFonts w:ascii="Times New Roman" w:eastAsia="Times New Roman" w:hAnsi="Times New Roman" w:cs="Times New Roman"/>
          <w:i/>
          <w:iCs/>
          <w:sz w:val="28"/>
          <w:szCs w:val="28"/>
          <w:highlight w:val="white"/>
        </w:rPr>
        <w:t>ethereum</w:t>
      </w:r>
      <w:proofErr w:type="spellEnd"/>
      <w:r w:rsidRPr="00794E7F">
        <w:rPr>
          <w:rFonts w:ascii="Times New Roman" w:eastAsia="Times New Roman" w:hAnsi="Times New Roman" w:cs="Times New Roman"/>
          <w:sz w:val="28"/>
          <w:szCs w:val="28"/>
          <w:highlight w:val="white"/>
        </w:rPr>
        <w:t xml:space="preserve">, ed introducono nuovi paradigmi compresi quelli di natura legale. In quest’ottica, diventa interessante capire il binomio </w:t>
      </w:r>
      <w:proofErr w:type="spellStart"/>
      <w:r w:rsidRPr="00871650">
        <w:rPr>
          <w:rFonts w:ascii="Times New Roman" w:eastAsia="Times New Roman" w:hAnsi="Times New Roman" w:cs="Times New Roman"/>
          <w:i/>
          <w:iCs/>
          <w:sz w:val="28"/>
          <w:szCs w:val="28"/>
          <w:highlight w:val="white"/>
        </w:rPr>
        <w:t>Blockchain</w:t>
      </w:r>
      <w:proofErr w:type="spellEnd"/>
      <w:r w:rsidRPr="00794E7F">
        <w:rPr>
          <w:rFonts w:ascii="Times New Roman" w:eastAsia="Times New Roman" w:hAnsi="Times New Roman" w:cs="Times New Roman"/>
          <w:sz w:val="28"/>
          <w:szCs w:val="28"/>
          <w:highlight w:val="white"/>
        </w:rPr>
        <w:t xml:space="preserve"> e </w:t>
      </w:r>
      <w:r w:rsidRPr="00794E7F">
        <w:rPr>
          <w:rFonts w:ascii="Times New Roman" w:eastAsia="Times New Roman" w:hAnsi="Times New Roman" w:cs="Times New Roman"/>
          <w:sz w:val="28"/>
          <w:szCs w:val="28"/>
          <w:highlight w:val="white"/>
        </w:rPr>
        <w:lastRenderedPageBreak/>
        <w:t xml:space="preserve">GDPR, ossia come la </w:t>
      </w:r>
      <w:hyperlink r:id="rId9">
        <w:proofErr w:type="spellStart"/>
        <w:r w:rsidRPr="00871650">
          <w:rPr>
            <w:rFonts w:ascii="Times New Roman" w:eastAsia="Times New Roman" w:hAnsi="Times New Roman" w:cs="Times New Roman"/>
            <w:i/>
            <w:iCs/>
            <w:sz w:val="28"/>
            <w:szCs w:val="28"/>
            <w:highlight w:val="white"/>
          </w:rPr>
          <w:t>Blockchain</w:t>
        </w:r>
        <w:proofErr w:type="spellEnd"/>
      </w:hyperlink>
      <w:r w:rsidRPr="00794E7F">
        <w:rPr>
          <w:rFonts w:ascii="Times New Roman" w:eastAsia="Times New Roman" w:hAnsi="Times New Roman" w:cs="Times New Roman"/>
          <w:sz w:val="28"/>
          <w:szCs w:val="28"/>
          <w:highlight w:val="white"/>
        </w:rPr>
        <w:t xml:space="preserve"> potrà supportare e rispettare le regole sulla protezione dei dati personali introdotte dal GDPR.</w:t>
      </w:r>
    </w:p>
    <w:p w14:paraId="33857117" w14:textId="77777777" w:rsidR="002315B9" w:rsidRPr="00794E7F" w:rsidRDefault="002315B9" w:rsidP="00794E7F">
      <w:pPr>
        <w:spacing w:after="0" w:line="240" w:lineRule="auto"/>
        <w:jc w:val="both"/>
        <w:rPr>
          <w:rFonts w:ascii="Times New Roman" w:eastAsia="Times New Roman" w:hAnsi="Times New Roman" w:cs="Times New Roman"/>
          <w:sz w:val="28"/>
          <w:szCs w:val="28"/>
          <w:highlight w:val="white"/>
        </w:rPr>
      </w:pPr>
      <w:r w:rsidRPr="00794E7F">
        <w:rPr>
          <w:rFonts w:ascii="Times New Roman" w:eastAsia="Times New Roman" w:hAnsi="Times New Roman" w:cs="Times New Roman"/>
          <w:sz w:val="28"/>
          <w:szCs w:val="28"/>
          <w:highlight w:val="white"/>
        </w:rPr>
        <w:t xml:space="preserve">La tecnologia </w:t>
      </w:r>
      <w:proofErr w:type="spellStart"/>
      <w:r w:rsidRPr="00871650">
        <w:rPr>
          <w:rFonts w:ascii="Times New Roman" w:eastAsia="Times New Roman" w:hAnsi="Times New Roman" w:cs="Times New Roman"/>
          <w:i/>
          <w:iCs/>
          <w:sz w:val="28"/>
          <w:szCs w:val="28"/>
          <w:highlight w:val="white"/>
        </w:rPr>
        <w:t>Blockchain</w:t>
      </w:r>
      <w:proofErr w:type="spellEnd"/>
      <w:r w:rsidRPr="00794E7F">
        <w:rPr>
          <w:rFonts w:ascii="Times New Roman" w:eastAsia="Times New Roman" w:hAnsi="Times New Roman" w:cs="Times New Roman"/>
          <w:sz w:val="28"/>
          <w:szCs w:val="28"/>
          <w:highlight w:val="white"/>
        </w:rPr>
        <w:t xml:space="preserve"> consente transazioni tra le parti senza dover rivelare la propria identità direttamente. Tuttavia, ogni transazione che viene eseguita viene pubblicata e collegata a una chiave pubblica che rappresenta perciò uno pseudonimo di un determinato utente. Sebbene la chiave pubblica non contenga informazioni direttamente riconducibili all’utente, l’utilizzo della medesima chiave per diverse transazioni e l’incrocio con altre informazioni potrebbero consentire di individuare gli autori di una determinata transazione.</w:t>
      </w:r>
    </w:p>
    <w:p w14:paraId="21504437" w14:textId="77777777" w:rsidR="002315B9" w:rsidRPr="00794E7F" w:rsidRDefault="002315B9" w:rsidP="00794E7F">
      <w:pPr>
        <w:spacing w:after="0" w:line="240" w:lineRule="auto"/>
        <w:jc w:val="both"/>
        <w:rPr>
          <w:rFonts w:ascii="Times New Roman" w:eastAsia="Times New Roman" w:hAnsi="Times New Roman" w:cs="Times New Roman"/>
          <w:sz w:val="28"/>
          <w:szCs w:val="28"/>
          <w:highlight w:val="white"/>
        </w:rPr>
      </w:pPr>
      <w:r w:rsidRPr="00794E7F">
        <w:rPr>
          <w:rFonts w:ascii="Times New Roman" w:eastAsia="Times New Roman" w:hAnsi="Times New Roman" w:cs="Times New Roman"/>
          <w:sz w:val="28"/>
          <w:szCs w:val="28"/>
          <w:highlight w:val="white"/>
        </w:rPr>
        <w:t xml:space="preserve">Ne consegue che la chiave pubblica, se associata a una persona, potrà eventualmente essere qualificata come dato personale ai fini della legislazione europea sulla protezione dei dati. Infatti, quando la chiave pubblica è ricondotta a un soggetto identificato, è possibile ottenere informazioni su tutte le transazioni che il soggetto ha compiuto sulla </w:t>
      </w:r>
      <w:proofErr w:type="spellStart"/>
      <w:r w:rsidRPr="00871650">
        <w:rPr>
          <w:rFonts w:ascii="Times New Roman" w:eastAsia="Times New Roman" w:hAnsi="Times New Roman" w:cs="Times New Roman"/>
          <w:i/>
          <w:iCs/>
          <w:sz w:val="28"/>
          <w:szCs w:val="28"/>
          <w:highlight w:val="white"/>
        </w:rPr>
        <w:t>blockchain</w:t>
      </w:r>
      <w:proofErr w:type="spellEnd"/>
      <w:r w:rsidRPr="00794E7F">
        <w:rPr>
          <w:rFonts w:ascii="Times New Roman" w:eastAsia="Times New Roman" w:hAnsi="Times New Roman" w:cs="Times New Roman"/>
          <w:sz w:val="28"/>
          <w:szCs w:val="28"/>
          <w:highlight w:val="white"/>
        </w:rPr>
        <w:t xml:space="preserve">. Di conseguenza, le norme sulla protezione dei dati potrebbero essere applicabili ad almeno alcuni dei dati coinvolti nelle soluzioni </w:t>
      </w:r>
      <w:proofErr w:type="spellStart"/>
      <w:r w:rsidRPr="00871650">
        <w:rPr>
          <w:rFonts w:ascii="Times New Roman" w:eastAsia="Times New Roman" w:hAnsi="Times New Roman" w:cs="Times New Roman"/>
          <w:i/>
          <w:iCs/>
          <w:sz w:val="28"/>
          <w:szCs w:val="28"/>
          <w:highlight w:val="white"/>
        </w:rPr>
        <w:t>Blockchain</w:t>
      </w:r>
      <w:proofErr w:type="spellEnd"/>
      <w:r w:rsidRPr="00794E7F">
        <w:rPr>
          <w:rFonts w:ascii="Times New Roman" w:eastAsia="Times New Roman" w:hAnsi="Times New Roman" w:cs="Times New Roman"/>
          <w:sz w:val="28"/>
          <w:szCs w:val="28"/>
          <w:highlight w:val="white"/>
          <w:vertAlign w:val="superscript"/>
        </w:rPr>
        <w:footnoteReference w:id="302"/>
      </w:r>
      <w:r w:rsidRPr="00794E7F">
        <w:rPr>
          <w:rFonts w:ascii="Times New Roman" w:eastAsia="Times New Roman" w:hAnsi="Times New Roman" w:cs="Times New Roman"/>
          <w:sz w:val="28"/>
          <w:szCs w:val="28"/>
          <w:highlight w:val="white"/>
        </w:rPr>
        <w:t>.</w:t>
      </w:r>
    </w:p>
    <w:p w14:paraId="1F55C90D" w14:textId="74F28C95"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Qualora si intenda utilizzare la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come </w:t>
      </w:r>
      <w:proofErr w:type="spellStart"/>
      <w:r w:rsidRPr="00794E7F">
        <w:rPr>
          <w:rFonts w:ascii="Times New Roman" w:eastAsia="Times New Roman" w:hAnsi="Times New Roman" w:cs="Times New Roman"/>
          <w:i/>
          <w:sz w:val="28"/>
          <w:szCs w:val="28"/>
        </w:rPr>
        <w:t>storage</w:t>
      </w:r>
      <w:proofErr w:type="spellEnd"/>
      <w:r w:rsidRPr="00C5089A">
        <w:rPr>
          <w:rFonts w:ascii="Times New Roman" w:eastAsia="Times New Roman" w:hAnsi="Times New Roman" w:cs="Times New Roman"/>
          <w:iCs/>
          <w:sz w:val="28"/>
          <w:szCs w:val="28"/>
          <w:vertAlign w:val="superscript"/>
        </w:rPr>
        <w:footnoteReference w:id="303"/>
      </w:r>
      <w:r w:rsidRPr="00C5089A">
        <w:rPr>
          <w:rFonts w:ascii="Times New Roman" w:eastAsia="Times New Roman" w:hAnsi="Times New Roman" w:cs="Times New Roman"/>
          <w:iCs/>
          <w:sz w:val="28"/>
          <w:szCs w:val="28"/>
        </w:rPr>
        <w:t xml:space="preserve"> </w:t>
      </w:r>
      <w:r w:rsidRPr="00794E7F">
        <w:rPr>
          <w:rFonts w:ascii="Times New Roman" w:eastAsia="Times New Roman" w:hAnsi="Times New Roman" w:cs="Times New Roman"/>
          <w:sz w:val="28"/>
          <w:szCs w:val="28"/>
        </w:rPr>
        <w:t>di tutti i dati degli utenti, anziché, per esempio, creare una linea privata dove immagazzinare (c</w:t>
      </w:r>
      <w:r w:rsidR="00871650">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 xml:space="preserve">d. </w:t>
      </w:r>
      <w:proofErr w:type="spellStart"/>
      <w:r w:rsidRPr="00871650">
        <w:rPr>
          <w:rFonts w:ascii="Times New Roman" w:eastAsia="Times New Roman" w:hAnsi="Times New Roman" w:cs="Times New Roman"/>
          <w:i/>
          <w:iCs/>
          <w:sz w:val="28"/>
          <w:szCs w:val="28"/>
        </w:rPr>
        <w:t>storare</w:t>
      </w:r>
      <w:proofErr w:type="spellEnd"/>
      <w:r w:rsidRPr="00794E7F">
        <w:rPr>
          <w:rFonts w:ascii="Times New Roman" w:eastAsia="Times New Roman" w:hAnsi="Times New Roman" w:cs="Times New Roman"/>
          <w:sz w:val="28"/>
          <w:szCs w:val="28"/>
        </w:rPr>
        <w:t xml:space="preserve">) i dati sensibili accoppiandola ad una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da usare in formato “notarile” è importante sapere che:</w:t>
      </w:r>
    </w:p>
    <w:p w14:paraId="69E7D1C5" w14:textId="77777777" w:rsidR="00C5089A" w:rsidRDefault="00C5089A" w:rsidP="00C508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315B9" w:rsidRPr="00794E7F">
        <w:rPr>
          <w:rFonts w:ascii="Times New Roman" w:eastAsia="Times New Roman" w:hAnsi="Times New Roman" w:cs="Times New Roman"/>
          <w:sz w:val="28"/>
          <w:szCs w:val="28"/>
        </w:rPr>
        <w:t xml:space="preserve">i dati archiviati in una </w:t>
      </w:r>
      <w:proofErr w:type="spellStart"/>
      <w:r w:rsidR="002315B9" w:rsidRPr="00871650">
        <w:rPr>
          <w:rFonts w:ascii="Times New Roman" w:eastAsia="Times New Roman" w:hAnsi="Times New Roman" w:cs="Times New Roman"/>
          <w:i/>
          <w:iCs/>
          <w:sz w:val="28"/>
          <w:szCs w:val="28"/>
        </w:rPr>
        <w:t>blockchain</w:t>
      </w:r>
      <w:proofErr w:type="spellEnd"/>
      <w:r w:rsidR="002315B9" w:rsidRPr="00794E7F">
        <w:rPr>
          <w:rFonts w:ascii="Times New Roman" w:eastAsia="Times New Roman" w:hAnsi="Times New Roman" w:cs="Times New Roman"/>
          <w:sz w:val="28"/>
          <w:szCs w:val="28"/>
        </w:rPr>
        <w:t xml:space="preserve"> sono a prova di manomissione: questo si traduce in un’impossibilità pura (derivante da codifica della </w:t>
      </w:r>
      <w:proofErr w:type="spellStart"/>
      <w:r w:rsidR="002315B9" w:rsidRPr="00871650">
        <w:rPr>
          <w:rFonts w:ascii="Times New Roman" w:eastAsia="Times New Roman" w:hAnsi="Times New Roman" w:cs="Times New Roman"/>
          <w:i/>
          <w:iCs/>
          <w:sz w:val="28"/>
          <w:szCs w:val="28"/>
        </w:rPr>
        <w:t>blockchain</w:t>
      </w:r>
      <w:proofErr w:type="spellEnd"/>
      <w:r w:rsidR="002315B9" w:rsidRPr="00794E7F">
        <w:rPr>
          <w:rFonts w:ascii="Times New Roman" w:eastAsia="Times New Roman" w:hAnsi="Times New Roman" w:cs="Times New Roman"/>
          <w:sz w:val="28"/>
          <w:szCs w:val="28"/>
        </w:rPr>
        <w:t>) di cancellazione dei dati, una volta che essi verranno immessi nella catena distribuita;</w:t>
      </w:r>
    </w:p>
    <w:p w14:paraId="21771852" w14:textId="77777777" w:rsidR="00C5089A" w:rsidRDefault="00C5089A" w:rsidP="00C508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315B9" w:rsidRPr="00794E7F">
        <w:rPr>
          <w:rFonts w:ascii="Times New Roman" w:eastAsia="Times New Roman" w:hAnsi="Times New Roman" w:cs="Times New Roman"/>
          <w:sz w:val="28"/>
          <w:szCs w:val="28"/>
        </w:rPr>
        <w:t xml:space="preserve">le </w:t>
      </w:r>
      <w:proofErr w:type="spellStart"/>
      <w:r w:rsidR="002315B9" w:rsidRPr="00871650">
        <w:rPr>
          <w:rFonts w:ascii="Times New Roman" w:eastAsia="Times New Roman" w:hAnsi="Times New Roman" w:cs="Times New Roman"/>
          <w:i/>
          <w:iCs/>
          <w:sz w:val="28"/>
          <w:szCs w:val="28"/>
        </w:rPr>
        <w:t>Blockchain</w:t>
      </w:r>
      <w:proofErr w:type="spellEnd"/>
      <w:r w:rsidR="002315B9" w:rsidRPr="00794E7F">
        <w:rPr>
          <w:rFonts w:ascii="Times New Roman" w:eastAsia="Times New Roman" w:hAnsi="Times New Roman" w:cs="Times New Roman"/>
          <w:sz w:val="28"/>
          <w:szCs w:val="28"/>
        </w:rPr>
        <w:t xml:space="preserve"> sono distribuite, quindi nemmeno il controllo sui dati può essere centralizzato ed è demandato a tutti i partecipanti alla </w:t>
      </w:r>
      <w:proofErr w:type="spellStart"/>
      <w:r w:rsidR="002315B9" w:rsidRPr="00871650">
        <w:rPr>
          <w:rFonts w:ascii="Times New Roman" w:eastAsia="Times New Roman" w:hAnsi="Times New Roman" w:cs="Times New Roman"/>
          <w:i/>
          <w:iCs/>
          <w:sz w:val="28"/>
          <w:szCs w:val="28"/>
        </w:rPr>
        <w:t>blockchain</w:t>
      </w:r>
      <w:proofErr w:type="spellEnd"/>
      <w:r w:rsidR="002315B9" w:rsidRPr="00794E7F">
        <w:rPr>
          <w:rFonts w:ascii="Times New Roman" w:eastAsia="Times New Roman" w:hAnsi="Times New Roman" w:cs="Times New Roman"/>
          <w:sz w:val="28"/>
          <w:szCs w:val="28"/>
          <w:vertAlign w:val="superscript"/>
        </w:rPr>
        <w:footnoteReference w:id="304"/>
      </w:r>
      <w:r w:rsidR="002315B9" w:rsidRPr="00794E7F">
        <w:rPr>
          <w:rFonts w:ascii="Times New Roman" w:eastAsia="Times New Roman" w:hAnsi="Times New Roman" w:cs="Times New Roman"/>
          <w:sz w:val="28"/>
          <w:szCs w:val="28"/>
        </w:rPr>
        <w:t>;</w:t>
      </w:r>
    </w:p>
    <w:p w14:paraId="5624AF33" w14:textId="485F506C" w:rsidR="002315B9" w:rsidRPr="00794E7F" w:rsidRDefault="00C5089A" w:rsidP="00C508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315B9" w:rsidRPr="00794E7F">
        <w:rPr>
          <w:rFonts w:ascii="Times New Roman" w:eastAsia="Times New Roman" w:hAnsi="Times New Roman" w:cs="Times New Roman"/>
          <w:sz w:val="28"/>
          <w:szCs w:val="28"/>
        </w:rPr>
        <w:t xml:space="preserve">gli </w:t>
      </w:r>
      <w:r w:rsidR="002315B9" w:rsidRPr="00794E7F">
        <w:rPr>
          <w:rFonts w:ascii="Times New Roman" w:eastAsia="Times New Roman" w:hAnsi="Times New Roman" w:cs="Times New Roman"/>
          <w:i/>
          <w:sz w:val="28"/>
          <w:szCs w:val="28"/>
        </w:rPr>
        <w:t xml:space="preserve">Smart </w:t>
      </w:r>
      <w:proofErr w:type="spellStart"/>
      <w:r w:rsidR="002315B9" w:rsidRPr="00794E7F">
        <w:rPr>
          <w:rFonts w:ascii="Times New Roman" w:eastAsia="Times New Roman" w:hAnsi="Times New Roman" w:cs="Times New Roman"/>
          <w:i/>
          <w:sz w:val="28"/>
          <w:szCs w:val="28"/>
        </w:rPr>
        <w:t>Contract</w:t>
      </w:r>
      <w:proofErr w:type="spellEnd"/>
      <w:r w:rsidR="002315B9" w:rsidRPr="00794E7F">
        <w:rPr>
          <w:rFonts w:ascii="Times New Roman" w:eastAsia="Times New Roman" w:hAnsi="Times New Roman" w:cs="Times New Roman"/>
          <w:sz w:val="28"/>
          <w:szCs w:val="28"/>
        </w:rPr>
        <w:t xml:space="preserve"> (contratti intelligenti)</w:t>
      </w:r>
      <w:r w:rsidR="002315B9" w:rsidRPr="00794E7F">
        <w:rPr>
          <w:rFonts w:ascii="Times New Roman" w:eastAsia="Times New Roman" w:hAnsi="Times New Roman" w:cs="Times New Roman"/>
          <w:sz w:val="28"/>
          <w:szCs w:val="28"/>
          <w:vertAlign w:val="superscript"/>
        </w:rPr>
        <w:footnoteReference w:id="305"/>
      </w:r>
      <w:r w:rsidR="002315B9" w:rsidRPr="00794E7F">
        <w:rPr>
          <w:rFonts w:ascii="Times New Roman" w:eastAsia="Times New Roman" w:hAnsi="Times New Roman" w:cs="Times New Roman"/>
          <w:sz w:val="28"/>
          <w:szCs w:val="28"/>
        </w:rPr>
        <w:t xml:space="preserve"> sono creati per essere automatizzati sotto il profilo decisionale: questo può aprire quindi criticità comprensibilmente non banali sul fronte, per esempio, di casi di impugnazioni e contestazioni.</w:t>
      </w:r>
    </w:p>
    <w:p w14:paraId="5862127E"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In linea generale, ciò che si pone in contrasto con il GDPR, in questo caso, sono due dei principi che fino ad oggi hanno costituito il cardine su cui si sono affermati il valore ed il potere della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vertAlign w:val="superscript"/>
        </w:rPr>
        <w:footnoteReference w:id="306"/>
      </w:r>
      <w:r w:rsidRPr="00794E7F">
        <w:rPr>
          <w:rFonts w:ascii="Times New Roman" w:eastAsia="Times New Roman" w:hAnsi="Times New Roman" w:cs="Times New Roman"/>
          <w:sz w:val="28"/>
          <w:szCs w:val="28"/>
        </w:rPr>
        <w:t>, ossia:</w:t>
      </w:r>
    </w:p>
    <w:p w14:paraId="456C49E2" w14:textId="77777777" w:rsidR="002315B9" w:rsidRPr="00794E7F" w:rsidRDefault="002315B9" w:rsidP="00794E7F">
      <w:pPr>
        <w:spacing w:after="0" w:line="240" w:lineRule="auto"/>
        <w:ind w:left="360"/>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 xml:space="preserve">i dati inseriti nelle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sono pubblici ed accessibili da chiunque partecipi alla catena;</w:t>
      </w:r>
    </w:p>
    <w:p w14:paraId="665B4255" w14:textId="77777777" w:rsidR="002315B9" w:rsidRPr="00794E7F" w:rsidRDefault="002315B9" w:rsidP="00794E7F">
      <w:pPr>
        <w:spacing w:after="0" w:line="240" w:lineRule="auto"/>
        <w:ind w:left="360"/>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sz w:val="28"/>
          <w:szCs w:val="28"/>
        </w:rPr>
        <w:tab/>
        <w:t xml:space="preserve">i dati presenti nelle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sono conservati illimitatamente</w:t>
      </w:r>
      <w:r w:rsidRPr="00794E7F">
        <w:rPr>
          <w:rFonts w:ascii="Times New Roman" w:eastAsia="Times New Roman" w:hAnsi="Times New Roman" w:cs="Times New Roman"/>
          <w:sz w:val="28"/>
          <w:szCs w:val="28"/>
          <w:vertAlign w:val="superscript"/>
        </w:rPr>
        <w:footnoteReference w:id="307"/>
      </w:r>
      <w:r w:rsidRPr="00794E7F">
        <w:rPr>
          <w:rFonts w:ascii="Times New Roman" w:eastAsia="Times New Roman" w:hAnsi="Times New Roman" w:cs="Times New Roman"/>
          <w:sz w:val="28"/>
          <w:szCs w:val="28"/>
        </w:rPr>
        <w:t>.</w:t>
      </w:r>
    </w:p>
    <w:p w14:paraId="560CB1E9"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lastRenderedPageBreak/>
        <w:t xml:space="preserve">Viceversa, se volessimo riassumere in breve ciò che caratterizza il GDPR potremmo utilizzare tre parole chiave: centralizzazione, limitazione e rimovibilità (cancellazione), termini che ovviamente, anche solo ad una prima lettura, si pongono in netto contrasto con i fondamenti che, al contrario, costituiscono la base della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ossia decentralizzazione, distribuzione ed immutabilità.</w:t>
      </w:r>
    </w:p>
    <w:p w14:paraId="40121B39" w14:textId="77777777" w:rsidR="002315B9" w:rsidRPr="00794E7F" w:rsidRDefault="002315B9" w:rsidP="00794E7F">
      <w:pPr>
        <w:spacing w:after="0" w:line="240" w:lineRule="auto"/>
        <w:jc w:val="both"/>
        <w:rPr>
          <w:rFonts w:ascii="Times New Roman" w:eastAsia="Times New Roman" w:hAnsi="Times New Roman" w:cs="Times New Roman"/>
          <w:color w:val="1155CC"/>
          <w:sz w:val="28"/>
          <w:szCs w:val="28"/>
          <w:u w:val="single"/>
        </w:rPr>
      </w:pPr>
      <w:r w:rsidRPr="00794E7F">
        <w:rPr>
          <w:rFonts w:ascii="Times New Roman" w:eastAsia="Times New Roman" w:hAnsi="Times New Roman" w:cs="Times New Roman"/>
          <w:sz w:val="28"/>
          <w:szCs w:val="28"/>
        </w:rPr>
        <w:t>Come noto, il GDPR conferisce ai residenti nel territorio europeo una serie di diritti esecutivi in relazione al trattamento dei propri dati personali, i quali risultano sono comprensibili nel contesto di un database centralizzato controllato da un singolo controller di dati con un insieme finito di processori</w:t>
      </w:r>
      <w:r w:rsidRPr="00794E7F">
        <w:rPr>
          <w:rFonts w:ascii="Times New Roman" w:eastAsia="Times New Roman" w:hAnsi="Times New Roman" w:cs="Times New Roman"/>
          <w:sz w:val="28"/>
          <w:szCs w:val="28"/>
          <w:vertAlign w:val="superscript"/>
        </w:rPr>
        <w:footnoteReference w:id="308"/>
      </w:r>
      <w:r w:rsidRPr="00794E7F">
        <w:rPr>
          <w:rFonts w:ascii="Times New Roman" w:eastAsia="Times New Roman" w:hAnsi="Times New Roman" w:cs="Times New Roman"/>
          <w:sz w:val="28"/>
          <w:szCs w:val="28"/>
        </w:rPr>
        <w:t>.</w:t>
      </w:r>
    </w:p>
    <w:p w14:paraId="11AB42E9"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Se partiamo dall’assunto che, in generale, le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si concentrano principalmente sulla protezione dell’identità più che sui dati ad essa associati, il parallelismo con la “Carta dei diritti digitali” delle persone appare evidente, dato che il GDPR nasce come volontà di restituire alle persone</w:t>
      </w:r>
      <w:r w:rsidRPr="00794E7F">
        <w:rPr>
          <w:rFonts w:ascii="Times New Roman" w:eastAsia="Times New Roman" w:hAnsi="Times New Roman" w:cs="Times New Roman"/>
          <w:sz w:val="28"/>
          <w:szCs w:val="28"/>
          <w:vertAlign w:val="superscript"/>
        </w:rPr>
        <w:footnoteReference w:id="309"/>
      </w:r>
      <w:r w:rsidRPr="00794E7F">
        <w:rPr>
          <w:rFonts w:ascii="Times New Roman" w:eastAsia="Times New Roman" w:hAnsi="Times New Roman" w:cs="Times New Roman"/>
          <w:sz w:val="28"/>
          <w:szCs w:val="28"/>
        </w:rPr>
        <w:t xml:space="preserve"> il “potere” sui propri dati personali.</w:t>
      </w:r>
    </w:p>
    <w:p w14:paraId="72329904"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In linea di principio, attraverso la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un utente è sempre in grado di controllare i propri dati personali, anzi, è l’unico a sapere a che informazioni corrisponde la propria chiave pubblica.</w:t>
      </w:r>
    </w:p>
    <w:p w14:paraId="1A252D62"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Nonostante le sfide legate principalmente a immutabilità e replicazione siano indubbiamente delicate e sarà necessario attendere le interpretazioni del legislatore europeo per avere un quadro di diritto completo, ad oggi ci sono delle possibili “vie” di prevenzione</w:t>
      </w:r>
      <w:r w:rsidRPr="00794E7F">
        <w:rPr>
          <w:rFonts w:ascii="Times New Roman" w:eastAsia="Times New Roman" w:hAnsi="Times New Roman" w:cs="Times New Roman"/>
          <w:sz w:val="28"/>
          <w:szCs w:val="28"/>
          <w:vertAlign w:val="superscript"/>
        </w:rPr>
        <w:footnoteReference w:id="310"/>
      </w:r>
      <w:r w:rsidRPr="00794E7F">
        <w:rPr>
          <w:rFonts w:ascii="Times New Roman" w:eastAsia="Times New Roman" w:hAnsi="Times New Roman" w:cs="Times New Roman"/>
          <w:sz w:val="28"/>
          <w:szCs w:val="28"/>
        </w:rPr>
        <w:t xml:space="preserve">, ossia di applicabilità della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in conformità a quanto stabilito dal GDPR.</w:t>
      </w:r>
    </w:p>
    <w:p w14:paraId="1F4AD70E" w14:textId="77777777" w:rsidR="002315B9" w:rsidRPr="00794E7F" w:rsidRDefault="002315B9" w:rsidP="00794E7F">
      <w:pPr>
        <w:spacing w:after="0" w:line="240" w:lineRule="auto"/>
        <w:jc w:val="both"/>
        <w:rPr>
          <w:rFonts w:ascii="Times New Roman" w:eastAsia="Times New Roman" w:hAnsi="Times New Roman" w:cs="Times New Roman"/>
          <w:i/>
          <w:sz w:val="28"/>
          <w:szCs w:val="28"/>
        </w:rPr>
      </w:pPr>
      <w:r w:rsidRPr="00794E7F">
        <w:rPr>
          <w:rFonts w:ascii="Times New Roman" w:eastAsia="Times New Roman" w:hAnsi="Times New Roman" w:cs="Times New Roman"/>
          <w:sz w:val="28"/>
          <w:szCs w:val="28"/>
        </w:rPr>
        <w:t>Va, tuttavia, fatta un’ulteriore precisazione sulla sicurezza crittografica: «</w:t>
      </w:r>
      <w:r w:rsidRPr="00794E7F">
        <w:rPr>
          <w:rFonts w:ascii="Times New Roman" w:eastAsia="Times New Roman" w:hAnsi="Times New Roman" w:cs="Times New Roman"/>
          <w:i/>
          <w:sz w:val="28"/>
          <w:szCs w:val="28"/>
        </w:rPr>
        <w:t>la crittografia non libera persone ed aziende dalle proprie responsabilità sul controllo dei dati perché – per dirla senza mezzi termini – tutta la crittografia può</w:t>
      </w: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i/>
          <w:sz w:val="28"/>
          <w:szCs w:val="28"/>
        </w:rPr>
        <w:t>essere violata</w:t>
      </w:r>
      <w:r w:rsidRPr="00794E7F">
        <w:rPr>
          <w:rFonts w:ascii="Times New Roman" w:eastAsia="Times New Roman" w:hAnsi="Times New Roman" w:cs="Times New Roman"/>
          <w:sz w:val="28"/>
          <w:szCs w:val="28"/>
        </w:rPr>
        <w:t xml:space="preserve">», avverte </w:t>
      </w:r>
      <w:proofErr w:type="spellStart"/>
      <w:r w:rsidRPr="00794E7F">
        <w:rPr>
          <w:rFonts w:ascii="Times New Roman" w:eastAsia="Times New Roman" w:hAnsi="Times New Roman" w:cs="Times New Roman"/>
          <w:sz w:val="28"/>
          <w:szCs w:val="28"/>
        </w:rPr>
        <w:t>Rutjes</w:t>
      </w:r>
      <w:proofErr w:type="spellEnd"/>
      <w:r w:rsidRPr="00794E7F">
        <w:rPr>
          <w:rFonts w:ascii="Times New Roman" w:eastAsia="Times New Roman" w:hAnsi="Times New Roman" w:cs="Times New Roman"/>
          <w:sz w:val="28"/>
          <w:szCs w:val="28"/>
          <w:vertAlign w:val="superscript"/>
        </w:rPr>
        <w:footnoteReference w:id="311"/>
      </w:r>
      <w:r w:rsidRPr="00794E7F">
        <w:rPr>
          <w:rFonts w:ascii="Times New Roman" w:eastAsia="Times New Roman" w:hAnsi="Times New Roman" w:cs="Times New Roman"/>
          <w:sz w:val="28"/>
          <w:szCs w:val="28"/>
        </w:rPr>
        <w:t>. «</w:t>
      </w:r>
      <w:r w:rsidRPr="00794E7F">
        <w:rPr>
          <w:rFonts w:ascii="Times New Roman" w:eastAsia="Times New Roman" w:hAnsi="Times New Roman" w:cs="Times New Roman"/>
          <w:i/>
          <w:sz w:val="28"/>
          <w:szCs w:val="28"/>
        </w:rPr>
        <w:t xml:space="preserve">Questo vale anche per gli </w:t>
      </w:r>
      <w:proofErr w:type="spellStart"/>
      <w:r w:rsidRPr="00794E7F">
        <w:rPr>
          <w:rFonts w:ascii="Times New Roman" w:eastAsia="Times New Roman" w:hAnsi="Times New Roman" w:cs="Times New Roman"/>
          <w:i/>
          <w:sz w:val="28"/>
          <w:szCs w:val="28"/>
        </w:rPr>
        <w:t>hash</w:t>
      </w:r>
      <w:proofErr w:type="spellEnd"/>
      <w:r w:rsidRPr="00794E7F">
        <w:rPr>
          <w:rFonts w:ascii="Times New Roman" w:eastAsia="Times New Roman" w:hAnsi="Times New Roman" w:cs="Times New Roman"/>
          <w:i/>
          <w:sz w:val="28"/>
          <w:szCs w:val="28"/>
        </w:rPr>
        <w:t xml:space="preserve"> crittografici che, nell’interpretazione del gruppo di lavoro di esperti tecnici dell’Unione Europea, è da considerarsi come dato personale. A mio avviso che un </w:t>
      </w:r>
      <w:proofErr w:type="spellStart"/>
      <w:r w:rsidRPr="00794E7F">
        <w:rPr>
          <w:rFonts w:ascii="Times New Roman" w:eastAsia="Times New Roman" w:hAnsi="Times New Roman" w:cs="Times New Roman"/>
          <w:i/>
          <w:sz w:val="28"/>
          <w:szCs w:val="28"/>
        </w:rPr>
        <w:t>hash</w:t>
      </w:r>
      <w:proofErr w:type="spellEnd"/>
      <w:r w:rsidRPr="00794E7F">
        <w:rPr>
          <w:rFonts w:ascii="Times New Roman" w:eastAsia="Times New Roman" w:hAnsi="Times New Roman" w:cs="Times New Roman"/>
          <w:i/>
          <w:sz w:val="28"/>
          <w:szCs w:val="28"/>
        </w:rPr>
        <w:t xml:space="preserve"> sia una stringa di codice ben progettata è sufficientemente sicura e anonima dal mettere al riparo i dati personali di chi possiede le chiavi crittografiche; tuttavia, sarà la Corte di Giustizia Europea a doversi pronunciare in merito».</w:t>
      </w:r>
    </w:p>
    <w:p w14:paraId="1528EE62" w14:textId="77777777" w:rsidR="002315B9" w:rsidRPr="00794E7F" w:rsidRDefault="002315B9" w:rsidP="00794E7F">
      <w:pPr>
        <w:spacing w:after="0" w:line="240" w:lineRule="auto"/>
        <w:jc w:val="both"/>
        <w:rPr>
          <w:rFonts w:ascii="Times New Roman" w:eastAsia="Times New Roman" w:hAnsi="Times New Roman" w:cs="Times New Roman"/>
          <w:i/>
          <w:sz w:val="28"/>
          <w:szCs w:val="28"/>
        </w:rPr>
      </w:pPr>
      <w:r w:rsidRPr="00794E7F">
        <w:rPr>
          <w:rFonts w:ascii="Times New Roman" w:eastAsia="Times New Roman" w:hAnsi="Times New Roman" w:cs="Times New Roman"/>
          <w:sz w:val="28"/>
          <w:szCs w:val="28"/>
        </w:rPr>
        <w:t xml:space="preserve">Per quanto riguarda i conflitti attorno alle caratteristiche uniche della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la soluzione è semplice, scrive </w:t>
      </w:r>
      <w:proofErr w:type="spellStart"/>
      <w:r w:rsidRPr="00794E7F">
        <w:rPr>
          <w:rFonts w:ascii="Times New Roman" w:eastAsia="Times New Roman" w:hAnsi="Times New Roman" w:cs="Times New Roman"/>
          <w:sz w:val="28"/>
          <w:szCs w:val="28"/>
        </w:rPr>
        <w:t>Rutjes</w:t>
      </w:r>
      <w:proofErr w:type="spellEnd"/>
      <w:r w:rsidRPr="00794E7F">
        <w:rPr>
          <w:rFonts w:ascii="Times New Roman" w:eastAsia="Times New Roman" w:hAnsi="Times New Roman" w:cs="Times New Roman"/>
          <w:sz w:val="28"/>
          <w:szCs w:val="28"/>
        </w:rPr>
        <w:t xml:space="preserve"> nel suo post: “</w:t>
      </w:r>
      <w:r w:rsidRPr="00794E7F">
        <w:rPr>
          <w:rFonts w:ascii="Times New Roman" w:eastAsia="Times New Roman" w:hAnsi="Times New Roman" w:cs="Times New Roman"/>
          <w:i/>
          <w:sz w:val="28"/>
          <w:szCs w:val="28"/>
        </w:rPr>
        <w:t>memorizzare i dati personali</w:t>
      </w:r>
      <w:r w:rsidRPr="00794E7F">
        <w:rPr>
          <w:rFonts w:ascii="Times New Roman" w:eastAsia="Times New Roman" w:hAnsi="Times New Roman" w:cs="Times New Roman"/>
          <w:sz w:val="28"/>
          <w:szCs w:val="28"/>
        </w:rPr>
        <w:t xml:space="preserve"> </w:t>
      </w:r>
      <w:r w:rsidRPr="00794E7F">
        <w:rPr>
          <w:rFonts w:ascii="Times New Roman" w:eastAsia="Times New Roman" w:hAnsi="Times New Roman" w:cs="Times New Roman"/>
          <w:i/>
          <w:sz w:val="28"/>
          <w:szCs w:val="28"/>
        </w:rPr>
        <w:t xml:space="preserve">al di fuori della </w:t>
      </w:r>
      <w:proofErr w:type="spellStart"/>
      <w:r w:rsidRPr="00794E7F">
        <w:rPr>
          <w:rFonts w:ascii="Times New Roman" w:eastAsia="Times New Roman" w:hAnsi="Times New Roman" w:cs="Times New Roman"/>
          <w:i/>
          <w:sz w:val="28"/>
          <w:szCs w:val="28"/>
        </w:rPr>
        <w:t>blockchain</w:t>
      </w:r>
      <w:proofErr w:type="spellEnd"/>
      <w:r w:rsidRPr="00794E7F">
        <w:rPr>
          <w:rFonts w:ascii="Times New Roman" w:eastAsia="Times New Roman" w:hAnsi="Times New Roman" w:cs="Times New Roman"/>
          <w:i/>
          <w:sz w:val="28"/>
          <w:szCs w:val="28"/>
        </w:rPr>
        <w:t>, ad esempio in un database privato. In generale, è buona norma limitare la quantità di informazioni condivise nel libro mastro; ancora di più con informazioni personali o comunque sensibili».</w:t>
      </w:r>
    </w:p>
    <w:p w14:paraId="5E4DE537"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lastRenderedPageBreak/>
        <w:t xml:space="preserve">L’opportunità potenziale è l’abilitazione di un futuro in cui la fornitura di servizi pubblici sia più vicina alla persona e alle imprese, creando delle condizioni di maggior sviluppo e integrazione economica e sociale. </w:t>
      </w:r>
    </w:p>
    <w:p w14:paraId="6D5F50FC"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I cosiddetti </w:t>
      </w:r>
      <w:proofErr w:type="spellStart"/>
      <w:r w:rsidRPr="00794E7F">
        <w:rPr>
          <w:rFonts w:ascii="Times New Roman" w:eastAsia="Times New Roman" w:hAnsi="Times New Roman" w:cs="Times New Roman"/>
          <w:i/>
          <w:sz w:val="28"/>
          <w:szCs w:val="28"/>
        </w:rPr>
        <w:t>smart</w:t>
      </w:r>
      <w:proofErr w:type="spellEnd"/>
      <w:r w:rsidRPr="00794E7F">
        <w:rPr>
          <w:rFonts w:ascii="Times New Roman" w:eastAsia="Times New Roman" w:hAnsi="Times New Roman" w:cs="Times New Roman"/>
          <w:i/>
          <w:sz w:val="28"/>
          <w:szCs w:val="28"/>
        </w:rPr>
        <w:t xml:space="preserve"> </w:t>
      </w:r>
      <w:proofErr w:type="spellStart"/>
      <w:r w:rsidRPr="00794E7F">
        <w:rPr>
          <w:rFonts w:ascii="Times New Roman" w:eastAsia="Times New Roman" w:hAnsi="Times New Roman" w:cs="Times New Roman"/>
          <w:i/>
          <w:sz w:val="28"/>
          <w:szCs w:val="28"/>
        </w:rPr>
        <w:t>contract</w:t>
      </w:r>
      <w:proofErr w:type="spellEnd"/>
      <w:r w:rsidRPr="00794E7F">
        <w:rPr>
          <w:rFonts w:ascii="Times New Roman" w:eastAsia="Times New Roman" w:hAnsi="Times New Roman" w:cs="Times New Roman"/>
          <w:sz w:val="28"/>
          <w:szCs w:val="28"/>
          <w:vertAlign w:val="superscript"/>
        </w:rPr>
        <w:footnoteReference w:id="312"/>
      </w:r>
      <w:r w:rsidRPr="00794E7F">
        <w:rPr>
          <w:rFonts w:ascii="Times New Roman" w:eastAsia="Times New Roman" w:hAnsi="Times New Roman" w:cs="Times New Roman"/>
          <w:sz w:val="28"/>
          <w:szCs w:val="28"/>
        </w:rPr>
        <w:t xml:space="preserve"> si candidano quali strumenti adatti a portare miglioramenti sostanziali in termini di conformità, uniformità, standardizzazione ed implementazione della catena di responsabilità.</w:t>
      </w:r>
    </w:p>
    <w:p w14:paraId="7CB2C3DC"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Trattandosi di tecnologie ancora in fase di completamento del proprio ciclo di sviluppo, è fondamentale maturare degli elementi di valutazione delle diverse opzioni disponibili in quanto a paradigma di adozione, considerando gli specifici obiettivi dei relativi ambiti di applicazione.</w:t>
      </w:r>
    </w:p>
    <w:p w14:paraId="7110D9E9"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Temi quali privacy, sicurezza, solidità e scalabilità diventano ancor più centrali e strategici quando la loro contestualizzazione avviene in ambiti di investimento pubblico; è pertanto necessario comprendere come la tecnologia sia lo strumento di implementazione di un modello che porta un effetto di trasformazione con implicazioni etiche e sociali.</w:t>
      </w:r>
    </w:p>
    <w:p w14:paraId="2E84BDC0"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 xml:space="preserve">In questa prospettiva va collocata l’iniziativa di creazione della </w:t>
      </w:r>
      <w:proofErr w:type="spellStart"/>
      <w:r w:rsidRPr="00794E7F">
        <w:rPr>
          <w:rFonts w:ascii="Times New Roman" w:eastAsia="Times New Roman" w:hAnsi="Times New Roman" w:cs="Times New Roman"/>
          <w:i/>
          <w:iCs/>
          <w:sz w:val="28"/>
          <w:szCs w:val="28"/>
        </w:rPr>
        <w:t>European</w:t>
      </w:r>
      <w:proofErr w:type="spellEnd"/>
      <w:r w:rsidRPr="00794E7F">
        <w:rPr>
          <w:rFonts w:ascii="Times New Roman" w:eastAsia="Times New Roman" w:hAnsi="Times New Roman" w:cs="Times New Roman"/>
          <w:i/>
          <w:iCs/>
          <w:sz w:val="28"/>
          <w:szCs w:val="28"/>
        </w:rPr>
        <w:t xml:space="preserve"> </w:t>
      </w:r>
      <w:proofErr w:type="spellStart"/>
      <w:r w:rsidRPr="00794E7F">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i/>
          <w:iCs/>
          <w:sz w:val="28"/>
          <w:szCs w:val="28"/>
        </w:rPr>
        <w:t xml:space="preserve"> Service </w:t>
      </w:r>
      <w:proofErr w:type="spellStart"/>
      <w:r w:rsidRPr="00794E7F">
        <w:rPr>
          <w:rFonts w:ascii="Times New Roman" w:eastAsia="Times New Roman" w:hAnsi="Times New Roman" w:cs="Times New Roman"/>
          <w:i/>
          <w:iCs/>
          <w:sz w:val="28"/>
          <w:szCs w:val="28"/>
        </w:rPr>
        <w:t>Infrastructure</w:t>
      </w:r>
      <w:proofErr w:type="spellEnd"/>
      <w:r w:rsidRPr="00794E7F">
        <w:rPr>
          <w:rFonts w:ascii="Times New Roman" w:eastAsia="Times New Roman" w:hAnsi="Times New Roman" w:cs="Times New Roman"/>
          <w:sz w:val="28"/>
          <w:szCs w:val="28"/>
        </w:rPr>
        <w:t xml:space="preserve"> (EBSI)</w:t>
      </w:r>
      <w:r w:rsidRPr="00794E7F">
        <w:rPr>
          <w:rFonts w:ascii="Times New Roman" w:eastAsia="Times New Roman" w:hAnsi="Times New Roman" w:cs="Times New Roman"/>
          <w:sz w:val="28"/>
          <w:szCs w:val="28"/>
          <w:vertAlign w:val="superscript"/>
        </w:rPr>
        <w:footnoteReference w:id="313"/>
      </w:r>
      <w:r w:rsidRPr="00794E7F">
        <w:rPr>
          <w:rFonts w:ascii="Times New Roman" w:eastAsia="Times New Roman" w:hAnsi="Times New Roman" w:cs="Times New Roman"/>
          <w:sz w:val="28"/>
          <w:szCs w:val="28"/>
        </w:rPr>
        <w:t xml:space="preserve">, azione congiunta della Commissione europea e del partenariato europeo </w:t>
      </w:r>
      <w:proofErr w:type="spellStart"/>
      <w:r w:rsidRPr="00C5089A">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 xml:space="preserve"> (EBP) per fornire servizi pubblici transnazionali sicuri a livello dell’UE utilizzando le tecnologie </w:t>
      </w:r>
      <w:proofErr w:type="spellStart"/>
      <w:r w:rsidRPr="00871650">
        <w:rPr>
          <w:rFonts w:ascii="Times New Roman" w:eastAsia="Times New Roman" w:hAnsi="Times New Roman" w:cs="Times New Roman"/>
          <w:i/>
          <w:iCs/>
          <w:sz w:val="28"/>
          <w:szCs w:val="28"/>
        </w:rPr>
        <w:t>blockchain</w:t>
      </w:r>
      <w:proofErr w:type="spellEnd"/>
      <w:r w:rsidRPr="00794E7F">
        <w:rPr>
          <w:rFonts w:ascii="Times New Roman" w:eastAsia="Times New Roman" w:hAnsi="Times New Roman" w:cs="Times New Roman"/>
          <w:sz w:val="28"/>
          <w:szCs w:val="28"/>
        </w:rPr>
        <w:t>.</w:t>
      </w:r>
    </w:p>
    <w:p w14:paraId="35703D33" w14:textId="77777777" w:rsidR="002315B9" w:rsidRPr="00794E7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Periodi di difficoltà e di incertezza, come quelli che stiamo attraversando in questi mesi, possono essere trasformati in occasioni per introdurre degli elementi di discontinuità che si candidano quali fattori decisivi per una visione programmatica di ripresa e sviluppo (naturale appare un richiamo al PNRR).</w:t>
      </w:r>
    </w:p>
    <w:p w14:paraId="5467EC67" w14:textId="77777777" w:rsidR="00B7700F" w:rsidRDefault="002315B9" w:rsidP="00794E7F">
      <w:pPr>
        <w:spacing w:after="0" w:line="240" w:lineRule="auto"/>
        <w:jc w:val="both"/>
        <w:rPr>
          <w:rFonts w:ascii="Times New Roman" w:eastAsia="Times New Roman" w:hAnsi="Times New Roman" w:cs="Times New Roman"/>
          <w:sz w:val="28"/>
          <w:szCs w:val="28"/>
        </w:rPr>
      </w:pPr>
      <w:r w:rsidRPr="00794E7F">
        <w:rPr>
          <w:rFonts w:ascii="Times New Roman" w:eastAsia="Times New Roman" w:hAnsi="Times New Roman" w:cs="Times New Roman"/>
          <w:sz w:val="28"/>
          <w:szCs w:val="28"/>
        </w:rPr>
        <w:t>È necessario</w:t>
      </w:r>
      <w:r w:rsidR="00A90F1C">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 xml:space="preserve"> quindi</w:t>
      </w:r>
      <w:r w:rsidR="00A90F1C">
        <w:rPr>
          <w:rFonts w:ascii="Times New Roman" w:eastAsia="Times New Roman" w:hAnsi="Times New Roman" w:cs="Times New Roman"/>
          <w:sz w:val="28"/>
          <w:szCs w:val="28"/>
        </w:rPr>
        <w:t>,</w:t>
      </w:r>
      <w:r w:rsidRPr="00794E7F">
        <w:rPr>
          <w:rFonts w:ascii="Times New Roman" w:eastAsia="Times New Roman" w:hAnsi="Times New Roman" w:cs="Times New Roman"/>
          <w:sz w:val="28"/>
          <w:szCs w:val="28"/>
        </w:rPr>
        <w:t xml:space="preserve"> affrontare resistenze culturali (e a volte ideologiche) che spesso</w:t>
      </w:r>
      <w:r w:rsidR="002E3664">
        <w:rPr>
          <w:rFonts w:ascii="Times New Roman" w:eastAsia="Times New Roman" w:hAnsi="Times New Roman" w:cs="Times New Roman"/>
          <w:sz w:val="28"/>
          <w:szCs w:val="28"/>
        </w:rPr>
        <w:t xml:space="preserve"> ostacolano i processi di sviluppo per creare </w:t>
      </w:r>
      <w:r w:rsidRPr="00794E7F">
        <w:rPr>
          <w:rFonts w:ascii="Times New Roman" w:eastAsia="Times New Roman" w:hAnsi="Times New Roman" w:cs="Times New Roman"/>
          <w:sz w:val="28"/>
          <w:szCs w:val="28"/>
        </w:rPr>
        <w:t xml:space="preserve">opportunità concrete di trasformazione attraverso delle progettualità di sistema </w:t>
      </w:r>
      <w:r w:rsidR="002E3664">
        <w:rPr>
          <w:rFonts w:ascii="Times New Roman" w:eastAsia="Times New Roman" w:hAnsi="Times New Roman" w:cs="Times New Roman"/>
          <w:sz w:val="28"/>
          <w:szCs w:val="28"/>
        </w:rPr>
        <w:t xml:space="preserve">volte a </w:t>
      </w:r>
      <w:r w:rsidRPr="00794E7F">
        <w:rPr>
          <w:rFonts w:ascii="Times New Roman" w:eastAsia="Times New Roman" w:hAnsi="Times New Roman" w:cs="Times New Roman"/>
          <w:sz w:val="28"/>
          <w:szCs w:val="28"/>
        </w:rPr>
        <w:t>generare nuove prospettive di valore per cittadini e imprenditori</w:t>
      </w:r>
      <w:r w:rsidRPr="00794E7F">
        <w:rPr>
          <w:rFonts w:ascii="Times New Roman" w:eastAsia="Times New Roman" w:hAnsi="Times New Roman" w:cs="Times New Roman"/>
          <w:sz w:val="28"/>
          <w:szCs w:val="28"/>
          <w:vertAlign w:val="superscript"/>
        </w:rPr>
        <w:footnoteReference w:id="314"/>
      </w:r>
      <w:r w:rsidRPr="00794E7F">
        <w:rPr>
          <w:rFonts w:ascii="Times New Roman" w:eastAsia="Times New Roman" w:hAnsi="Times New Roman" w:cs="Times New Roman"/>
          <w:sz w:val="28"/>
          <w:szCs w:val="28"/>
        </w:rPr>
        <w:t>.</w:t>
      </w:r>
      <w:r w:rsidR="007810CF">
        <w:rPr>
          <w:rFonts w:ascii="Times New Roman" w:eastAsia="Times New Roman" w:hAnsi="Times New Roman" w:cs="Times New Roman"/>
          <w:sz w:val="28"/>
          <w:szCs w:val="28"/>
        </w:rPr>
        <w:t xml:space="preserve">  </w:t>
      </w:r>
    </w:p>
    <w:p w14:paraId="1A031501" w14:textId="77777777" w:rsidR="00B7700F" w:rsidRDefault="007810CF" w:rsidP="00794E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 recente</w:t>
      </w:r>
      <w:r w:rsidR="00B770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il Minist</w:t>
      </w:r>
      <w:r w:rsidR="002E3664">
        <w:rPr>
          <w:rFonts w:ascii="Times New Roman" w:eastAsia="Times New Roman" w:hAnsi="Times New Roman" w:cs="Times New Roman"/>
          <w:sz w:val="28"/>
          <w:szCs w:val="28"/>
        </w:rPr>
        <w:t>ro</w:t>
      </w:r>
      <w:r>
        <w:rPr>
          <w:rFonts w:ascii="Times New Roman" w:eastAsia="Times New Roman" w:hAnsi="Times New Roman" w:cs="Times New Roman"/>
          <w:sz w:val="28"/>
          <w:szCs w:val="28"/>
        </w:rPr>
        <w:t xml:space="preserve"> per la transizione digitale ha annunciato che entro fine gennaio verrà emanato il bando di gara per il Piano Strategico Nazionale relativo alla realizzazione</w:t>
      </w:r>
      <w:r w:rsidR="002E3664">
        <w:rPr>
          <w:rFonts w:ascii="Times New Roman" w:eastAsia="Times New Roman" w:hAnsi="Times New Roman" w:cs="Times New Roman"/>
          <w:sz w:val="28"/>
          <w:szCs w:val="28"/>
        </w:rPr>
        <w:t xml:space="preserve"> della rete unica digitale. </w:t>
      </w:r>
    </w:p>
    <w:p w14:paraId="0E8977DA" w14:textId="77777777" w:rsidR="00F0743D" w:rsidRDefault="002E3664" w:rsidP="00794E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La centrale di committenza per l’espletamento delle gare sarà Difesa Servizi, società </w:t>
      </w:r>
      <w:r w:rsidRPr="00B7700F">
        <w:rPr>
          <w:rFonts w:ascii="Times New Roman" w:eastAsia="Times New Roman" w:hAnsi="Times New Roman" w:cs="Times New Roman"/>
          <w:i/>
          <w:iCs/>
          <w:sz w:val="28"/>
          <w:szCs w:val="28"/>
        </w:rPr>
        <w:t>in</w:t>
      </w:r>
      <w:r w:rsidR="00C63E24">
        <w:rPr>
          <w:rFonts w:ascii="Times New Roman" w:eastAsia="Times New Roman" w:hAnsi="Times New Roman" w:cs="Times New Roman"/>
          <w:i/>
          <w:iCs/>
          <w:sz w:val="28"/>
          <w:szCs w:val="28"/>
        </w:rPr>
        <w:t xml:space="preserve"> </w:t>
      </w:r>
      <w:proofErr w:type="spellStart"/>
      <w:r w:rsidRPr="00B7700F">
        <w:rPr>
          <w:rFonts w:ascii="Times New Roman" w:eastAsia="Times New Roman" w:hAnsi="Times New Roman" w:cs="Times New Roman"/>
          <w:i/>
          <w:iCs/>
          <w:sz w:val="28"/>
          <w:szCs w:val="28"/>
        </w:rPr>
        <w:t>house</w:t>
      </w:r>
      <w:proofErr w:type="spellEnd"/>
      <w:r>
        <w:rPr>
          <w:rFonts w:ascii="Times New Roman" w:eastAsia="Times New Roman" w:hAnsi="Times New Roman" w:cs="Times New Roman"/>
          <w:sz w:val="28"/>
          <w:szCs w:val="28"/>
        </w:rPr>
        <w:t xml:space="preserve"> del Ministero della Difesa, specializzata in acquisti ad altro contenuto tecnologico. </w:t>
      </w:r>
    </w:p>
    <w:p w14:paraId="001A6A21" w14:textId="3AE93650" w:rsidR="00B7700F" w:rsidRDefault="002E3664" w:rsidP="00794E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Ciò è emerso durante un’audizione alla Camera nell’ambito di un’indagine conoscitiva sulla digitalizzazione e interoperabilità delle banche dati fiscali, durante la quale il Ministro competente ha aggiunto che </w:t>
      </w:r>
      <w:r w:rsidR="0060123B">
        <w:rPr>
          <w:rFonts w:ascii="Times New Roman" w:eastAsia="Times New Roman" w:hAnsi="Times New Roman" w:cs="Times New Roman"/>
          <w:sz w:val="28"/>
          <w:szCs w:val="28"/>
        </w:rPr>
        <w:t>«</w:t>
      </w:r>
      <w:r w:rsidRPr="002E3664">
        <w:rPr>
          <w:rFonts w:ascii="Times New Roman" w:eastAsia="Times New Roman" w:hAnsi="Times New Roman" w:cs="Times New Roman"/>
          <w:i/>
          <w:iCs/>
          <w:sz w:val="28"/>
          <w:szCs w:val="28"/>
        </w:rPr>
        <w:t>entro la fine del 2022 prevediamo il collaudo della infrastruttura, mentre tra la fine del 2022 e il 2025, prevediamo di completare la migrazione dei dati della p.a.</w:t>
      </w:r>
      <w:r w:rsidR="0060123B">
        <w:rPr>
          <w:rFonts w:ascii="Times New Roman" w:eastAsia="Times New Roman" w:hAnsi="Times New Roman" w:cs="Times New Roman"/>
          <w:sz w:val="28"/>
          <w:szCs w:val="28"/>
        </w:rPr>
        <w:t>»</w:t>
      </w:r>
      <w:r w:rsidR="005D0E63">
        <w:rPr>
          <w:rStyle w:val="Rimandonotaapidipagina"/>
          <w:rFonts w:ascii="Times New Roman" w:eastAsia="Times New Roman" w:hAnsi="Times New Roman" w:cs="Times New Roman"/>
          <w:sz w:val="28"/>
          <w:szCs w:val="28"/>
        </w:rPr>
        <w:footnoteReference w:id="315"/>
      </w:r>
      <w:r w:rsidR="00B7700F">
        <w:rPr>
          <w:rFonts w:ascii="Times New Roman" w:eastAsia="Times New Roman" w:hAnsi="Times New Roman" w:cs="Times New Roman"/>
          <w:sz w:val="28"/>
          <w:szCs w:val="28"/>
        </w:rPr>
        <w:t>.</w:t>
      </w:r>
    </w:p>
    <w:p w14:paraId="767BBE10" w14:textId="51F6B6FB" w:rsidR="00B7700F" w:rsidRDefault="002E3664" w:rsidP="00794E7F">
      <w:pPr>
        <w:spacing w:after="0" w:line="240" w:lineRule="auto"/>
        <w:jc w:val="both"/>
        <w:rPr>
          <w:rFonts w:ascii="Times New Roman" w:eastAsia="Times New Roman" w:hAnsi="Times New Roman" w:cs="Times New Roman"/>
          <w:sz w:val="28"/>
          <w:szCs w:val="28"/>
        </w:rPr>
      </w:pPr>
      <w:r w:rsidRPr="002E3664">
        <w:rPr>
          <w:rFonts w:ascii="Times New Roman" w:eastAsia="Times New Roman" w:hAnsi="Times New Roman" w:cs="Times New Roman"/>
          <w:sz w:val="28"/>
          <w:szCs w:val="28"/>
        </w:rPr>
        <w:t>Per garantire</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continuità in questo periodo</w:t>
      </w:r>
      <w:r w:rsidR="00B770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il </w:t>
      </w:r>
      <w:r w:rsidR="00B7700F">
        <w:rPr>
          <w:rFonts w:ascii="Times New Roman" w:eastAsia="Times New Roman" w:hAnsi="Times New Roman" w:cs="Times New Roman"/>
          <w:sz w:val="28"/>
          <w:szCs w:val="28"/>
        </w:rPr>
        <w:t>M</w:t>
      </w:r>
      <w:r>
        <w:rPr>
          <w:rFonts w:ascii="Times New Roman" w:eastAsia="Times New Roman" w:hAnsi="Times New Roman" w:cs="Times New Roman"/>
          <w:sz w:val="28"/>
          <w:szCs w:val="28"/>
        </w:rPr>
        <w:t xml:space="preserve">inistro ha chiarito che </w:t>
      </w:r>
      <w:proofErr w:type="spellStart"/>
      <w:r w:rsidRPr="00B7700F">
        <w:rPr>
          <w:rFonts w:ascii="Times New Roman" w:eastAsia="Times New Roman" w:hAnsi="Times New Roman" w:cs="Times New Roman"/>
          <w:i/>
          <w:iCs/>
          <w:sz w:val="28"/>
          <w:szCs w:val="28"/>
        </w:rPr>
        <w:t>Sogei</w:t>
      </w:r>
      <w:proofErr w:type="spellEnd"/>
      <w:r>
        <w:rPr>
          <w:rFonts w:ascii="Times New Roman" w:eastAsia="Times New Roman" w:hAnsi="Times New Roman" w:cs="Times New Roman"/>
          <w:sz w:val="28"/>
          <w:szCs w:val="28"/>
        </w:rPr>
        <w:t xml:space="preserve">, società </w:t>
      </w:r>
      <w:r w:rsidRPr="00B7700F">
        <w:rPr>
          <w:rFonts w:ascii="Times New Roman" w:eastAsia="Times New Roman" w:hAnsi="Times New Roman" w:cs="Times New Roman"/>
          <w:i/>
          <w:iCs/>
          <w:sz w:val="28"/>
          <w:szCs w:val="28"/>
        </w:rPr>
        <w:t>in</w:t>
      </w:r>
      <w:r w:rsidR="00C63E24">
        <w:rPr>
          <w:rFonts w:ascii="Times New Roman" w:eastAsia="Times New Roman" w:hAnsi="Times New Roman" w:cs="Times New Roman"/>
          <w:i/>
          <w:iCs/>
          <w:sz w:val="28"/>
          <w:szCs w:val="28"/>
        </w:rPr>
        <w:t xml:space="preserve"> </w:t>
      </w:r>
      <w:proofErr w:type="spellStart"/>
      <w:r w:rsidRPr="00B7700F">
        <w:rPr>
          <w:rFonts w:ascii="Times New Roman" w:eastAsia="Times New Roman" w:hAnsi="Times New Roman" w:cs="Times New Roman"/>
          <w:i/>
          <w:iCs/>
          <w:sz w:val="28"/>
          <w:szCs w:val="28"/>
        </w:rPr>
        <w:t>house</w:t>
      </w:r>
      <w:proofErr w:type="spellEnd"/>
      <w:r>
        <w:rPr>
          <w:rFonts w:ascii="Times New Roman" w:eastAsia="Times New Roman" w:hAnsi="Times New Roman" w:cs="Times New Roman"/>
          <w:sz w:val="28"/>
          <w:szCs w:val="28"/>
        </w:rPr>
        <w:t xml:space="preserve"> controllata al 100% dal MEF, potrà continuare ad erogare i servizi </w:t>
      </w:r>
      <w:proofErr w:type="spellStart"/>
      <w:r w:rsidRPr="00B7700F">
        <w:rPr>
          <w:rFonts w:ascii="Times New Roman" w:eastAsia="Times New Roman" w:hAnsi="Times New Roman" w:cs="Times New Roman"/>
          <w:i/>
          <w:iCs/>
          <w:sz w:val="28"/>
          <w:szCs w:val="28"/>
        </w:rPr>
        <w:t>cloud</w:t>
      </w:r>
      <w:proofErr w:type="spellEnd"/>
      <w:r>
        <w:rPr>
          <w:rFonts w:ascii="Times New Roman" w:eastAsia="Times New Roman" w:hAnsi="Times New Roman" w:cs="Times New Roman"/>
          <w:sz w:val="28"/>
          <w:szCs w:val="28"/>
        </w:rPr>
        <w:t xml:space="preserve"> che già eroga a diverse amministrazioni sulla base delle convenzioni in essere.</w:t>
      </w:r>
      <w:r w:rsidR="00D40BF5">
        <w:rPr>
          <w:rFonts w:ascii="Times New Roman" w:eastAsia="Times New Roman" w:hAnsi="Times New Roman" w:cs="Times New Roman"/>
          <w:sz w:val="28"/>
          <w:szCs w:val="28"/>
        </w:rPr>
        <w:t xml:space="preserve"> Anche l’Agenzia Nazionale per la </w:t>
      </w:r>
      <w:proofErr w:type="spellStart"/>
      <w:r w:rsidR="00B7700F">
        <w:rPr>
          <w:rFonts w:ascii="Times New Roman" w:eastAsia="Times New Roman" w:hAnsi="Times New Roman" w:cs="Times New Roman"/>
          <w:sz w:val="28"/>
          <w:szCs w:val="28"/>
        </w:rPr>
        <w:t>Cybersicurezza</w:t>
      </w:r>
      <w:proofErr w:type="spellEnd"/>
      <w:r w:rsidR="00B7700F">
        <w:rPr>
          <w:rFonts w:ascii="Times New Roman" w:eastAsia="Times New Roman" w:hAnsi="Times New Roman" w:cs="Times New Roman"/>
          <w:sz w:val="28"/>
          <w:szCs w:val="28"/>
        </w:rPr>
        <w:t xml:space="preserve"> potrà</w:t>
      </w:r>
      <w:r w:rsidR="00D40BF5">
        <w:rPr>
          <w:rFonts w:ascii="Times New Roman" w:eastAsia="Times New Roman" w:hAnsi="Times New Roman" w:cs="Times New Roman"/>
          <w:sz w:val="28"/>
          <w:szCs w:val="28"/>
        </w:rPr>
        <w:t xml:space="preserve"> avvalersi di </w:t>
      </w:r>
      <w:proofErr w:type="spellStart"/>
      <w:r w:rsidR="00D40BF5" w:rsidRPr="00B7700F">
        <w:rPr>
          <w:rFonts w:ascii="Times New Roman" w:eastAsia="Times New Roman" w:hAnsi="Times New Roman" w:cs="Times New Roman"/>
          <w:i/>
          <w:iCs/>
          <w:sz w:val="28"/>
          <w:szCs w:val="28"/>
        </w:rPr>
        <w:t>Sogei</w:t>
      </w:r>
      <w:proofErr w:type="spellEnd"/>
      <w:r w:rsidR="00D40BF5">
        <w:rPr>
          <w:rFonts w:ascii="Times New Roman" w:eastAsia="Times New Roman" w:hAnsi="Times New Roman" w:cs="Times New Roman"/>
          <w:sz w:val="28"/>
          <w:szCs w:val="28"/>
        </w:rPr>
        <w:t xml:space="preserve"> per realizzare e gestire i propri sistemi informativi nelle more di realizzazione del piano. </w:t>
      </w:r>
    </w:p>
    <w:p w14:paraId="770B5FE2" w14:textId="77777777" w:rsidR="001F6D7A" w:rsidRDefault="00B7700F" w:rsidP="00794E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È </w:t>
      </w:r>
      <w:r w:rsidR="00D40BF5">
        <w:rPr>
          <w:rFonts w:ascii="Times New Roman" w:eastAsia="Times New Roman" w:hAnsi="Times New Roman" w:cs="Times New Roman"/>
          <w:sz w:val="28"/>
          <w:szCs w:val="28"/>
        </w:rPr>
        <w:t>opportuno che la gestione di tali processi di digitalizzazione resti nella “mano pubblica”</w:t>
      </w:r>
      <w:r>
        <w:rPr>
          <w:rFonts w:ascii="Times New Roman" w:eastAsia="Times New Roman" w:hAnsi="Times New Roman" w:cs="Times New Roman"/>
          <w:sz w:val="28"/>
          <w:szCs w:val="28"/>
        </w:rPr>
        <w:t xml:space="preserve"> e </w:t>
      </w:r>
      <w:r w:rsidR="00D40BF5">
        <w:rPr>
          <w:rFonts w:ascii="Times New Roman" w:eastAsia="Times New Roman" w:hAnsi="Times New Roman" w:cs="Times New Roman"/>
          <w:sz w:val="28"/>
          <w:szCs w:val="28"/>
        </w:rPr>
        <w:t>che vengano individuati i centri di imputazione delle responsabilità nell’attività di trattamento dei dati.</w:t>
      </w:r>
      <w:r>
        <w:rPr>
          <w:rFonts w:ascii="Times New Roman" w:eastAsia="Times New Roman" w:hAnsi="Times New Roman" w:cs="Times New Roman"/>
          <w:sz w:val="28"/>
          <w:szCs w:val="28"/>
        </w:rPr>
        <w:t xml:space="preserve"> </w:t>
      </w:r>
    </w:p>
    <w:p w14:paraId="2D6047E1" w14:textId="77777777" w:rsidR="001F6D7A" w:rsidRDefault="00B7700F" w:rsidP="00794E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È</w:t>
      </w:r>
      <w:r w:rsidR="007810CF">
        <w:rPr>
          <w:rFonts w:ascii="Times New Roman" w:eastAsia="Times New Roman" w:hAnsi="Times New Roman" w:cs="Times New Roman"/>
          <w:sz w:val="28"/>
          <w:szCs w:val="28"/>
        </w:rPr>
        <w:t xml:space="preserve"> importante</w:t>
      </w:r>
      <w:r w:rsidR="00D40BF5">
        <w:rPr>
          <w:rFonts w:ascii="Times New Roman" w:eastAsia="Times New Roman" w:hAnsi="Times New Roman" w:cs="Times New Roman"/>
          <w:sz w:val="28"/>
          <w:szCs w:val="28"/>
        </w:rPr>
        <w:t>, altresì,</w:t>
      </w:r>
      <w:r w:rsidR="007810CF">
        <w:rPr>
          <w:rFonts w:ascii="Times New Roman" w:eastAsia="Times New Roman" w:hAnsi="Times New Roman" w:cs="Times New Roman"/>
          <w:sz w:val="28"/>
          <w:szCs w:val="28"/>
        </w:rPr>
        <w:t xml:space="preserve"> che al centro di tale evoluzione digitale resti “</w:t>
      </w:r>
      <w:r w:rsidR="007810CF" w:rsidRPr="001F6D7A">
        <w:rPr>
          <w:rFonts w:ascii="Times New Roman" w:eastAsia="Times New Roman" w:hAnsi="Times New Roman" w:cs="Times New Roman"/>
          <w:i/>
          <w:iCs/>
          <w:sz w:val="28"/>
          <w:szCs w:val="28"/>
        </w:rPr>
        <w:t>il valore dell’uomo</w:t>
      </w:r>
      <w:r w:rsidR="007810CF">
        <w:rPr>
          <w:rFonts w:ascii="Times New Roman" w:eastAsia="Times New Roman" w:hAnsi="Times New Roman" w:cs="Times New Roman"/>
          <w:sz w:val="28"/>
          <w:szCs w:val="28"/>
        </w:rPr>
        <w:t>”, inteso sempre come fine, e mai come mezzo</w:t>
      </w:r>
      <w:r w:rsidR="00D40BF5">
        <w:rPr>
          <w:rFonts w:ascii="Times New Roman" w:eastAsia="Times New Roman" w:hAnsi="Times New Roman" w:cs="Times New Roman"/>
          <w:sz w:val="28"/>
          <w:szCs w:val="28"/>
        </w:rPr>
        <w:t xml:space="preserve">. </w:t>
      </w:r>
    </w:p>
    <w:p w14:paraId="75787011" w14:textId="77777777" w:rsidR="0011169E" w:rsidRDefault="00D40BF5" w:rsidP="00794E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tal riguardo</w:t>
      </w:r>
      <w:r w:rsidR="00A535D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è opportuno ricordare che il termine “</w:t>
      </w:r>
      <w:r w:rsidRPr="001F6D7A">
        <w:rPr>
          <w:rFonts w:ascii="Times New Roman" w:eastAsia="Times New Roman" w:hAnsi="Times New Roman" w:cs="Times New Roman"/>
          <w:i/>
          <w:iCs/>
          <w:sz w:val="28"/>
          <w:szCs w:val="28"/>
        </w:rPr>
        <w:t>robot</w:t>
      </w:r>
      <w:r>
        <w:rPr>
          <w:rFonts w:ascii="Times New Roman" w:eastAsia="Times New Roman" w:hAnsi="Times New Roman" w:cs="Times New Roman"/>
          <w:sz w:val="28"/>
          <w:szCs w:val="28"/>
        </w:rPr>
        <w:t>” deriva etimologicamente dalla lingua serba e significa</w:t>
      </w:r>
      <w:r w:rsidR="00A535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lavoro forzato”. </w:t>
      </w:r>
    </w:p>
    <w:p w14:paraId="066714E0" w14:textId="46E8FD81" w:rsidR="00A535D5" w:rsidRDefault="00D40BF5" w:rsidP="00794E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Viene in </w:t>
      </w:r>
      <w:r w:rsidR="00A535D5">
        <w:rPr>
          <w:rFonts w:ascii="Times New Roman" w:eastAsia="Times New Roman" w:hAnsi="Times New Roman" w:cs="Times New Roman"/>
          <w:sz w:val="28"/>
          <w:szCs w:val="28"/>
        </w:rPr>
        <w:t>mente la</w:t>
      </w:r>
      <w:r>
        <w:rPr>
          <w:rFonts w:ascii="Times New Roman" w:eastAsia="Times New Roman" w:hAnsi="Times New Roman" w:cs="Times New Roman"/>
          <w:sz w:val="28"/>
          <w:szCs w:val="28"/>
        </w:rPr>
        <w:t xml:space="preserve"> “</w:t>
      </w:r>
      <w:r w:rsidRPr="00A535D5">
        <w:rPr>
          <w:rFonts w:ascii="Times New Roman" w:eastAsia="Times New Roman" w:hAnsi="Times New Roman" w:cs="Times New Roman"/>
          <w:i/>
          <w:iCs/>
          <w:sz w:val="28"/>
          <w:szCs w:val="28"/>
        </w:rPr>
        <w:t>Fenomenologia dello Spirito</w:t>
      </w:r>
      <w:r>
        <w:rPr>
          <w:rFonts w:ascii="Times New Roman" w:eastAsia="Times New Roman" w:hAnsi="Times New Roman" w:cs="Times New Roman"/>
          <w:sz w:val="28"/>
          <w:szCs w:val="28"/>
        </w:rPr>
        <w:t xml:space="preserve">” di </w:t>
      </w:r>
      <w:proofErr w:type="spellStart"/>
      <w:r>
        <w:rPr>
          <w:rFonts w:ascii="Times New Roman" w:eastAsia="Times New Roman" w:hAnsi="Times New Roman" w:cs="Times New Roman"/>
          <w:sz w:val="28"/>
          <w:szCs w:val="28"/>
        </w:rPr>
        <w:t>Hegel</w:t>
      </w:r>
      <w:proofErr w:type="spellEnd"/>
      <w:r>
        <w:rPr>
          <w:rFonts w:ascii="Times New Roman" w:eastAsia="Times New Roman" w:hAnsi="Times New Roman" w:cs="Times New Roman"/>
          <w:sz w:val="28"/>
          <w:szCs w:val="28"/>
        </w:rPr>
        <w:t>, nella dinamica servo-padrone: l’algoritmo è il nuovo padrone delle nostre vite.</w:t>
      </w:r>
    </w:p>
    <w:p w14:paraId="2D7DF51E" w14:textId="1CC24200" w:rsidR="0060123B" w:rsidRDefault="001F333F" w:rsidP="00794E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 è vero che </w:t>
      </w:r>
      <w:r w:rsidR="00AF17F1">
        <w:rPr>
          <w:rFonts w:ascii="Times New Roman" w:eastAsia="Times New Roman" w:hAnsi="Times New Roman" w:cs="Times New Roman"/>
          <w:sz w:val="28"/>
          <w:szCs w:val="28"/>
        </w:rPr>
        <w:t>le “parole sono azioni”, come affermava Ludwig Wittgenstein</w:t>
      </w:r>
      <w:r w:rsidR="002842F2">
        <w:rPr>
          <w:rFonts w:ascii="Times New Roman" w:eastAsia="Times New Roman" w:hAnsi="Times New Roman" w:cs="Times New Roman"/>
          <w:sz w:val="28"/>
          <w:szCs w:val="28"/>
        </w:rPr>
        <w:t>, nel suo “</w:t>
      </w:r>
      <w:proofErr w:type="spellStart"/>
      <w:r w:rsidR="002842F2" w:rsidRPr="00A16B9A">
        <w:rPr>
          <w:rFonts w:ascii="Times New Roman" w:eastAsia="Times New Roman" w:hAnsi="Times New Roman" w:cs="Times New Roman"/>
          <w:i/>
          <w:iCs/>
          <w:sz w:val="28"/>
          <w:szCs w:val="28"/>
        </w:rPr>
        <w:t>Tractatus</w:t>
      </w:r>
      <w:proofErr w:type="spellEnd"/>
      <w:r w:rsidR="002842F2" w:rsidRPr="00A16B9A">
        <w:rPr>
          <w:rFonts w:ascii="Times New Roman" w:eastAsia="Times New Roman" w:hAnsi="Times New Roman" w:cs="Times New Roman"/>
          <w:i/>
          <w:iCs/>
          <w:sz w:val="28"/>
          <w:szCs w:val="28"/>
        </w:rPr>
        <w:t xml:space="preserve"> logico-</w:t>
      </w:r>
      <w:proofErr w:type="spellStart"/>
      <w:r w:rsidR="002842F2" w:rsidRPr="00A16B9A">
        <w:rPr>
          <w:rFonts w:ascii="Times New Roman" w:eastAsia="Times New Roman" w:hAnsi="Times New Roman" w:cs="Times New Roman"/>
          <w:i/>
          <w:iCs/>
          <w:sz w:val="28"/>
          <w:szCs w:val="28"/>
        </w:rPr>
        <w:t>philosophicus</w:t>
      </w:r>
      <w:proofErr w:type="spellEnd"/>
      <w:r w:rsidR="002842F2" w:rsidRPr="0060123B">
        <w:rPr>
          <w:rFonts w:ascii="Times New Roman" w:eastAsia="Times New Roman" w:hAnsi="Times New Roman" w:cs="Times New Roman"/>
          <w:sz w:val="28"/>
          <w:szCs w:val="28"/>
        </w:rPr>
        <w:t>”</w:t>
      </w:r>
      <w:r w:rsidR="00405BCC" w:rsidRPr="00A16B9A">
        <w:rPr>
          <w:rFonts w:ascii="Times New Roman" w:eastAsia="Times New Roman" w:hAnsi="Times New Roman" w:cs="Times New Roman"/>
          <w:i/>
          <w:iCs/>
          <w:sz w:val="28"/>
          <w:szCs w:val="28"/>
        </w:rPr>
        <w:t xml:space="preserve"> </w:t>
      </w:r>
      <w:r w:rsidR="00A16B9A" w:rsidRPr="00A16B9A">
        <w:rPr>
          <w:rFonts w:ascii="Times New Roman" w:eastAsia="Times New Roman" w:hAnsi="Times New Roman" w:cs="Times New Roman"/>
          <w:sz w:val="28"/>
          <w:szCs w:val="28"/>
        </w:rPr>
        <w:t>del 1921</w:t>
      </w:r>
      <w:r w:rsidR="00A16B9A">
        <w:rPr>
          <w:rFonts w:ascii="Times New Roman" w:eastAsia="Times New Roman" w:hAnsi="Times New Roman" w:cs="Times New Roman"/>
          <w:sz w:val="28"/>
          <w:szCs w:val="28"/>
        </w:rPr>
        <w:t>, il lingu</w:t>
      </w:r>
      <w:r w:rsidR="00B56DE9">
        <w:rPr>
          <w:rFonts w:ascii="Times New Roman" w:eastAsia="Times New Roman" w:hAnsi="Times New Roman" w:cs="Times New Roman"/>
          <w:sz w:val="28"/>
          <w:szCs w:val="28"/>
        </w:rPr>
        <w:t>aggio diventa strumento dinamico</w:t>
      </w:r>
      <w:r w:rsidR="0060123B">
        <w:rPr>
          <w:rFonts w:ascii="Times New Roman" w:eastAsia="Times New Roman" w:hAnsi="Times New Roman" w:cs="Times New Roman"/>
          <w:sz w:val="28"/>
          <w:szCs w:val="28"/>
        </w:rPr>
        <w:t xml:space="preserve"> – </w:t>
      </w:r>
      <w:r w:rsidR="00B56DE9">
        <w:rPr>
          <w:rFonts w:ascii="Times New Roman" w:eastAsia="Times New Roman" w:hAnsi="Times New Roman" w:cs="Times New Roman"/>
          <w:sz w:val="28"/>
          <w:szCs w:val="28"/>
        </w:rPr>
        <w:t>e non statico</w:t>
      </w:r>
      <w:r w:rsidR="0060123B">
        <w:rPr>
          <w:rFonts w:ascii="Times New Roman" w:eastAsia="Times New Roman" w:hAnsi="Times New Roman" w:cs="Times New Roman"/>
          <w:sz w:val="28"/>
          <w:szCs w:val="28"/>
        </w:rPr>
        <w:t xml:space="preserve"> –</w:t>
      </w:r>
      <w:r w:rsidR="00B56DE9">
        <w:rPr>
          <w:rFonts w:ascii="Times New Roman" w:eastAsia="Times New Roman" w:hAnsi="Times New Roman" w:cs="Times New Roman"/>
          <w:sz w:val="28"/>
          <w:szCs w:val="28"/>
        </w:rPr>
        <w:t xml:space="preserve"> di descrizione dell’evoluzione culturale di una società.</w:t>
      </w:r>
      <w:r w:rsidR="00562122">
        <w:rPr>
          <w:rFonts w:ascii="Times New Roman" w:eastAsia="Times New Roman" w:hAnsi="Times New Roman" w:cs="Times New Roman"/>
          <w:sz w:val="28"/>
          <w:szCs w:val="28"/>
        </w:rPr>
        <w:t xml:space="preserve"> I termini che si utilizzano costituiscono l’espressione concreta di un’astrazione concettuale che si traduce</w:t>
      </w:r>
      <w:r w:rsidR="00E13EA8">
        <w:rPr>
          <w:rFonts w:ascii="Times New Roman" w:eastAsia="Times New Roman" w:hAnsi="Times New Roman" w:cs="Times New Roman"/>
          <w:sz w:val="28"/>
          <w:szCs w:val="28"/>
        </w:rPr>
        <w:t xml:space="preserve"> nell’implicita accettazione di un comune sentire sociale e culturale. </w:t>
      </w:r>
    </w:p>
    <w:p w14:paraId="39A36580" w14:textId="77777777" w:rsidR="0060123B" w:rsidRDefault="00C00E93" w:rsidP="00794E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Non è un caso che John </w:t>
      </w:r>
      <w:proofErr w:type="spellStart"/>
      <w:r>
        <w:rPr>
          <w:rFonts w:ascii="Times New Roman" w:eastAsia="Times New Roman" w:hAnsi="Times New Roman" w:cs="Times New Roman"/>
          <w:sz w:val="28"/>
          <w:szCs w:val="28"/>
        </w:rPr>
        <w:t>Langslaw</w:t>
      </w:r>
      <w:proofErr w:type="spellEnd"/>
      <w:r>
        <w:rPr>
          <w:rFonts w:ascii="Times New Roman" w:eastAsia="Times New Roman" w:hAnsi="Times New Roman" w:cs="Times New Roman"/>
          <w:sz w:val="28"/>
          <w:szCs w:val="28"/>
        </w:rPr>
        <w:t xml:space="preserve"> Austin</w:t>
      </w:r>
      <w:r w:rsidR="00892503">
        <w:rPr>
          <w:rFonts w:ascii="Times New Roman" w:eastAsia="Times New Roman" w:hAnsi="Times New Roman" w:cs="Times New Roman"/>
          <w:sz w:val="28"/>
          <w:szCs w:val="28"/>
        </w:rPr>
        <w:t>, altro grande filosofo del Novecento,</w:t>
      </w:r>
      <w:r w:rsidR="007E2F79">
        <w:rPr>
          <w:rFonts w:ascii="Times New Roman" w:eastAsia="Times New Roman" w:hAnsi="Times New Roman" w:cs="Times New Roman"/>
          <w:sz w:val="28"/>
          <w:szCs w:val="28"/>
        </w:rPr>
        <w:t xml:space="preserve"> </w:t>
      </w:r>
      <w:r w:rsidR="00892503">
        <w:rPr>
          <w:rFonts w:ascii="Times New Roman" w:eastAsia="Times New Roman" w:hAnsi="Times New Roman" w:cs="Times New Roman"/>
          <w:sz w:val="28"/>
          <w:szCs w:val="28"/>
        </w:rPr>
        <w:t>indicasse con il termine “</w:t>
      </w:r>
      <w:proofErr w:type="spellStart"/>
      <w:r w:rsidR="00892503" w:rsidRPr="00892503">
        <w:rPr>
          <w:rFonts w:ascii="Times New Roman" w:eastAsia="Times New Roman" w:hAnsi="Times New Roman" w:cs="Times New Roman"/>
          <w:i/>
          <w:iCs/>
          <w:sz w:val="28"/>
          <w:szCs w:val="28"/>
        </w:rPr>
        <w:t>speech</w:t>
      </w:r>
      <w:proofErr w:type="spellEnd"/>
      <w:r w:rsidR="00892503" w:rsidRPr="00892503">
        <w:rPr>
          <w:rFonts w:ascii="Times New Roman" w:eastAsia="Times New Roman" w:hAnsi="Times New Roman" w:cs="Times New Roman"/>
          <w:i/>
          <w:iCs/>
          <w:sz w:val="28"/>
          <w:szCs w:val="28"/>
        </w:rPr>
        <w:t xml:space="preserve"> </w:t>
      </w:r>
      <w:proofErr w:type="spellStart"/>
      <w:r w:rsidR="00892503" w:rsidRPr="00892503">
        <w:rPr>
          <w:rFonts w:ascii="Times New Roman" w:eastAsia="Times New Roman" w:hAnsi="Times New Roman" w:cs="Times New Roman"/>
          <w:i/>
          <w:iCs/>
          <w:sz w:val="28"/>
          <w:szCs w:val="28"/>
        </w:rPr>
        <w:t>act</w:t>
      </w:r>
      <w:proofErr w:type="spellEnd"/>
      <w:r w:rsidR="00892503" w:rsidRPr="0060123B">
        <w:rPr>
          <w:rFonts w:ascii="Times New Roman" w:eastAsia="Times New Roman" w:hAnsi="Times New Roman" w:cs="Times New Roman"/>
          <w:sz w:val="28"/>
          <w:szCs w:val="28"/>
        </w:rPr>
        <w:t>”</w:t>
      </w:r>
      <w:r w:rsidR="00562122">
        <w:rPr>
          <w:rFonts w:ascii="Times New Roman" w:eastAsia="Times New Roman" w:hAnsi="Times New Roman" w:cs="Times New Roman"/>
          <w:sz w:val="28"/>
          <w:szCs w:val="28"/>
        </w:rPr>
        <w:t xml:space="preserve"> </w:t>
      </w:r>
      <w:r w:rsidR="000471D1">
        <w:rPr>
          <w:rFonts w:ascii="Times New Roman" w:eastAsia="Times New Roman" w:hAnsi="Times New Roman" w:cs="Times New Roman"/>
          <w:sz w:val="28"/>
          <w:szCs w:val="28"/>
        </w:rPr>
        <w:t>il dinamismo descrittivo delle parole che innesta processi sociali e culturali in continuo divenire.</w:t>
      </w:r>
      <w:r w:rsidR="007E2F79">
        <w:rPr>
          <w:rFonts w:ascii="Times New Roman" w:eastAsia="Times New Roman" w:hAnsi="Times New Roman" w:cs="Times New Roman"/>
          <w:sz w:val="28"/>
          <w:szCs w:val="28"/>
        </w:rPr>
        <w:t xml:space="preserve"> </w:t>
      </w:r>
    </w:p>
    <w:p w14:paraId="7352221D" w14:textId="6EA16D45" w:rsidR="002B0B83" w:rsidRPr="00A16B9A" w:rsidRDefault="007E2F79" w:rsidP="00794E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questo senso</w:t>
      </w:r>
      <w:r w:rsidR="006012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utilizzare nel linguaggio </w:t>
      </w:r>
      <w:r w:rsidR="005473EE">
        <w:rPr>
          <w:rFonts w:ascii="Times New Roman" w:eastAsia="Times New Roman" w:hAnsi="Times New Roman" w:cs="Times New Roman"/>
          <w:sz w:val="28"/>
          <w:szCs w:val="28"/>
        </w:rPr>
        <w:t>comune</w:t>
      </w:r>
      <w:r w:rsidR="0060123B">
        <w:rPr>
          <w:rFonts w:ascii="Times New Roman" w:eastAsia="Times New Roman" w:hAnsi="Times New Roman" w:cs="Times New Roman"/>
          <w:sz w:val="28"/>
          <w:szCs w:val="28"/>
        </w:rPr>
        <w:t>,</w:t>
      </w:r>
      <w:r w:rsidR="005473EE">
        <w:rPr>
          <w:rFonts w:ascii="Times New Roman" w:eastAsia="Times New Roman" w:hAnsi="Times New Roman" w:cs="Times New Roman"/>
          <w:sz w:val="28"/>
          <w:szCs w:val="28"/>
        </w:rPr>
        <w:t xml:space="preserve"> sempre più frequentemente</w:t>
      </w:r>
      <w:r w:rsidR="0060123B">
        <w:rPr>
          <w:rFonts w:ascii="Times New Roman" w:eastAsia="Times New Roman" w:hAnsi="Times New Roman" w:cs="Times New Roman"/>
          <w:sz w:val="28"/>
          <w:szCs w:val="28"/>
        </w:rPr>
        <w:t>,</w:t>
      </w:r>
      <w:r w:rsidR="005473EE">
        <w:rPr>
          <w:rFonts w:ascii="Times New Roman" w:eastAsia="Times New Roman" w:hAnsi="Times New Roman" w:cs="Times New Roman"/>
          <w:sz w:val="28"/>
          <w:szCs w:val="28"/>
        </w:rPr>
        <w:t xml:space="preserve"> termini come “decisioni robotizzate”</w:t>
      </w:r>
      <w:r w:rsidR="00F80D76">
        <w:rPr>
          <w:rFonts w:ascii="Times New Roman" w:eastAsia="Times New Roman" w:hAnsi="Times New Roman" w:cs="Times New Roman"/>
          <w:sz w:val="28"/>
          <w:szCs w:val="28"/>
        </w:rPr>
        <w:t>,</w:t>
      </w:r>
      <w:r w:rsidR="00694D81">
        <w:rPr>
          <w:rFonts w:ascii="Times New Roman" w:eastAsia="Times New Roman" w:hAnsi="Times New Roman" w:cs="Times New Roman"/>
          <w:sz w:val="28"/>
          <w:szCs w:val="28"/>
        </w:rPr>
        <w:t xml:space="preserve"> nel campo del diritto, della medicina</w:t>
      </w:r>
      <w:r w:rsidR="0026570E">
        <w:rPr>
          <w:rFonts w:ascii="Times New Roman" w:eastAsia="Times New Roman" w:hAnsi="Times New Roman" w:cs="Times New Roman"/>
          <w:sz w:val="28"/>
          <w:szCs w:val="28"/>
        </w:rPr>
        <w:t xml:space="preserve"> e delle altre applicazioni</w:t>
      </w:r>
      <w:r w:rsidR="0060123B">
        <w:rPr>
          <w:rFonts w:ascii="Times New Roman" w:eastAsia="Times New Roman" w:hAnsi="Times New Roman" w:cs="Times New Roman"/>
          <w:sz w:val="28"/>
          <w:szCs w:val="28"/>
        </w:rPr>
        <w:t>,</w:t>
      </w:r>
      <w:r w:rsidR="0026570E">
        <w:rPr>
          <w:rFonts w:ascii="Times New Roman" w:eastAsia="Times New Roman" w:hAnsi="Times New Roman" w:cs="Times New Roman"/>
          <w:sz w:val="28"/>
          <w:szCs w:val="28"/>
        </w:rPr>
        <w:t xml:space="preserve"> </w:t>
      </w:r>
      <w:r w:rsidR="0060123B">
        <w:rPr>
          <w:rFonts w:ascii="Times New Roman" w:eastAsia="Times New Roman" w:hAnsi="Times New Roman" w:cs="Times New Roman"/>
          <w:sz w:val="28"/>
          <w:szCs w:val="28"/>
        </w:rPr>
        <w:t>in</w:t>
      </w:r>
      <w:r w:rsidR="0026570E">
        <w:rPr>
          <w:rFonts w:ascii="Times New Roman" w:eastAsia="Times New Roman" w:hAnsi="Times New Roman" w:cs="Times New Roman"/>
          <w:sz w:val="28"/>
          <w:szCs w:val="28"/>
        </w:rPr>
        <w:t xml:space="preserve"> ogni aspetto della nostra vita </w:t>
      </w:r>
      <w:r w:rsidR="0060123B">
        <w:rPr>
          <w:rFonts w:ascii="Times New Roman" w:eastAsia="Times New Roman" w:hAnsi="Times New Roman" w:cs="Times New Roman"/>
          <w:sz w:val="28"/>
          <w:szCs w:val="28"/>
        </w:rPr>
        <w:t>quotidiana</w:t>
      </w:r>
      <w:r w:rsidR="0026570E">
        <w:rPr>
          <w:rFonts w:ascii="Times New Roman" w:eastAsia="Times New Roman" w:hAnsi="Times New Roman" w:cs="Times New Roman"/>
          <w:sz w:val="28"/>
          <w:szCs w:val="28"/>
        </w:rPr>
        <w:t xml:space="preserve">, </w:t>
      </w:r>
      <w:r w:rsidR="00F80D76">
        <w:rPr>
          <w:rFonts w:ascii="Times New Roman" w:eastAsia="Times New Roman" w:hAnsi="Times New Roman" w:cs="Times New Roman"/>
          <w:sz w:val="28"/>
          <w:szCs w:val="28"/>
        </w:rPr>
        <w:t>accende</w:t>
      </w:r>
      <w:r w:rsidR="00694D81">
        <w:rPr>
          <w:rFonts w:ascii="Times New Roman" w:eastAsia="Times New Roman" w:hAnsi="Times New Roman" w:cs="Times New Roman"/>
          <w:sz w:val="28"/>
          <w:szCs w:val="28"/>
        </w:rPr>
        <w:t xml:space="preserve"> un </w:t>
      </w:r>
      <w:proofErr w:type="spellStart"/>
      <w:r w:rsidR="00694D81" w:rsidRPr="0026570E">
        <w:rPr>
          <w:rFonts w:ascii="Times New Roman" w:eastAsia="Times New Roman" w:hAnsi="Times New Roman" w:cs="Times New Roman"/>
          <w:i/>
          <w:iCs/>
          <w:sz w:val="28"/>
          <w:szCs w:val="28"/>
        </w:rPr>
        <w:t>alert</w:t>
      </w:r>
      <w:proofErr w:type="spellEnd"/>
      <w:r w:rsidR="00694D81">
        <w:rPr>
          <w:rFonts w:ascii="Times New Roman" w:eastAsia="Times New Roman" w:hAnsi="Times New Roman" w:cs="Times New Roman"/>
          <w:sz w:val="28"/>
          <w:szCs w:val="28"/>
        </w:rPr>
        <w:t>,</w:t>
      </w:r>
      <w:r w:rsidR="00F80D76">
        <w:rPr>
          <w:rFonts w:ascii="Times New Roman" w:eastAsia="Times New Roman" w:hAnsi="Times New Roman" w:cs="Times New Roman"/>
          <w:sz w:val="28"/>
          <w:szCs w:val="28"/>
        </w:rPr>
        <w:t xml:space="preserve"> il campanello di allarme</w:t>
      </w:r>
      <w:r w:rsidR="00712B5A">
        <w:rPr>
          <w:rFonts w:ascii="Times New Roman" w:eastAsia="Times New Roman" w:hAnsi="Times New Roman" w:cs="Times New Roman"/>
          <w:sz w:val="28"/>
          <w:szCs w:val="28"/>
        </w:rPr>
        <w:t xml:space="preserve"> di elevata intensità</w:t>
      </w:r>
      <w:r w:rsidR="00F80D76">
        <w:rPr>
          <w:rFonts w:ascii="Times New Roman" w:eastAsia="Times New Roman" w:hAnsi="Times New Roman" w:cs="Times New Roman"/>
          <w:sz w:val="28"/>
          <w:szCs w:val="28"/>
        </w:rPr>
        <w:t xml:space="preserve"> sul graduale assoggettamento dell’uomo alla macchina</w:t>
      </w:r>
      <w:r w:rsidR="00D64DDD">
        <w:rPr>
          <w:rFonts w:ascii="Times New Roman" w:eastAsia="Times New Roman" w:hAnsi="Times New Roman" w:cs="Times New Roman"/>
          <w:sz w:val="28"/>
          <w:szCs w:val="28"/>
        </w:rPr>
        <w:t>.</w:t>
      </w:r>
    </w:p>
    <w:p w14:paraId="623569F2" w14:textId="2E90A3CF" w:rsidR="00F0743D" w:rsidRPr="00F0743D" w:rsidRDefault="00F0743D" w:rsidP="00F0743D">
      <w:pPr>
        <w:spacing w:after="0" w:line="240" w:lineRule="auto"/>
        <w:jc w:val="both"/>
        <w:rPr>
          <w:rFonts w:ascii="Times New Roman" w:eastAsia="Times New Roman" w:hAnsi="Times New Roman" w:cs="Times New Roman"/>
          <w:sz w:val="28"/>
          <w:szCs w:val="28"/>
        </w:rPr>
      </w:pPr>
      <w:r w:rsidRPr="00F0743D">
        <w:rPr>
          <w:rFonts w:ascii="Times New Roman" w:eastAsia="Times New Roman" w:hAnsi="Times New Roman" w:cs="Times New Roman"/>
          <w:sz w:val="28"/>
          <w:szCs w:val="28"/>
        </w:rPr>
        <w:lastRenderedPageBreak/>
        <w:t>Come spiega l’autrice Kate Crawford nel suo ultimo libro</w:t>
      </w:r>
      <w:r>
        <w:rPr>
          <w:rStyle w:val="Rimandonotaapidipagina"/>
          <w:rFonts w:ascii="Times New Roman" w:eastAsia="Times New Roman" w:hAnsi="Times New Roman" w:cs="Times New Roman"/>
          <w:sz w:val="28"/>
          <w:szCs w:val="28"/>
        </w:rPr>
        <w:footnoteReference w:id="316"/>
      </w:r>
      <w:r w:rsidRPr="00F0743D">
        <w:rPr>
          <w:rFonts w:ascii="Times New Roman" w:eastAsia="Times New Roman" w:hAnsi="Times New Roman" w:cs="Times New Roman"/>
          <w:sz w:val="28"/>
          <w:szCs w:val="28"/>
        </w:rPr>
        <w:t>, la tecnologia sta diventando sempre più promiscua: l’intelligenza artificiale non è solo un</w:t>
      </w:r>
      <w:r w:rsidR="0011169E">
        <w:rPr>
          <w:rFonts w:ascii="Times New Roman" w:eastAsia="Times New Roman" w:hAnsi="Times New Roman" w:cs="Times New Roman"/>
          <w:sz w:val="28"/>
          <w:szCs w:val="28"/>
        </w:rPr>
        <w:t>’</w:t>
      </w:r>
      <w:r w:rsidRPr="00F0743D">
        <w:rPr>
          <w:rFonts w:ascii="Times New Roman" w:eastAsia="Times New Roman" w:hAnsi="Times New Roman" w:cs="Times New Roman"/>
          <w:sz w:val="28"/>
          <w:szCs w:val="28"/>
        </w:rPr>
        <w:t>invenzione di supporto di cui usufruire, ma è una vera e propria «</w:t>
      </w:r>
      <w:r w:rsidRPr="00F0743D">
        <w:rPr>
          <w:rFonts w:ascii="Times New Roman" w:eastAsia="Times New Roman" w:hAnsi="Times New Roman" w:cs="Times New Roman"/>
          <w:i/>
          <w:iCs/>
          <w:sz w:val="28"/>
          <w:szCs w:val="28"/>
        </w:rPr>
        <w:t>idea, un’infrastruttura, un’industria, una forma di esercizio del potere e un modo di vedere le cose … un attore nella formazione della conoscenza, nella comunicazione e nel potere</w:t>
      </w:r>
      <w:r w:rsidRPr="00F0743D">
        <w:rPr>
          <w:rFonts w:ascii="Times New Roman" w:eastAsia="Times New Roman" w:hAnsi="Times New Roman" w:cs="Times New Roman"/>
          <w:sz w:val="28"/>
          <w:szCs w:val="28"/>
        </w:rPr>
        <w:t>». I computer, le macchine, i robot, gli algoritmi non sono solo concetti astratti, bensì vere e proprie «</w:t>
      </w:r>
      <w:r w:rsidRPr="00F0743D">
        <w:rPr>
          <w:rFonts w:ascii="Times New Roman" w:eastAsia="Times New Roman" w:hAnsi="Times New Roman" w:cs="Times New Roman"/>
          <w:i/>
          <w:iCs/>
          <w:sz w:val="28"/>
          <w:szCs w:val="28"/>
        </w:rPr>
        <w:t>infrastrutture fisiche che stanno rimodellando la Terra, modificando contemporaneamente il modo in cui vediamo e comprendiamo il mondo</w:t>
      </w:r>
      <w:r w:rsidRPr="00F0743D">
        <w:rPr>
          <w:rFonts w:ascii="Times New Roman" w:eastAsia="Times New Roman" w:hAnsi="Times New Roman" w:cs="Times New Roman"/>
          <w:sz w:val="28"/>
          <w:szCs w:val="28"/>
        </w:rPr>
        <w:t>».</w:t>
      </w:r>
    </w:p>
    <w:p w14:paraId="596879EC" w14:textId="10A06B3D" w:rsidR="00F0743D" w:rsidRDefault="00F0743D" w:rsidP="00F0743D">
      <w:pPr>
        <w:spacing w:after="0" w:line="240" w:lineRule="auto"/>
        <w:jc w:val="both"/>
        <w:rPr>
          <w:rFonts w:ascii="Times New Roman" w:eastAsia="Times New Roman" w:hAnsi="Times New Roman" w:cs="Times New Roman"/>
          <w:sz w:val="28"/>
          <w:szCs w:val="28"/>
        </w:rPr>
      </w:pPr>
      <w:r w:rsidRPr="00F0743D">
        <w:rPr>
          <w:rFonts w:ascii="Times New Roman" w:eastAsia="Times New Roman" w:hAnsi="Times New Roman" w:cs="Times New Roman"/>
          <w:sz w:val="28"/>
          <w:szCs w:val="28"/>
        </w:rPr>
        <w:t xml:space="preserve">Si tratta di una rivoluzione </w:t>
      </w:r>
      <w:r w:rsidR="0011169E">
        <w:rPr>
          <w:rFonts w:ascii="Times New Roman" w:eastAsia="Times New Roman" w:hAnsi="Times New Roman" w:cs="Times New Roman"/>
          <w:sz w:val="28"/>
          <w:szCs w:val="28"/>
        </w:rPr>
        <w:t>n</w:t>
      </w:r>
      <w:r w:rsidRPr="00F0743D">
        <w:rPr>
          <w:rFonts w:ascii="Times New Roman" w:eastAsia="Times New Roman" w:hAnsi="Times New Roman" w:cs="Times New Roman"/>
          <w:sz w:val="28"/>
          <w:szCs w:val="28"/>
        </w:rPr>
        <w:t xml:space="preserve">el modo di concepire il mondo intorno a noi, e il nostro compito allora diventa quello di </w:t>
      </w:r>
      <w:r>
        <w:rPr>
          <w:rFonts w:ascii="Times New Roman" w:eastAsia="Times New Roman" w:hAnsi="Times New Roman" w:cs="Times New Roman"/>
          <w:sz w:val="28"/>
          <w:szCs w:val="28"/>
        </w:rPr>
        <w:t>“</w:t>
      </w:r>
      <w:r w:rsidRPr="00F0743D">
        <w:rPr>
          <w:rFonts w:ascii="Times New Roman" w:eastAsia="Times New Roman" w:hAnsi="Times New Roman" w:cs="Times New Roman"/>
          <w:sz w:val="28"/>
          <w:szCs w:val="28"/>
        </w:rPr>
        <w:t>rimanere con i piedi per terra</w:t>
      </w:r>
      <w:r>
        <w:rPr>
          <w:rFonts w:ascii="Times New Roman" w:eastAsia="Times New Roman" w:hAnsi="Times New Roman" w:cs="Times New Roman"/>
          <w:sz w:val="28"/>
          <w:szCs w:val="28"/>
        </w:rPr>
        <w:t>”</w:t>
      </w:r>
      <w:r w:rsidRPr="00F0743D">
        <w:rPr>
          <w:rFonts w:ascii="Times New Roman" w:eastAsia="Times New Roman" w:hAnsi="Times New Roman" w:cs="Times New Roman"/>
          <w:sz w:val="28"/>
          <w:szCs w:val="28"/>
        </w:rPr>
        <w:t xml:space="preserve"> per osservare, studiare e comprendere le riconfigurazioni che si stanno verificando «</w:t>
      </w:r>
      <w:r w:rsidRPr="00F0743D">
        <w:rPr>
          <w:rFonts w:ascii="Times New Roman" w:eastAsia="Times New Roman" w:hAnsi="Times New Roman" w:cs="Times New Roman"/>
          <w:i/>
          <w:iCs/>
          <w:sz w:val="28"/>
          <w:szCs w:val="28"/>
        </w:rPr>
        <w:t>a livello di epistemologia, principi di giustizia, organizzazione sociale, espressione politica, cultura, concezione del corpo umano, soggettività e identità: cosa siamo e cosa possiamo essere</w:t>
      </w:r>
      <w:r w:rsidRPr="00F0743D">
        <w:rPr>
          <w:rFonts w:ascii="Times New Roman" w:eastAsia="Times New Roman" w:hAnsi="Times New Roman" w:cs="Times New Roman"/>
          <w:sz w:val="28"/>
          <w:szCs w:val="28"/>
        </w:rPr>
        <w:t xml:space="preserve">». </w:t>
      </w:r>
    </w:p>
    <w:p w14:paraId="362E5496" w14:textId="2BF46236" w:rsidR="00F0743D" w:rsidRPr="00F0743D" w:rsidRDefault="00F0743D" w:rsidP="00F0743D">
      <w:pPr>
        <w:spacing w:after="0" w:line="240" w:lineRule="auto"/>
        <w:jc w:val="both"/>
        <w:rPr>
          <w:rFonts w:ascii="Times New Roman" w:eastAsia="Times New Roman" w:hAnsi="Times New Roman" w:cs="Times New Roman"/>
          <w:sz w:val="28"/>
          <w:szCs w:val="28"/>
        </w:rPr>
      </w:pPr>
      <w:r w:rsidRPr="00F0743D">
        <w:rPr>
          <w:rFonts w:ascii="Times New Roman" w:eastAsia="Times New Roman" w:hAnsi="Times New Roman" w:cs="Times New Roman"/>
          <w:sz w:val="28"/>
          <w:szCs w:val="28"/>
        </w:rPr>
        <w:t>Bisogna comprendere che l’intelligenza artificiale è politica condotta con altri mezzi; è arrivato il momento di confrontarci con l’IA come forza politica, economica, culturale e scientifica.</w:t>
      </w:r>
    </w:p>
    <w:p w14:paraId="4FA73C7D" w14:textId="68E2588A" w:rsidR="001F6D7A" w:rsidRDefault="00F0743D" w:rsidP="00F0743D">
      <w:pPr>
        <w:spacing w:after="0" w:line="240" w:lineRule="auto"/>
        <w:jc w:val="both"/>
        <w:rPr>
          <w:rFonts w:ascii="Times New Roman" w:eastAsia="Times New Roman" w:hAnsi="Times New Roman" w:cs="Times New Roman"/>
          <w:sz w:val="28"/>
          <w:szCs w:val="28"/>
        </w:rPr>
      </w:pPr>
      <w:r w:rsidRPr="00F0743D">
        <w:rPr>
          <w:rFonts w:ascii="Times New Roman" w:eastAsia="Times New Roman" w:hAnsi="Times New Roman" w:cs="Times New Roman"/>
          <w:sz w:val="28"/>
          <w:szCs w:val="28"/>
        </w:rPr>
        <w:t xml:space="preserve">Come osservato da </w:t>
      </w:r>
      <w:proofErr w:type="spellStart"/>
      <w:r w:rsidRPr="00F0743D">
        <w:rPr>
          <w:rFonts w:ascii="Times New Roman" w:eastAsia="Times New Roman" w:hAnsi="Times New Roman" w:cs="Times New Roman"/>
          <w:sz w:val="28"/>
          <w:szCs w:val="28"/>
        </w:rPr>
        <w:t>Alondra</w:t>
      </w:r>
      <w:proofErr w:type="spellEnd"/>
      <w:r w:rsidRPr="00F0743D">
        <w:rPr>
          <w:rFonts w:ascii="Times New Roman" w:eastAsia="Times New Roman" w:hAnsi="Times New Roman" w:cs="Times New Roman"/>
          <w:sz w:val="28"/>
          <w:szCs w:val="28"/>
        </w:rPr>
        <w:t xml:space="preserve"> Nelson, Thuy </w:t>
      </w:r>
      <w:proofErr w:type="spellStart"/>
      <w:r w:rsidRPr="00F0743D">
        <w:rPr>
          <w:rFonts w:ascii="Times New Roman" w:eastAsia="Times New Roman" w:hAnsi="Times New Roman" w:cs="Times New Roman"/>
          <w:sz w:val="28"/>
          <w:szCs w:val="28"/>
        </w:rPr>
        <w:t>Linh</w:t>
      </w:r>
      <w:proofErr w:type="spellEnd"/>
      <w:r w:rsidRPr="00F0743D">
        <w:rPr>
          <w:rFonts w:ascii="Times New Roman" w:eastAsia="Times New Roman" w:hAnsi="Times New Roman" w:cs="Times New Roman"/>
          <w:sz w:val="28"/>
          <w:szCs w:val="28"/>
        </w:rPr>
        <w:t xml:space="preserve"> Tu e Alicia </w:t>
      </w:r>
      <w:proofErr w:type="spellStart"/>
      <w:r w:rsidRPr="00F0743D">
        <w:rPr>
          <w:rFonts w:ascii="Times New Roman" w:eastAsia="Times New Roman" w:hAnsi="Times New Roman" w:cs="Times New Roman"/>
          <w:sz w:val="28"/>
          <w:szCs w:val="28"/>
        </w:rPr>
        <w:t>Headlam</w:t>
      </w:r>
      <w:proofErr w:type="spellEnd"/>
      <w:r w:rsidRPr="00F0743D">
        <w:rPr>
          <w:rFonts w:ascii="Times New Roman" w:eastAsia="Times New Roman" w:hAnsi="Times New Roman" w:cs="Times New Roman"/>
          <w:sz w:val="28"/>
          <w:szCs w:val="28"/>
        </w:rPr>
        <w:t xml:space="preserve"> </w:t>
      </w:r>
      <w:proofErr w:type="spellStart"/>
      <w:r w:rsidRPr="00F0743D">
        <w:rPr>
          <w:rFonts w:ascii="Times New Roman" w:eastAsia="Times New Roman" w:hAnsi="Times New Roman" w:cs="Times New Roman"/>
          <w:sz w:val="28"/>
          <w:szCs w:val="28"/>
        </w:rPr>
        <w:t>Hines</w:t>
      </w:r>
      <w:proofErr w:type="spellEnd"/>
      <w:r w:rsidRPr="00F0743D">
        <w:rPr>
          <w:rFonts w:ascii="Times New Roman" w:eastAsia="Times New Roman" w:hAnsi="Times New Roman" w:cs="Times New Roman"/>
          <w:sz w:val="28"/>
          <w:szCs w:val="28"/>
        </w:rPr>
        <w:t>, «</w:t>
      </w:r>
      <w:r w:rsidRPr="00F0743D">
        <w:rPr>
          <w:rFonts w:ascii="Times New Roman" w:eastAsia="Times New Roman" w:hAnsi="Times New Roman" w:cs="Times New Roman"/>
          <w:i/>
          <w:iCs/>
          <w:sz w:val="28"/>
          <w:szCs w:val="28"/>
        </w:rPr>
        <w:t>le controversie in campo tecnologico sono sempre collegate a lotte più ampie per la mobilità economica, a questioni politiche e alla costruzione di comunità»</w:t>
      </w:r>
      <w:r w:rsidR="006F7E78">
        <w:rPr>
          <w:rStyle w:val="Rimandonotaapidipagina"/>
          <w:rFonts w:ascii="Times New Roman" w:eastAsia="Times New Roman" w:hAnsi="Times New Roman" w:cs="Times New Roman"/>
          <w:sz w:val="28"/>
          <w:szCs w:val="28"/>
        </w:rPr>
        <w:footnoteReference w:id="317"/>
      </w:r>
      <w:r w:rsidRPr="00F0743D">
        <w:rPr>
          <w:rFonts w:ascii="Times New Roman" w:eastAsia="Times New Roman" w:hAnsi="Times New Roman" w:cs="Times New Roman"/>
          <w:i/>
          <w:iCs/>
          <w:sz w:val="28"/>
          <w:szCs w:val="28"/>
        </w:rPr>
        <w:t xml:space="preserve"> </w:t>
      </w:r>
      <w:r w:rsidRPr="00F0743D">
        <w:rPr>
          <w:rFonts w:ascii="Times New Roman" w:eastAsia="Times New Roman" w:hAnsi="Times New Roman" w:cs="Times New Roman"/>
          <w:sz w:val="28"/>
          <w:szCs w:val="28"/>
        </w:rPr>
        <w:t>e come scrive Ursula Franklin,</w:t>
      </w:r>
      <w:r w:rsidRPr="00F0743D">
        <w:rPr>
          <w:rFonts w:ascii="Times New Roman" w:eastAsia="Times New Roman" w:hAnsi="Times New Roman" w:cs="Times New Roman"/>
          <w:i/>
          <w:iCs/>
          <w:sz w:val="28"/>
          <w:szCs w:val="28"/>
        </w:rPr>
        <w:t xml:space="preserve"> </w:t>
      </w:r>
      <w:r w:rsidRPr="00F0743D">
        <w:rPr>
          <w:rFonts w:ascii="Times New Roman" w:eastAsia="Times New Roman" w:hAnsi="Times New Roman" w:cs="Times New Roman"/>
          <w:sz w:val="28"/>
          <w:szCs w:val="28"/>
        </w:rPr>
        <w:t>«</w:t>
      </w:r>
      <w:r w:rsidRPr="00F0743D">
        <w:rPr>
          <w:rFonts w:ascii="Times New Roman" w:eastAsia="Times New Roman" w:hAnsi="Times New Roman" w:cs="Times New Roman"/>
          <w:i/>
          <w:iCs/>
          <w:sz w:val="28"/>
          <w:szCs w:val="28"/>
        </w:rPr>
        <w:t>la fattibilità della tecnologia, come la democrazia, dipende alla fin fine dalla pratica della giustizia e dall’imposizione di limiti al potere</w:t>
      </w:r>
      <w:r w:rsidRPr="00F0743D">
        <w:rPr>
          <w:rFonts w:ascii="Times New Roman" w:eastAsia="Times New Roman" w:hAnsi="Times New Roman" w:cs="Times New Roman"/>
          <w:sz w:val="28"/>
          <w:szCs w:val="28"/>
        </w:rPr>
        <w:t>»</w:t>
      </w:r>
      <w:r w:rsidR="006F7E78">
        <w:rPr>
          <w:rStyle w:val="Rimandonotaapidipagina"/>
          <w:rFonts w:ascii="Times New Roman" w:eastAsia="Times New Roman" w:hAnsi="Times New Roman" w:cs="Times New Roman"/>
          <w:sz w:val="28"/>
          <w:szCs w:val="28"/>
        </w:rPr>
        <w:footnoteReference w:id="318"/>
      </w:r>
      <w:r w:rsidRPr="00F0743D">
        <w:rPr>
          <w:rFonts w:ascii="Times New Roman" w:eastAsia="Times New Roman" w:hAnsi="Times New Roman" w:cs="Times New Roman"/>
          <w:sz w:val="28"/>
          <w:szCs w:val="28"/>
        </w:rPr>
        <w:t>.</w:t>
      </w:r>
    </w:p>
    <w:p w14:paraId="09E26F05" w14:textId="44C7CEDA" w:rsidR="00155068" w:rsidRDefault="00155068" w:rsidP="00F0743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tutela della democrazia è basata sulla conoscenza, intesa come </w:t>
      </w:r>
      <w:r w:rsidRPr="00EE4695">
        <w:rPr>
          <w:rFonts w:ascii="Times New Roman" w:eastAsia="Times New Roman" w:hAnsi="Times New Roman" w:cs="Times New Roman"/>
          <w:i/>
          <w:iCs/>
          <w:sz w:val="28"/>
          <w:szCs w:val="28"/>
        </w:rPr>
        <w:t xml:space="preserve">episteme </w:t>
      </w:r>
      <w:r>
        <w:rPr>
          <w:rFonts w:ascii="Times New Roman" w:eastAsia="Times New Roman" w:hAnsi="Times New Roman" w:cs="Times New Roman"/>
          <w:sz w:val="28"/>
          <w:szCs w:val="28"/>
        </w:rPr>
        <w:t xml:space="preserve">e non come </w:t>
      </w:r>
      <w:proofErr w:type="spellStart"/>
      <w:r w:rsidRPr="00EE4695">
        <w:rPr>
          <w:rFonts w:ascii="Times New Roman" w:eastAsia="Times New Roman" w:hAnsi="Times New Roman" w:cs="Times New Roman"/>
          <w:i/>
          <w:iCs/>
          <w:sz w:val="28"/>
          <w:szCs w:val="28"/>
        </w:rPr>
        <w:t>doxa</w:t>
      </w:r>
      <w:proofErr w:type="spellEnd"/>
      <w:r w:rsidR="00E807FF" w:rsidRPr="00EE4695">
        <w:rPr>
          <w:rFonts w:ascii="Times New Roman" w:eastAsia="Times New Roman" w:hAnsi="Times New Roman" w:cs="Times New Roman"/>
          <w:i/>
          <w:iCs/>
          <w:sz w:val="28"/>
          <w:szCs w:val="28"/>
        </w:rPr>
        <w:t>,</w:t>
      </w:r>
      <w:r w:rsidR="00D64DDD">
        <w:rPr>
          <w:rFonts w:ascii="Times New Roman" w:eastAsia="Times New Roman" w:hAnsi="Times New Roman" w:cs="Times New Roman"/>
          <w:i/>
          <w:iCs/>
          <w:sz w:val="28"/>
          <w:szCs w:val="28"/>
        </w:rPr>
        <w:t xml:space="preserve"> </w:t>
      </w:r>
      <w:r w:rsidR="00EE67D4">
        <w:rPr>
          <w:rFonts w:ascii="Times New Roman" w:eastAsia="Times New Roman" w:hAnsi="Times New Roman" w:cs="Times New Roman"/>
          <w:sz w:val="28"/>
          <w:szCs w:val="28"/>
        </w:rPr>
        <w:t xml:space="preserve">come opinione </w:t>
      </w:r>
      <w:r w:rsidR="0011753A">
        <w:rPr>
          <w:rFonts w:ascii="Times New Roman" w:eastAsia="Times New Roman" w:hAnsi="Times New Roman" w:cs="Times New Roman"/>
          <w:sz w:val="28"/>
          <w:szCs w:val="28"/>
        </w:rPr>
        <w:t>volatile</w:t>
      </w:r>
      <w:r w:rsidR="00D64DDD">
        <w:rPr>
          <w:rFonts w:ascii="Times New Roman" w:eastAsia="Times New Roman" w:hAnsi="Times New Roman" w:cs="Times New Roman"/>
          <w:sz w:val="28"/>
          <w:szCs w:val="28"/>
        </w:rPr>
        <w:t>,</w:t>
      </w:r>
      <w:r w:rsidR="00E807FF">
        <w:rPr>
          <w:rFonts w:ascii="Times New Roman" w:eastAsia="Times New Roman" w:hAnsi="Times New Roman" w:cs="Times New Roman"/>
          <w:sz w:val="28"/>
          <w:szCs w:val="28"/>
        </w:rPr>
        <w:t xml:space="preserve"> volendo usare termini dell’antica Grecia</w:t>
      </w:r>
      <w:r w:rsidR="00EE67D4">
        <w:rPr>
          <w:rFonts w:ascii="Times New Roman" w:eastAsia="Times New Roman" w:hAnsi="Times New Roman" w:cs="Times New Roman"/>
          <w:sz w:val="28"/>
          <w:szCs w:val="28"/>
        </w:rPr>
        <w:t>: la conoscenza si nutre di concetti, dal latino “</w:t>
      </w:r>
      <w:proofErr w:type="spellStart"/>
      <w:r w:rsidR="00EE67D4" w:rsidRPr="00EE67D4">
        <w:rPr>
          <w:rFonts w:ascii="Times New Roman" w:eastAsia="Times New Roman" w:hAnsi="Times New Roman" w:cs="Times New Roman"/>
          <w:i/>
          <w:iCs/>
          <w:sz w:val="28"/>
          <w:szCs w:val="28"/>
        </w:rPr>
        <w:t>cumcapio</w:t>
      </w:r>
      <w:proofErr w:type="spellEnd"/>
      <w:r w:rsidR="00EE67D4" w:rsidRPr="00D64DDD">
        <w:rPr>
          <w:rFonts w:ascii="Times New Roman" w:eastAsia="Times New Roman" w:hAnsi="Times New Roman" w:cs="Times New Roman"/>
          <w:sz w:val="28"/>
          <w:szCs w:val="28"/>
        </w:rPr>
        <w:t xml:space="preserve">”, </w:t>
      </w:r>
      <w:r w:rsidR="00EE67D4">
        <w:rPr>
          <w:rFonts w:ascii="Times New Roman" w:eastAsia="Times New Roman" w:hAnsi="Times New Roman" w:cs="Times New Roman"/>
          <w:sz w:val="28"/>
          <w:szCs w:val="28"/>
        </w:rPr>
        <w:t>prendere insieme</w:t>
      </w:r>
      <w:r w:rsidR="003075D2">
        <w:rPr>
          <w:rFonts w:ascii="Times New Roman" w:eastAsia="Times New Roman" w:hAnsi="Times New Roman" w:cs="Times New Roman"/>
          <w:sz w:val="28"/>
          <w:szCs w:val="28"/>
        </w:rPr>
        <w:t xml:space="preserve"> elementi</w:t>
      </w:r>
      <w:r w:rsidR="00742AFE">
        <w:rPr>
          <w:rFonts w:ascii="Times New Roman" w:eastAsia="Times New Roman" w:hAnsi="Times New Roman" w:cs="Times New Roman"/>
          <w:sz w:val="28"/>
          <w:szCs w:val="28"/>
        </w:rPr>
        <w:t xml:space="preserve"> della realtà</w:t>
      </w:r>
      <w:r w:rsidR="0011753A">
        <w:rPr>
          <w:rFonts w:ascii="Times New Roman" w:eastAsia="Times New Roman" w:hAnsi="Times New Roman" w:cs="Times New Roman"/>
          <w:sz w:val="28"/>
          <w:szCs w:val="28"/>
        </w:rPr>
        <w:t xml:space="preserve"> per giungere al </w:t>
      </w:r>
      <w:proofErr w:type="spellStart"/>
      <w:r w:rsidR="0011753A" w:rsidRPr="00EE4695">
        <w:rPr>
          <w:rFonts w:ascii="Times New Roman" w:eastAsia="Times New Roman" w:hAnsi="Times New Roman" w:cs="Times New Roman"/>
          <w:i/>
          <w:iCs/>
          <w:sz w:val="28"/>
          <w:szCs w:val="28"/>
        </w:rPr>
        <w:t>conceptus</w:t>
      </w:r>
      <w:proofErr w:type="spellEnd"/>
      <w:r w:rsidR="0011753A" w:rsidRPr="00EE4695">
        <w:rPr>
          <w:rFonts w:ascii="Times New Roman" w:eastAsia="Times New Roman" w:hAnsi="Times New Roman" w:cs="Times New Roman"/>
          <w:i/>
          <w:iCs/>
          <w:sz w:val="28"/>
          <w:szCs w:val="28"/>
        </w:rPr>
        <w:t>,</w:t>
      </w:r>
      <w:r w:rsidR="0011753A">
        <w:rPr>
          <w:rFonts w:ascii="Times New Roman" w:eastAsia="Times New Roman" w:hAnsi="Times New Roman" w:cs="Times New Roman"/>
          <w:sz w:val="28"/>
          <w:szCs w:val="28"/>
        </w:rPr>
        <w:t xml:space="preserve"> al pensiero</w:t>
      </w:r>
      <w:r w:rsidR="00EE4695">
        <w:rPr>
          <w:rFonts w:ascii="Times New Roman" w:eastAsia="Times New Roman" w:hAnsi="Times New Roman" w:cs="Times New Roman"/>
          <w:sz w:val="28"/>
          <w:szCs w:val="28"/>
        </w:rPr>
        <w:t xml:space="preserve"> critico</w:t>
      </w:r>
      <w:r w:rsidR="0011753A">
        <w:rPr>
          <w:rFonts w:ascii="Times New Roman" w:eastAsia="Times New Roman" w:hAnsi="Times New Roman" w:cs="Times New Roman"/>
          <w:sz w:val="28"/>
          <w:szCs w:val="28"/>
        </w:rPr>
        <w:t xml:space="preserve"> concepito e ragionato.</w:t>
      </w:r>
    </w:p>
    <w:p w14:paraId="1BA4D76A" w14:textId="26F95FE2" w:rsidR="00F0743D" w:rsidRDefault="00D40BF5" w:rsidP="00794E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 giurista deve</w:t>
      </w:r>
      <w:r w:rsidR="00F0743D">
        <w:rPr>
          <w:rFonts w:ascii="Times New Roman" w:eastAsia="Times New Roman" w:hAnsi="Times New Roman" w:cs="Times New Roman"/>
          <w:sz w:val="28"/>
          <w:szCs w:val="28"/>
        </w:rPr>
        <w:t xml:space="preserve"> allora</w:t>
      </w:r>
      <w:r w:rsidR="00B46291">
        <w:rPr>
          <w:rFonts w:ascii="Times New Roman" w:eastAsia="Times New Roman" w:hAnsi="Times New Roman" w:cs="Times New Roman"/>
          <w:sz w:val="28"/>
          <w:szCs w:val="28"/>
        </w:rPr>
        <w:t xml:space="preserve"> concepire il pensiero critico</w:t>
      </w:r>
      <w:r w:rsidR="00742AFE">
        <w:rPr>
          <w:rFonts w:ascii="Times New Roman" w:eastAsia="Times New Roman" w:hAnsi="Times New Roman" w:cs="Times New Roman"/>
          <w:sz w:val="28"/>
          <w:szCs w:val="28"/>
        </w:rPr>
        <w:t xml:space="preserve">, osservando la realtà digitale </w:t>
      </w:r>
      <w:r w:rsidR="00E85DB8">
        <w:rPr>
          <w:rFonts w:ascii="Times New Roman" w:eastAsia="Times New Roman" w:hAnsi="Times New Roman" w:cs="Times New Roman"/>
          <w:sz w:val="28"/>
          <w:szCs w:val="28"/>
        </w:rPr>
        <w:t>con intelligenza (dal latino “</w:t>
      </w:r>
      <w:proofErr w:type="spellStart"/>
      <w:r w:rsidR="00E85DB8" w:rsidRPr="009C0039">
        <w:rPr>
          <w:rFonts w:ascii="Times New Roman" w:eastAsia="Times New Roman" w:hAnsi="Times New Roman" w:cs="Times New Roman"/>
          <w:i/>
          <w:iCs/>
          <w:sz w:val="28"/>
          <w:szCs w:val="28"/>
        </w:rPr>
        <w:t>intuslegis</w:t>
      </w:r>
      <w:proofErr w:type="spellEnd"/>
      <w:r w:rsidR="00E85DB8">
        <w:rPr>
          <w:rFonts w:ascii="Times New Roman" w:eastAsia="Times New Roman" w:hAnsi="Times New Roman" w:cs="Times New Roman"/>
          <w:sz w:val="28"/>
          <w:szCs w:val="28"/>
        </w:rPr>
        <w:t>” leggere dentro le cose)</w:t>
      </w:r>
      <w:r w:rsidR="00405B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saper cogliere la complessità</w:t>
      </w:r>
      <w:r w:rsidR="00B352E3">
        <w:rPr>
          <w:rFonts w:ascii="Times New Roman" w:eastAsia="Times New Roman" w:hAnsi="Times New Roman" w:cs="Times New Roman"/>
          <w:sz w:val="28"/>
          <w:szCs w:val="28"/>
        </w:rPr>
        <w:t xml:space="preserve">, </w:t>
      </w:r>
      <w:r w:rsidR="00DF77E2">
        <w:rPr>
          <w:rFonts w:ascii="Times New Roman" w:eastAsia="Times New Roman" w:hAnsi="Times New Roman" w:cs="Times New Roman"/>
          <w:sz w:val="28"/>
          <w:szCs w:val="28"/>
        </w:rPr>
        <w:t>le</w:t>
      </w:r>
      <w:r w:rsidR="00A30211">
        <w:rPr>
          <w:rFonts w:ascii="Times New Roman" w:eastAsia="Times New Roman" w:hAnsi="Times New Roman" w:cs="Times New Roman"/>
          <w:sz w:val="28"/>
          <w:szCs w:val="28"/>
        </w:rPr>
        <w:t xml:space="preserve"> straordinarie</w:t>
      </w:r>
      <w:r w:rsidR="00DF77E2">
        <w:rPr>
          <w:rFonts w:ascii="Times New Roman" w:eastAsia="Times New Roman" w:hAnsi="Times New Roman" w:cs="Times New Roman"/>
          <w:sz w:val="28"/>
          <w:szCs w:val="28"/>
        </w:rPr>
        <w:t xml:space="preserve"> </w:t>
      </w:r>
      <w:r w:rsidR="00D64DDD">
        <w:rPr>
          <w:rFonts w:ascii="Times New Roman" w:eastAsia="Times New Roman" w:hAnsi="Times New Roman" w:cs="Times New Roman"/>
          <w:sz w:val="28"/>
          <w:szCs w:val="28"/>
        </w:rPr>
        <w:t>opportunità,</w:t>
      </w:r>
      <w:r w:rsidR="00DF77E2">
        <w:rPr>
          <w:rFonts w:ascii="Times New Roman" w:eastAsia="Times New Roman" w:hAnsi="Times New Roman" w:cs="Times New Roman"/>
          <w:sz w:val="28"/>
          <w:szCs w:val="28"/>
        </w:rPr>
        <w:t xml:space="preserve"> ma anche i pericoli </w:t>
      </w:r>
      <w:r w:rsidR="001F3CB2">
        <w:rPr>
          <w:rFonts w:ascii="Times New Roman" w:eastAsia="Times New Roman" w:hAnsi="Times New Roman" w:cs="Times New Roman"/>
          <w:sz w:val="28"/>
          <w:szCs w:val="28"/>
        </w:rPr>
        <w:t>dell’intelligenza artificiale</w:t>
      </w:r>
      <w:r w:rsidR="008B1EF2">
        <w:rPr>
          <w:rFonts w:ascii="Times New Roman" w:eastAsia="Times New Roman" w:hAnsi="Times New Roman" w:cs="Times New Roman"/>
          <w:sz w:val="28"/>
          <w:szCs w:val="28"/>
        </w:rPr>
        <w:t xml:space="preserve"> che sta invadendo le nostre </w:t>
      </w:r>
      <w:r w:rsidR="00D64DDD">
        <w:rPr>
          <w:rFonts w:ascii="Times New Roman" w:eastAsia="Times New Roman" w:hAnsi="Times New Roman" w:cs="Times New Roman"/>
          <w:sz w:val="28"/>
          <w:szCs w:val="28"/>
        </w:rPr>
        <w:t>vite,</w:t>
      </w:r>
      <w:r>
        <w:rPr>
          <w:rFonts w:ascii="Times New Roman" w:eastAsia="Times New Roman" w:hAnsi="Times New Roman" w:cs="Times New Roman"/>
          <w:sz w:val="28"/>
          <w:szCs w:val="28"/>
        </w:rPr>
        <w:t xml:space="preserve"> indica</w:t>
      </w:r>
      <w:r w:rsidR="00A30211">
        <w:rPr>
          <w:rFonts w:ascii="Times New Roman" w:eastAsia="Times New Roman" w:hAnsi="Times New Roman" w:cs="Times New Roman"/>
          <w:sz w:val="28"/>
          <w:szCs w:val="28"/>
        </w:rPr>
        <w:t>ndo</w:t>
      </w:r>
      <w:r>
        <w:rPr>
          <w:rFonts w:ascii="Times New Roman" w:eastAsia="Times New Roman" w:hAnsi="Times New Roman" w:cs="Times New Roman"/>
          <w:sz w:val="28"/>
          <w:szCs w:val="28"/>
        </w:rPr>
        <w:t xml:space="preserve"> le linee evolutive di un’</w:t>
      </w:r>
      <w:r w:rsidR="001F3CB2">
        <w:rPr>
          <w:rFonts w:ascii="Times New Roman" w:eastAsia="Times New Roman" w:hAnsi="Times New Roman" w:cs="Times New Roman"/>
          <w:sz w:val="28"/>
          <w:szCs w:val="28"/>
        </w:rPr>
        <w:t>equilibrata</w:t>
      </w:r>
      <w:r>
        <w:rPr>
          <w:rFonts w:ascii="Times New Roman" w:eastAsia="Times New Roman" w:hAnsi="Times New Roman" w:cs="Times New Roman"/>
          <w:sz w:val="28"/>
          <w:szCs w:val="28"/>
        </w:rPr>
        <w:t xml:space="preserve"> e lungimirante regolamentazione che sia capace di coniugare il progresso tecnologico con il concetto di “</w:t>
      </w:r>
      <w:proofErr w:type="spellStart"/>
      <w:r w:rsidRPr="00D40BF5">
        <w:rPr>
          <w:rFonts w:ascii="Times New Roman" w:eastAsia="Times New Roman" w:hAnsi="Times New Roman" w:cs="Times New Roman"/>
          <w:i/>
          <w:iCs/>
          <w:sz w:val="28"/>
          <w:szCs w:val="28"/>
        </w:rPr>
        <w:t>humanitas</w:t>
      </w:r>
      <w:proofErr w:type="spellEnd"/>
      <w:r w:rsidR="00A535D5" w:rsidRPr="00F0743D">
        <w:rPr>
          <w:rFonts w:ascii="Times New Roman" w:eastAsia="Times New Roman" w:hAnsi="Times New Roman" w:cs="Times New Roman"/>
          <w:sz w:val="28"/>
          <w:szCs w:val="28"/>
        </w:rPr>
        <w:t xml:space="preserve">”. </w:t>
      </w:r>
    </w:p>
    <w:p w14:paraId="47A2F4C8" w14:textId="51222921" w:rsidR="00F0692D" w:rsidRDefault="00A535D5" w:rsidP="00F069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È </w:t>
      </w:r>
      <w:r w:rsidR="00D40BF5" w:rsidRPr="00D40BF5">
        <w:rPr>
          <w:rFonts w:ascii="Times New Roman" w:eastAsia="Times New Roman" w:hAnsi="Times New Roman" w:cs="Times New Roman"/>
          <w:sz w:val="28"/>
          <w:szCs w:val="28"/>
        </w:rPr>
        <w:t>questa la grande sfida che dovrà affrontare nel prossimo futuro.</w:t>
      </w:r>
    </w:p>
    <w:p w14:paraId="2690BAB8" w14:textId="1957F59E" w:rsidR="00265619" w:rsidRDefault="00265619" w:rsidP="00F0692D">
      <w:pPr>
        <w:spacing w:after="0" w:line="240" w:lineRule="auto"/>
        <w:jc w:val="both"/>
        <w:rPr>
          <w:rFonts w:ascii="Times New Roman" w:eastAsia="Times New Roman" w:hAnsi="Times New Roman" w:cs="Times New Roman"/>
          <w:sz w:val="28"/>
          <w:szCs w:val="28"/>
        </w:rPr>
      </w:pPr>
    </w:p>
    <w:p w14:paraId="5E7680E5" w14:textId="033BAA83" w:rsidR="00265619" w:rsidRDefault="00265619" w:rsidP="00F0692D">
      <w:pPr>
        <w:spacing w:after="0" w:line="240" w:lineRule="auto"/>
        <w:jc w:val="both"/>
        <w:rPr>
          <w:rFonts w:ascii="Times New Roman" w:eastAsia="Times New Roman" w:hAnsi="Times New Roman" w:cs="Times New Roman"/>
          <w:sz w:val="28"/>
          <w:szCs w:val="28"/>
        </w:rPr>
      </w:pPr>
    </w:p>
    <w:p w14:paraId="2309047C" w14:textId="2BFDD8ED" w:rsidR="00265619" w:rsidRDefault="00265619" w:rsidP="00F0692D">
      <w:pPr>
        <w:spacing w:after="0" w:line="240" w:lineRule="auto"/>
        <w:jc w:val="both"/>
        <w:rPr>
          <w:rFonts w:ascii="Times New Roman" w:eastAsia="Times New Roman" w:hAnsi="Times New Roman" w:cs="Times New Roman"/>
          <w:sz w:val="28"/>
          <w:szCs w:val="28"/>
        </w:rPr>
      </w:pPr>
    </w:p>
    <w:p w14:paraId="4477B857" w14:textId="12AD417C" w:rsidR="00265619" w:rsidRDefault="0026561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B52A0C4" w14:textId="6BEE3FDD" w:rsidR="0053175F" w:rsidRPr="0053175F" w:rsidRDefault="00265619" w:rsidP="0053175F">
      <w:pPr>
        <w:spacing w:after="0" w:line="240" w:lineRule="auto"/>
        <w:jc w:val="both"/>
        <w:rPr>
          <w:rFonts w:ascii="Times New Roman" w:hAnsi="Times New Roman" w:cs="Times New Roman"/>
          <w:b/>
          <w:bCs/>
          <w:sz w:val="32"/>
          <w:szCs w:val="32"/>
        </w:rPr>
      </w:pPr>
      <w:r w:rsidRPr="00265619">
        <w:rPr>
          <w:rFonts w:ascii="Times New Roman" w:hAnsi="Times New Roman" w:cs="Times New Roman"/>
          <w:b/>
          <w:bCs/>
          <w:sz w:val="32"/>
          <w:szCs w:val="32"/>
        </w:rPr>
        <w:lastRenderedPageBreak/>
        <w:t>Bibliografia</w:t>
      </w:r>
    </w:p>
    <w:p w14:paraId="5A4B243C" w14:textId="77777777" w:rsidR="00265619" w:rsidRPr="0053175F" w:rsidRDefault="00265619" w:rsidP="0053175F">
      <w:pPr>
        <w:spacing w:before="100" w:beforeAutospacing="1" w:after="100" w:afterAutospacing="1" w:line="240" w:lineRule="auto"/>
        <w:jc w:val="both"/>
        <w:rPr>
          <w:rFonts w:ascii="Times New Roman" w:hAnsi="Times New Roman" w:cs="Times New Roman"/>
          <w:color w:val="000000" w:themeColor="text1"/>
          <w:sz w:val="28"/>
          <w:szCs w:val="28"/>
        </w:rPr>
      </w:pPr>
      <w:r w:rsidRPr="0053175F">
        <w:rPr>
          <w:rFonts w:ascii="Times New Roman" w:hAnsi="Times New Roman" w:cs="Times New Roman"/>
          <w:smallCaps/>
          <w:color w:val="000000" w:themeColor="text1"/>
          <w:sz w:val="28"/>
          <w:szCs w:val="28"/>
        </w:rPr>
        <w:t>M.</w:t>
      </w:r>
      <w:r w:rsidRPr="0053175F">
        <w:rPr>
          <w:rFonts w:ascii="Times New Roman" w:hAnsi="Times New Roman" w:cs="Times New Roman"/>
          <w:color w:val="000000" w:themeColor="text1"/>
          <w:sz w:val="28"/>
          <w:szCs w:val="28"/>
        </w:rPr>
        <w:t xml:space="preserve"> </w:t>
      </w:r>
      <w:proofErr w:type="spellStart"/>
      <w:r w:rsidRPr="0053175F">
        <w:rPr>
          <w:rFonts w:ascii="Times New Roman" w:hAnsi="Times New Roman" w:cs="Times New Roman"/>
          <w:smallCaps/>
          <w:color w:val="000000" w:themeColor="text1"/>
          <w:sz w:val="28"/>
          <w:szCs w:val="28"/>
        </w:rPr>
        <w:t>Adinolfi</w:t>
      </w:r>
      <w:proofErr w:type="spellEnd"/>
      <w:r w:rsidRPr="0053175F">
        <w:rPr>
          <w:rFonts w:ascii="Times New Roman" w:hAnsi="Times New Roman" w:cs="Times New Roman"/>
          <w:smallCaps/>
          <w:color w:val="000000" w:themeColor="text1"/>
          <w:sz w:val="28"/>
          <w:szCs w:val="28"/>
        </w:rPr>
        <w:t xml:space="preserve">, </w:t>
      </w:r>
      <w:r w:rsidRPr="0053175F">
        <w:rPr>
          <w:rFonts w:ascii="Times New Roman" w:hAnsi="Times New Roman" w:cs="Times New Roman"/>
          <w:color w:val="000000" w:themeColor="text1"/>
          <w:sz w:val="28"/>
          <w:szCs w:val="28"/>
        </w:rPr>
        <w:t>“</w:t>
      </w:r>
      <w:r w:rsidRPr="0053175F">
        <w:rPr>
          <w:rFonts w:ascii="Times New Roman" w:hAnsi="Times New Roman" w:cs="Times New Roman"/>
          <w:i/>
          <w:iCs/>
          <w:color w:val="000000" w:themeColor="text1"/>
          <w:sz w:val="28"/>
          <w:szCs w:val="28"/>
        </w:rPr>
        <w:t>L’intelligenza artificiale che Platone non si aspettava. Vinceranno gli algoritmi?</w:t>
      </w:r>
      <w:r w:rsidRPr="0053175F">
        <w:rPr>
          <w:rFonts w:ascii="Times New Roman" w:hAnsi="Times New Roman" w:cs="Times New Roman"/>
          <w:color w:val="000000" w:themeColor="text1"/>
          <w:sz w:val="28"/>
          <w:szCs w:val="28"/>
        </w:rPr>
        <w:t xml:space="preserve">”, su </w:t>
      </w:r>
      <w:r w:rsidRPr="0053175F">
        <w:rPr>
          <w:rFonts w:ascii="Times New Roman" w:hAnsi="Times New Roman" w:cs="Times New Roman"/>
          <w:i/>
          <w:iCs/>
          <w:color w:val="000000" w:themeColor="text1"/>
          <w:sz w:val="28"/>
          <w:szCs w:val="28"/>
        </w:rPr>
        <w:t>IlFoglio.it</w:t>
      </w:r>
      <w:r w:rsidRPr="0053175F">
        <w:rPr>
          <w:rFonts w:ascii="Times New Roman" w:hAnsi="Times New Roman" w:cs="Times New Roman"/>
          <w:color w:val="000000" w:themeColor="text1"/>
          <w:sz w:val="28"/>
          <w:szCs w:val="28"/>
        </w:rPr>
        <w:t>. 2021.</w:t>
      </w:r>
    </w:p>
    <w:p w14:paraId="0FB9E84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z w:val="28"/>
          <w:szCs w:val="28"/>
        </w:rPr>
        <w:t>I</w:t>
      </w:r>
      <w:r w:rsidRPr="0053175F">
        <w:rPr>
          <w:rFonts w:ascii="Times New Roman" w:hAnsi="Times New Roman" w:cs="Times New Roman"/>
          <w:smallCaps/>
          <w:sz w:val="28"/>
          <w:szCs w:val="28"/>
        </w:rPr>
        <w:t>. M. Alagna,</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 xml:space="preserve">Abuso dati personali di utenti: respinto in appello il ricorso di </w:t>
      </w:r>
      <w:proofErr w:type="spellStart"/>
      <w:r w:rsidRPr="0053175F">
        <w:rPr>
          <w:rFonts w:ascii="Times New Roman" w:hAnsi="Times New Roman" w:cs="Times New Roman"/>
          <w:i/>
          <w:iCs/>
          <w:sz w:val="28"/>
          <w:szCs w:val="28"/>
        </w:rPr>
        <w:t>Facebook</w:t>
      </w:r>
      <w:proofErr w:type="spellEnd"/>
      <w:r w:rsidRPr="0053175F">
        <w:rPr>
          <w:rFonts w:ascii="Times New Roman" w:hAnsi="Times New Roman" w:cs="Times New Roman"/>
          <w:i/>
          <w:iCs/>
          <w:sz w:val="28"/>
          <w:szCs w:val="28"/>
        </w:rPr>
        <w:t xml:space="preserve"> contro l’Antitrust</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Diritto &amp; Giustizia</w:t>
      </w:r>
      <w:r w:rsidRPr="0053175F">
        <w:rPr>
          <w:rFonts w:ascii="Times New Roman" w:hAnsi="Times New Roman" w:cs="Times New Roman"/>
          <w:sz w:val="28"/>
          <w:szCs w:val="28"/>
        </w:rPr>
        <w:t>, fasc. 74, 2021.</w:t>
      </w:r>
    </w:p>
    <w:p w14:paraId="6A1043B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I.</w:t>
      </w:r>
      <w:r w:rsidRPr="0053175F">
        <w:rPr>
          <w:rFonts w:ascii="Times New Roman" w:hAnsi="Times New Roman" w:cs="Times New Roman"/>
          <w:sz w:val="28"/>
          <w:szCs w:val="28"/>
        </w:rPr>
        <w:t xml:space="preserve"> </w:t>
      </w:r>
      <w:r w:rsidRPr="0053175F">
        <w:rPr>
          <w:rFonts w:ascii="Times New Roman" w:hAnsi="Times New Roman" w:cs="Times New Roman"/>
          <w:smallCaps/>
          <w:sz w:val="28"/>
          <w:szCs w:val="28"/>
        </w:rPr>
        <w:t xml:space="preserve">Alagna, </w:t>
      </w:r>
      <w:r w:rsidRPr="0053175F">
        <w:rPr>
          <w:rFonts w:ascii="Times New Roman" w:hAnsi="Times New Roman" w:cs="Times New Roman"/>
          <w:sz w:val="28"/>
          <w:szCs w:val="28"/>
        </w:rPr>
        <w:t>“</w:t>
      </w:r>
      <w:r w:rsidRPr="0053175F">
        <w:rPr>
          <w:rFonts w:ascii="Times New Roman" w:hAnsi="Times New Roman" w:cs="Times New Roman"/>
          <w:i/>
          <w:iCs/>
          <w:sz w:val="28"/>
          <w:szCs w:val="28"/>
        </w:rPr>
        <w:t>Diffamazione a mezzo stampa: il reato sussiste anche in assenza di esplicita indicazione del nome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Ridare.it</w:t>
      </w:r>
      <w:r w:rsidRPr="0053175F">
        <w:rPr>
          <w:rFonts w:ascii="Times New Roman" w:hAnsi="Times New Roman" w:cs="Times New Roman"/>
          <w:sz w:val="28"/>
          <w:szCs w:val="28"/>
        </w:rPr>
        <w:t>, 18 dicembre 2017.</w:t>
      </w:r>
    </w:p>
    <w:p w14:paraId="0D0249C7" w14:textId="77777777" w:rsidR="00265619" w:rsidRPr="0053175F" w:rsidRDefault="00265619" w:rsidP="0053175F">
      <w:pPr>
        <w:spacing w:before="100" w:beforeAutospacing="1" w:after="100" w:afterAutospacing="1" w:line="240" w:lineRule="auto"/>
        <w:jc w:val="both"/>
        <w:rPr>
          <w:rFonts w:ascii="Times New Roman" w:hAnsi="Times New Roman" w:cs="Times New Roman"/>
          <w:color w:val="000000" w:themeColor="text1"/>
          <w:sz w:val="28"/>
          <w:szCs w:val="28"/>
        </w:rPr>
      </w:pPr>
      <w:r w:rsidRPr="0053175F">
        <w:rPr>
          <w:rFonts w:ascii="Times New Roman" w:hAnsi="Times New Roman" w:cs="Times New Roman"/>
          <w:color w:val="000000" w:themeColor="text1"/>
          <w:sz w:val="28"/>
          <w:szCs w:val="28"/>
        </w:rPr>
        <w:t>I</w:t>
      </w:r>
      <w:r w:rsidRPr="0053175F">
        <w:rPr>
          <w:rFonts w:ascii="Times New Roman" w:hAnsi="Times New Roman" w:cs="Times New Roman"/>
          <w:smallCaps/>
          <w:color w:val="000000" w:themeColor="text1"/>
          <w:sz w:val="28"/>
          <w:szCs w:val="28"/>
        </w:rPr>
        <w:t>. M. Alagna</w:t>
      </w:r>
      <w:r w:rsidRPr="0053175F">
        <w:rPr>
          <w:rFonts w:ascii="Times New Roman" w:hAnsi="Times New Roman" w:cs="Times New Roman"/>
          <w:color w:val="000000" w:themeColor="text1"/>
          <w:sz w:val="28"/>
          <w:szCs w:val="28"/>
        </w:rPr>
        <w:t>, “</w:t>
      </w:r>
      <w:r w:rsidRPr="0053175F">
        <w:rPr>
          <w:rFonts w:ascii="Times New Roman" w:hAnsi="Times New Roman" w:cs="Times New Roman"/>
          <w:i/>
          <w:iCs/>
          <w:color w:val="000000" w:themeColor="text1"/>
          <w:sz w:val="28"/>
          <w:szCs w:val="28"/>
        </w:rPr>
        <w:t>L’interesse pubblico alla diffusione di una notizia non legittima la pubblicazione di immagini ritraenti un minore su testate giornalistiche</w:t>
      </w:r>
      <w:r w:rsidRPr="0053175F">
        <w:rPr>
          <w:rFonts w:ascii="Times New Roman" w:hAnsi="Times New Roman" w:cs="Times New Roman"/>
          <w:color w:val="000000" w:themeColor="text1"/>
          <w:sz w:val="28"/>
          <w:szCs w:val="28"/>
        </w:rPr>
        <w:t xml:space="preserve">”, su </w:t>
      </w:r>
      <w:r w:rsidRPr="0053175F">
        <w:rPr>
          <w:rFonts w:ascii="Times New Roman" w:hAnsi="Times New Roman" w:cs="Times New Roman"/>
          <w:i/>
          <w:iCs/>
          <w:color w:val="000000" w:themeColor="text1"/>
          <w:sz w:val="28"/>
          <w:szCs w:val="28"/>
        </w:rPr>
        <w:t>Diritto &amp; Giustizia</w:t>
      </w:r>
      <w:r w:rsidRPr="0053175F">
        <w:rPr>
          <w:rFonts w:ascii="Times New Roman" w:hAnsi="Times New Roman" w:cs="Times New Roman"/>
          <w:color w:val="000000" w:themeColor="text1"/>
          <w:sz w:val="28"/>
          <w:szCs w:val="28"/>
        </w:rPr>
        <w:t>, fasc. 38, 2021.</w:t>
      </w:r>
    </w:p>
    <w:p w14:paraId="2BD514A9" w14:textId="77777777" w:rsidR="00265619" w:rsidRPr="0053175F" w:rsidRDefault="00265619" w:rsidP="0053175F">
      <w:pPr>
        <w:spacing w:before="100" w:beforeAutospacing="1" w:after="100" w:afterAutospacing="1" w:line="240" w:lineRule="auto"/>
        <w:jc w:val="both"/>
        <w:rPr>
          <w:rFonts w:ascii="Times New Roman" w:hAnsi="Times New Roman" w:cs="Times New Roman"/>
          <w:color w:val="000000" w:themeColor="text1"/>
          <w:sz w:val="28"/>
          <w:szCs w:val="28"/>
        </w:rPr>
      </w:pPr>
      <w:r w:rsidRPr="0053175F">
        <w:rPr>
          <w:rFonts w:ascii="Times New Roman" w:hAnsi="Times New Roman" w:cs="Times New Roman"/>
          <w:smallCaps/>
          <w:sz w:val="28"/>
          <w:szCs w:val="28"/>
        </w:rPr>
        <w:t>F. Albeggiani</w:t>
      </w:r>
      <w:r w:rsidRPr="0053175F">
        <w:rPr>
          <w:rFonts w:ascii="Times New Roman" w:hAnsi="Times New Roman" w:cs="Times New Roman"/>
          <w:sz w:val="28"/>
          <w:szCs w:val="28"/>
        </w:rPr>
        <w:t>, “</w:t>
      </w:r>
      <w:r w:rsidRPr="0053175F">
        <w:rPr>
          <w:rFonts w:ascii="Times New Roman" w:hAnsi="Times New Roman" w:cs="Times New Roman"/>
          <w:i/>
          <w:iCs/>
          <w:sz w:val="28"/>
          <w:szCs w:val="28"/>
        </w:rPr>
        <w:t>Profili problematici del consenso dell’avente diritto</w:t>
      </w:r>
      <w:r w:rsidRPr="0053175F">
        <w:rPr>
          <w:rFonts w:ascii="Times New Roman" w:hAnsi="Times New Roman" w:cs="Times New Roman"/>
          <w:sz w:val="28"/>
          <w:szCs w:val="28"/>
        </w:rPr>
        <w:t>”, Milano, 1995.</w:t>
      </w:r>
    </w:p>
    <w:p w14:paraId="2886682B"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 xml:space="preserve">L. </w:t>
      </w:r>
      <w:proofErr w:type="spellStart"/>
      <w:r w:rsidRPr="0053175F">
        <w:rPr>
          <w:rFonts w:ascii="Times New Roman" w:hAnsi="Times New Roman" w:cs="Times New Roman"/>
          <w:smallCaps/>
          <w:sz w:val="28"/>
          <w:szCs w:val="28"/>
        </w:rPr>
        <w:t>Alesiani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I reati di opinione. Una rilettura in chiave costituzionale</w:t>
      </w:r>
      <w:r w:rsidRPr="0053175F">
        <w:rPr>
          <w:rFonts w:ascii="Times New Roman" w:hAnsi="Times New Roman" w:cs="Times New Roman"/>
          <w:sz w:val="28"/>
          <w:szCs w:val="28"/>
        </w:rPr>
        <w:t>”, Milano, 2006.</w:t>
      </w:r>
    </w:p>
    <w:p w14:paraId="47570C1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L. Alexandre</w:t>
      </w:r>
      <w:r w:rsidRPr="0053175F">
        <w:rPr>
          <w:rFonts w:ascii="Times New Roman" w:hAnsi="Times New Roman" w:cs="Times New Roman"/>
          <w:sz w:val="28"/>
          <w:szCs w:val="28"/>
        </w:rPr>
        <w:t>, “</w:t>
      </w:r>
      <w:r w:rsidRPr="0053175F">
        <w:rPr>
          <w:rFonts w:ascii="Times New Roman" w:hAnsi="Times New Roman" w:cs="Times New Roman"/>
          <w:i/>
          <w:iCs/>
          <w:sz w:val="28"/>
          <w:szCs w:val="28"/>
        </w:rPr>
        <w:t>La guerra delle intelligenze, intelligenza artificiale contro intelligenza umana</w:t>
      </w:r>
      <w:r w:rsidRPr="0053175F">
        <w:rPr>
          <w:rFonts w:ascii="Times New Roman" w:hAnsi="Times New Roman" w:cs="Times New Roman"/>
          <w:sz w:val="28"/>
          <w:szCs w:val="28"/>
        </w:rPr>
        <w:t>”, ed. Torino, 2017.</w:t>
      </w:r>
    </w:p>
    <w:p w14:paraId="7178B436"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L. Algeri,</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Neuroscienze e testimonianza della persona offesa</w:t>
      </w:r>
      <w:r w:rsidRPr="0053175F">
        <w:rPr>
          <w:rFonts w:ascii="Times New Roman" w:hAnsi="Times New Roman" w:cs="Times New Roman"/>
          <w:sz w:val="28"/>
          <w:szCs w:val="28"/>
        </w:rPr>
        <w:t>”, 2012.</w:t>
      </w:r>
    </w:p>
    <w:p w14:paraId="3EA6693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A. Alì</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Diffamazione via </w:t>
      </w:r>
      <w:proofErr w:type="spellStart"/>
      <w:r w:rsidRPr="0053175F">
        <w:rPr>
          <w:rFonts w:ascii="Times New Roman" w:hAnsi="Times New Roman" w:cs="Times New Roman"/>
          <w:i/>
          <w:iCs/>
          <w:sz w:val="28"/>
          <w:szCs w:val="28"/>
        </w:rPr>
        <w:t>Facebook</w:t>
      </w:r>
      <w:proofErr w:type="spellEnd"/>
      <w:r w:rsidRPr="0053175F">
        <w:rPr>
          <w:rFonts w:ascii="Times New Roman" w:hAnsi="Times New Roman" w:cs="Times New Roman"/>
          <w:i/>
          <w:iCs/>
          <w:sz w:val="28"/>
          <w:szCs w:val="28"/>
        </w:rPr>
        <w:t>: condividere post offensivi non è reato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altalex.com</w:t>
      </w:r>
      <w:r w:rsidRPr="0053175F">
        <w:rPr>
          <w:rFonts w:ascii="Times New Roman" w:hAnsi="Times New Roman" w:cs="Times New Roman"/>
          <w:sz w:val="28"/>
          <w:szCs w:val="28"/>
        </w:rPr>
        <w:t>, 2016.</w:t>
      </w:r>
    </w:p>
    <w:p w14:paraId="1120191D"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G. Alpa</w:t>
      </w:r>
      <w:r w:rsidRPr="0053175F">
        <w:rPr>
          <w:rFonts w:ascii="Times New Roman" w:hAnsi="Times New Roman" w:cs="Times New Roman"/>
          <w:sz w:val="28"/>
          <w:szCs w:val="28"/>
        </w:rPr>
        <w:t>, “</w:t>
      </w:r>
      <w:r w:rsidRPr="0053175F">
        <w:rPr>
          <w:rFonts w:ascii="Times New Roman" w:hAnsi="Times New Roman" w:cs="Times New Roman"/>
          <w:i/>
          <w:iCs/>
          <w:sz w:val="28"/>
          <w:szCs w:val="28"/>
        </w:rPr>
        <w:t>Alle origini dei diritti della personalità</w:t>
      </w:r>
      <w:r w:rsidRPr="0053175F">
        <w:rPr>
          <w:rFonts w:ascii="Times New Roman" w:hAnsi="Times New Roman" w:cs="Times New Roman"/>
          <w:sz w:val="28"/>
          <w:szCs w:val="28"/>
        </w:rPr>
        <w:t xml:space="preserve">”, in </w:t>
      </w:r>
      <w:proofErr w:type="spellStart"/>
      <w:r w:rsidRPr="0053175F">
        <w:rPr>
          <w:rFonts w:ascii="Times New Roman" w:hAnsi="Times New Roman" w:cs="Times New Roman"/>
          <w:i/>
          <w:iCs/>
          <w:sz w:val="28"/>
          <w:szCs w:val="28"/>
        </w:rPr>
        <w:t>Riv</w:t>
      </w:r>
      <w:proofErr w:type="spellEnd"/>
      <w:r w:rsidRPr="0053175F">
        <w:rPr>
          <w:rFonts w:ascii="Times New Roman" w:hAnsi="Times New Roman" w:cs="Times New Roman"/>
          <w:i/>
          <w:iCs/>
          <w:sz w:val="28"/>
          <w:szCs w:val="28"/>
        </w:rPr>
        <w:t xml:space="preserve">. Trim. di Dir. </w:t>
      </w:r>
      <w:proofErr w:type="spellStart"/>
      <w:r w:rsidRPr="0053175F">
        <w:rPr>
          <w:rFonts w:ascii="Times New Roman" w:hAnsi="Times New Roman" w:cs="Times New Roman"/>
          <w:i/>
          <w:iCs/>
          <w:sz w:val="28"/>
          <w:szCs w:val="28"/>
        </w:rPr>
        <w:t>Proc</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Civ</w:t>
      </w:r>
      <w:proofErr w:type="spellEnd"/>
      <w:r w:rsidRPr="0053175F">
        <w:rPr>
          <w:rFonts w:ascii="Times New Roman" w:hAnsi="Times New Roman" w:cs="Times New Roman"/>
          <w:sz w:val="28"/>
          <w:szCs w:val="28"/>
        </w:rPr>
        <w:t>., 3, 2021.</w:t>
      </w:r>
    </w:p>
    <w:p w14:paraId="177019BF"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G. Alpa</w:t>
      </w:r>
      <w:r w:rsidRPr="0053175F">
        <w:rPr>
          <w:rFonts w:ascii="Times New Roman" w:hAnsi="Times New Roman" w:cs="Times New Roman"/>
          <w:sz w:val="28"/>
          <w:szCs w:val="28"/>
        </w:rPr>
        <w:t>, “</w:t>
      </w:r>
      <w:r w:rsidRPr="0053175F">
        <w:rPr>
          <w:rFonts w:ascii="Times New Roman" w:hAnsi="Times New Roman" w:cs="Times New Roman"/>
          <w:i/>
          <w:iCs/>
          <w:sz w:val="28"/>
          <w:szCs w:val="28"/>
        </w:rPr>
        <w:t>La responsabilità civile. Principi</w:t>
      </w:r>
      <w:r w:rsidRPr="0053175F">
        <w:rPr>
          <w:rFonts w:ascii="Times New Roman" w:hAnsi="Times New Roman" w:cs="Times New Roman"/>
          <w:sz w:val="28"/>
          <w:szCs w:val="28"/>
        </w:rPr>
        <w:t>”, Milano, 2018.</w:t>
      </w:r>
    </w:p>
    <w:p w14:paraId="42986E4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eastAsia="Times New Roman" w:hAnsi="Times New Roman" w:cs="Times New Roman"/>
          <w:smallCaps/>
          <w:sz w:val="28"/>
          <w:szCs w:val="28"/>
        </w:rPr>
        <w:t xml:space="preserve">L. </w:t>
      </w:r>
      <w:proofErr w:type="spellStart"/>
      <w:r w:rsidRPr="0053175F">
        <w:rPr>
          <w:rFonts w:ascii="Times New Roman" w:eastAsia="Times New Roman" w:hAnsi="Times New Roman" w:cs="Times New Roman"/>
          <w:smallCaps/>
          <w:sz w:val="28"/>
          <w:szCs w:val="28"/>
        </w:rPr>
        <w:t>Amadei</w:t>
      </w:r>
      <w:proofErr w:type="spellEnd"/>
      <w:r w:rsidRPr="0053175F">
        <w:rPr>
          <w:rFonts w:ascii="Times New Roman" w:eastAsia="Times New Roman" w:hAnsi="Times New Roman" w:cs="Times New Roman"/>
          <w:sz w:val="28"/>
          <w:szCs w:val="28"/>
        </w:rPr>
        <w:t>, “</w:t>
      </w:r>
      <w:r w:rsidRPr="0053175F">
        <w:rPr>
          <w:rFonts w:ascii="Times New Roman" w:eastAsia="Times New Roman" w:hAnsi="Times New Roman" w:cs="Times New Roman"/>
          <w:i/>
          <w:sz w:val="28"/>
          <w:szCs w:val="28"/>
        </w:rPr>
        <w:t>Il codice dell’amministrazione digitale”</w:t>
      </w:r>
      <w:r w:rsidRPr="0053175F">
        <w:rPr>
          <w:rFonts w:ascii="Times New Roman" w:eastAsia="Times New Roman" w:hAnsi="Times New Roman" w:cs="Times New Roman"/>
          <w:sz w:val="28"/>
          <w:szCs w:val="28"/>
        </w:rPr>
        <w:t xml:space="preserve">, in L. </w:t>
      </w:r>
      <w:r w:rsidRPr="0053175F">
        <w:rPr>
          <w:rFonts w:ascii="Times New Roman" w:eastAsia="Times New Roman" w:hAnsi="Times New Roman" w:cs="Times New Roman"/>
          <w:smallCaps/>
          <w:sz w:val="28"/>
          <w:szCs w:val="28"/>
        </w:rPr>
        <w:t>De Pietro</w:t>
      </w:r>
      <w:r w:rsidRPr="0053175F">
        <w:rPr>
          <w:rFonts w:ascii="Times New Roman" w:eastAsia="Times New Roman" w:hAnsi="Times New Roman" w:cs="Times New Roman"/>
          <w:sz w:val="28"/>
          <w:szCs w:val="28"/>
        </w:rPr>
        <w:t xml:space="preserve"> (a cura di), “</w:t>
      </w:r>
      <w:r w:rsidRPr="0053175F">
        <w:rPr>
          <w:rFonts w:ascii="Times New Roman" w:eastAsia="Times New Roman" w:hAnsi="Times New Roman" w:cs="Times New Roman"/>
          <w:i/>
          <w:sz w:val="28"/>
          <w:szCs w:val="28"/>
        </w:rPr>
        <w:t>Dieci lezioni per capire e attuare l’e-</w:t>
      </w:r>
      <w:proofErr w:type="spellStart"/>
      <w:r w:rsidRPr="0053175F">
        <w:rPr>
          <w:rFonts w:ascii="Times New Roman" w:eastAsia="Times New Roman" w:hAnsi="Times New Roman" w:cs="Times New Roman"/>
          <w:i/>
          <w:sz w:val="28"/>
          <w:szCs w:val="28"/>
        </w:rPr>
        <w:t>government</w:t>
      </w:r>
      <w:proofErr w:type="spellEnd"/>
      <w:r w:rsidRPr="0053175F">
        <w:rPr>
          <w:rFonts w:ascii="Times New Roman" w:eastAsia="Times New Roman" w:hAnsi="Times New Roman" w:cs="Times New Roman"/>
          <w:sz w:val="28"/>
          <w:szCs w:val="28"/>
        </w:rPr>
        <w:t>”.</w:t>
      </w:r>
    </w:p>
    <w:p w14:paraId="6CCC8FD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z w:val="28"/>
          <w:szCs w:val="28"/>
        </w:rPr>
        <w:t xml:space="preserve">V. </w:t>
      </w:r>
      <w:proofErr w:type="spellStart"/>
      <w:r w:rsidRPr="0053175F">
        <w:rPr>
          <w:rFonts w:ascii="Times New Roman" w:hAnsi="Times New Roman" w:cs="Times New Roman"/>
          <w:smallCaps/>
          <w:sz w:val="28"/>
          <w:szCs w:val="28"/>
        </w:rPr>
        <w:t>Amendolagine</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Il diritto all’oblio tra rievocazione storiografica online e cronaca giudiziaria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GiustiziaCivile.com</w:t>
      </w:r>
      <w:r w:rsidRPr="0053175F">
        <w:rPr>
          <w:rFonts w:ascii="Times New Roman" w:hAnsi="Times New Roman" w:cs="Times New Roman"/>
          <w:sz w:val="28"/>
          <w:szCs w:val="28"/>
        </w:rPr>
        <w:t xml:space="preserve">, 18 agosto 2020. </w:t>
      </w:r>
    </w:p>
    <w:p w14:paraId="7EB6D4F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P. </w:t>
      </w:r>
      <w:proofErr w:type="spellStart"/>
      <w:r w:rsidRPr="0053175F">
        <w:rPr>
          <w:rFonts w:ascii="Times New Roman" w:hAnsi="Times New Roman" w:cs="Times New Roman"/>
          <w:smallCaps/>
          <w:sz w:val="28"/>
          <w:szCs w:val="28"/>
          <w:lang w:val="en-US"/>
        </w:rPr>
        <w:t>Asaro</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A body to Kick, but Still No Soul to Damn: Legal Perspectives on Robotics</w:t>
      </w:r>
      <w:r w:rsidRPr="0053175F">
        <w:rPr>
          <w:rFonts w:ascii="Times New Roman" w:hAnsi="Times New Roman" w:cs="Times New Roman"/>
          <w:sz w:val="28"/>
          <w:szCs w:val="28"/>
          <w:lang w:val="en-US"/>
        </w:rPr>
        <w:t xml:space="preserve">”, in </w:t>
      </w:r>
      <w:r w:rsidRPr="0053175F">
        <w:rPr>
          <w:rFonts w:ascii="Times New Roman" w:hAnsi="Times New Roman" w:cs="Times New Roman"/>
          <w:smallCaps/>
          <w:sz w:val="28"/>
          <w:szCs w:val="28"/>
          <w:lang w:val="en-US"/>
        </w:rPr>
        <w:t xml:space="preserve">P. Lin, K. Abney, G. A. </w:t>
      </w:r>
      <w:proofErr w:type="spellStart"/>
      <w:r w:rsidRPr="0053175F">
        <w:rPr>
          <w:rFonts w:ascii="Times New Roman" w:hAnsi="Times New Roman" w:cs="Times New Roman"/>
          <w:smallCaps/>
          <w:sz w:val="28"/>
          <w:szCs w:val="28"/>
          <w:lang w:val="en-US"/>
        </w:rPr>
        <w:t>Bekey</w:t>
      </w:r>
      <w:proofErr w:type="spellEnd"/>
      <w:r w:rsidRPr="0053175F">
        <w:rPr>
          <w:rFonts w:ascii="Times New Roman" w:hAnsi="Times New Roman" w:cs="Times New Roman"/>
          <w:sz w:val="28"/>
          <w:szCs w:val="28"/>
          <w:lang w:val="en-US"/>
        </w:rPr>
        <w:t xml:space="preserve"> (a </w:t>
      </w:r>
      <w:proofErr w:type="spellStart"/>
      <w:r w:rsidRPr="0053175F">
        <w:rPr>
          <w:rFonts w:ascii="Times New Roman" w:hAnsi="Times New Roman" w:cs="Times New Roman"/>
          <w:sz w:val="28"/>
          <w:szCs w:val="28"/>
          <w:lang w:val="en-US"/>
        </w:rPr>
        <w:t>cura</w:t>
      </w:r>
      <w:proofErr w:type="spellEnd"/>
      <w:r w:rsidRPr="0053175F">
        <w:rPr>
          <w:rFonts w:ascii="Times New Roman" w:hAnsi="Times New Roman" w:cs="Times New Roman"/>
          <w:sz w:val="28"/>
          <w:szCs w:val="28"/>
          <w:lang w:val="en-US"/>
        </w:rPr>
        <w:t xml:space="preserve"> di), “</w:t>
      </w:r>
      <w:r w:rsidRPr="0053175F">
        <w:rPr>
          <w:rFonts w:ascii="Times New Roman" w:hAnsi="Times New Roman" w:cs="Times New Roman"/>
          <w:i/>
          <w:iCs/>
          <w:sz w:val="28"/>
          <w:szCs w:val="28"/>
          <w:lang w:val="en-US"/>
        </w:rPr>
        <w:t>Robot Ethics</w:t>
      </w:r>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MIT Press</w:t>
      </w:r>
      <w:r w:rsidRPr="0053175F">
        <w:rPr>
          <w:rFonts w:ascii="Times New Roman" w:hAnsi="Times New Roman" w:cs="Times New Roman"/>
          <w:sz w:val="28"/>
          <w:szCs w:val="28"/>
          <w:lang w:val="en-US"/>
        </w:rPr>
        <w:t>, 2012.</w:t>
      </w:r>
    </w:p>
    <w:p w14:paraId="4715DC6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I. Asimov</w:t>
      </w:r>
      <w:r w:rsidRPr="0053175F">
        <w:rPr>
          <w:rFonts w:ascii="Times New Roman" w:hAnsi="Times New Roman" w:cs="Times New Roman"/>
          <w:sz w:val="28"/>
          <w:szCs w:val="28"/>
        </w:rPr>
        <w:t>, “</w:t>
      </w:r>
      <w:r w:rsidRPr="0053175F">
        <w:rPr>
          <w:rFonts w:ascii="Times New Roman" w:hAnsi="Times New Roman" w:cs="Times New Roman"/>
          <w:i/>
          <w:iCs/>
          <w:sz w:val="28"/>
          <w:szCs w:val="28"/>
        </w:rPr>
        <w:t>Circolo vizioso</w:t>
      </w:r>
      <w:r w:rsidRPr="0053175F">
        <w:rPr>
          <w:rFonts w:ascii="Times New Roman" w:hAnsi="Times New Roman" w:cs="Times New Roman"/>
          <w:sz w:val="28"/>
          <w:szCs w:val="28"/>
        </w:rPr>
        <w:t>”, 1942.</w:t>
      </w:r>
    </w:p>
    <w:p w14:paraId="2CB63EC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lastRenderedPageBreak/>
        <w:t>A. Astone</w:t>
      </w:r>
      <w:r w:rsidRPr="0053175F">
        <w:rPr>
          <w:rFonts w:ascii="Times New Roman" w:hAnsi="Times New Roman" w:cs="Times New Roman"/>
          <w:sz w:val="28"/>
          <w:szCs w:val="28"/>
        </w:rPr>
        <w:t>, “</w:t>
      </w:r>
      <w:r w:rsidRPr="0053175F">
        <w:rPr>
          <w:rFonts w:ascii="Times New Roman" w:hAnsi="Times New Roman" w:cs="Times New Roman"/>
          <w:i/>
          <w:iCs/>
          <w:sz w:val="28"/>
          <w:szCs w:val="28"/>
        </w:rPr>
        <w:t>L’accesso dei minori d’età ai servizi della c.d. “società dell’informazione”: l’art. 8 del Reg (UE) 2016/679 e i suoi riflessi</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 xml:space="preserve">in </w:t>
      </w:r>
      <w:r w:rsidRPr="0053175F">
        <w:rPr>
          <w:rFonts w:ascii="Times New Roman" w:hAnsi="Times New Roman" w:cs="Times New Roman"/>
          <w:i/>
          <w:iCs/>
          <w:sz w:val="28"/>
          <w:szCs w:val="28"/>
        </w:rPr>
        <w:t>Contratto e Impresa</w:t>
      </w:r>
      <w:r w:rsidRPr="0053175F">
        <w:rPr>
          <w:rFonts w:ascii="Times New Roman" w:hAnsi="Times New Roman" w:cs="Times New Roman"/>
          <w:sz w:val="28"/>
          <w:szCs w:val="28"/>
        </w:rPr>
        <w:t>, 2019, 2.</w:t>
      </w:r>
    </w:p>
    <w:p w14:paraId="66942C5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V</w:t>
      </w:r>
      <w:r w:rsidRPr="0053175F">
        <w:rPr>
          <w:rFonts w:ascii="Times New Roman" w:hAnsi="Times New Roman" w:cs="Times New Roman"/>
          <w:i/>
          <w:iCs/>
          <w:smallCaps/>
          <w:sz w:val="28"/>
          <w:szCs w:val="28"/>
        </w:rPr>
        <w:t xml:space="preserve">. </w:t>
      </w:r>
      <w:r w:rsidRPr="0053175F">
        <w:rPr>
          <w:rFonts w:ascii="Times New Roman" w:hAnsi="Times New Roman" w:cs="Times New Roman"/>
          <w:smallCaps/>
          <w:sz w:val="28"/>
          <w:szCs w:val="28"/>
        </w:rPr>
        <w:t>Bachelet</w:t>
      </w:r>
      <w:r w:rsidRPr="0053175F">
        <w:rPr>
          <w:rFonts w:ascii="Times New Roman" w:hAnsi="Times New Roman" w:cs="Times New Roman"/>
          <w:sz w:val="28"/>
          <w:szCs w:val="28"/>
        </w:rPr>
        <w:t>, “</w:t>
      </w:r>
      <w:r w:rsidRPr="0053175F">
        <w:rPr>
          <w:rFonts w:ascii="Times New Roman" w:hAnsi="Times New Roman" w:cs="Times New Roman"/>
          <w:i/>
          <w:iCs/>
          <w:sz w:val="28"/>
          <w:szCs w:val="28"/>
        </w:rPr>
        <w:t>L’attività tecnica della pubblica amministrazione</w:t>
      </w:r>
      <w:r w:rsidRPr="0053175F">
        <w:rPr>
          <w:rFonts w:ascii="Times New Roman" w:hAnsi="Times New Roman" w:cs="Times New Roman"/>
          <w:sz w:val="28"/>
          <w:szCs w:val="28"/>
        </w:rPr>
        <w:t>”</w:t>
      </w:r>
      <w:r w:rsidRPr="0053175F">
        <w:rPr>
          <w:rFonts w:ascii="Times New Roman" w:hAnsi="Times New Roman" w:cs="Times New Roman"/>
          <w:i/>
          <w:iCs/>
          <w:sz w:val="28"/>
          <w:szCs w:val="28"/>
        </w:rPr>
        <w:t>,</w:t>
      </w:r>
      <w:r w:rsidRPr="0053175F">
        <w:rPr>
          <w:rFonts w:ascii="Times New Roman" w:hAnsi="Times New Roman" w:cs="Times New Roman"/>
          <w:sz w:val="28"/>
          <w:szCs w:val="28"/>
        </w:rPr>
        <w:t>1967.</w:t>
      </w:r>
    </w:p>
    <w:p w14:paraId="5D75043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E. Badiali</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Il caso Barilla e la tutela del marchio rinomato: commento alla </w:t>
      </w:r>
      <w:proofErr w:type="spellStart"/>
      <w:r w:rsidRPr="0053175F">
        <w:rPr>
          <w:rFonts w:ascii="Times New Roman" w:hAnsi="Times New Roman" w:cs="Times New Roman"/>
          <w:i/>
          <w:iCs/>
          <w:sz w:val="28"/>
          <w:szCs w:val="28"/>
        </w:rPr>
        <w:t>sent</w:t>
      </w:r>
      <w:proofErr w:type="spellEnd"/>
      <w:r w:rsidRPr="0053175F">
        <w:rPr>
          <w:rFonts w:ascii="Times New Roman" w:hAnsi="Times New Roman" w:cs="Times New Roman"/>
          <w:i/>
          <w:iCs/>
          <w:sz w:val="28"/>
          <w:szCs w:val="28"/>
        </w:rPr>
        <w:t>. n. 830/2018 del Tribunale di Milano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iusinitinere.it</w:t>
      </w:r>
      <w:r w:rsidRPr="0053175F">
        <w:rPr>
          <w:rFonts w:ascii="Times New Roman" w:hAnsi="Times New Roman" w:cs="Times New Roman"/>
          <w:sz w:val="28"/>
          <w:szCs w:val="28"/>
        </w:rPr>
        <w:t>, luglio 2018.</w:t>
      </w:r>
    </w:p>
    <w:p w14:paraId="6D2F247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C. Bagnoli</w:t>
      </w:r>
      <w:r w:rsidRPr="0053175F">
        <w:rPr>
          <w:rFonts w:ascii="Times New Roman" w:hAnsi="Times New Roman" w:cs="Times New Roman"/>
          <w:sz w:val="28"/>
          <w:szCs w:val="28"/>
        </w:rPr>
        <w:t>, “</w:t>
      </w:r>
      <w:r w:rsidRPr="0053175F">
        <w:rPr>
          <w:rFonts w:ascii="Times New Roman" w:hAnsi="Times New Roman" w:cs="Times New Roman"/>
          <w:i/>
          <w:iCs/>
          <w:sz w:val="28"/>
          <w:szCs w:val="28"/>
        </w:rPr>
        <w:t>Teoria della responsabilità</w:t>
      </w:r>
      <w:r w:rsidRPr="0053175F">
        <w:rPr>
          <w:rFonts w:ascii="Times New Roman" w:hAnsi="Times New Roman" w:cs="Times New Roman"/>
          <w:sz w:val="28"/>
          <w:szCs w:val="28"/>
        </w:rPr>
        <w:t>”, 2019.</w:t>
      </w:r>
    </w:p>
    <w:p w14:paraId="4497DB4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J. M. </w:t>
      </w:r>
      <w:proofErr w:type="spellStart"/>
      <w:r w:rsidRPr="0053175F">
        <w:rPr>
          <w:rFonts w:ascii="Times New Roman" w:hAnsi="Times New Roman" w:cs="Times New Roman"/>
          <w:smallCaps/>
          <w:sz w:val="28"/>
          <w:szCs w:val="28"/>
          <w:lang w:val="en-US"/>
        </w:rPr>
        <w:t>Balkin</w:t>
      </w:r>
      <w:proofErr w:type="spellEnd"/>
      <w:r w:rsidRPr="0053175F">
        <w:rPr>
          <w:rFonts w:ascii="Times New Roman" w:hAnsi="Times New Roman" w:cs="Times New Roman"/>
          <w:i/>
          <w:iCs/>
          <w:sz w:val="28"/>
          <w:szCs w:val="28"/>
          <w:lang w:val="en-US"/>
        </w:rPr>
        <w:t xml:space="preserve">, “Information Fiduciaries and the First </w:t>
      </w:r>
      <w:proofErr w:type="spellStart"/>
      <w:r w:rsidRPr="0053175F">
        <w:rPr>
          <w:rFonts w:ascii="Times New Roman" w:hAnsi="Times New Roman" w:cs="Times New Roman"/>
          <w:i/>
          <w:iCs/>
          <w:sz w:val="28"/>
          <w:szCs w:val="28"/>
          <w:lang w:val="en-US"/>
        </w:rPr>
        <w:t>Amendament</w:t>
      </w:r>
      <w:proofErr w:type="spellEnd"/>
      <w:r w:rsidRPr="0053175F">
        <w:rPr>
          <w:rFonts w:ascii="Times New Roman" w:hAnsi="Times New Roman" w:cs="Times New Roman"/>
          <w:sz w:val="28"/>
          <w:szCs w:val="28"/>
          <w:lang w:val="en-US"/>
        </w:rPr>
        <w:t>”, 49 U.C Davis L.REV.1183 (2015).</w:t>
      </w:r>
    </w:p>
    <w:p w14:paraId="10C4F79C"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S. Barco</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Il contratto di </w:t>
      </w:r>
      <w:proofErr w:type="spellStart"/>
      <w:r w:rsidRPr="0053175F">
        <w:rPr>
          <w:rFonts w:ascii="Times New Roman" w:hAnsi="Times New Roman" w:cs="Times New Roman"/>
          <w:i/>
          <w:iCs/>
          <w:sz w:val="28"/>
          <w:szCs w:val="28"/>
        </w:rPr>
        <w:t>Influencer</w:t>
      </w:r>
      <w:proofErr w:type="spellEnd"/>
      <w:r w:rsidRPr="0053175F">
        <w:rPr>
          <w:rFonts w:ascii="Times New Roman" w:hAnsi="Times New Roman" w:cs="Times New Roman"/>
          <w:i/>
          <w:iCs/>
          <w:sz w:val="28"/>
          <w:szCs w:val="28"/>
        </w:rPr>
        <w:t xml:space="preserve"> marketing: profili civilistici del rapporto tra brand ed </w:t>
      </w:r>
      <w:proofErr w:type="spellStart"/>
      <w:r w:rsidRPr="0053175F">
        <w:rPr>
          <w:rFonts w:ascii="Times New Roman" w:hAnsi="Times New Roman" w:cs="Times New Roman"/>
          <w:i/>
          <w:iCs/>
          <w:sz w:val="28"/>
          <w:szCs w:val="28"/>
        </w:rPr>
        <w:t>influencer</w:t>
      </w:r>
      <w:proofErr w:type="spellEnd"/>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 xml:space="preserve">iusinitinere.it, </w:t>
      </w:r>
      <w:r w:rsidRPr="0053175F">
        <w:rPr>
          <w:rFonts w:ascii="Times New Roman" w:hAnsi="Times New Roman" w:cs="Times New Roman"/>
          <w:sz w:val="28"/>
          <w:szCs w:val="28"/>
        </w:rPr>
        <w:t>28 maggio 2020.</w:t>
      </w:r>
    </w:p>
    <w:p w14:paraId="6F5BDEF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S. </w:t>
      </w:r>
      <w:proofErr w:type="spellStart"/>
      <w:r w:rsidRPr="0053175F">
        <w:rPr>
          <w:rFonts w:ascii="Times New Roman" w:hAnsi="Times New Roman" w:cs="Times New Roman"/>
          <w:smallCaps/>
          <w:sz w:val="28"/>
          <w:szCs w:val="28"/>
          <w:lang w:val="en-US"/>
        </w:rPr>
        <w:t>Barocas</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Accountable Algorithms</w:t>
      </w:r>
      <w:r w:rsidRPr="0053175F">
        <w:rPr>
          <w:rFonts w:ascii="Times New Roman" w:hAnsi="Times New Roman" w:cs="Times New Roman"/>
          <w:sz w:val="28"/>
          <w:szCs w:val="28"/>
          <w:lang w:val="en-US"/>
        </w:rPr>
        <w:t>”,165 U.PA.L.REV. 633 (2017).</w:t>
      </w:r>
    </w:p>
    <w:p w14:paraId="32853B31" w14:textId="77777777" w:rsidR="00265619" w:rsidRPr="0053175F" w:rsidRDefault="00265619" w:rsidP="0053175F">
      <w:pPr>
        <w:spacing w:before="100" w:beforeAutospacing="1" w:after="100" w:afterAutospacing="1" w:line="240" w:lineRule="auto"/>
        <w:jc w:val="both"/>
        <w:rPr>
          <w:rFonts w:ascii="Times New Roman" w:eastAsia="Times New Roman" w:hAnsi="Times New Roman" w:cs="Times New Roman"/>
          <w:sz w:val="28"/>
          <w:szCs w:val="28"/>
        </w:rPr>
      </w:pPr>
      <w:r w:rsidRPr="0053175F">
        <w:rPr>
          <w:rFonts w:ascii="Times New Roman" w:hAnsi="Times New Roman" w:cs="Times New Roman"/>
          <w:smallCaps/>
          <w:sz w:val="28"/>
          <w:szCs w:val="28"/>
        </w:rPr>
        <w:t>A. Basile</w:t>
      </w:r>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Blockchain</w:t>
      </w:r>
      <w:proofErr w:type="spellEnd"/>
      <w:r w:rsidRPr="0053175F">
        <w:rPr>
          <w:rFonts w:ascii="Times New Roman" w:hAnsi="Times New Roman" w:cs="Times New Roman"/>
          <w:i/>
          <w:iCs/>
          <w:sz w:val="28"/>
          <w:szCs w:val="28"/>
        </w:rPr>
        <w:t>: La Nuova Rivoluzione Industriale</w:t>
      </w:r>
      <w:r w:rsidRPr="0053175F">
        <w:rPr>
          <w:rFonts w:ascii="Times New Roman" w:hAnsi="Times New Roman" w:cs="Times New Roman"/>
          <w:sz w:val="28"/>
          <w:szCs w:val="28"/>
        </w:rPr>
        <w:t>”, 2019.</w:t>
      </w:r>
    </w:p>
    <w:p w14:paraId="3C3C86B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R. Battaglini, M. Giordano</w:t>
      </w:r>
      <w:r w:rsidRPr="0053175F">
        <w:rPr>
          <w:rFonts w:ascii="Times New Roman" w:hAnsi="Times New Roman" w:cs="Times New Roman"/>
          <w:sz w:val="28"/>
          <w:szCs w:val="28"/>
        </w:rPr>
        <w:t xml:space="preserve"> (a cura di), “</w:t>
      </w:r>
      <w:proofErr w:type="spellStart"/>
      <w:r w:rsidRPr="0053175F">
        <w:rPr>
          <w:rFonts w:ascii="Times New Roman" w:hAnsi="Times New Roman" w:cs="Times New Roman"/>
          <w:i/>
          <w:iCs/>
          <w:sz w:val="28"/>
          <w:szCs w:val="28"/>
        </w:rPr>
        <w:t>Blockchain</w:t>
      </w:r>
      <w:proofErr w:type="spellEnd"/>
      <w:r w:rsidRPr="0053175F">
        <w:rPr>
          <w:rFonts w:ascii="Times New Roman" w:hAnsi="Times New Roman" w:cs="Times New Roman"/>
          <w:i/>
          <w:iCs/>
          <w:sz w:val="28"/>
          <w:szCs w:val="28"/>
        </w:rPr>
        <w:t xml:space="preserve"> e </w:t>
      </w:r>
      <w:proofErr w:type="spellStart"/>
      <w:r w:rsidRPr="0053175F">
        <w:rPr>
          <w:rFonts w:ascii="Times New Roman" w:hAnsi="Times New Roman" w:cs="Times New Roman"/>
          <w:i/>
          <w:iCs/>
          <w:sz w:val="28"/>
          <w:szCs w:val="28"/>
        </w:rPr>
        <w:t>smart</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contract</w:t>
      </w:r>
      <w:proofErr w:type="spellEnd"/>
      <w:r w:rsidRPr="0053175F">
        <w:rPr>
          <w:rFonts w:ascii="Times New Roman" w:hAnsi="Times New Roman" w:cs="Times New Roman"/>
          <w:i/>
          <w:iCs/>
          <w:sz w:val="28"/>
          <w:szCs w:val="28"/>
        </w:rPr>
        <w:t>. Funzionamento, profili giuridici e internazionali, applicazioni pratiche</w:t>
      </w:r>
      <w:r w:rsidRPr="0053175F">
        <w:rPr>
          <w:rFonts w:ascii="Times New Roman" w:hAnsi="Times New Roman" w:cs="Times New Roman"/>
          <w:sz w:val="28"/>
          <w:szCs w:val="28"/>
        </w:rPr>
        <w:t>”, 2019.</w:t>
      </w:r>
    </w:p>
    <w:p w14:paraId="7908F1F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M. Bellini</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La </w:t>
      </w:r>
      <w:proofErr w:type="spellStart"/>
      <w:r w:rsidRPr="0053175F">
        <w:rPr>
          <w:rFonts w:ascii="Times New Roman" w:hAnsi="Times New Roman" w:cs="Times New Roman"/>
          <w:i/>
          <w:iCs/>
          <w:sz w:val="28"/>
          <w:szCs w:val="28"/>
        </w:rPr>
        <w:t>blockchain</w:t>
      </w:r>
      <w:proofErr w:type="spellEnd"/>
      <w:r w:rsidRPr="0053175F">
        <w:rPr>
          <w:rFonts w:ascii="Times New Roman" w:hAnsi="Times New Roman" w:cs="Times New Roman"/>
          <w:i/>
          <w:iCs/>
          <w:sz w:val="28"/>
          <w:szCs w:val="28"/>
        </w:rPr>
        <w:t xml:space="preserve"> per le imprese. Come prepararsi alla nuova «internet del valore»</w:t>
      </w:r>
      <w:r w:rsidRPr="0053175F">
        <w:rPr>
          <w:rFonts w:ascii="Times New Roman" w:hAnsi="Times New Roman" w:cs="Times New Roman"/>
          <w:sz w:val="28"/>
          <w:szCs w:val="28"/>
        </w:rPr>
        <w:t>”, 2019.</w:t>
      </w:r>
    </w:p>
    <w:p w14:paraId="6738A378"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eastAsia="Times New Roman" w:hAnsi="Times New Roman" w:cs="Times New Roman"/>
          <w:smallCaps/>
          <w:sz w:val="28"/>
          <w:szCs w:val="28"/>
        </w:rPr>
        <w:t>A. Bello</w:t>
      </w:r>
      <w:r w:rsidRPr="0053175F">
        <w:rPr>
          <w:rFonts w:ascii="Times New Roman" w:eastAsia="Times New Roman" w:hAnsi="Times New Roman" w:cs="Times New Roman"/>
          <w:sz w:val="28"/>
          <w:szCs w:val="28"/>
        </w:rPr>
        <w:t>, “</w:t>
      </w:r>
      <w:proofErr w:type="spellStart"/>
      <w:r w:rsidRPr="0053175F">
        <w:rPr>
          <w:rFonts w:ascii="Times New Roman" w:eastAsia="Times New Roman" w:hAnsi="Times New Roman" w:cs="Times New Roman"/>
          <w:i/>
          <w:sz w:val="28"/>
          <w:szCs w:val="28"/>
        </w:rPr>
        <w:t>Blockchain</w:t>
      </w:r>
      <w:proofErr w:type="spellEnd"/>
      <w:r w:rsidRPr="0053175F">
        <w:rPr>
          <w:rFonts w:ascii="Times New Roman" w:eastAsia="Times New Roman" w:hAnsi="Times New Roman" w:cs="Times New Roman"/>
          <w:i/>
          <w:sz w:val="28"/>
          <w:szCs w:val="28"/>
        </w:rPr>
        <w:t xml:space="preserve"> e privacy: soluzioni per la </w:t>
      </w:r>
      <w:proofErr w:type="spellStart"/>
      <w:r w:rsidRPr="0053175F">
        <w:rPr>
          <w:rFonts w:ascii="Times New Roman" w:eastAsia="Times New Roman" w:hAnsi="Times New Roman" w:cs="Times New Roman"/>
          <w:i/>
          <w:sz w:val="28"/>
          <w:szCs w:val="28"/>
        </w:rPr>
        <w:t>compliance</w:t>
      </w:r>
      <w:proofErr w:type="spellEnd"/>
      <w:r w:rsidRPr="0053175F">
        <w:rPr>
          <w:rFonts w:ascii="Times New Roman" w:eastAsia="Times New Roman" w:hAnsi="Times New Roman" w:cs="Times New Roman"/>
          <w:i/>
          <w:sz w:val="28"/>
          <w:szCs w:val="28"/>
        </w:rPr>
        <w:t xml:space="preserve"> alle norme</w:t>
      </w:r>
      <w:r w:rsidRPr="0053175F">
        <w:rPr>
          <w:rFonts w:ascii="Times New Roman" w:eastAsia="Times New Roman" w:hAnsi="Times New Roman" w:cs="Times New Roman"/>
          <w:sz w:val="28"/>
          <w:szCs w:val="28"/>
        </w:rPr>
        <w:t xml:space="preserve">”, 15 maggio 2019, in </w:t>
      </w:r>
      <w:r w:rsidRPr="0053175F">
        <w:rPr>
          <w:rFonts w:ascii="Times New Roman" w:eastAsia="Times New Roman" w:hAnsi="Times New Roman" w:cs="Times New Roman"/>
          <w:i/>
          <w:iCs/>
          <w:sz w:val="28"/>
          <w:szCs w:val="28"/>
        </w:rPr>
        <w:t>agendadigitale.eu.</w:t>
      </w:r>
    </w:p>
    <w:p w14:paraId="02E418B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V. </w:t>
      </w:r>
      <w:proofErr w:type="spellStart"/>
      <w:r w:rsidRPr="0053175F">
        <w:rPr>
          <w:rFonts w:ascii="Times New Roman" w:hAnsi="Times New Roman" w:cs="Times New Roman"/>
          <w:smallCaps/>
          <w:sz w:val="28"/>
          <w:szCs w:val="28"/>
        </w:rPr>
        <w:t>Bellomia</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Il contratto intelligente: questioni di diritto civile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judicium.it</w:t>
      </w:r>
      <w:r w:rsidRPr="0053175F">
        <w:rPr>
          <w:rFonts w:ascii="Times New Roman" w:hAnsi="Times New Roman" w:cs="Times New Roman"/>
          <w:sz w:val="28"/>
          <w:szCs w:val="28"/>
        </w:rPr>
        <w:t>, 10 dicembre 2020.</w:t>
      </w:r>
    </w:p>
    <w:p w14:paraId="03953AC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M. </w:t>
      </w:r>
      <w:proofErr w:type="spellStart"/>
      <w:r w:rsidRPr="0053175F">
        <w:rPr>
          <w:rFonts w:ascii="Times New Roman" w:hAnsi="Times New Roman" w:cs="Times New Roman"/>
          <w:smallCaps/>
          <w:sz w:val="28"/>
          <w:szCs w:val="28"/>
        </w:rPr>
        <w:t>Benasoyag</w:t>
      </w:r>
      <w:proofErr w:type="spellEnd"/>
      <w:r w:rsidRPr="0053175F">
        <w:rPr>
          <w:rFonts w:ascii="Times New Roman" w:hAnsi="Times New Roman" w:cs="Times New Roman"/>
          <w:smallCaps/>
          <w:sz w:val="28"/>
          <w:szCs w:val="28"/>
        </w:rPr>
        <w:t>,</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Cinque lezioni di complessità</w:t>
      </w:r>
      <w:r w:rsidRPr="0053175F">
        <w:rPr>
          <w:rFonts w:ascii="Times New Roman" w:hAnsi="Times New Roman" w:cs="Times New Roman"/>
          <w:sz w:val="28"/>
          <w:szCs w:val="28"/>
        </w:rPr>
        <w:t>”, 2020.</w:t>
      </w:r>
    </w:p>
    <w:p w14:paraId="0EFD191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M. </w:t>
      </w:r>
      <w:proofErr w:type="spellStart"/>
      <w:r w:rsidRPr="0053175F">
        <w:rPr>
          <w:rFonts w:ascii="Times New Roman" w:hAnsi="Times New Roman" w:cs="Times New Roman"/>
          <w:smallCaps/>
          <w:sz w:val="28"/>
          <w:szCs w:val="28"/>
        </w:rPr>
        <w:t>Benasoyag</w:t>
      </w:r>
      <w:proofErr w:type="spellEnd"/>
      <w:r w:rsidRPr="0053175F">
        <w:rPr>
          <w:rFonts w:ascii="Times New Roman" w:hAnsi="Times New Roman" w:cs="Times New Roman"/>
          <w:smallCaps/>
          <w:sz w:val="28"/>
          <w:szCs w:val="28"/>
        </w:rPr>
        <w:t xml:space="preserve">, </w:t>
      </w:r>
      <w:r w:rsidRPr="0053175F">
        <w:rPr>
          <w:rFonts w:ascii="Times New Roman" w:hAnsi="Times New Roman" w:cs="Times New Roman"/>
          <w:sz w:val="28"/>
          <w:szCs w:val="28"/>
        </w:rPr>
        <w:t>“</w:t>
      </w:r>
      <w:r w:rsidRPr="0053175F">
        <w:rPr>
          <w:rFonts w:ascii="Times New Roman" w:hAnsi="Times New Roman" w:cs="Times New Roman"/>
          <w:i/>
          <w:iCs/>
          <w:sz w:val="28"/>
          <w:szCs w:val="28"/>
        </w:rPr>
        <w:t>Il cervello aumentato, l’uomo diminuito</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2016.</w:t>
      </w:r>
    </w:p>
    <w:p w14:paraId="1EB8AA0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M. </w:t>
      </w:r>
      <w:proofErr w:type="spellStart"/>
      <w:r w:rsidRPr="0053175F">
        <w:rPr>
          <w:rFonts w:ascii="Times New Roman" w:hAnsi="Times New Roman" w:cs="Times New Roman"/>
          <w:smallCaps/>
          <w:sz w:val="28"/>
          <w:szCs w:val="28"/>
        </w:rPr>
        <w:t>Benasoyag</w:t>
      </w:r>
      <w:proofErr w:type="spellEnd"/>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La responsabilità della rivolta</w:t>
      </w:r>
      <w:r w:rsidRPr="0053175F">
        <w:rPr>
          <w:rFonts w:ascii="Times New Roman" w:hAnsi="Times New Roman" w:cs="Times New Roman"/>
          <w:sz w:val="28"/>
          <w:szCs w:val="28"/>
        </w:rPr>
        <w:t>”, 2021.</w:t>
      </w:r>
    </w:p>
    <w:p w14:paraId="2D5F3328"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M. </w:t>
      </w:r>
      <w:proofErr w:type="spellStart"/>
      <w:r w:rsidRPr="0053175F">
        <w:rPr>
          <w:rFonts w:ascii="Times New Roman" w:hAnsi="Times New Roman" w:cs="Times New Roman"/>
          <w:smallCaps/>
          <w:sz w:val="28"/>
          <w:szCs w:val="28"/>
        </w:rPr>
        <w:t>Benasoyag</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 tirannia dell’Algoritmo</w:t>
      </w:r>
      <w:r w:rsidRPr="0053175F">
        <w:rPr>
          <w:rFonts w:ascii="Times New Roman" w:hAnsi="Times New Roman" w:cs="Times New Roman"/>
          <w:sz w:val="28"/>
          <w:szCs w:val="28"/>
        </w:rPr>
        <w:t>”, 2020.</w:t>
      </w:r>
    </w:p>
    <w:p w14:paraId="383A639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M. </w:t>
      </w:r>
      <w:proofErr w:type="spellStart"/>
      <w:r w:rsidRPr="0053175F">
        <w:rPr>
          <w:rFonts w:ascii="Times New Roman" w:hAnsi="Times New Roman" w:cs="Times New Roman"/>
          <w:smallCaps/>
          <w:sz w:val="28"/>
          <w:szCs w:val="28"/>
        </w:rPr>
        <w:t>Benasoyag</w:t>
      </w:r>
      <w:proofErr w:type="spellEnd"/>
      <w:r w:rsidRPr="0053175F">
        <w:rPr>
          <w:rFonts w:ascii="Times New Roman" w:hAnsi="Times New Roman" w:cs="Times New Roman"/>
          <w:i/>
          <w:iCs/>
          <w:sz w:val="28"/>
          <w:szCs w:val="28"/>
        </w:rPr>
        <w:t xml:space="preserve"> &amp; </w:t>
      </w:r>
      <w:r w:rsidRPr="0053175F">
        <w:rPr>
          <w:rFonts w:ascii="Times New Roman" w:hAnsi="Times New Roman" w:cs="Times New Roman"/>
          <w:smallCaps/>
          <w:sz w:val="28"/>
          <w:szCs w:val="28"/>
        </w:rPr>
        <w:t xml:space="preserve">G. </w:t>
      </w:r>
      <w:proofErr w:type="spellStart"/>
      <w:r w:rsidRPr="0053175F">
        <w:rPr>
          <w:rFonts w:ascii="Times New Roman" w:hAnsi="Times New Roman" w:cs="Times New Roman"/>
          <w:smallCaps/>
          <w:sz w:val="28"/>
          <w:szCs w:val="28"/>
        </w:rPr>
        <w:t>Schimt</w:t>
      </w:r>
      <w:proofErr w:type="spellEnd"/>
      <w:r w:rsidRPr="0053175F">
        <w:rPr>
          <w:rFonts w:ascii="Times New Roman" w:hAnsi="Times New Roman" w:cs="Times New Roman"/>
          <w:i/>
          <w:iCs/>
          <w:sz w:val="28"/>
          <w:szCs w:val="28"/>
        </w:rPr>
        <w:t xml:space="preserve"> “L’epoca delle passioni tristi</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2004.</w:t>
      </w:r>
    </w:p>
    <w:p w14:paraId="330BF9E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L. Bennet Moses, J. Chan</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Algorithmic Prediction in Policing: Assumptions, Evaluation, and Accountability</w:t>
      </w:r>
      <w:r w:rsidRPr="0053175F">
        <w:rPr>
          <w:rFonts w:ascii="Times New Roman" w:hAnsi="Times New Roman" w:cs="Times New Roman"/>
          <w:sz w:val="28"/>
          <w:szCs w:val="28"/>
          <w:lang w:val="en-US"/>
        </w:rPr>
        <w:t xml:space="preserve">”, in </w:t>
      </w:r>
      <w:r w:rsidRPr="0053175F">
        <w:rPr>
          <w:rFonts w:ascii="Times New Roman" w:hAnsi="Times New Roman" w:cs="Times New Roman"/>
          <w:i/>
          <w:iCs/>
          <w:sz w:val="28"/>
          <w:szCs w:val="28"/>
          <w:lang w:val="en-US"/>
        </w:rPr>
        <w:t>Policing and Society</w:t>
      </w:r>
      <w:r w:rsidRPr="0053175F">
        <w:rPr>
          <w:rFonts w:ascii="Times New Roman" w:hAnsi="Times New Roman" w:cs="Times New Roman"/>
          <w:sz w:val="28"/>
          <w:szCs w:val="28"/>
          <w:lang w:val="en-US"/>
        </w:rPr>
        <w:t>, 2016.</w:t>
      </w:r>
    </w:p>
    <w:p w14:paraId="7C5BF444" w14:textId="2E14F81F" w:rsidR="0053175F" w:rsidRPr="0053175F" w:rsidRDefault="0053175F"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lastRenderedPageBreak/>
        <w:t xml:space="preserve">A. </w:t>
      </w:r>
      <w:proofErr w:type="spellStart"/>
      <w:r w:rsidRPr="0053175F">
        <w:rPr>
          <w:rFonts w:ascii="Times New Roman" w:hAnsi="Times New Roman" w:cs="Times New Roman"/>
          <w:smallCaps/>
          <w:sz w:val="28"/>
          <w:szCs w:val="28"/>
        </w:rPr>
        <w:t>Benvegnù</w:t>
      </w:r>
      <w:proofErr w:type="spellEnd"/>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Alexa</w:t>
      </w:r>
      <w:proofErr w:type="spellEnd"/>
      <w:r w:rsidRPr="0053175F">
        <w:rPr>
          <w:rFonts w:ascii="Times New Roman" w:hAnsi="Times New Roman" w:cs="Times New Roman"/>
          <w:i/>
          <w:iCs/>
          <w:sz w:val="28"/>
          <w:szCs w:val="28"/>
        </w:rPr>
        <w:t>, unica testimone di un omicidio. E (legittime) domande sulla nostra privacy</w:t>
      </w:r>
      <w:r w:rsidRPr="0053175F">
        <w:rPr>
          <w:rFonts w:ascii="Times New Roman" w:hAnsi="Times New Roman" w:cs="Times New Roman"/>
          <w:sz w:val="28"/>
          <w:szCs w:val="28"/>
        </w:rPr>
        <w:t>”, su</w:t>
      </w:r>
      <w:r w:rsidRPr="0053175F">
        <w:rPr>
          <w:rFonts w:ascii="Times New Roman" w:hAnsi="Times New Roman" w:cs="Times New Roman"/>
          <w:i/>
          <w:iCs/>
          <w:sz w:val="28"/>
          <w:szCs w:val="28"/>
        </w:rPr>
        <w:t xml:space="preserve"> Nera-Mente</w:t>
      </w:r>
      <w:r w:rsidRPr="0053175F">
        <w:rPr>
          <w:rFonts w:ascii="Times New Roman" w:hAnsi="Times New Roman" w:cs="Times New Roman"/>
          <w:sz w:val="28"/>
          <w:szCs w:val="28"/>
        </w:rPr>
        <w:t>, 2020.</w:t>
      </w:r>
    </w:p>
    <w:p w14:paraId="6D7DF052" w14:textId="5B045ED0"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hAnsi="Times New Roman" w:cs="Times New Roman"/>
          <w:smallCaps/>
          <w:sz w:val="28"/>
          <w:szCs w:val="28"/>
        </w:rPr>
        <w:t>F. Berger</w:t>
      </w:r>
      <w:r w:rsidRPr="0053175F">
        <w:rPr>
          <w:rFonts w:ascii="Times New Roman" w:hAnsi="Times New Roman" w:cs="Times New Roman"/>
          <w:sz w:val="28"/>
          <w:szCs w:val="28"/>
        </w:rPr>
        <w:t>, “</w:t>
      </w:r>
      <w:r w:rsidRPr="0053175F">
        <w:rPr>
          <w:rFonts w:ascii="Times New Roman" w:hAnsi="Times New Roman" w:cs="Times New Roman"/>
          <w:i/>
          <w:iCs/>
          <w:sz w:val="28"/>
          <w:szCs w:val="28"/>
        </w:rPr>
        <w:t>Intelligenza artificiale, rileggere la storia per evitare un nuovo inverno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formiche.net.</w:t>
      </w:r>
    </w:p>
    <w:p w14:paraId="137973D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L. Berto</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E’ possibile registrare un </w:t>
      </w:r>
      <w:proofErr w:type="spellStart"/>
      <w:r w:rsidRPr="0053175F">
        <w:rPr>
          <w:rFonts w:ascii="Times New Roman" w:hAnsi="Times New Roman" w:cs="Times New Roman"/>
          <w:i/>
          <w:iCs/>
          <w:sz w:val="28"/>
          <w:szCs w:val="28"/>
        </w:rPr>
        <w:t>hashtag</w:t>
      </w:r>
      <w:proofErr w:type="spellEnd"/>
      <w:r w:rsidRPr="0053175F">
        <w:rPr>
          <w:rFonts w:ascii="Times New Roman" w:hAnsi="Times New Roman" w:cs="Times New Roman"/>
          <w:i/>
          <w:iCs/>
          <w:sz w:val="28"/>
          <w:szCs w:val="28"/>
        </w:rPr>
        <w:t xml:space="preserve"> come marchio?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iusinitinere.it</w:t>
      </w:r>
      <w:r w:rsidRPr="0053175F">
        <w:rPr>
          <w:rFonts w:ascii="Times New Roman" w:hAnsi="Times New Roman" w:cs="Times New Roman"/>
          <w:sz w:val="28"/>
          <w:szCs w:val="28"/>
        </w:rPr>
        <w:t>, 13 novembre 2017.</w:t>
      </w:r>
    </w:p>
    <w:p w14:paraId="355E21A0"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hAnsi="Times New Roman" w:cs="Times New Roman"/>
          <w:smallCaps/>
          <w:sz w:val="28"/>
          <w:szCs w:val="28"/>
        </w:rPr>
        <w:t>M. Bianca</w:t>
      </w:r>
      <w:r w:rsidRPr="0053175F">
        <w:rPr>
          <w:rFonts w:ascii="Times New Roman" w:hAnsi="Times New Roman" w:cs="Times New Roman"/>
          <w:sz w:val="28"/>
          <w:szCs w:val="28"/>
        </w:rPr>
        <w:t>, “</w:t>
      </w:r>
      <w:r w:rsidRPr="0053175F">
        <w:rPr>
          <w:rFonts w:ascii="Times New Roman" w:hAnsi="Times New Roman" w:cs="Times New Roman"/>
          <w:i/>
          <w:iCs/>
          <w:sz w:val="28"/>
          <w:szCs w:val="28"/>
        </w:rPr>
        <w:t>Diritto civile</w:t>
      </w:r>
      <w:r w:rsidRPr="0053175F">
        <w:rPr>
          <w:rFonts w:ascii="Times New Roman" w:hAnsi="Times New Roman" w:cs="Times New Roman"/>
          <w:sz w:val="28"/>
          <w:szCs w:val="28"/>
        </w:rPr>
        <w:t>”, Milano, 2011.</w:t>
      </w:r>
    </w:p>
    <w:p w14:paraId="773CD023"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G. </w:t>
      </w:r>
      <w:proofErr w:type="spellStart"/>
      <w:r w:rsidRPr="0053175F">
        <w:rPr>
          <w:rFonts w:ascii="Times New Roman" w:hAnsi="Times New Roman" w:cs="Times New Roman"/>
          <w:smallCaps/>
          <w:sz w:val="28"/>
          <w:szCs w:val="28"/>
        </w:rPr>
        <w:t>Bianchedi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Il consenso dei minori per i servizi della società dell’informazione sotto il profilo giuridico e informatico</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in</w:t>
      </w:r>
      <w:r w:rsidRPr="0053175F">
        <w:rPr>
          <w:rFonts w:ascii="Times New Roman" w:hAnsi="Times New Roman" w:cs="Times New Roman"/>
          <w:i/>
          <w:iCs/>
          <w:sz w:val="28"/>
          <w:szCs w:val="28"/>
        </w:rPr>
        <w:t xml:space="preserve"> Ciberspazio e diritto</w:t>
      </w:r>
      <w:r w:rsidRPr="0053175F">
        <w:rPr>
          <w:rFonts w:ascii="Times New Roman" w:hAnsi="Times New Roman" w:cs="Times New Roman"/>
          <w:sz w:val="28"/>
          <w:szCs w:val="28"/>
        </w:rPr>
        <w:t>, vol. 20, n. 63 (3-2019).</w:t>
      </w:r>
    </w:p>
    <w:p w14:paraId="7309C6D2"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D. Bianchi</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Danno e oblio. Nesso di causalità, principio di proporzionalità e misure di sicurezza Data </w:t>
      </w:r>
      <w:proofErr w:type="spellStart"/>
      <w:r w:rsidRPr="0053175F">
        <w:rPr>
          <w:rFonts w:ascii="Times New Roman" w:hAnsi="Times New Roman" w:cs="Times New Roman"/>
          <w:i/>
          <w:iCs/>
          <w:sz w:val="28"/>
          <w:szCs w:val="28"/>
        </w:rPr>
        <w:t>Protection</w:t>
      </w:r>
      <w:proofErr w:type="spellEnd"/>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Ridare.it</w:t>
      </w:r>
      <w:r w:rsidRPr="0053175F">
        <w:rPr>
          <w:rFonts w:ascii="Times New Roman" w:hAnsi="Times New Roman" w:cs="Times New Roman"/>
          <w:sz w:val="28"/>
          <w:szCs w:val="28"/>
        </w:rPr>
        <w:t>, 19 ottobre 2016.</w:t>
      </w:r>
    </w:p>
    <w:p w14:paraId="591D6D1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E. Blackburn</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La scienza che allunga la vita. La rivoluzione dei </w:t>
      </w:r>
      <w:proofErr w:type="spellStart"/>
      <w:r w:rsidRPr="0053175F">
        <w:rPr>
          <w:rFonts w:ascii="Times New Roman" w:hAnsi="Times New Roman" w:cs="Times New Roman"/>
          <w:i/>
          <w:iCs/>
          <w:sz w:val="28"/>
          <w:szCs w:val="28"/>
        </w:rPr>
        <w:t>telomeri</w:t>
      </w:r>
      <w:proofErr w:type="spellEnd"/>
      <w:r w:rsidRPr="0053175F">
        <w:rPr>
          <w:rFonts w:ascii="Times New Roman" w:hAnsi="Times New Roman" w:cs="Times New Roman"/>
          <w:sz w:val="28"/>
          <w:szCs w:val="28"/>
        </w:rPr>
        <w:t>”, 2017.</w:t>
      </w:r>
    </w:p>
    <w:p w14:paraId="58EEB623"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eastAsia="Times New Roman" w:hAnsi="Times New Roman" w:cs="Times New Roman"/>
          <w:smallCaps/>
          <w:sz w:val="28"/>
          <w:szCs w:val="28"/>
        </w:rPr>
        <w:t>N. Boldrini</w:t>
      </w:r>
      <w:r w:rsidRPr="0053175F">
        <w:rPr>
          <w:rFonts w:ascii="Times New Roman" w:eastAsia="Times New Roman" w:hAnsi="Times New Roman" w:cs="Times New Roman"/>
          <w:sz w:val="28"/>
          <w:szCs w:val="28"/>
        </w:rPr>
        <w:t>, “</w:t>
      </w:r>
      <w:proofErr w:type="spellStart"/>
      <w:r w:rsidRPr="0053175F">
        <w:rPr>
          <w:rFonts w:ascii="Times New Roman" w:eastAsia="Times New Roman" w:hAnsi="Times New Roman" w:cs="Times New Roman"/>
          <w:i/>
          <w:sz w:val="28"/>
          <w:szCs w:val="28"/>
        </w:rPr>
        <w:t>Blockchain</w:t>
      </w:r>
      <w:proofErr w:type="spellEnd"/>
      <w:r w:rsidRPr="0053175F">
        <w:rPr>
          <w:rFonts w:ascii="Times New Roman" w:eastAsia="Times New Roman" w:hAnsi="Times New Roman" w:cs="Times New Roman"/>
          <w:i/>
          <w:sz w:val="28"/>
          <w:szCs w:val="28"/>
        </w:rPr>
        <w:t xml:space="preserve"> e GDPR: le sfide (e le opportunità) per la protezione dei dati</w:t>
      </w:r>
      <w:r w:rsidRPr="0053175F">
        <w:rPr>
          <w:rFonts w:ascii="Times New Roman" w:eastAsia="Times New Roman" w:hAnsi="Times New Roman" w:cs="Times New Roman"/>
          <w:sz w:val="28"/>
          <w:szCs w:val="28"/>
        </w:rPr>
        <w:t xml:space="preserve">”, in </w:t>
      </w:r>
      <w:r w:rsidRPr="0053175F">
        <w:rPr>
          <w:rFonts w:ascii="Times New Roman" w:eastAsia="Times New Roman" w:hAnsi="Times New Roman" w:cs="Times New Roman"/>
          <w:i/>
          <w:iCs/>
          <w:sz w:val="28"/>
          <w:szCs w:val="28"/>
        </w:rPr>
        <w:t>blockchain4innovation.it</w:t>
      </w:r>
      <w:r w:rsidRPr="0053175F">
        <w:rPr>
          <w:rFonts w:ascii="Times New Roman" w:eastAsia="Times New Roman" w:hAnsi="Times New Roman" w:cs="Times New Roman"/>
          <w:sz w:val="28"/>
          <w:szCs w:val="28"/>
        </w:rPr>
        <w:t>, 2018.</w:t>
      </w:r>
    </w:p>
    <w:p w14:paraId="58CE520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M. Borgobello</w:t>
      </w:r>
      <w:r w:rsidRPr="0053175F">
        <w:rPr>
          <w:rFonts w:ascii="Times New Roman" w:hAnsi="Times New Roman" w:cs="Times New Roman"/>
          <w:sz w:val="28"/>
          <w:szCs w:val="28"/>
        </w:rPr>
        <w:t>, “</w:t>
      </w:r>
      <w:r w:rsidRPr="0053175F">
        <w:rPr>
          <w:rFonts w:ascii="Times New Roman" w:hAnsi="Times New Roman" w:cs="Times New Roman"/>
          <w:i/>
          <w:iCs/>
          <w:sz w:val="28"/>
          <w:szCs w:val="28"/>
        </w:rPr>
        <w:t>Acquisizione di tabulati telefonici: che cambia col nuovo decreto-legge</w:t>
      </w:r>
      <w:r w:rsidRPr="0053175F">
        <w:rPr>
          <w:rFonts w:ascii="Times New Roman" w:hAnsi="Times New Roman" w:cs="Times New Roman"/>
          <w:sz w:val="28"/>
          <w:szCs w:val="28"/>
        </w:rPr>
        <w:t xml:space="preserve">”, su </w:t>
      </w:r>
      <w:proofErr w:type="spellStart"/>
      <w:proofErr w:type="gramStart"/>
      <w:r w:rsidRPr="0053175F">
        <w:rPr>
          <w:rFonts w:ascii="Times New Roman" w:hAnsi="Times New Roman" w:cs="Times New Roman"/>
          <w:i/>
          <w:iCs/>
          <w:sz w:val="28"/>
          <w:szCs w:val="28"/>
        </w:rPr>
        <w:t>agendadigitale.ue</w:t>
      </w:r>
      <w:proofErr w:type="spellEnd"/>
      <w:proofErr w:type="gramEnd"/>
      <w:r w:rsidRPr="0053175F">
        <w:rPr>
          <w:rFonts w:ascii="Times New Roman" w:hAnsi="Times New Roman" w:cs="Times New Roman"/>
          <w:sz w:val="28"/>
          <w:szCs w:val="28"/>
        </w:rPr>
        <w:t>, 4 ottobre 2021.</w:t>
      </w:r>
    </w:p>
    <w:p w14:paraId="7E2EA7C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F. Bravo</w:t>
      </w:r>
      <w:r w:rsidRPr="0053175F">
        <w:rPr>
          <w:rFonts w:ascii="Times New Roman" w:hAnsi="Times New Roman" w:cs="Times New Roman"/>
          <w:sz w:val="28"/>
          <w:szCs w:val="28"/>
        </w:rPr>
        <w:t>, “</w:t>
      </w:r>
      <w:r w:rsidRPr="0053175F">
        <w:rPr>
          <w:rFonts w:ascii="Times New Roman" w:hAnsi="Times New Roman" w:cs="Times New Roman"/>
          <w:i/>
          <w:iCs/>
          <w:sz w:val="28"/>
          <w:szCs w:val="28"/>
        </w:rPr>
        <w:t>Il consenso e le altre condizioni di liceità del trattamento dei dati personali</w:t>
      </w:r>
      <w:r w:rsidRPr="0053175F">
        <w:rPr>
          <w:rFonts w:ascii="Times New Roman" w:hAnsi="Times New Roman" w:cs="Times New Roman"/>
          <w:sz w:val="28"/>
          <w:szCs w:val="28"/>
        </w:rPr>
        <w:t xml:space="preserve">”, in </w:t>
      </w:r>
      <w:r w:rsidRPr="0053175F">
        <w:rPr>
          <w:rFonts w:ascii="Times New Roman" w:hAnsi="Times New Roman" w:cs="Times New Roman"/>
          <w:smallCaps/>
          <w:sz w:val="28"/>
          <w:szCs w:val="28"/>
        </w:rPr>
        <w:t>G. Finocchiaro</w:t>
      </w:r>
      <w:r w:rsidRPr="0053175F">
        <w:rPr>
          <w:rFonts w:ascii="Times New Roman" w:hAnsi="Times New Roman" w:cs="Times New Roman"/>
          <w:sz w:val="28"/>
          <w:szCs w:val="28"/>
        </w:rPr>
        <w:t xml:space="preserve"> (diretto da), “</w:t>
      </w:r>
      <w:r w:rsidRPr="0053175F">
        <w:rPr>
          <w:rFonts w:ascii="Times New Roman" w:hAnsi="Times New Roman" w:cs="Times New Roman"/>
          <w:i/>
          <w:iCs/>
          <w:sz w:val="28"/>
          <w:szCs w:val="28"/>
        </w:rPr>
        <w:t>Il nuovo Regolamento europeo sulla privacy e sulla protezione dei dati personali</w:t>
      </w:r>
      <w:r w:rsidRPr="0053175F">
        <w:rPr>
          <w:rFonts w:ascii="Times New Roman" w:hAnsi="Times New Roman" w:cs="Times New Roman"/>
          <w:sz w:val="28"/>
          <w:szCs w:val="28"/>
        </w:rPr>
        <w:t>”, Torino, Zanichelli, 2017.</w:t>
      </w:r>
    </w:p>
    <w:p w14:paraId="5EE8063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F. Brizzi</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Diffusione illecita di immagini o video sessualmente espliciti: tra tutela della privacy e </w:t>
      </w:r>
      <w:proofErr w:type="spellStart"/>
      <w:r w:rsidRPr="0053175F">
        <w:rPr>
          <w:rFonts w:ascii="Times New Roman" w:hAnsi="Times New Roman" w:cs="Times New Roman"/>
          <w:i/>
          <w:iCs/>
          <w:sz w:val="28"/>
          <w:szCs w:val="28"/>
        </w:rPr>
        <w:t>revenge</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porn</w:t>
      </w:r>
      <w:proofErr w:type="spellEnd"/>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Ilpenalista.it</w:t>
      </w:r>
      <w:r w:rsidRPr="0053175F">
        <w:rPr>
          <w:rFonts w:ascii="Times New Roman" w:hAnsi="Times New Roman" w:cs="Times New Roman"/>
          <w:sz w:val="28"/>
          <w:szCs w:val="28"/>
        </w:rPr>
        <w:t xml:space="preserve">, 30 </w:t>
      </w:r>
      <w:proofErr w:type="gramStart"/>
      <w:r w:rsidRPr="0053175F">
        <w:rPr>
          <w:rFonts w:ascii="Times New Roman" w:hAnsi="Times New Roman" w:cs="Times New Roman"/>
          <w:sz w:val="28"/>
          <w:szCs w:val="28"/>
        </w:rPr>
        <w:t>Marzo</w:t>
      </w:r>
      <w:proofErr w:type="gramEnd"/>
      <w:r w:rsidRPr="0053175F">
        <w:rPr>
          <w:rFonts w:ascii="Times New Roman" w:hAnsi="Times New Roman" w:cs="Times New Roman"/>
          <w:sz w:val="28"/>
          <w:szCs w:val="28"/>
        </w:rPr>
        <w:t xml:space="preserve"> 2021.</w:t>
      </w:r>
    </w:p>
    <w:p w14:paraId="064436C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E. Bucci</w:t>
      </w:r>
      <w:r w:rsidRPr="0053175F">
        <w:rPr>
          <w:rFonts w:ascii="Times New Roman" w:hAnsi="Times New Roman" w:cs="Times New Roman"/>
          <w:sz w:val="28"/>
          <w:szCs w:val="28"/>
        </w:rPr>
        <w:t>, “</w:t>
      </w:r>
      <w:r w:rsidRPr="0053175F">
        <w:rPr>
          <w:rFonts w:ascii="Times New Roman" w:hAnsi="Times New Roman" w:cs="Times New Roman"/>
          <w:i/>
          <w:iCs/>
          <w:sz w:val="28"/>
          <w:szCs w:val="28"/>
        </w:rPr>
        <w:t>Anche all’intelligenza artificiale può essere attribuito un brevetto</w:t>
      </w:r>
      <w:r w:rsidRPr="0053175F">
        <w:rPr>
          <w:rFonts w:ascii="Times New Roman" w:hAnsi="Times New Roman" w:cs="Times New Roman"/>
          <w:sz w:val="28"/>
          <w:szCs w:val="28"/>
        </w:rPr>
        <w:t xml:space="preserve">”, 2021, su </w:t>
      </w:r>
      <w:r w:rsidRPr="0053175F">
        <w:rPr>
          <w:rFonts w:ascii="Times New Roman" w:hAnsi="Times New Roman" w:cs="Times New Roman"/>
          <w:i/>
          <w:iCs/>
          <w:sz w:val="28"/>
          <w:szCs w:val="28"/>
        </w:rPr>
        <w:t>IlFoglio.it.</w:t>
      </w:r>
    </w:p>
    <w:p w14:paraId="01F6BB0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C. </w:t>
      </w:r>
      <w:proofErr w:type="spellStart"/>
      <w:r w:rsidRPr="0053175F">
        <w:rPr>
          <w:rFonts w:ascii="Times New Roman" w:hAnsi="Times New Roman" w:cs="Times New Roman"/>
          <w:smallCaps/>
          <w:sz w:val="28"/>
          <w:szCs w:val="28"/>
        </w:rPr>
        <w:t>Burchard</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L’Intelligenza Artificiale come fine del diritto penale? Sulla trasformazione algoritmica della società</w:t>
      </w:r>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Rivista italiana di diritto e procedura penale</w:t>
      </w:r>
      <w:r w:rsidRPr="0053175F">
        <w:rPr>
          <w:rFonts w:ascii="Times New Roman" w:hAnsi="Times New Roman" w:cs="Times New Roman"/>
          <w:sz w:val="28"/>
          <w:szCs w:val="28"/>
        </w:rPr>
        <w:t>, 2019, Vol. 62.</w:t>
      </w:r>
    </w:p>
    <w:p w14:paraId="7172A92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G. </w:t>
      </w:r>
      <w:proofErr w:type="spellStart"/>
      <w:r w:rsidRPr="0053175F">
        <w:rPr>
          <w:rFonts w:ascii="Times New Roman" w:hAnsi="Times New Roman" w:cs="Times New Roman"/>
          <w:smallCaps/>
          <w:sz w:val="28"/>
          <w:szCs w:val="28"/>
        </w:rPr>
        <w:t>Busia</w:t>
      </w:r>
      <w:proofErr w:type="spellEnd"/>
      <w:r w:rsidRPr="0053175F">
        <w:rPr>
          <w:rFonts w:ascii="Times New Roman" w:hAnsi="Times New Roman" w:cs="Times New Roman"/>
          <w:smallCaps/>
          <w:sz w:val="28"/>
          <w:szCs w:val="28"/>
        </w:rPr>
        <w:t>, L. Ferola</w:t>
      </w:r>
      <w:r w:rsidRPr="0053175F">
        <w:rPr>
          <w:rFonts w:ascii="Times New Roman" w:hAnsi="Times New Roman" w:cs="Times New Roman"/>
          <w:sz w:val="28"/>
          <w:szCs w:val="28"/>
        </w:rPr>
        <w:t>, “</w:t>
      </w:r>
      <w:r w:rsidRPr="0053175F">
        <w:rPr>
          <w:rFonts w:ascii="Times New Roman" w:hAnsi="Times New Roman" w:cs="Times New Roman"/>
          <w:i/>
          <w:iCs/>
          <w:sz w:val="28"/>
          <w:szCs w:val="28"/>
        </w:rPr>
        <w:t>Il Garante per la protezione dei dati personali: le funzioni, i rapporti con le altre Istituzioni ed Autorità in Italia e in Europa</w:t>
      </w:r>
      <w:r w:rsidRPr="0053175F">
        <w:rPr>
          <w:rFonts w:ascii="Times New Roman" w:hAnsi="Times New Roman" w:cs="Times New Roman"/>
          <w:sz w:val="28"/>
          <w:szCs w:val="28"/>
        </w:rPr>
        <w:t xml:space="preserve">”, in </w:t>
      </w:r>
      <w:r w:rsidRPr="0053175F">
        <w:rPr>
          <w:rFonts w:ascii="Times New Roman" w:hAnsi="Times New Roman" w:cs="Times New Roman"/>
          <w:smallCaps/>
          <w:sz w:val="28"/>
          <w:szCs w:val="28"/>
        </w:rPr>
        <w:t xml:space="preserve">G. </w:t>
      </w:r>
      <w:proofErr w:type="spellStart"/>
      <w:r w:rsidRPr="0053175F">
        <w:rPr>
          <w:rFonts w:ascii="Times New Roman" w:hAnsi="Times New Roman" w:cs="Times New Roman"/>
          <w:smallCaps/>
          <w:sz w:val="28"/>
          <w:szCs w:val="28"/>
        </w:rPr>
        <w:t>Busia</w:t>
      </w:r>
      <w:proofErr w:type="spellEnd"/>
      <w:r w:rsidRPr="0053175F">
        <w:rPr>
          <w:rFonts w:ascii="Times New Roman" w:hAnsi="Times New Roman" w:cs="Times New Roman"/>
          <w:smallCaps/>
          <w:sz w:val="28"/>
          <w:szCs w:val="28"/>
        </w:rPr>
        <w:t>, L. Liguori, O. Pollicino</w:t>
      </w:r>
      <w:r w:rsidRPr="0053175F">
        <w:rPr>
          <w:rFonts w:ascii="Times New Roman" w:hAnsi="Times New Roman" w:cs="Times New Roman"/>
          <w:sz w:val="28"/>
          <w:szCs w:val="28"/>
        </w:rPr>
        <w:t xml:space="preserve"> (a cura di), “</w:t>
      </w:r>
      <w:r w:rsidRPr="0053175F">
        <w:rPr>
          <w:rFonts w:ascii="Times New Roman" w:hAnsi="Times New Roman" w:cs="Times New Roman"/>
          <w:i/>
          <w:iCs/>
          <w:sz w:val="28"/>
          <w:szCs w:val="28"/>
        </w:rPr>
        <w:t>Le nuove frontiere della privacy nelle tecnologie digitali: bilanci e prospettive</w:t>
      </w:r>
      <w:r w:rsidRPr="0053175F">
        <w:rPr>
          <w:rFonts w:ascii="Times New Roman" w:hAnsi="Times New Roman" w:cs="Times New Roman"/>
          <w:sz w:val="28"/>
          <w:szCs w:val="28"/>
        </w:rPr>
        <w:t xml:space="preserve">”, </w:t>
      </w:r>
      <w:proofErr w:type="spellStart"/>
      <w:r w:rsidRPr="0053175F">
        <w:rPr>
          <w:rFonts w:ascii="Times New Roman" w:hAnsi="Times New Roman" w:cs="Times New Roman"/>
          <w:sz w:val="28"/>
          <w:szCs w:val="28"/>
        </w:rPr>
        <w:t>Aracne</w:t>
      </w:r>
      <w:proofErr w:type="spellEnd"/>
      <w:r w:rsidRPr="0053175F">
        <w:rPr>
          <w:rFonts w:ascii="Times New Roman" w:hAnsi="Times New Roman" w:cs="Times New Roman"/>
          <w:sz w:val="28"/>
          <w:szCs w:val="28"/>
        </w:rPr>
        <w:t>, 2016.</w:t>
      </w:r>
    </w:p>
    <w:p w14:paraId="56CF34C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lastRenderedPageBreak/>
        <w:t xml:space="preserve">M. </w:t>
      </w:r>
      <w:proofErr w:type="spellStart"/>
      <w:r w:rsidRPr="0053175F">
        <w:rPr>
          <w:rFonts w:ascii="Times New Roman" w:hAnsi="Times New Roman" w:cs="Times New Roman"/>
          <w:smallCaps/>
          <w:sz w:val="28"/>
          <w:szCs w:val="28"/>
        </w:rPr>
        <w:t>Caielli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Punire l’omofobia: (non) ce lo chiede l’Europa. Riflessioni sulle incertezze giurisprudenziali e normative in tema di </w:t>
      </w:r>
      <w:proofErr w:type="spellStart"/>
      <w:r w:rsidRPr="0053175F">
        <w:rPr>
          <w:rFonts w:ascii="Times New Roman" w:hAnsi="Times New Roman" w:cs="Times New Roman"/>
          <w:i/>
          <w:iCs/>
          <w:sz w:val="28"/>
          <w:szCs w:val="28"/>
        </w:rPr>
        <w:t>hate</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speech</w:t>
      </w:r>
      <w:proofErr w:type="spellEnd"/>
      <w:r w:rsidRPr="0053175F">
        <w:rPr>
          <w:rFonts w:ascii="Times New Roman" w:hAnsi="Times New Roman" w:cs="Times New Roman"/>
          <w:sz w:val="28"/>
          <w:szCs w:val="28"/>
        </w:rPr>
        <w:t xml:space="preserve">”, in </w:t>
      </w:r>
      <w:proofErr w:type="spellStart"/>
      <w:r w:rsidRPr="0053175F">
        <w:rPr>
          <w:rFonts w:ascii="Times New Roman" w:hAnsi="Times New Roman" w:cs="Times New Roman"/>
          <w:i/>
          <w:iCs/>
          <w:sz w:val="28"/>
          <w:szCs w:val="28"/>
        </w:rPr>
        <w:t>GenIus</w:t>
      </w:r>
      <w:proofErr w:type="spellEnd"/>
      <w:r w:rsidRPr="0053175F">
        <w:rPr>
          <w:rFonts w:ascii="Times New Roman" w:hAnsi="Times New Roman" w:cs="Times New Roman"/>
          <w:sz w:val="28"/>
          <w:szCs w:val="28"/>
        </w:rPr>
        <w:t>, 2015.</w:t>
      </w:r>
    </w:p>
    <w:p w14:paraId="662976E9"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G. M. Caletti</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Revenge </w:t>
      </w:r>
      <w:proofErr w:type="spellStart"/>
      <w:r w:rsidRPr="0053175F">
        <w:rPr>
          <w:rFonts w:ascii="Times New Roman" w:hAnsi="Times New Roman" w:cs="Times New Roman"/>
          <w:i/>
          <w:iCs/>
          <w:sz w:val="28"/>
          <w:szCs w:val="28"/>
        </w:rPr>
        <w:t>porn</w:t>
      </w:r>
      <w:proofErr w:type="spellEnd"/>
      <w:r w:rsidRPr="0053175F">
        <w:rPr>
          <w:rFonts w:ascii="Times New Roman" w:hAnsi="Times New Roman" w:cs="Times New Roman"/>
          <w:i/>
          <w:iCs/>
          <w:sz w:val="28"/>
          <w:szCs w:val="28"/>
        </w:rPr>
        <w:t xml:space="preserve"> e tutela penale. Prime riflessioni sulla criminalizzazione specifica della pornografia non consensuale alla luce delle esperienze angloamericane</w:t>
      </w:r>
      <w:r w:rsidRPr="0053175F">
        <w:rPr>
          <w:rFonts w:ascii="Times New Roman" w:hAnsi="Times New Roman" w:cs="Times New Roman"/>
          <w:sz w:val="28"/>
          <w:szCs w:val="28"/>
        </w:rPr>
        <w:t xml:space="preserve">”, in </w:t>
      </w:r>
      <w:proofErr w:type="spellStart"/>
      <w:r w:rsidRPr="0053175F">
        <w:rPr>
          <w:rFonts w:ascii="Times New Roman" w:hAnsi="Times New Roman" w:cs="Times New Roman"/>
          <w:i/>
          <w:iCs/>
          <w:sz w:val="28"/>
          <w:szCs w:val="28"/>
        </w:rPr>
        <w:t>DirPenCont</w:t>
      </w:r>
      <w:proofErr w:type="spellEnd"/>
      <w:r w:rsidRPr="0053175F">
        <w:rPr>
          <w:rFonts w:ascii="Times New Roman" w:hAnsi="Times New Roman" w:cs="Times New Roman"/>
          <w:sz w:val="28"/>
          <w:szCs w:val="28"/>
        </w:rPr>
        <w:t>, 2018.</w:t>
      </w:r>
    </w:p>
    <w:p w14:paraId="5FC3ABB3"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lang w:val="en-US"/>
        </w:rPr>
      </w:pPr>
      <w:r w:rsidRPr="0053175F">
        <w:rPr>
          <w:rFonts w:ascii="Times New Roman" w:hAnsi="Times New Roman" w:cs="Times New Roman"/>
          <w:smallCaps/>
          <w:sz w:val="28"/>
          <w:szCs w:val="28"/>
          <w:lang w:val="en-US"/>
        </w:rPr>
        <w:t>C. Calvert – J. Brown</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Video Voyeurism, Privacy and the Internet: exposing Peeping Toms in Cyberspace</w:t>
      </w:r>
      <w:r w:rsidRPr="0053175F">
        <w:rPr>
          <w:rFonts w:ascii="Times New Roman" w:hAnsi="Times New Roman" w:cs="Times New Roman"/>
          <w:sz w:val="28"/>
          <w:szCs w:val="28"/>
          <w:lang w:val="en-US"/>
        </w:rPr>
        <w:t xml:space="preserve">”, in </w:t>
      </w:r>
      <w:r w:rsidRPr="0053175F">
        <w:rPr>
          <w:rFonts w:ascii="Times New Roman" w:hAnsi="Times New Roman" w:cs="Times New Roman"/>
          <w:i/>
          <w:iCs/>
          <w:sz w:val="28"/>
          <w:szCs w:val="28"/>
          <w:lang w:val="en-US"/>
        </w:rPr>
        <w:t>Cardozo Arts Entertainment Law Journal,</w:t>
      </w:r>
      <w:r w:rsidRPr="0053175F">
        <w:rPr>
          <w:rFonts w:ascii="Times New Roman" w:hAnsi="Times New Roman" w:cs="Times New Roman"/>
          <w:sz w:val="28"/>
          <w:szCs w:val="28"/>
          <w:lang w:val="en-US"/>
        </w:rPr>
        <w:t xml:space="preserve"> 2000.</w:t>
      </w:r>
    </w:p>
    <w:p w14:paraId="709ED0CF"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 xml:space="preserve">C. </w:t>
      </w:r>
      <w:proofErr w:type="spellStart"/>
      <w:r w:rsidRPr="0053175F">
        <w:rPr>
          <w:rFonts w:ascii="Times New Roman" w:hAnsi="Times New Roman" w:cs="Times New Roman"/>
          <w:smallCaps/>
          <w:sz w:val="28"/>
          <w:szCs w:val="28"/>
        </w:rPr>
        <w:t>Camardi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L’eredità digitale. Tra reale e virtuale</w:t>
      </w:r>
      <w:r w:rsidRPr="0053175F">
        <w:rPr>
          <w:rFonts w:ascii="Times New Roman" w:hAnsi="Times New Roman" w:cs="Times New Roman"/>
          <w:sz w:val="28"/>
          <w:szCs w:val="28"/>
        </w:rPr>
        <w:t>”, in</w:t>
      </w:r>
      <w:r w:rsidRPr="0053175F">
        <w:rPr>
          <w:rFonts w:ascii="Times New Roman" w:hAnsi="Times New Roman" w:cs="Times New Roman"/>
          <w:i/>
          <w:iCs/>
          <w:sz w:val="28"/>
          <w:szCs w:val="28"/>
        </w:rPr>
        <w:t xml:space="preserve"> “Il diritto dell’informazione e dell’informatica</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2018.</w:t>
      </w:r>
    </w:p>
    <w:p w14:paraId="17BD8CC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E. </w:t>
      </w:r>
      <w:proofErr w:type="spellStart"/>
      <w:r w:rsidRPr="0053175F">
        <w:rPr>
          <w:rFonts w:ascii="Times New Roman" w:hAnsi="Times New Roman" w:cs="Times New Roman"/>
          <w:smallCaps/>
          <w:sz w:val="28"/>
          <w:szCs w:val="28"/>
        </w:rPr>
        <w:t>Capaccioli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Manuale di diritto amministrativo”, </w:t>
      </w:r>
      <w:r w:rsidRPr="0053175F">
        <w:rPr>
          <w:rFonts w:ascii="Times New Roman" w:hAnsi="Times New Roman" w:cs="Times New Roman"/>
          <w:sz w:val="28"/>
          <w:szCs w:val="28"/>
        </w:rPr>
        <w:t>Padova, 1983.</w:t>
      </w:r>
    </w:p>
    <w:p w14:paraId="5DCED0F6"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P. F. </w:t>
      </w:r>
      <w:proofErr w:type="spellStart"/>
      <w:r w:rsidRPr="0053175F">
        <w:rPr>
          <w:rFonts w:ascii="Times New Roman" w:hAnsi="Times New Roman" w:cs="Times New Roman"/>
          <w:smallCaps/>
          <w:sz w:val="28"/>
          <w:szCs w:val="28"/>
        </w:rPr>
        <w:t>Carballo-Calero</w:t>
      </w:r>
      <w:proofErr w:type="spellEnd"/>
      <w:r w:rsidRPr="0053175F">
        <w:rPr>
          <w:rFonts w:ascii="Times New Roman" w:hAnsi="Times New Roman" w:cs="Times New Roman"/>
          <w:smallCaps/>
          <w:sz w:val="28"/>
          <w:szCs w:val="28"/>
        </w:rPr>
        <w:t>,</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 xml:space="preserve">Pubblicità occulta e </w:t>
      </w:r>
      <w:proofErr w:type="spellStart"/>
      <w:r w:rsidRPr="0053175F">
        <w:rPr>
          <w:rFonts w:ascii="Times New Roman" w:hAnsi="Times New Roman" w:cs="Times New Roman"/>
          <w:i/>
          <w:iCs/>
          <w:sz w:val="28"/>
          <w:szCs w:val="28"/>
        </w:rPr>
        <w:t>product</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placement</w:t>
      </w:r>
      <w:proofErr w:type="spellEnd"/>
      <w:r w:rsidRPr="0053175F">
        <w:rPr>
          <w:rFonts w:ascii="Times New Roman" w:hAnsi="Times New Roman" w:cs="Times New Roman"/>
          <w:sz w:val="28"/>
          <w:szCs w:val="28"/>
        </w:rPr>
        <w:t>”, Cedam, 2004.</w:t>
      </w:r>
    </w:p>
    <w:p w14:paraId="6233545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P. Carbone,</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Adolescenza e</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disagio</w:t>
      </w:r>
      <w:r w:rsidRPr="0053175F">
        <w:rPr>
          <w:rFonts w:ascii="Times New Roman" w:hAnsi="Times New Roman" w:cs="Times New Roman"/>
          <w:sz w:val="28"/>
          <w:szCs w:val="28"/>
        </w:rPr>
        <w:t>”, 2001.</w:t>
      </w:r>
    </w:p>
    <w:p w14:paraId="6636974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eastAsia="Times New Roman" w:hAnsi="Times New Roman" w:cs="Times New Roman"/>
          <w:smallCaps/>
          <w:color w:val="0F1111"/>
          <w:sz w:val="28"/>
          <w:szCs w:val="28"/>
          <w:highlight w:val="white"/>
        </w:rPr>
        <w:t xml:space="preserve">R. D. </w:t>
      </w:r>
      <w:proofErr w:type="spellStart"/>
      <w:r w:rsidRPr="0053175F">
        <w:rPr>
          <w:rFonts w:ascii="Times New Roman" w:eastAsia="Times New Roman" w:hAnsi="Times New Roman" w:cs="Times New Roman"/>
          <w:smallCaps/>
          <w:color w:val="0F1111"/>
          <w:sz w:val="28"/>
          <w:szCs w:val="28"/>
          <w:highlight w:val="white"/>
        </w:rPr>
        <w:t>Cardenas</w:t>
      </w:r>
      <w:proofErr w:type="spellEnd"/>
      <w:r w:rsidRPr="0053175F">
        <w:rPr>
          <w:rFonts w:ascii="Times New Roman" w:eastAsia="Times New Roman" w:hAnsi="Times New Roman" w:cs="Times New Roman"/>
          <w:smallCaps/>
          <w:color w:val="0F1111"/>
          <w:sz w:val="28"/>
          <w:szCs w:val="28"/>
          <w:highlight w:val="white"/>
        </w:rPr>
        <w:t xml:space="preserve"> </w:t>
      </w:r>
      <w:proofErr w:type="spellStart"/>
      <w:r w:rsidRPr="0053175F">
        <w:rPr>
          <w:rFonts w:ascii="Times New Roman" w:eastAsia="Times New Roman" w:hAnsi="Times New Roman" w:cs="Times New Roman"/>
          <w:smallCaps/>
          <w:color w:val="0F1111"/>
          <w:sz w:val="28"/>
          <w:szCs w:val="28"/>
          <w:highlight w:val="white"/>
        </w:rPr>
        <w:t>Espinosa</w:t>
      </w:r>
      <w:proofErr w:type="spellEnd"/>
      <w:r w:rsidRPr="0053175F">
        <w:rPr>
          <w:rFonts w:ascii="Times New Roman" w:eastAsia="Times New Roman" w:hAnsi="Times New Roman" w:cs="Times New Roman"/>
          <w:color w:val="0F1111"/>
          <w:sz w:val="28"/>
          <w:szCs w:val="28"/>
          <w:highlight w:val="white"/>
        </w:rPr>
        <w:t xml:space="preserve"> e altri, “</w:t>
      </w:r>
      <w:r w:rsidRPr="0053175F">
        <w:rPr>
          <w:rFonts w:ascii="Times New Roman" w:eastAsia="Times New Roman" w:hAnsi="Times New Roman" w:cs="Times New Roman"/>
          <w:i/>
          <w:color w:val="0F1111"/>
          <w:sz w:val="28"/>
          <w:szCs w:val="28"/>
          <w:highlight w:val="white"/>
        </w:rPr>
        <w:t>Ecosistemi tecnologici per la ricerca formativa nel contesto</w:t>
      </w:r>
      <w:r w:rsidRPr="0053175F">
        <w:rPr>
          <w:rFonts w:ascii="Times New Roman" w:eastAsia="Times New Roman" w:hAnsi="Times New Roman" w:cs="Times New Roman"/>
          <w:color w:val="0F1111"/>
          <w:sz w:val="28"/>
          <w:szCs w:val="28"/>
          <w:highlight w:val="white"/>
        </w:rPr>
        <w:t>”, Ed. Sapienza, 2020.</w:t>
      </w:r>
    </w:p>
    <w:p w14:paraId="5756F95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P. Caretti</w:t>
      </w:r>
      <w:r w:rsidRPr="0053175F">
        <w:rPr>
          <w:rFonts w:ascii="Times New Roman" w:hAnsi="Times New Roman" w:cs="Times New Roman"/>
          <w:sz w:val="28"/>
          <w:szCs w:val="28"/>
        </w:rPr>
        <w:t xml:space="preserve"> e </w:t>
      </w:r>
      <w:r w:rsidRPr="0053175F">
        <w:rPr>
          <w:rFonts w:ascii="Times New Roman" w:hAnsi="Times New Roman" w:cs="Times New Roman"/>
          <w:smallCaps/>
          <w:sz w:val="28"/>
          <w:szCs w:val="28"/>
        </w:rPr>
        <w:t>A. Cardone</w:t>
      </w:r>
      <w:r w:rsidRPr="0053175F">
        <w:rPr>
          <w:rFonts w:ascii="Times New Roman" w:hAnsi="Times New Roman" w:cs="Times New Roman"/>
          <w:sz w:val="28"/>
          <w:szCs w:val="28"/>
        </w:rPr>
        <w:t>, “</w:t>
      </w:r>
      <w:r w:rsidRPr="0053175F">
        <w:rPr>
          <w:rFonts w:ascii="Times New Roman" w:hAnsi="Times New Roman" w:cs="Times New Roman"/>
          <w:i/>
          <w:iCs/>
          <w:sz w:val="28"/>
          <w:szCs w:val="28"/>
        </w:rPr>
        <w:t>Diritto dell’informazione e della comunicazione nell’era della convergenza</w:t>
      </w:r>
      <w:r w:rsidRPr="0053175F">
        <w:rPr>
          <w:rFonts w:ascii="Times New Roman" w:hAnsi="Times New Roman" w:cs="Times New Roman"/>
          <w:sz w:val="28"/>
          <w:szCs w:val="28"/>
        </w:rPr>
        <w:t>”, Bologna, Mulino, 2019.</w:t>
      </w:r>
    </w:p>
    <w:p w14:paraId="3EA8DB1F"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F. </w:t>
      </w:r>
      <w:proofErr w:type="spellStart"/>
      <w:r w:rsidRPr="0053175F">
        <w:rPr>
          <w:rFonts w:ascii="Times New Roman" w:hAnsi="Times New Roman" w:cs="Times New Roman"/>
          <w:smallCaps/>
          <w:sz w:val="28"/>
          <w:szCs w:val="28"/>
        </w:rPr>
        <w:t>Casasole</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Neuroscienze, genetica comportamentale e processo penale</w:t>
      </w:r>
      <w:r w:rsidRPr="0053175F">
        <w:rPr>
          <w:rFonts w:ascii="Times New Roman" w:hAnsi="Times New Roman" w:cs="Times New Roman"/>
          <w:sz w:val="28"/>
          <w:szCs w:val="28"/>
        </w:rPr>
        <w:t>”, 2012.</w:t>
      </w:r>
    </w:p>
    <w:p w14:paraId="6EEAFD8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A. </w:t>
      </w:r>
      <w:proofErr w:type="spellStart"/>
      <w:r w:rsidRPr="0053175F">
        <w:rPr>
          <w:rFonts w:ascii="Times New Roman" w:hAnsi="Times New Roman" w:cs="Times New Roman"/>
          <w:smallCaps/>
          <w:sz w:val="28"/>
          <w:szCs w:val="28"/>
        </w:rPr>
        <w:t>Cassatella</w:t>
      </w:r>
      <w:proofErr w:type="spellEnd"/>
      <w:r w:rsidRPr="0053175F">
        <w:rPr>
          <w:rFonts w:ascii="Times New Roman" w:hAnsi="Times New Roman" w:cs="Times New Roman"/>
          <w:i/>
          <w:iCs/>
          <w:sz w:val="28"/>
          <w:szCs w:val="28"/>
        </w:rPr>
        <w:t>, “La responsabilità funzionale nell’amministrare. Termini e questioni</w:t>
      </w:r>
      <w:r w:rsidRPr="0053175F">
        <w:rPr>
          <w:rFonts w:ascii="Times New Roman" w:hAnsi="Times New Roman" w:cs="Times New Roman"/>
          <w:sz w:val="28"/>
          <w:szCs w:val="28"/>
        </w:rPr>
        <w:t>”, in</w:t>
      </w:r>
      <w:r w:rsidRPr="0053175F">
        <w:rPr>
          <w:rFonts w:ascii="Times New Roman" w:hAnsi="Times New Roman" w:cs="Times New Roman"/>
          <w:i/>
          <w:iCs/>
          <w:sz w:val="28"/>
          <w:szCs w:val="28"/>
        </w:rPr>
        <w:t xml:space="preserve"> Dir. </w:t>
      </w:r>
      <w:proofErr w:type="spellStart"/>
      <w:r w:rsidRPr="0053175F">
        <w:rPr>
          <w:rFonts w:ascii="Times New Roman" w:hAnsi="Times New Roman" w:cs="Times New Roman"/>
          <w:i/>
          <w:iCs/>
          <w:sz w:val="28"/>
          <w:szCs w:val="28"/>
        </w:rPr>
        <w:t>Amm</w:t>
      </w:r>
      <w:proofErr w:type="spellEnd"/>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2018.</w:t>
      </w:r>
    </w:p>
    <w:p w14:paraId="480D89B3"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eastAsia="Times New Roman" w:hAnsi="Times New Roman" w:cs="Times New Roman"/>
          <w:sz w:val="28"/>
          <w:szCs w:val="28"/>
        </w:rPr>
        <w:t xml:space="preserve">S. </w:t>
      </w:r>
      <w:proofErr w:type="spellStart"/>
      <w:r w:rsidRPr="0053175F">
        <w:rPr>
          <w:rFonts w:ascii="Times New Roman" w:eastAsia="Times New Roman" w:hAnsi="Times New Roman" w:cs="Times New Roman"/>
          <w:smallCaps/>
          <w:sz w:val="28"/>
          <w:szCs w:val="28"/>
        </w:rPr>
        <w:t>Cassese</w:t>
      </w:r>
      <w:proofErr w:type="spellEnd"/>
      <w:r w:rsidRPr="0053175F">
        <w:rPr>
          <w:rFonts w:ascii="Times New Roman" w:eastAsia="Times New Roman" w:hAnsi="Times New Roman" w:cs="Times New Roman"/>
          <w:sz w:val="28"/>
          <w:szCs w:val="28"/>
        </w:rPr>
        <w:t>, “</w:t>
      </w:r>
      <w:r w:rsidRPr="0053175F">
        <w:rPr>
          <w:rFonts w:ascii="Times New Roman" w:eastAsia="Times New Roman" w:hAnsi="Times New Roman" w:cs="Times New Roman"/>
          <w:i/>
          <w:iCs/>
          <w:sz w:val="28"/>
          <w:szCs w:val="28"/>
        </w:rPr>
        <w:t>Le reti come figura organizzativa della collaborazion</w:t>
      </w:r>
      <w:r w:rsidRPr="0053175F">
        <w:rPr>
          <w:rFonts w:ascii="Times New Roman" w:eastAsia="Times New Roman" w:hAnsi="Times New Roman" w:cs="Times New Roman"/>
          <w:sz w:val="28"/>
          <w:szCs w:val="28"/>
        </w:rPr>
        <w:t>e”, in ID., “</w:t>
      </w:r>
      <w:r w:rsidRPr="0053175F">
        <w:rPr>
          <w:rFonts w:ascii="Times New Roman" w:eastAsia="Times New Roman" w:hAnsi="Times New Roman" w:cs="Times New Roman"/>
          <w:i/>
          <w:iCs/>
          <w:sz w:val="28"/>
          <w:szCs w:val="28"/>
        </w:rPr>
        <w:t>Lo spazio giuridico globale”</w:t>
      </w:r>
      <w:r w:rsidRPr="0053175F">
        <w:rPr>
          <w:rFonts w:ascii="Times New Roman" w:eastAsia="Times New Roman" w:hAnsi="Times New Roman" w:cs="Times New Roman"/>
          <w:sz w:val="28"/>
          <w:szCs w:val="28"/>
        </w:rPr>
        <w:t>, Roma-Bari, 2003.</w:t>
      </w:r>
    </w:p>
    <w:p w14:paraId="4A68678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z w:val="28"/>
          <w:szCs w:val="28"/>
        </w:rPr>
        <w:t xml:space="preserve">J. </w:t>
      </w:r>
      <w:r w:rsidRPr="0053175F">
        <w:rPr>
          <w:rFonts w:ascii="Times New Roman" w:hAnsi="Times New Roman" w:cs="Times New Roman"/>
          <w:smallCaps/>
          <w:sz w:val="28"/>
          <w:szCs w:val="28"/>
        </w:rPr>
        <w:t>L. Casti, W. De Pauli</w:t>
      </w:r>
      <w:r w:rsidRPr="0053175F">
        <w:rPr>
          <w:rFonts w:ascii="Times New Roman" w:hAnsi="Times New Roman" w:cs="Times New Roman"/>
          <w:sz w:val="28"/>
          <w:szCs w:val="28"/>
        </w:rPr>
        <w:t>, “</w:t>
      </w:r>
      <w:r w:rsidRPr="0053175F">
        <w:rPr>
          <w:rFonts w:ascii="Times New Roman" w:hAnsi="Times New Roman" w:cs="Times New Roman"/>
          <w:i/>
          <w:iCs/>
          <w:sz w:val="28"/>
          <w:szCs w:val="28"/>
        </w:rPr>
        <w:t>Gödel. L’eccentrica vita di un genio</w:t>
      </w:r>
      <w:r w:rsidRPr="0053175F">
        <w:rPr>
          <w:rFonts w:ascii="Times New Roman" w:hAnsi="Times New Roman" w:cs="Times New Roman"/>
          <w:sz w:val="28"/>
          <w:szCs w:val="28"/>
        </w:rPr>
        <w:t>”, Raffaello-Cortina Edizioni, Milano, 2001.</w:t>
      </w:r>
    </w:p>
    <w:p w14:paraId="2258752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M. </w:t>
      </w:r>
      <w:proofErr w:type="spellStart"/>
      <w:r w:rsidRPr="0053175F">
        <w:rPr>
          <w:rFonts w:ascii="Times New Roman" w:hAnsi="Times New Roman" w:cs="Times New Roman"/>
          <w:smallCaps/>
          <w:sz w:val="28"/>
          <w:szCs w:val="28"/>
        </w:rPr>
        <w:t>Castigli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Come il </w:t>
      </w:r>
      <w:proofErr w:type="spellStart"/>
      <w:r w:rsidRPr="0053175F">
        <w:rPr>
          <w:rFonts w:ascii="Times New Roman" w:hAnsi="Times New Roman" w:cs="Times New Roman"/>
          <w:i/>
          <w:iCs/>
          <w:sz w:val="28"/>
          <w:szCs w:val="28"/>
        </w:rPr>
        <w:t>metaverso</w:t>
      </w:r>
      <w:proofErr w:type="spellEnd"/>
      <w:r w:rsidRPr="0053175F">
        <w:rPr>
          <w:rFonts w:ascii="Times New Roman" w:hAnsi="Times New Roman" w:cs="Times New Roman"/>
          <w:i/>
          <w:iCs/>
          <w:sz w:val="28"/>
          <w:szCs w:val="28"/>
        </w:rPr>
        <w:t xml:space="preserve"> ci cambia il rapporto col corpo: nuovi rischi psicologici</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agendadigitale.eu.</w:t>
      </w:r>
    </w:p>
    <w:p w14:paraId="3693C54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C. Castronovo</w:t>
      </w:r>
      <w:r w:rsidRPr="0053175F">
        <w:rPr>
          <w:rFonts w:ascii="Times New Roman" w:hAnsi="Times New Roman" w:cs="Times New Roman"/>
          <w:sz w:val="28"/>
          <w:szCs w:val="28"/>
        </w:rPr>
        <w:t>, “</w:t>
      </w:r>
      <w:r w:rsidRPr="0053175F">
        <w:rPr>
          <w:rFonts w:ascii="Times New Roman" w:hAnsi="Times New Roman" w:cs="Times New Roman"/>
          <w:i/>
          <w:iCs/>
          <w:sz w:val="28"/>
          <w:szCs w:val="28"/>
        </w:rPr>
        <w:t>La «civilizzazione» della pubblica amministrazione</w:t>
      </w:r>
      <w:r w:rsidRPr="0053175F">
        <w:rPr>
          <w:rFonts w:ascii="Times New Roman" w:hAnsi="Times New Roman" w:cs="Times New Roman"/>
          <w:sz w:val="28"/>
          <w:szCs w:val="28"/>
        </w:rPr>
        <w:t>”, in</w:t>
      </w:r>
      <w:r w:rsidRPr="0053175F">
        <w:rPr>
          <w:rFonts w:ascii="Times New Roman" w:hAnsi="Times New Roman" w:cs="Times New Roman"/>
          <w:i/>
          <w:iCs/>
          <w:sz w:val="28"/>
          <w:szCs w:val="28"/>
        </w:rPr>
        <w:t xml:space="preserve"> Europa e dir. </w:t>
      </w:r>
      <w:proofErr w:type="spellStart"/>
      <w:r w:rsidRPr="0053175F">
        <w:rPr>
          <w:rFonts w:ascii="Times New Roman" w:hAnsi="Times New Roman" w:cs="Times New Roman"/>
          <w:i/>
          <w:iCs/>
          <w:sz w:val="28"/>
          <w:szCs w:val="28"/>
        </w:rPr>
        <w:t>priv</w:t>
      </w:r>
      <w:proofErr w:type="spellEnd"/>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2013.</w:t>
      </w:r>
    </w:p>
    <w:p w14:paraId="5E03A8F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C. Castronovo</w:t>
      </w:r>
      <w:r w:rsidRPr="0053175F">
        <w:rPr>
          <w:rFonts w:ascii="Times New Roman" w:hAnsi="Times New Roman" w:cs="Times New Roman"/>
          <w:sz w:val="28"/>
          <w:szCs w:val="28"/>
        </w:rPr>
        <w:t>, “</w:t>
      </w:r>
      <w:r w:rsidRPr="0053175F">
        <w:rPr>
          <w:rFonts w:ascii="Times New Roman" w:hAnsi="Times New Roman" w:cs="Times New Roman"/>
          <w:i/>
          <w:iCs/>
          <w:sz w:val="28"/>
          <w:szCs w:val="28"/>
        </w:rPr>
        <w:t>Responsabilità civile</w:t>
      </w:r>
      <w:r w:rsidRPr="0053175F">
        <w:rPr>
          <w:rFonts w:ascii="Times New Roman" w:hAnsi="Times New Roman" w:cs="Times New Roman"/>
          <w:sz w:val="28"/>
          <w:szCs w:val="28"/>
        </w:rPr>
        <w:t>”, Milano, 2018.</w:t>
      </w:r>
    </w:p>
    <w:p w14:paraId="4D757E0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lastRenderedPageBreak/>
        <w:t xml:space="preserve">C. Cath, S. Wachter, B. </w:t>
      </w:r>
      <w:proofErr w:type="spellStart"/>
      <w:r w:rsidRPr="0053175F">
        <w:rPr>
          <w:rFonts w:ascii="Times New Roman" w:hAnsi="Times New Roman" w:cs="Times New Roman"/>
          <w:smallCaps/>
          <w:sz w:val="28"/>
          <w:szCs w:val="28"/>
          <w:lang w:val="en-US"/>
        </w:rPr>
        <w:t>Mittelstadt</w:t>
      </w:r>
      <w:proofErr w:type="spellEnd"/>
      <w:r w:rsidRPr="0053175F">
        <w:rPr>
          <w:rFonts w:ascii="Times New Roman" w:hAnsi="Times New Roman" w:cs="Times New Roman"/>
          <w:smallCaps/>
          <w:sz w:val="28"/>
          <w:szCs w:val="28"/>
          <w:lang w:val="en-US"/>
        </w:rPr>
        <w:t xml:space="preserve">, M. Taddeo, L. </w:t>
      </w:r>
      <w:proofErr w:type="spellStart"/>
      <w:r w:rsidRPr="0053175F">
        <w:rPr>
          <w:rFonts w:ascii="Times New Roman" w:hAnsi="Times New Roman" w:cs="Times New Roman"/>
          <w:smallCaps/>
          <w:sz w:val="28"/>
          <w:szCs w:val="28"/>
          <w:lang w:val="en-US"/>
        </w:rPr>
        <w:t>Floridi</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Artificial Intelligence and the “Good Society”: the US, EU, and UK approach</w:t>
      </w:r>
      <w:r w:rsidRPr="0053175F">
        <w:rPr>
          <w:rFonts w:ascii="Times New Roman" w:hAnsi="Times New Roman" w:cs="Times New Roman"/>
          <w:sz w:val="28"/>
          <w:szCs w:val="28"/>
          <w:lang w:val="en-US"/>
        </w:rPr>
        <w:t xml:space="preserve">”, in </w:t>
      </w:r>
      <w:r w:rsidRPr="0053175F">
        <w:rPr>
          <w:rFonts w:ascii="Times New Roman" w:hAnsi="Times New Roman" w:cs="Times New Roman"/>
          <w:i/>
          <w:iCs/>
          <w:sz w:val="28"/>
          <w:szCs w:val="28"/>
          <w:lang w:val="en-US"/>
        </w:rPr>
        <w:t>Science and Eng. Ethics</w:t>
      </w:r>
      <w:r w:rsidRPr="0053175F">
        <w:rPr>
          <w:rFonts w:ascii="Times New Roman" w:hAnsi="Times New Roman" w:cs="Times New Roman"/>
          <w:sz w:val="28"/>
          <w:szCs w:val="28"/>
          <w:lang w:val="en-US"/>
        </w:rPr>
        <w:t>, 2018.</w:t>
      </w:r>
    </w:p>
    <w:p w14:paraId="2F70567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rPr>
        <w:t xml:space="preserve">N. </w:t>
      </w:r>
      <w:proofErr w:type="spellStart"/>
      <w:r w:rsidRPr="0053175F">
        <w:rPr>
          <w:rFonts w:ascii="Times New Roman" w:hAnsi="Times New Roman" w:cs="Times New Roman"/>
          <w:smallCaps/>
          <w:sz w:val="28"/>
          <w:szCs w:val="28"/>
        </w:rPr>
        <w:t>Chakraborti</w:t>
      </w:r>
      <w:proofErr w:type="spellEnd"/>
      <w:r w:rsidRPr="0053175F">
        <w:rPr>
          <w:rFonts w:ascii="Times New Roman" w:hAnsi="Times New Roman" w:cs="Times New Roman"/>
          <w:smallCaps/>
          <w:sz w:val="28"/>
          <w:szCs w:val="28"/>
        </w:rPr>
        <w:t>, J. Garland</w:t>
      </w:r>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Hate</w:t>
      </w:r>
      <w:proofErr w:type="spellEnd"/>
      <w:r w:rsidRPr="0053175F">
        <w:rPr>
          <w:rFonts w:ascii="Times New Roman" w:hAnsi="Times New Roman" w:cs="Times New Roman"/>
          <w:i/>
          <w:iCs/>
          <w:sz w:val="28"/>
          <w:szCs w:val="28"/>
        </w:rPr>
        <w:t xml:space="preserve"> Crime. </w:t>
      </w:r>
      <w:r w:rsidRPr="0053175F">
        <w:rPr>
          <w:rFonts w:ascii="Times New Roman" w:hAnsi="Times New Roman" w:cs="Times New Roman"/>
          <w:i/>
          <w:iCs/>
          <w:sz w:val="28"/>
          <w:szCs w:val="28"/>
          <w:lang w:val="en-US"/>
        </w:rPr>
        <w:t>Impact, Causes, and Responses</w:t>
      </w:r>
      <w:r w:rsidRPr="0053175F">
        <w:rPr>
          <w:rFonts w:ascii="Times New Roman" w:hAnsi="Times New Roman" w:cs="Times New Roman"/>
          <w:sz w:val="28"/>
          <w:szCs w:val="28"/>
          <w:lang w:val="en-US"/>
        </w:rPr>
        <w:t>”, Los Angeles-</w:t>
      </w:r>
      <w:proofErr w:type="spellStart"/>
      <w:r w:rsidRPr="0053175F">
        <w:rPr>
          <w:rFonts w:ascii="Times New Roman" w:hAnsi="Times New Roman" w:cs="Times New Roman"/>
          <w:sz w:val="28"/>
          <w:szCs w:val="28"/>
          <w:lang w:val="en-US"/>
        </w:rPr>
        <w:t>Londra</w:t>
      </w:r>
      <w:proofErr w:type="spellEnd"/>
      <w:r w:rsidRPr="0053175F">
        <w:rPr>
          <w:rFonts w:ascii="Times New Roman" w:hAnsi="Times New Roman" w:cs="Times New Roman"/>
          <w:sz w:val="28"/>
          <w:szCs w:val="28"/>
          <w:lang w:val="en-US"/>
        </w:rPr>
        <w:t>, 2015.</w:t>
      </w:r>
    </w:p>
    <w:p w14:paraId="03B0F19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V. </w:t>
      </w:r>
      <w:proofErr w:type="spellStart"/>
      <w:r w:rsidRPr="0053175F">
        <w:rPr>
          <w:rFonts w:ascii="Times New Roman" w:hAnsi="Times New Roman" w:cs="Times New Roman"/>
          <w:smallCaps/>
          <w:sz w:val="28"/>
          <w:szCs w:val="28"/>
        </w:rPr>
        <w:t>Cerulli</w:t>
      </w:r>
      <w:proofErr w:type="spellEnd"/>
      <w:r w:rsidRPr="0053175F">
        <w:rPr>
          <w:rFonts w:ascii="Times New Roman" w:hAnsi="Times New Roman" w:cs="Times New Roman"/>
          <w:smallCaps/>
          <w:sz w:val="28"/>
          <w:szCs w:val="28"/>
        </w:rPr>
        <w:t xml:space="preserve"> Irelli</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Giurisdizione amministrativa e pluralità delle azioni (dalla Costituzione al Codice del processo </w:t>
      </w:r>
      <w:proofErr w:type="spellStart"/>
      <w:r w:rsidRPr="0053175F">
        <w:rPr>
          <w:rFonts w:ascii="Times New Roman" w:hAnsi="Times New Roman" w:cs="Times New Roman"/>
          <w:i/>
          <w:iCs/>
          <w:sz w:val="28"/>
          <w:szCs w:val="28"/>
        </w:rPr>
        <w:t>amministartivo</w:t>
      </w:r>
      <w:proofErr w:type="spellEnd"/>
      <w:r w:rsidRPr="0053175F">
        <w:rPr>
          <w:rFonts w:ascii="Times New Roman" w:hAnsi="Times New Roman" w:cs="Times New Roman"/>
          <w:sz w:val="28"/>
          <w:szCs w:val="28"/>
        </w:rPr>
        <w:t>)”, in</w:t>
      </w:r>
      <w:r w:rsidRPr="0053175F">
        <w:rPr>
          <w:rFonts w:ascii="Times New Roman" w:hAnsi="Times New Roman" w:cs="Times New Roman"/>
          <w:i/>
          <w:iCs/>
          <w:sz w:val="28"/>
          <w:szCs w:val="28"/>
        </w:rPr>
        <w:t xml:space="preserve"> Dir. </w:t>
      </w:r>
      <w:proofErr w:type="spellStart"/>
      <w:r w:rsidRPr="0053175F">
        <w:rPr>
          <w:rFonts w:ascii="Times New Roman" w:hAnsi="Times New Roman" w:cs="Times New Roman"/>
          <w:i/>
          <w:iCs/>
          <w:sz w:val="28"/>
          <w:szCs w:val="28"/>
        </w:rPr>
        <w:t>Proc</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Amm</w:t>
      </w:r>
      <w:proofErr w:type="spellEnd"/>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2012.</w:t>
      </w:r>
    </w:p>
    <w:p w14:paraId="3631CF3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G. O. </w:t>
      </w:r>
      <w:proofErr w:type="spellStart"/>
      <w:r w:rsidRPr="0053175F">
        <w:rPr>
          <w:rFonts w:ascii="Times New Roman" w:hAnsi="Times New Roman" w:cs="Times New Roman"/>
          <w:smallCaps/>
          <w:sz w:val="28"/>
          <w:szCs w:val="28"/>
        </w:rPr>
        <w:t>Cesaro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Genitore pubblica sui social network foto e notizie del figlio minore: interviene d’ufficio il Giudice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Ilfamiliarista.it</w:t>
      </w:r>
      <w:r w:rsidRPr="0053175F">
        <w:rPr>
          <w:rFonts w:ascii="Times New Roman" w:hAnsi="Times New Roman" w:cs="Times New Roman"/>
          <w:sz w:val="28"/>
          <w:szCs w:val="28"/>
        </w:rPr>
        <w:t>, marzo 2018.</w:t>
      </w:r>
    </w:p>
    <w:p w14:paraId="2FE7D0F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z w:val="28"/>
          <w:szCs w:val="28"/>
        </w:rPr>
        <w:t>J</w:t>
      </w:r>
      <w:r w:rsidRPr="0053175F">
        <w:rPr>
          <w:rFonts w:ascii="Times New Roman" w:hAnsi="Times New Roman" w:cs="Times New Roman"/>
          <w:smallCaps/>
          <w:sz w:val="28"/>
          <w:szCs w:val="28"/>
        </w:rPr>
        <w:t>. Ciani, M. Tavella</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La riconoscibilità della natura pubblicitaria della comunicazione alla prova del </w:t>
      </w:r>
      <w:proofErr w:type="spellStart"/>
      <w:r w:rsidRPr="0053175F">
        <w:rPr>
          <w:rFonts w:ascii="Times New Roman" w:hAnsi="Times New Roman" w:cs="Times New Roman"/>
          <w:i/>
          <w:iCs/>
          <w:sz w:val="28"/>
          <w:szCs w:val="28"/>
        </w:rPr>
        <w:t>digital</w:t>
      </w:r>
      <w:proofErr w:type="spellEnd"/>
      <w:r w:rsidRPr="0053175F">
        <w:rPr>
          <w:rFonts w:ascii="Times New Roman" w:hAnsi="Times New Roman" w:cs="Times New Roman"/>
          <w:i/>
          <w:iCs/>
          <w:sz w:val="28"/>
          <w:szCs w:val="28"/>
        </w:rPr>
        <w:t xml:space="preserve">: native advertising tra obbligo di </w:t>
      </w:r>
      <w:proofErr w:type="spellStart"/>
      <w:r w:rsidRPr="0053175F">
        <w:rPr>
          <w:rFonts w:ascii="Times New Roman" w:hAnsi="Times New Roman" w:cs="Times New Roman"/>
          <w:i/>
          <w:iCs/>
          <w:sz w:val="28"/>
          <w:szCs w:val="28"/>
        </w:rPr>
        <w:t>disclosure</w:t>
      </w:r>
      <w:proofErr w:type="spellEnd"/>
      <w:r w:rsidRPr="0053175F">
        <w:rPr>
          <w:rFonts w:ascii="Times New Roman" w:hAnsi="Times New Roman" w:cs="Times New Roman"/>
          <w:i/>
          <w:iCs/>
          <w:sz w:val="28"/>
          <w:szCs w:val="28"/>
        </w:rPr>
        <w:t xml:space="preserve"> e difficoltà di controllo</w:t>
      </w:r>
      <w:r w:rsidRPr="0053175F">
        <w:rPr>
          <w:rFonts w:ascii="Times New Roman" w:hAnsi="Times New Roman" w:cs="Times New Roman"/>
          <w:sz w:val="28"/>
          <w:szCs w:val="28"/>
        </w:rPr>
        <w:t>”, in “</w:t>
      </w:r>
      <w:r w:rsidRPr="0053175F">
        <w:rPr>
          <w:rFonts w:ascii="Times New Roman" w:hAnsi="Times New Roman" w:cs="Times New Roman"/>
          <w:i/>
          <w:iCs/>
          <w:sz w:val="28"/>
          <w:szCs w:val="28"/>
        </w:rPr>
        <w:t>Social media e diritto. Diritti e social media</w:t>
      </w:r>
      <w:r w:rsidRPr="0053175F">
        <w:rPr>
          <w:rFonts w:ascii="Times New Roman" w:hAnsi="Times New Roman" w:cs="Times New Roman"/>
          <w:sz w:val="28"/>
          <w:szCs w:val="28"/>
        </w:rPr>
        <w:t xml:space="preserve">” della </w:t>
      </w:r>
      <w:r w:rsidRPr="0053175F">
        <w:rPr>
          <w:rFonts w:ascii="Times New Roman" w:hAnsi="Times New Roman" w:cs="Times New Roman"/>
          <w:i/>
          <w:iCs/>
          <w:sz w:val="28"/>
          <w:szCs w:val="28"/>
        </w:rPr>
        <w:t>Rivista</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Informatica e Diritto</w:t>
      </w:r>
      <w:r w:rsidRPr="0053175F">
        <w:rPr>
          <w:rFonts w:ascii="Times New Roman" w:hAnsi="Times New Roman" w:cs="Times New Roman"/>
          <w:sz w:val="28"/>
          <w:szCs w:val="28"/>
        </w:rPr>
        <w:t>, 2017.</w:t>
      </w:r>
    </w:p>
    <w:p w14:paraId="6B47847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z w:val="28"/>
          <w:szCs w:val="28"/>
        </w:rPr>
        <w:t>S</w:t>
      </w:r>
      <w:r w:rsidRPr="0053175F">
        <w:rPr>
          <w:rFonts w:ascii="Times New Roman" w:hAnsi="Times New Roman" w:cs="Times New Roman"/>
          <w:smallCaps/>
          <w:sz w:val="28"/>
          <w:szCs w:val="28"/>
        </w:rPr>
        <w:t>. Ciardo</w:t>
      </w:r>
      <w:r w:rsidRPr="0053175F">
        <w:rPr>
          <w:rFonts w:ascii="Times New Roman" w:hAnsi="Times New Roman" w:cs="Times New Roman"/>
          <w:sz w:val="28"/>
          <w:szCs w:val="28"/>
        </w:rPr>
        <w:t>, “</w:t>
      </w:r>
      <w:r w:rsidRPr="0053175F">
        <w:rPr>
          <w:rFonts w:ascii="Times New Roman" w:hAnsi="Times New Roman" w:cs="Times New Roman"/>
          <w:i/>
          <w:iCs/>
          <w:sz w:val="28"/>
          <w:szCs w:val="28"/>
        </w:rPr>
        <w:t>Privacy e tutela dei dati personali memorizzati nell’account della persona deceduta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Ridare.it</w:t>
      </w:r>
      <w:r w:rsidRPr="0053175F">
        <w:rPr>
          <w:rFonts w:ascii="Times New Roman" w:hAnsi="Times New Roman" w:cs="Times New Roman"/>
          <w:sz w:val="28"/>
          <w:szCs w:val="28"/>
        </w:rPr>
        <w:t>, 20 aprile 2021.</w:t>
      </w:r>
    </w:p>
    <w:p w14:paraId="31B1BE0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G. Citarella</w:t>
      </w:r>
      <w:r w:rsidRPr="0053175F">
        <w:rPr>
          <w:rFonts w:ascii="Times New Roman" w:hAnsi="Times New Roman" w:cs="Times New Roman"/>
          <w:sz w:val="28"/>
          <w:szCs w:val="28"/>
        </w:rPr>
        <w:t>, “</w:t>
      </w:r>
      <w:r w:rsidRPr="0053175F">
        <w:rPr>
          <w:rFonts w:ascii="Times New Roman" w:hAnsi="Times New Roman" w:cs="Times New Roman"/>
          <w:i/>
          <w:iCs/>
          <w:sz w:val="28"/>
          <w:szCs w:val="28"/>
        </w:rPr>
        <w:t>Aggiornamento degli archivi online, tra diritto all’oblio e rettifica «atipica»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Responsabilità Civile e Previdenza</w:t>
      </w:r>
      <w:r w:rsidRPr="0053175F">
        <w:rPr>
          <w:rFonts w:ascii="Times New Roman" w:hAnsi="Times New Roman" w:cs="Times New Roman"/>
          <w:sz w:val="28"/>
          <w:szCs w:val="28"/>
        </w:rPr>
        <w:t>, fasc. 4, 2012.</w:t>
      </w:r>
    </w:p>
    <w:p w14:paraId="0AD48CB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D. Citron – K. Franks</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Criminalizing Revenge Porn</w:t>
      </w:r>
      <w:r w:rsidRPr="0053175F">
        <w:rPr>
          <w:rFonts w:ascii="Times New Roman" w:hAnsi="Times New Roman" w:cs="Times New Roman"/>
          <w:sz w:val="28"/>
          <w:szCs w:val="28"/>
          <w:lang w:val="en-US"/>
        </w:rPr>
        <w:t xml:space="preserve">”, in </w:t>
      </w:r>
      <w:r w:rsidRPr="0053175F">
        <w:rPr>
          <w:rFonts w:ascii="Times New Roman" w:hAnsi="Times New Roman" w:cs="Times New Roman"/>
          <w:i/>
          <w:iCs/>
          <w:sz w:val="28"/>
          <w:szCs w:val="28"/>
          <w:lang w:val="en-US"/>
        </w:rPr>
        <w:t>Wake Forest Law Review</w:t>
      </w:r>
      <w:r w:rsidRPr="0053175F">
        <w:rPr>
          <w:rFonts w:ascii="Times New Roman" w:hAnsi="Times New Roman" w:cs="Times New Roman"/>
          <w:sz w:val="28"/>
          <w:szCs w:val="28"/>
          <w:lang w:val="en-US"/>
        </w:rPr>
        <w:t>, 2014.</w:t>
      </w:r>
    </w:p>
    <w:p w14:paraId="1727A88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M. </w:t>
      </w:r>
      <w:proofErr w:type="spellStart"/>
      <w:r w:rsidRPr="0053175F">
        <w:rPr>
          <w:rFonts w:ascii="Times New Roman" w:hAnsi="Times New Roman" w:cs="Times New Roman"/>
          <w:smallCaps/>
          <w:sz w:val="28"/>
          <w:szCs w:val="28"/>
        </w:rPr>
        <w:t>Clarich</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 responsabilità della pubblica amministrazione nel diritto italiano</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 xml:space="preserve">in </w:t>
      </w:r>
      <w:proofErr w:type="spellStart"/>
      <w:r w:rsidRPr="0053175F">
        <w:rPr>
          <w:rFonts w:ascii="Times New Roman" w:hAnsi="Times New Roman" w:cs="Times New Roman"/>
          <w:i/>
          <w:iCs/>
          <w:sz w:val="28"/>
          <w:szCs w:val="28"/>
        </w:rPr>
        <w:t>Riv</w:t>
      </w:r>
      <w:proofErr w:type="spellEnd"/>
      <w:r w:rsidRPr="0053175F">
        <w:rPr>
          <w:rFonts w:ascii="Times New Roman" w:hAnsi="Times New Roman" w:cs="Times New Roman"/>
          <w:i/>
          <w:iCs/>
          <w:sz w:val="28"/>
          <w:szCs w:val="28"/>
        </w:rPr>
        <w:t xml:space="preserve">. Trim. Dir. </w:t>
      </w:r>
      <w:proofErr w:type="spellStart"/>
      <w:r w:rsidRPr="0053175F">
        <w:rPr>
          <w:rFonts w:ascii="Times New Roman" w:hAnsi="Times New Roman" w:cs="Times New Roman"/>
          <w:i/>
          <w:iCs/>
          <w:sz w:val="28"/>
          <w:szCs w:val="28"/>
        </w:rPr>
        <w:t>Pubbl</w:t>
      </w:r>
      <w:proofErr w:type="spellEnd"/>
      <w:r w:rsidRPr="0053175F">
        <w:rPr>
          <w:rFonts w:ascii="Times New Roman" w:hAnsi="Times New Roman" w:cs="Times New Roman"/>
          <w:sz w:val="28"/>
          <w:szCs w:val="28"/>
        </w:rPr>
        <w:t>., 1989.</w:t>
      </w:r>
    </w:p>
    <w:p w14:paraId="6778ADD6"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J. Clough</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Principles of Cybercrime</w:t>
      </w:r>
      <w:r w:rsidRPr="0053175F">
        <w:rPr>
          <w:rFonts w:ascii="Times New Roman" w:hAnsi="Times New Roman" w:cs="Times New Roman"/>
          <w:sz w:val="28"/>
          <w:szCs w:val="28"/>
          <w:lang w:val="en-US"/>
        </w:rPr>
        <w:t>”, Cambridge, 2010.</w:t>
      </w:r>
    </w:p>
    <w:p w14:paraId="1BB1DB7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M. </w:t>
      </w:r>
      <w:proofErr w:type="spellStart"/>
      <w:r w:rsidRPr="0053175F">
        <w:rPr>
          <w:rFonts w:ascii="Times New Roman" w:hAnsi="Times New Roman" w:cs="Times New Roman"/>
          <w:smallCaps/>
          <w:sz w:val="28"/>
          <w:szCs w:val="28"/>
        </w:rPr>
        <w:t>Cocuccio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Deindicizzare per non censurare: il «ragionevole compromesso» tra diritto all’oblio e diritto di cronaca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Responsabilità Civile e Previdenza</w:t>
      </w:r>
      <w:r w:rsidRPr="0053175F">
        <w:rPr>
          <w:rFonts w:ascii="Times New Roman" w:hAnsi="Times New Roman" w:cs="Times New Roman"/>
          <w:sz w:val="28"/>
          <w:szCs w:val="28"/>
        </w:rPr>
        <w:t>, fasc. 1, 2021.</w:t>
      </w:r>
    </w:p>
    <w:p w14:paraId="113C125C"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Commissione Europea</w:t>
      </w:r>
      <w:r w:rsidRPr="0053175F">
        <w:rPr>
          <w:rFonts w:ascii="Times New Roman" w:hAnsi="Times New Roman" w:cs="Times New Roman"/>
          <w:sz w:val="28"/>
          <w:szCs w:val="28"/>
        </w:rPr>
        <w:t>, “</w:t>
      </w:r>
      <w:r w:rsidRPr="0053175F">
        <w:rPr>
          <w:rFonts w:ascii="Times New Roman" w:hAnsi="Times New Roman" w:cs="Times New Roman"/>
          <w:i/>
          <w:iCs/>
          <w:sz w:val="28"/>
          <w:szCs w:val="28"/>
        </w:rPr>
        <w:t>Libro Bianco sull’intelligenza artificiale – Un approccio europeo all’eccellenza e alla fiducia</w:t>
      </w:r>
      <w:r w:rsidRPr="0053175F">
        <w:rPr>
          <w:rFonts w:ascii="Times New Roman" w:hAnsi="Times New Roman" w:cs="Times New Roman"/>
          <w:sz w:val="28"/>
          <w:szCs w:val="28"/>
        </w:rPr>
        <w:t xml:space="preserve">”, Bruxelles, 19.2.2020 COM (2020) 65 </w:t>
      </w:r>
      <w:proofErr w:type="spellStart"/>
      <w:r w:rsidRPr="0053175F">
        <w:rPr>
          <w:rFonts w:ascii="Times New Roman" w:hAnsi="Times New Roman" w:cs="Times New Roman"/>
          <w:sz w:val="28"/>
          <w:szCs w:val="28"/>
        </w:rPr>
        <w:t>final</w:t>
      </w:r>
      <w:proofErr w:type="spellEnd"/>
      <w:r w:rsidRPr="0053175F">
        <w:rPr>
          <w:rFonts w:ascii="Times New Roman" w:hAnsi="Times New Roman" w:cs="Times New Roman"/>
          <w:sz w:val="28"/>
          <w:szCs w:val="28"/>
        </w:rPr>
        <w:t>.</w:t>
      </w:r>
    </w:p>
    <w:p w14:paraId="48990F8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z w:val="28"/>
          <w:szCs w:val="28"/>
          <w:lang w:val="en-US"/>
        </w:rPr>
        <w:t>T</w:t>
      </w:r>
      <w:r w:rsidRPr="0053175F">
        <w:rPr>
          <w:rFonts w:ascii="Times New Roman" w:hAnsi="Times New Roman" w:cs="Times New Roman"/>
          <w:smallCaps/>
          <w:sz w:val="28"/>
          <w:szCs w:val="28"/>
          <w:lang w:val="en-US"/>
        </w:rPr>
        <w:t>. M. Cooley</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A Treatise on the Law of Torts or the Wrongs Which Arise Independent of Contract</w:t>
      </w:r>
      <w:r w:rsidRPr="0053175F">
        <w:rPr>
          <w:rFonts w:ascii="Times New Roman" w:hAnsi="Times New Roman" w:cs="Times New Roman"/>
          <w:sz w:val="28"/>
          <w:szCs w:val="28"/>
          <w:lang w:val="en-US"/>
        </w:rPr>
        <w:t>”, Chicago, 1888.</w:t>
      </w:r>
    </w:p>
    <w:p w14:paraId="32F5085B"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hAnsi="Times New Roman" w:cs="Times New Roman"/>
          <w:smallCaps/>
          <w:sz w:val="28"/>
          <w:szCs w:val="28"/>
        </w:rPr>
        <w:t>M. Corradino</w:t>
      </w:r>
      <w:r w:rsidRPr="0053175F">
        <w:rPr>
          <w:rFonts w:ascii="Times New Roman" w:hAnsi="Times New Roman" w:cs="Times New Roman"/>
          <w:sz w:val="28"/>
          <w:szCs w:val="28"/>
        </w:rPr>
        <w:t>, “</w:t>
      </w:r>
      <w:r w:rsidRPr="0053175F">
        <w:rPr>
          <w:rFonts w:ascii="Times New Roman" w:hAnsi="Times New Roman" w:cs="Times New Roman"/>
          <w:i/>
          <w:iCs/>
          <w:sz w:val="28"/>
          <w:szCs w:val="28"/>
        </w:rPr>
        <w:t>Intelligenza artificiale e pubblica amministrazione: sfide concrete e prospettive future</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 xml:space="preserve">su </w:t>
      </w:r>
      <w:r w:rsidRPr="0053175F">
        <w:rPr>
          <w:rFonts w:ascii="Times New Roman" w:hAnsi="Times New Roman" w:cs="Times New Roman"/>
          <w:i/>
          <w:iCs/>
          <w:sz w:val="28"/>
          <w:szCs w:val="28"/>
        </w:rPr>
        <w:t xml:space="preserve">www.giustizia-amministrativa.it, </w:t>
      </w:r>
      <w:r w:rsidRPr="0053175F">
        <w:rPr>
          <w:rFonts w:ascii="Times New Roman" w:hAnsi="Times New Roman" w:cs="Times New Roman"/>
          <w:sz w:val="28"/>
          <w:szCs w:val="28"/>
        </w:rPr>
        <w:t>10 settembre 2021.</w:t>
      </w:r>
    </w:p>
    <w:p w14:paraId="7D4E56E2"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lastRenderedPageBreak/>
        <w:t>K. Crawford &amp; J. Schultz</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Big Data and Due Process: toward a Framework to Redress Predictive Privacy Harms</w:t>
      </w:r>
      <w:r w:rsidRPr="0053175F">
        <w:rPr>
          <w:rFonts w:ascii="Times New Roman" w:hAnsi="Times New Roman" w:cs="Times New Roman"/>
          <w:sz w:val="28"/>
          <w:szCs w:val="28"/>
          <w:lang w:val="en-US"/>
        </w:rPr>
        <w:t>”</w:t>
      </w:r>
      <w:r w:rsidRPr="0053175F">
        <w:rPr>
          <w:rFonts w:ascii="Times New Roman" w:hAnsi="Times New Roman" w:cs="Times New Roman"/>
          <w:i/>
          <w:iCs/>
          <w:sz w:val="28"/>
          <w:szCs w:val="28"/>
          <w:lang w:val="en-US"/>
        </w:rPr>
        <w:t xml:space="preserve">, </w:t>
      </w:r>
      <w:r w:rsidRPr="0053175F">
        <w:rPr>
          <w:rFonts w:ascii="Times New Roman" w:hAnsi="Times New Roman" w:cs="Times New Roman"/>
          <w:sz w:val="28"/>
          <w:szCs w:val="28"/>
          <w:lang w:val="en-US"/>
        </w:rPr>
        <w:t>55 B.C.L. REV.93 (2014).</w:t>
      </w:r>
    </w:p>
    <w:p w14:paraId="41681569"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K. Crawford</w:t>
      </w:r>
      <w:r w:rsidRPr="0053175F">
        <w:rPr>
          <w:rFonts w:ascii="Times New Roman" w:hAnsi="Times New Roman" w:cs="Times New Roman"/>
          <w:sz w:val="28"/>
          <w:szCs w:val="28"/>
        </w:rPr>
        <w:t>, “</w:t>
      </w:r>
      <w:r w:rsidRPr="0053175F">
        <w:rPr>
          <w:rFonts w:ascii="Times New Roman" w:hAnsi="Times New Roman" w:cs="Times New Roman"/>
          <w:i/>
          <w:iCs/>
          <w:sz w:val="28"/>
          <w:szCs w:val="28"/>
        </w:rPr>
        <w:t>Né intelligente né artificiale. Il lato oscuro dell’IA</w:t>
      </w:r>
      <w:r w:rsidRPr="0053175F">
        <w:rPr>
          <w:rFonts w:ascii="Times New Roman" w:hAnsi="Times New Roman" w:cs="Times New Roman"/>
          <w:sz w:val="28"/>
          <w:szCs w:val="28"/>
        </w:rPr>
        <w:t>”, il Mulino, 2021.</w:t>
      </w:r>
    </w:p>
    <w:p w14:paraId="510A39F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A. Crea</w:t>
      </w:r>
      <w:r w:rsidRPr="0053175F">
        <w:rPr>
          <w:rFonts w:ascii="Times New Roman" w:hAnsi="Times New Roman" w:cs="Times New Roman"/>
          <w:sz w:val="28"/>
          <w:szCs w:val="28"/>
        </w:rPr>
        <w:t>, “</w:t>
      </w:r>
      <w:r w:rsidRPr="0053175F">
        <w:rPr>
          <w:rFonts w:ascii="Times New Roman" w:hAnsi="Times New Roman" w:cs="Times New Roman"/>
          <w:i/>
          <w:iCs/>
          <w:sz w:val="28"/>
          <w:szCs w:val="28"/>
        </w:rPr>
        <w:t>L’Intelligenza Artificiale sta rivelando una biologia sconosciuta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tomshw.it</w:t>
      </w:r>
      <w:r w:rsidRPr="0053175F">
        <w:rPr>
          <w:rFonts w:ascii="Times New Roman" w:hAnsi="Times New Roman" w:cs="Times New Roman"/>
          <w:sz w:val="28"/>
          <w:szCs w:val="28"/>
        </w:rPr>
        <w:t>.</w:t>
      </w:r>
    </w:p>
    <w:p w14:paraId="105F2E0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E. J. </w:t>
      </w:r>
      <w:proofErr w:type="spellStart"/>
      <w:r w:rsidRPr="0053175F">
        <w:rPr>
          <w:rFonts w:ascii="Times New Roman" w:hAnsi="Times New Roman" w:cs="Times New Roman"/>
          <w:smallCaps/>
          <w:sz w:val="28"/>
          <w:szCs w:val="28"/>
          <w:lang w:val="en-US"/>
        </w:rPr>
        <w:t>Criddle</w:t>
      </w:r>
      <w:proofErr w:type="spellEnd"/>
      <w:r w:rsidRPr="0053175F">
        <w:rPr>
          <w:rFonts w:ascii="Times New Roman" w:hAnsi="Times New Roman" w:cs="Times New Roman"/>
          <w:smallCaps/>
          <w:sz w:val="28"/>
          <w:szCs w:val="28"/>
          <w:lang w:val="en-US"/>
        </w:rPr>
        <w:t xml:space="preserve">, P. B. Miller &amp; R. H. </w:t>
      </w:r>
      <w:proofErr w:type="spellStart"/>
      <w:r w:rsidRPr="0053175F">
        <w:rPr>
          <w:rFonts w:ascii="Times New Roman" w:hAnsi="Times New Roman" w:cs="Times New Roman"/>
          <w:smallCaps/>
          <w:sz w:val="28"/>
          <w:szCs w:val="28"/>
          <w:lang w:val="en-US"/>
        </w:rPr>
        <w:t>Sitkoff</w:t>
      </w:r>
      <w:proofErr w:type="spellEnd"/>
      <w:r w:rsidRPr="0053175F">
        <w:rPr>
          <w:rFonts w:ascii="Times New Roman" w:hAnsi="Times New Roman" w:cs="Times New Roman"/>
          <w:smallCaps/>
          <w:sz w:val="28"/>
          <w:szCs w:val="28"/>
          <w:lang w:val="en-US"/>
        </w:rPr>
        <w:t>,</w:t>
      </w:r>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Oxford Handbook of Fiduciary Law</w:t>
      </w:r>
      <w:r w:rsidRPr="0053175F">
        <w:rPr>
          <w:rFonts w:ascii="Times New Roman" w:hAnsi="Times New Roman" w:cs="Times New Roman"/>
          <w:sz w:val="28"/>
          <w:szCs w:val="28"/>
          <w:lang w:val="en-US"/>
        </w:rPr>
        <w:t>”, Oxford, 2018.</w:t>
      </w:r>
    </w:p>
    <w:p w14:paraId="2E76505C"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L. Cusano</w:t>
      </w:r>
      <w:r w:rsidRPr="0053175F">
        <w:rPr>
          <w:rFonts w:ascii="Times New Roman" w:hAnsi="Times New Roman" w:cs="Times New Roman"/>
          <w:sz w:val="28"/>
          <w:szCs w:val="28"/>
        </w:rPr>
        <w:t>, “</w:t>
      </w:r>
      <w:r w:rsidRPr="0053175F">
        <w:rPr>
          <w:rFonts w:ascii="Times New Roman" w:hAnsi="Times New Roman" w:cs="Times New Roman"/>
          <w:i/>
          <w:iCs/>
          <w:sz w:val="28"/>
          <w:szCs w:val="28"/>
        </w:rPr>
        <w:t>Tabulati telefonici: ulteriori ricadute della sentenza della CGUE del 2 marzo 2021 sul piano della utilizzabilità degli esiti di prova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ilpenalista.it</w:t>
      </w:r>
      <w:r w:rsidRPr="0053175F">
        <w:rPr>
          <w:rFonts w:ascii="Times New Roman" w:hAnsi="Times New Roman" w:cs="Times New Roman"/>
          <w:sz w:val="28"/>
          <w:szCs w:val="28"/>
        </w:rPr>
        <w:t>, 25 maggio 2021.</w:t>
      </w:r>
    </w:p>
    <w:p w14:paraId="0BF5B6A3"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eastAsia="Times New Roman" w:hAnsi="Times New Roman" w:cs="Times New Roman"/>
          <w:smallCaps/>
          <w:sz w:val="28"/>
          <w:szCs w:val="28"/>
        </w:rPr>
        <w:t>G. D’Acquisto</w:t>
      </w:r>
      <w:r w:rsidRPr="0053175F">
        <w:rPr>
          <w:rFonts w:ascii="Times New Roman" w:eastAsia="Times New Roman" w:hAnsi="Times New Roman" w:cs="Times New Roman"/>
          <w:sz w:val="28"/>
          <w:szCs w:val="28"/>
        </w:rPr>
        <w:t>, “</w:t>
      </w:r>
      <w:proofErr w:type="spellStart"/>
      <w:r w:rsidRPr="0053175F">
        <w:rPr>
          <w:rFonts w:ascii="Times New Roman" w:eastAsia="Times New Roman" w:hAnsi="Times New Roman" w:cs="Times New Roman"/>
          <w:i/>
          <w:sz w:val="28"/>
          <w:szCs w:val="28"/>
        </w:rPr>
        <w:t>Blockchain</w:t>
      </w:r>
      <w:proofErr w:type="spellEnd"/>
      <w:r w:rsidRPr="0053175F">
        <w:rPr>
          <w:rFonts w:ascii="Times New Roman" w:eastAsia="Times New Roman" w:hAnsi="Times New Roman" w:cs="Times New Roman"/>
          <w:i/>
          <w:sz w:val="28"/>
          <w:szCs w:val="28"/>
        </w:rPr>
        <w:t xml:space="preserve"> e GDPR: verso un approccio basato sul rischio</w:t>
      </w:r>
      <w:r w:rsidRPr="0053175F">
        <w:rPr>
          <w:rFonts w:ascii="Times New Roman" w:eastAsia="Times New Roman" w:hAnsi="Times New Roman" w:cs="Times New Roman"/>
          <w:iCs/>
          <w:sz w:val="28"/>
          <w:szCs w:val="28"/>
        </w:rPr>
        <w:t>”,</w:t>
      </w:r>
      <w:r w:rsidRPr="0053175F">
        <w:rPr>
          <w:rFonts w:ascii="Times New Roman" w:eastAsia="Times New Roman" w:hAnsi="Times New Roman" w:cs="Times New Roman"/>
          <w:sz w:val="28"/>
          <w:szCs w:val="28"/>
        </w:rPr>
        <w:t xml:space="preserve"> in </w:t>
      </w:r>
      <w:r w:rsidRPr="0053175F">
        <w:rPr>
          <w:rFonts w:ascii="Times New Roman" w:eastAsia="Times New Roman" w:hAnsi="Times New Roman" w:cs="Times New Roman"/>
          <w:i/>
          <w:sz w:val="28"/>
          <w:szCs w:val="28"/>
        </w:rPr>
        <w:t>www.federalismi.it</w:t>
      </w:r>
      <w:r w:rsidRPr="0053175F">
        <w:rPr>
          <w:rFonts w:ascii="Times New Roman" w:eastAsia="Times New Roman" w:hAnsi="Times New Roman" w:cs="Times New Roman"/>
          <w:sz w:val="28"/>
          <w:szCs w:val="28"/>
        </w:rPr>
        <w:t>, 18 gennaio 2021.</w:t>
      </w:r>
    </w:p>
    <w:p w14:paraId="6C6C3D3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M. Dal Co e A. Longo</w:t>
      </w:r>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Metaverso</w:t>
      </w:r>
      <w:proofErr w:type="spellEnd"/>
      <w:r w:rsidRPr="0053175F">
        <w:rPr>
          <w:rFonts w:ascii="Times New Roman" w:hAnsi="Times New Roman" w:cs="Times New Roman"/>
          <w:i/>
          <w:iCs/>
          <w:sz w:val="28"/>
          <w:szCs w:val="28"/>
        </w:rPr>
        <w:t>, nuovo business della rete? Ecco gli scenari</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agendadigitale.eu</w:t>
      </w:r>
      <w:r w:rsidRPr="0053175F">
        <w:rPr>
          <w:rFonts w:ascii="Times New Roman" w:hAnsi="Times New Roman" w:cs="Times New Roman"/>
          <w:sz w:val="28"/>
          <w:szCs w:val="28"/>
        </w:rPr>
        <w:t>.</w:t>
      </w:r>
    </w:p>
    <w:p w14:paraId="0F74609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A. </w:t>
      </w:r>
      <w:proofErr w:type="spellStart"/>
      <w:r w:rsidRPr="0053175F">
        <w:rPr>
          <w:rFonts w:ascii="Times New Roman" w:hAnsi="Times New Roman" w:cs="Times New Roman"/>
          <w:smallCaps/>
          <w:sz w:val="28"/>
          <w:szCs w:val="28"/>
        </w:rPr>
        <w:t>Damasio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Alla ricerca di Spinoza. Emozioni, sentimenti e cervello</w:t>
      </w:r>
      <w:r w:rsidRPr="0053175F">
        <w:rPr>
          <w:rFonts w:ascii="Times New Roman" w:hAnsi="Times New Roman" w:cs="Times New Roman"/>
          <w:sz w:val="28"/>
          <w:szCs w:val="28"/>
        </w:rPr>
        <w:t>”, Adelphi, Milano, 2003.</w:t>
      </w:r>
    </w:p>
    <w:p w14:paraId="7EA92D2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A. </w:t>
      </w:r>
      <w:proofErr w:type="spellStart"/>
      <w:r w:rsidRPr="0053175F">
        <w:rPr>
          <w:rFonts w:ascii="Times New Roman" w:hAnsi="Times New Roman" w:cs="Times New Roman"/>
          <w:smallCaps/>
          <w:sz w:val="28"/>
          <w:szCs w:val="28"/>
        </w:rPr>
        <w:t>Damasio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L’errore di Cartesio. Emozioni, ragione e cervello umano</w:t>
      </w:r>
      <w:r w:rsidRPr="0053175F">
        <w:rPr>
          <w:rFonts w:ascii="Times New Roman" w:hAnsi="Times New Roman" w:cs="Times New Roman"/>
          <w:sz w:val="28"/>
          <w:szCs w:val="28"/>
        </w:rPr>
        <w:t>”, Adelphi, Milano, 1995.</w:t>
      </w:r>
    </w:p>
    <w:p w14:paraId="3B3738B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M. D’</w:t>
      </w:r>
      <w:proofErr w:type="spellStart"/>
      <w:r w:rsidRPr="0053175F">
        <w:rPr>
          <w:rFonts w:ascii="Times New Roman" w:hAnsi="Times New Roman" w:cs="Times New Roman"/>
          <w:smallCaps/>
          <w:sz w:val="28"/>
          <w:szCs w:val="28"/>
        </w:rPr>
        <w:t>Angelosante</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La consistenza del modello dell’amministrazione invisibile nell’età della </w:t>
      </w:r>
      <w:proofErr w:type="spellStart"/>
      <w:r w:rsidRPr="0053175F">
        <w:rPr>
          <w:rFonts w:ascii="Times New Roman" w:hAnsi="Times New Roman" w:cs="Times New Roman"/>
          <w:i/>
          <w:iCs/>
          <w:sz w:val="28"/>
          <w:szCs w:val="28"/>
        </w:rPr>
        <w:t>tecnificazione</w:t>
      </w:r>
      <w:proofErr w:type="spellEnd"/>
      <w:r w:rsidRPr="0053175F">
        <w:rPr>
          <w:rFonts w:ascii="Times New Roman" w:hAnsi="Times New Roman" w:cs="Times New Roman"/>
          <w:i/>
          <w:iCs/>
          <w:sz w:val="28"/>
          <w:szCs w:val="28"/>
        </w:rPr>
        <w:t xml:space="preserve"> della formazione delle decisioni alla responsabilità per le decisioni</w:t>
      </w:r>
      <w:r w:rsidRPr="0053175F">
        <w:rPr>
          <w:rFonts w:ascii="Times New Roman" w:hAnsi="Times New Roman" w:cs="Times New Roman"/>
          <w:sz w:val="28"/>
          <w:szCs w:val="28"/>
        </w:rPr>
        <w:t xml:space="preserve">”, in </w:t>
      </w:r>
      <w:r w:rsidRPr="0053175F">
        <w:rPr>
          <w:rFonts w:ascii="Times New Roman" w:hAnsi="Times New Roman" w:cs="Times New Roman"/>
          <w:smallCaps/>
          <w:sz w:val="28"/>
          <w:szCs w:val="28"/>
        </w:rPr>
        <w:t>S. Civitarese Matteucci – L. Torchia</w:t>
      </w:r>
      <w:r w:rsidRPr="0053175F">
        <w:rPr>
          <w:rFonts w:ascii="Times New Roman" w:hAnsi="Times New Roman" w:cs="Times New Roman"/>
          <w:sz w:val="28"/>
          <w:szCs w:val="28"/>
        </w:rPr>
        <w:t xml:space="preserve"> (a cura di), “</w:t>
      </w:r>
      <w:r w:rsidRPr="0053175F">
        <w:rPr>
          <w:rFonts w:ascii="Times New Roman" w:hAnsi="Times New Roman" w:cs="Times New Roman"/>
          <w:i/>
          <w:iCs/>
          <w:sz w:val="28"/>
          <w:szCs w:val="28"/>
        </w:rPr>
        <w:t xml:space="preserve">La </w:t>
      </w:r>
      <w:proofErr w:type="spellStart"/>
      <w:r w:rsidRPr="0053175F">
        <w:rPr>
          <w:rFonts w:ascii="Times New Roman" w:hAnsi="Times New Roman" w:cs="Times New Roman"/>
          <w:i/>
          <w:iCs/>
          <w:sz w:val="28"/>
          <w:szCs w:val="28"/>
        </w:rPr>
        <w:t>tecnificazione</w:t>
      </w:r>
      <w:proofErr w:type="spellEnd"/>
      <w:r w:rsidRPr="0053175F">
        <w:rPr>
          <w:rFonts w:ascii="Times New Roman" w:hAnsi="Times New Roman" w:cs="Times New Roman"/>
          <w:sz w:val="28"/>
          <w:szCs w:val="28"/>
        </w:rPr>
        <w:t>”.</w:t>
      </w:r>
    </w:p>
    <w:p w14:paraId="5088B4C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z w:val="28"/>
          <w:szCs w:val="28"/>
        </w:rPr>
        <w:t xml:space="preserve">V. </w:t>
      </w:r>
      <w:r w:rsidRPr="0053175F">
        <w:rPr>
          <w:rFonts w:ascii="Times New Roman" w:hAnsi="Times New Roman" w:cs="Times New Roman"/>
          <w:smallCaps/>
          <w:sz w:val="28"/>
          <w:szCs w:val="28"/>
        </w:rPr>
        <w:t xml:space="preserve">D’Antonio </w:t>
      </w:r>
      <w:r w:rsidRPr="0053175F">
        <w:rPr>
          <w:rFonts w:ascii="Times New Roman" w:hAnsi="Times New Roman" w:cs="Times New Roman"/>
          <w:sz w:val="28"/>
          <w:szCs w:val="28"/>
        </w:rPr>
        <w:t>e</w:t>
      </w:r>
      <w:r w:rsidRPr="0053175F">
        <w:rPr>
          <w:rFonts w:ascii="Times New Roman" w:hAnsi="Times New Roman" w:cs="Times New Roman"/>
          <w:smallCaps/>
          <w:sz w:val="28"/>
          <w:szCs w:val="28"/>
        </w:rPr>
        <w:t xml:space="preserve"> D. Tarantino</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Il </w:t>
      </w:r>
      <w:proofErr w:type="spellStart"/>
      <w:r w:rsidRPr="0053175F">
        <w:rPr>
          <w:rFonts w:ascii="Times New Roman" w:hAnsi="Times New Roman" w:cs="Times New Roman"/>
          <w:i/>
          <w:iCs/>
          <w:sz w:val="28"/>
          <w:szCs w:val="28"/>
        </w:rPr>
        <w:t>product</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placement</w:t>
      </w:r>
      <w:proofErr w:type="spellEnd"/>
      <w:r w:rsidRPr="0053175F">
        <w:rPr>
          <w:rFonts w:ascii="Times New Roman" w:hAnsi="Times New Roman" w:cs="Times New Roman"/>
          <w:i/>
          <w:iCs/>
          <w:sz w:val="28"/>
          <w:szCs w:val="28"/>
        </w:rPr>
        <w:t xml:space="preserve"> nell’ordinamento italiano: breve fenomenologia di uno strumento pubblicitario</w:t>
      </w:r>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Comparazione e Diritto Civile</w:t>
      </w:r>
      <w:r w:rsidRPr="0053175F">
        <w:rPr>
          <w:rFonts w:ascii="Times New Roman" w:hAnsi="Times New Roman" w:cs="Times New Roman"/>
          <w:sz w:val="28"/>
          <w:szCs w:val="28"/>
        </w:rPr>
        <w:t>, 2011.</w:t>
      </w:r>
    </w:p>
    <w:p w14:paraId="278B20E3"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J. W. Dawson Jr</w:t>
      </w:r>
      <w:r w:rsidRPr="0053175F">
        <w:rPr>
          <w:rFonts w:ascii="Times New Roman" w:hAnsi="Times New Roman" w:cs="Times New Roman"/>
          <w:sz w:val="28"/>
          <w:szCs w:val="28"/>
        </w:rPr>
        <w:t>., “</w:t>
      </w:r>
      <w:r w:rsidRPr="0053175F">
        <w:rPr>
          <w:rFonts w:ascii="Times New Roman" w:hAnsi="Times New Roman" w:cs="Times New Roman"/>
          <w:i/>
          <w:iCs/>
          <w:sz w:val="28"/>
          <w:szCs w:val="28"/>
        </w:rPr>
        <w:t>Dilemmi logici. La vita e l’opera di Kurt Gödel</w:t>
      </w:r>
      <w:r w:rsidRPr="0053175F">
        <w:rPr>
          <w:rFonts w:ascii="Times New Roman" w:hAnsi="Times New Roman" w:cs="Times New Roman"/>
          <w:sz w:val="28"/>
          <w:szCs w:val="28"/>
        </w:rPr>
        <w:t xml:space="preserve">”, Bollati </w:t>
      </w:r>
      <w:proofErr w:type="spellStart"/>
      <w:r w:rsidRPr="0053175F">
        <w:rPr>
          <w:rFonts w:ascii="Times New Roman" w:hAnsi="Times New Roman" w:cs="Times New Roman"/>
          <w:sz w:val="28"/>
          <w:szCs w:val="28"/>
        </w:rPr>
        <w:t>Boringhieri</w:t>
      </w:r>
      <w:proofErr w:type="spellEnd"/>
      <w:r w:rsidRPr="0053175F">
        <w:rPr>
          <w:rFonts w:ascii="Times New Roman" w:hAnsi="Times New Roman" w:cs="Times New Roman"/>
          <w:sz w:val="28"/>
          <w:szCs w:val="28"/>
        </w:rPr>
        <w:t>, Torino, 2001.</w:t>
      </w:r>
    </w:p>
    <w:p w14:paraId="1F7976F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z w:val="28"/>
          <w:szCs w:val="28"/>
        </w:rPr>
        <w:t xml:space="preserve">G. </w:t>
      </w:r>
      <w:r w:rsidRPr="0053175F">
        <w:rPr>
          <w:rFonts w:ascii="Times New Roman" w:hAnsi="Times New Roman" w:cs="Times New Roman"/>
          <w:smallCaps/>
          <w:sz w:val="28"/>
          <w:szCs w:val="28"/>
        </w:rPr>
        <w:t>De Cristofaro</w:t>
      </w:r>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Influencer</w:t>
      </w:r>
      <w:proofErr w:type="spellEnd"/>
      <w:r w:rsidRPr="0053175F">
        <w:rPr>
          <w:rFonts w:ascii="Times New Roman" w:hAnsi="Times New Roman" w:cs="Times New Roman"/>
          <w:i/>
          <w:iCs/>
          <w:sz w:val="28"/>
          <w:szCs w:val="28"/>
        </w:rPr>
        <w:t xml:space="preserve"> Marketing: caso ‘Crema Pan di Stelle’. Come nel caso Alitalia-Ferretti nessuna sanzione. L’Antitrust accetta gli impegni di Barilla e dei Micro-</w:t>
      </w:r>
      <w:proofErr w:type="spellStart"/>
      <w:r w:rsidRPr="0053175F">
        <w:rPr>
          <w:rFonts w:ascii="Times New Roman" w:hAnsi="Times New Roman" w:cs="Times New Roman"/>
          <w:i/>
          <w:iCs/>
          <w:sz w:val="28"/>
          <w:szCs w:val="28"/>
        </w:rPr>
        <w:t>Influencer</w:t>
      </w:r>
      <w:proofErr w:type="spellEnd"/>
      <w:r w:rsidRPr="0053175F">
        <w:rPr>
          <w:rFonts w:ascii="Times New Roman" w:hAnsi="Times New Roman" w:cs="Times New Roman"/>
          <w:i/>
          <w:iCs/>
          <w:sz w:val="28"/>
          <w:szCs w:val="28"/>
        </w:rPr>
        <w:t xml:space="preserve">. tanto rumore per nulla? Non si direbbe: altri spunti utili per inserzionisti e </w:t>
      </w:r>
      <w:proofErr w:type="spellStart"/>
      <w:r w:rsidRPr="0053175F">
        <w:rPr>
          <w:rFonts w:ascii="Times New Roman" w:hAnsi="Times New Roman" w:cs="Times New Roman"/>
          <w:i/>
          <w:iCs/>
          <w:sz w:val="28"/>
          <w:szCs w:val="28"/>
        </w:rPr>
        <w:t>influencer</w:t>
      </w:r>
      <w:proofErr w:type="spellEnd"/>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 xml:space="preserve">youmark.it, </w:t>
      </w:r>
      <w:r w:rsidRPr="0053175F">
        <w:rPr>
          <w:rFonts w:ascii="Times New Roman" w:hAnsi="Times New Roman" w:cs="Times New Roman"/>
          <w:sz w:val="28"/>
          <w:szCs w:val="28"/>
        </w:rPr>
        <w:t>17 marzo 2020.</w:t>
      </w:r>
    </w:p>
    <w:p w14:paraId="11D594AF"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hAnsi="Times New Roman" w:cs="Times New Roman"/>
          <w:sz w:val="28"/>
          <w:szCs w:val="28"/>
        </w:rPr>
        <w:lastRenderedPageBreak/>
        <w:t>J</w:t>
      </w:r>
      <w:r w:rsidRPr="0053175F">
        <w:rPr>
          <w:rFonts w:ascii="Times New Roman" w:hAnsi="Times New Roman" w:cs="Times New Roman"/>
          <w:smallCaps/>
          <w:sz w:val="28"/>
          <w:szCs w:val="28"/>
        </w:rPr>
        <w:t>. Della Torre</w:t>
      </w:r>
      <w:r w:rsidRPr="0053175F">
        <w:rPr>
          <w:rFonts w:ascii="Times New Roman" w:hAnsi="Times New Roman" w:cs="Times New Roman"/>
          <w:sz w:val="28"/>
          <w:szCs w:val="28"/>
        </w:rPr>
        <w:t>, “</w:t>
      </w:r>
      <w:r w:rsidRPr="0053175F">
        <w:rPr>
          <w:rFonts w:ascii="Times New Roman" w:hAnsi="Times New Roman" w:cs="Times New Roman"/>
          <w:i/>
          <w:iCs/>
          <w:sz w:val="28"/>
          <w:szCs w:val="28"/>
        </w:rPr>
        <w:t>L’acquisizione dei tabulati telefonici nel processo penale dopo la sentenza della Grande Camera della Corte di Giustizia UE: la svolta garantista in un primo provvedimento del Gip di Roma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sistemapenale.it.</w:t>
      </w:r>
    </w:p>
    <w:p w14:paraId="49B5C4D5"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hAnsi="Times New Roman" w:cs="Times New Roman"/>
          <w:smallCaps/>
          <w:sz w:val="28"/>
          <w:szCs w:val="28"/>
        </w:rPr>
        <w:t>A. De Lucia</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Offese su </w:t>
      </w:r>
      <w:proofErr w:type="spellStart"/>
      <w:r w:rsidRPr="0053175F">
        <w:rPr>
          <w:rFonts w:ascii="Times New Roman" w:hAnsi="Times New Roman" w:cs="Times New Roman"/>
          <w:i/>
          <w:iCs/>
          <w:sz w:val="28"/>
          <w:szCs w:val="28"/>
        </w:rPr>
        <w:t>Facebook</w:t>
      </w:r>
      <w:proofErr w:type="spellEnd"/>
      <w:r w:rsidRPr="0053175F">
        <w:rPr>
          <w:rFonts w:ascii="Times New Roman" w:hAnsi="Times New Roman" w:cs="Times New Roman"/>
          <w:i/>
          <w:iCs/>
          <w:sz w:val="28"/>
          <w:szCs w:val="28"/>
        </w:rPr>
        <w:t>: la Cassazione conferma la legittimità del licenziamento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altalex.com.</w:t>
      </w:r>
    </w:p>
    <w:p w14:paraId="5D4CEF4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E. Dhawan</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Digital body language. How to build trust &amp; connection no matter the distance</w:t>
      </w:r>
      <w:r w:rsidRPr="0053175F">
        <w:rPr>
          <w:rFonts w:ascii="Times New Roman" w:hAnsi="Times New Roman" w:cs="Times New Roman"/>
          <w:sz w:val="28"/>
          <w:szCs w:val="28"/>
          <w:lang w:val="en-US"/>
        </w:rPr>
        <w:t>”, 2021.</w:t>
      </w:r>
    </w:p>
    <w:p w14:paraId="6B835C3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A. Di Majo</w:t>
      </w:r>
      <w:r w:rsidRPr="0053175F">
        <w:rPr>
          <w:rFonts w:ascii="Times New Roman" w:hAnsi="Times New Roman" w:cs="Times New Roman"/>
          <w:sz w:val="28"/>
          <w:szCs w:val="28"/>
        </w:rPr>
        <w:t>, “</w:t>
      </w:r>
      <w:r w:rsidRPr="0053175F">
        <w:rPr>
          <w:rFonts w:ascii="Times New Roman" w:hAnsi="Times New Roman" w:cs="Times New Roman"/>
          <w:i/>
          <w:iCs/>
          <w:sz w:val="28"/>
          <w:szCs w:val="28"/>
        </w:rPr>
        <w:t>Profili della responsabilità civile</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Torino, 2010</w:t>
      </w:r>
    </w:p>
    <w:p w14:paraId="29758E63"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L. Diotallevi</w:t>
      </w:r>
      <w:r w:rsidRPr="0053175F">
        <w:rPr>
          <w:rFonts w:ascii="Times New Roman" w:hAnsi="Times New Roman" w:cs="Times New Roman"/>
          <w:sz w:val="28"/>
          <w:szCs w:val="28"/>
        </w:rPr>
        <w:t>, “</w:t>
      </w:r>
      <w:r w:rsidRPr="0053175F">
        <w:rPr>
          <w:rFonts w:ascii="Times New Roman" w:hAnsi="Times New Roman" w:cs="Times New Roman"/>
          <w:i/>
          <w:iCs/>
          <w:sz w:val="28"/>
          <w:szCs w:val="28"/>
        </w:rPr>
        <w:t>La Corte di cassazione sancisce l'“equiparazione” tra giornali cartacei e telematici ai fini dell’applicazione della disciplina in materia di sequestro preventivo: un nuovo caso di “scivolamento” dalla “nomofilachia” alla “</w:t>
      </w:r>
      <w:proofErr w:type="spellStart"/>
      <w:r w:rsidRPr="0053175F">
        <w:rPr>
          <w:rFonts w:ascii="Times New Roman" w:hAnsi="Times New Roman" w:cs="Times New Roman"/>
          <w:i/>
          <w:iCs/>
          <w:sz w:val="28"/>
          <w:szCs w:val="28"/>
        </w:rPr>
        <w:t>nomopoiesi</w:t>
      </w:r>
      <w:proofErr w:type="spellEnd"/>
      <w:r w:rsidRPr="0053175F">
        <w:rPr>
          <w:rFonts w:ascii="Times New Roman" w:hAnsi="Times New Roman" w:cs="Times New Roman"/>
          <w:i/>
          <w:iCs/>
          <w:sz w:val="28"/>
          <w:szCs w:val="28"/>
        </w:rPr>
        <w:t>”?</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Giurisprudenza Costituzionale</w:t>
      </w:r>
      <w:r w:rsidRPr="0053175F">
        <w:rPr>
          <w:rFonts w:ascii="Times New Roman" w:hAnsi="Times New Roman" w:cs="Times New Roman"/>
          <w:sz w:val="28"/>
          <w:szCs w:val="28"/>
        </w:rPr>
        <w:t>, fasc. 3, 2015.</w:t>
      </w:r>
    </w:p>
    <w:p w14:paraId="1DE42EBA" w14:textId="77777777" w:rsidR="00265619" w:rsidRPr="0053175F" w:rsidRDefault="00265619" w:rsidP="0053175F">
      <w:pPr>
        <w:spacing w:before="100" w:beforeAutospacing="1" w:after="100" w:afterAutospacing="1" w:line="240" w:lineRule="auto"/>
        <w:jc w:val="both"/>
        <w:rPr>
          <w:rFonts w:ascii="Times New Roman" w:eastAsia="Times New Roman" w:hAnsi="Times New Roman" w:cs="Times New Roman"/>
          <w:sz w:val="28"/>
          <w:szCs w:val="28"/>
        </w:rPr>
      </w:pPr>
      <w:r w:rsidRPr="0053175F">
        <w:rPr>
          <w:rFonts w:ascii="Times New Roman" w:eastAsia="Times New Roman" w:hAnsi="Times New Roman" w:cs="Times New Roman"/>
          <w:sz w:val="28"/>
          <w:szCs w:val="28"/>
        </w:rPr>
        <w:t xml:space="preserve">C. </w:t>
      </w:r>
      <w:r w:rsidRPr="0053175F">
        <w:rPr>
          <w:rFonts w:ascii="Times New Roman" w:eastAsia="Times New Roman" w:hAnsi="Times New Roman" w:cs="Times New Roman"/>
          <w:smallCaps/>
          <w:sz w:val="28"/>
          <w:szCs w:val="28"/>
        </w:rPr>
        <w:t>D’Orta</w:t>
      </w:r>
      <w:r w:rsidRPr="0053175F">
        <w:rPr>
          <w:rFonts w:ascii="Times New Roman" w:eastAsia="Times New Roman" w:hAnsi="Times New Roman" w:cs="Times New Roman"/>
          <w:sz w:val="28"/>
          <w:szCs w:val="28"/>
        </w:rPr>
        <w:t>,</w:t>
      </w:r>
      <w:r w:rsidRPr="0053175F">
        <w:rPr>
          <w:rFonts w:ascii="Times New Roman" w:eastAsia="Times New Roman" w:hAnsi="Times New Roman" w:cs="Times New Roman"/>
          <w:i/>
          <w:iCs/>
          <w:sz w:val="28"/>
          <w:szCs w:val="28"/>
        </w:rPr>
        <w:t xml:space="preserve"> “Il sistema pubblico di connettività”</w:t>
      </w:r>
      <w:r w:rsidRPr="0053175F">
        <w:rPr>
          <w:rFonts w:ascii="Times New Roman" w:eastAsia="Times New Roman" w:hAnsi="Times New Roman" w:cs="Times New Roman"/>
          <w:sz w:val="28"/>
          <w:szCs w:val="28"/>
        </w:rPr>
        <w:t xml:space="preserve">, in </w:t>
      </w:r>
      <w:r w:rsidRPr="0053175F">
        <w:rPr>
          <w:rFonts w:ascii="Times New Roman" w:eastAsia="Times New Roman" w:hAnsi="Times New Roman" w:cs="Times New Roman"/>
          <w:i/>
          <w:iCs/>
          <w:sz w:val="28"/>
          <w:szCs w:val="28"/>
        </w:rPr>
        <w:t>Giornale di diritto amministrativo</w:t>
      </w:r>
      <w:r w:rsidRPr="0053175F">
        <w:rPr>
          <w:rFonts w:ascii="Times New Roman" w:eastAsia="Times New Roman" w:hAnsi="Times New Roman" w:cs="Times New Roman"/>
          <w:sz w:val="28"/>
          <w:szCs w:val="28"/>
        </w:rPr>
        <w:t>, 2005.</w:t>
      </w:r>
    </w:p>
    <w:p w14:paraId="55E1695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N. Elias</w:t>
      </w:r>
      <w:r w:rsidRPr="0053175F">
        <w:rPr>
          <w:rFonts w:ascii="Times New Roman" w:hAnsi="Times New Roman" w:cs="Times New Roman"/>
          <w:sz w:val="28"/>
          <w:szCs w:val="28"/>
        </w:rPr>
        <w:t>, “</w:t>
      </w:r>
      <w:r w:rsidRPr="0053175F">
        <w:rPr>
          <w:rFonts w:ascii="Times New Roman" w:hAnsi="Times New Roman" w:cs="Times New Roman"/>
          <w:i/>
          <w:iCs/>
          <w:sz w:val="28"/>
          <w:szCs w:val="28"/>
        </w:rPr>
        <w:t>La civiltà delle buone maniere</w:t>
      </w:r>
      <w:r w:rsidRPr="0053175F">
        <w:rPr>
          <w:rFonts w:ascii="Times New Roman" w:hAnsi="Times New Roman" w:cs="Times New Roman"/>
          <w:sz w:val="28"/>
          <w:szCs w:val="28"/>
        </w:rPr>
        <w:t>”, 2009.</w:t>
      </w:r>
    </w:p>
    <w:p w14:paraId="43930B4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A. Falzea</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Teoria dell’efficacia giuridica”, </w:t>
      </w:r>
      <w:r w:rsidRPr="0053175F">
        <w:rPr>
          <w:rFonts w:ascii="Times New Roman" w:hAnsi="Times New Roman" w:cs="Times New Roman"/>
          <w:sz w:val="28"/>
          <w:szCs w:val="28"/>
        </w:rPr>
        <w:t>in “</w:t>
      </w:r>
      <w:r w:rsidRPr="0053175F">
        <w:rPr>
          <w:rFonts w:ascii="Times New Roman" w:hAnsi="Times New Roman" w:cs="Times New Roman"/>
          <w:i/>
          <w:iCs/>
          <w:sz w:val="28"/>
          <w:szCs w:val="28"/>
        </w:rPr>
        <w:t>Ricerche di teoria generale del diritto e di dogmatica giuridica”</w:t>
      </w:r>
      <w:r w:rsidRPr="0053175F">
        <w:rPr>
          <w:rFonts w:ascii="Times New Roman" w:hAnsi="Times New Roman" w:cs="Times New Roman"/>
          <w:sz w:val="28"/>
          <w:szCs w:val="28"/>
        </w:rPr>
        <w:t>, vol. I, Milano, 1999.</w:t>
      </w:r>
    </w:p>
    <w:p w14:paraId="7B250A2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z w:val="28"/>
          <w:szCs w:val="28"/>
        </w:rPr>
        <w:t>B</w:t>
      </w:r>
      <w:r w:rsidRPr="0053175F">
        <w:rPr>
          <w:rFonts w:ascii="Times New Roman" w:hAnsi="Times New Roman" w:cs="Times New Roman"/>
          <w:smallCaps/>
          <w:sz w:val="28"/>
          <w:szCs w:val="28"/>
        </w:rPr>
        <w:t xml:space="preserve">. J. </w:t>
      </w:r>
      <w:proofErr w:type="spellStart"/>
      <w:r w:rsidRPr="0053175F">
        <w:rPr>
          <w:rFonts w:ascii="Times New Roman" w:hAnsi="Times New Roman" w:cs="Times New Roman"/>
          <w:smallCaps/>
          <w:sz w:val="28"/>
          <w:szCs w:val="28"/>
        </w:rPr>
        <w:t>Feijos</w:t>
      </w:r>
      <w:proofErr w:type="spellEnd"/>
      <w:r w:rsidRPr="0053175F">
        <w:rPr>
          <w:rFonts w:ascii="Times New Roman" w:hAnsi="Times New Roman" w:cs="Times New Roman"/>
          <w:smallCaps/>
          <w:sz w:val="28"/>
          <w:szCs w:val="28"/>
        </w:rPr>
        <w:t xml:space="preserve"> Sanchez</w:t>
      </w:r>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Derecho</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Penal</w:t>
      </w:r>
      <w:proofErr w:type="spellEnd"/>
      <w:r w:rsidRPr="0053175F">
        <w:rPr>
          <w:rFonts w:ascii="Times New Roman" w:hAnsi="Times New Roman" w:cs="Times New Roman"/>
          <w:i/>
          <w:iCs/>
          <w:sz w:val="28"/>
          <w:szCs w:val="28"/>
        </w:rPr>
        <w:t xml:space="preserve"> y </w:t>
      </w:r>
      <w:proofErr w:type="spellStart"/>
      <w:r w:rsidRPr="0053175F">
        <w:rPr>
          <w:rFonts w:ascii="Times New Roman" w:hAnsi="Times New Roman" w:cs="Times New Roman"/>
          <w:i/>
          <w:iCs/>
          <w:sz w:val="28"/>
          <w:szCs w:val="28"/>
        </w:rPr>
        <w:t>Neurosciencias</w:t>
      </w:r>
      <w:proofErr w:type="spellEnd"/>
      <w:r w:rsidRPr="0053175F">
        <w:rPr>
          <w:rFonts w:ascii="Times New Roman" w:hAnsi="Times New Roman" w:cs="Times New Roman"/>
          <w:i/>
          <w:iCs/>
          <w:sz w:val="28"/>
          <w:szCs w:val="28"/>
        </w:rPr>
        <w:t xml:space="preserve">, Una </w:t>
      </w:r>
      <w:proofErr w:type="spellStart"/>
      <w:r w:rsidRPr="0053175F">
        <w:rPr>
          <w:rFonts w:ascii="Times New Roman" w:hAnsi="Times New Roman" w:cs="Times New Roman"/>
          <w:i/>
          <w:iCs/>
          <w:sz w:val="28"/>
          <w:szCs w:val="28"/>
        </w:rPr>
        <w:t>relaciòn</w:t>
      </w:r>
      <w:proofErr w:type="spellEnd"/>
      <w:r w:rsidRPr="0053175F">
        <w:rPr>
          <w:rFonts w:ascii="Times New Roman" w:hAnsi="Times New Roman" w:cs="Times New Roman"/>
          <w:i/>
          <w:iCs/>
          <w:sz w:val="28"/>
          <w:szCs w:val="28"/>
        </w:rPr>
        <w:t xml:space="preserve"> tormentosa?</w:t>
      </w:r>
      <w:r w:rsidRPr="0053175F">
        <w:rPr>
          <w:rFonts w:ascii="Times New Roman" w:hAnsi="Times New Roman" w:cs="Times New Roman"/>
          <w:sz w:val="28"/>
          <w:szCs w:val="28"/>
        </w:rPr>
        <w:t>”, 2011.</w:t>
      </w:r>
    </w:p>
    <w:p w14:paraId="5704103A"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 xml:space="preserve">P. </w:t>
      </w:r>
      <w:proofErr w:type="spellStart"/>
      <w:r w:rsidRPr="0053175F">
        <w:rPr>
          <w:rFonts w:ascii="Times New Roman" w:hAnsi="Times New Roman" w:cs="Times New Roman"/>
          <w:smallCaps/>
          <w:sz w:val="28"/>
          <w:szCs w:val="28"/>
        </w:rPr>
        <w:t>Ferragina</w:t>
      </w:r>
      <w:proofErr w:type="spellEnd"/>
      <w:r w:rsidRPr="0053175F">
        <w:rPr>
          <w:rFonts w:ascii="Times New Roman" w:hAnsi="Times New Roman" w:cs="Times New Roman"/>
          <w:smallCaps/>
          <w:sz w:val="28"/>
          <w:szCs w:val="28"/>
        </w:rPr>
        <w:t xml:space="preserve"> – F. Luccio</w:t>
      </w:r>
      <w:r w:rsidRPr="0053175F">
        <w:rPr>
          <w:rFonts w:ascii="Times New Roman" w:hAnsi="Times New Roman" w:cs="Times New Roman"/>
          <w:sz w:val="28"/>
          <w:szCs w:val="28"/>
        </w:rPr>
        <w:t>, “</w:t>
      </w:r>
      <w:r w:rsidRPr="0053175F">
        <w:rPr>
          <w:rFonts w:ascii="Times New Roman" w:hAnsi="Times New Roman" w:cs="Times New Roman"/>
          <w:i/>
          <w:iCs/>
          <w:sz w:val="28"/>
          <w:szCs w:val="28"/>
        </w:rPr>
        <w:t>Il pensiero computazionale</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 xml:space="preserve">Dagli algoritmi al </w:t>
      </w:r>
      <w:proofErr w:type="spellStart"/>
      <w:r w:rsidRPr="0053175F">
        <w:rPr>
          <w:rFonts w:ascii="Times New Roman" w:hAnsi="Times New Roman" w:cs="Times New Roman"/>
          <w:i/>
          <w:iCs/>
          <w:sz w:val="28"/>
          <w:szCs w:val="28"/>
        </w:rPr>
        <w:t>coding</w:t>
      </w:r>
      <w:proofErr w:type="spellEnd"/>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Bologna, 2017.</w:t>
      </w:r>
    </w:p>
    <w:p w14:paraId="51EF5D9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W. Ferri</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2,4 milioni per 500mq di cyber spazio: il </w:t>
      </w:r>
      <w:proofErr w:type="spellStart"/>
      <w:r w:rsidRPr="0053175F">
        <w:rPr>
          <w:rFonts w:ascii="Times New Roman" w:hAnsi="Times New Roman" w:cs="Times New Roman"/>
          <w:i/>
          <w:iCs/>
          <w:sz w:val="28"/>
          <w:szCs w:val="28"/>
        </w:rPr>
        <w:t>Metaverso</w:t>
      </w:r>
      <w:proofErr w:type="spellEnd"/>
      <w:r w:rsidRPr="0053175F">
        <w:rPr>
          <w:rFonts w:ascii="Times New Roman" w:hAnsi="Times New Roman" w:cs="Times New Roman"/>
          <w:i/>
          <w:iCs/>
          <w:sz w:val="28"/>
          <w:szCs w:val="28"/>
        </w:rPr>
        <w:t xml:space="preserve"> e la corsa all’oro digitale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lindipendenteonline.it</w:t>
      </w:r>
      <w:r w:rsidRPr="0053175F">
        <w:rPr>
          <w:rFonts w:ascii="Times New Roman" w:hAnsi="Times New Roman" w:cs="Times New Roman"/>
          <w:sz w:val="28"/>
          <w:szCs w:val="28"/>
        </w:rPr>
        <w:t>.</w:t>
      </w:r>
    </w:p>
    <w:p w14:paraId="66E6E9A9"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F. Ferronetti</w:t>
      </w:r>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Blockchain</w:t>
      </w:r>
      <w:proofErr w:type="spellEnd"/>
      <w:r w:rsidRPr="0053175F">
        <w:rPr>
          <w:rFonts w:ascii="Times New Roman" w:hAnsi="Times New Roman" w:cs="Times New Roman"/>
          <w:i/>
          <w:iCs/>
          <w:sz w:val="28"/>
          <w:szCs w:val="28"/>
        </w:rPr>
        <w:t xml:space="preserve"> e </w:t>
      </w:r>
      <w:proofErr w:type="spellStart"/>
      <w:r w:rsidRPr="0053175F">
        <w:rPr>
          <w:rFonts w:ascii="Times New Roman" w:hAnsi="Times New Roman" w:cs="Times New Roman"/>
          <w:i/>
          <w:iCs/>
          <w:sz w:val="28"/>
          <w:szCs w:val="28"/>
        </w:rPr>
        <w:t>smart</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contract</w:t>
      </w:r>
      <w:proofErr w:type="spellEnd"/>
      <w:r w:rsidRPr="0053175F">
        <w:rPr>
          <w:rFonts w:ascii="Times New Roman" w:hAnsi="Times New Roman" w:cs="Times New Roman"/>
          <w:i/>
          <w:iCs/>
          <w:sz w:val="28"/>
          <w:szCs w:val="28"/>
        </w:rPr>
        <w:t>, servono regole chiare: lo scenario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agendadigitale.eu</w:t>
      </w:r>
      <w:r w:rsidRPr="0053175F">
        <w:rPr>
          <w:rFonts w:ascii="Times New Roman" w:hAnsi="Times New Roman" w:cs="Times New Roman"/>
          <w:sz w:val="28"/>
          <w:szCs w:val="28"/>
        </w:rPr>
        <w:t>, 14 ottobre 2021.</w:t>
      </w:r>
    </w:p>
    <w:p w14:paraId="439ED6E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L. Filippi</w:t>
      </w:r>
      <w:r w:rsidRPr="0053175F">
        <w:rPr>
          <w:rFonts w:ascii="Times New Roman" w:hAnsi="Times New Roman" w:cs="Times New Roman"/>
          <w:sz w:val="28"/>
          <w:szCs w:val="28"/>
        </w:rPr>
        <w:t>, “</w:t>
      </w:r>
      <w:r w:rsidRPr="0053175F">
        <w:rPr>
          <w:rFonts w:ascii="Times New Roman" w:hAnsi="Times New Roman" w:cs="Times New Roman"/>
          <w:i/>
          <w:iCs/>
          <w:sz w:val="28"/>
          <w:szCs w:val="28"/>
        </w:rPr>
        <w:t>La nuova disciplina dei tabulati: il commento “a caldo” del Prof. Filippi</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penaledp.it</w:t>
      </w:r>
      <w:r w:rsidRPr="0053175F">
        <w:rPr>
          <w:rFonts w:ascii="Times New Roman" w:hAnsi="Times New Roman" w:cs="Times New Roman"/>
          <w:sz w:val="28"/>
          <w:szCs w:val="28"/>
        </w:rPr>
        <w:t>, 1° ottobre 2021.</w:t>
      </w:r>
    </w:p>
    <w:p w14:paraId="3FA65173"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L</w:t>
      </w:r>
      <w:r w:rsidRPr="0053175F">
        <w:rPr>
          <w:rFonts w:ascii="Times New Roman" w:hAnsi="Times New Roman" w:cs="Times New Roman"/>
          <w:sz w:val="28"/>
          <w:szCs w:val="28"/>
        </w:rPr>
        <w:t xml:space="preserve">. </w:t>
      </w:r>
      <w:r w:rsidRPr="0053175F">
        <w:rPr>
          <w:rFonts w:ascii="Times New Roman" w:hAnsi="Times New Roman" w:cs="Times New Roman"/>
          <w:smallCaps/>
          <w:sz w:val="28"/>
          <w:szCs w:val="28"/>
        </w:rPr>
        <w:t xml:space="preserve">Floridi, </w:t>
      </w:r>
      <w:r w:rsidRPr="0053175F">
        <w:rPr>
          <w:rFonts w:ascii="Times New Roman" w:hAnsi="Times New Roman" w:cs="Times New Roman"/>
          <w:sz w:val="28"/>
          <w:szCs w:val="28"/>
        </w:rPr>
        <w:t>“</w:t>
      </w:r>
      <w:r w:rsidRPr="0053175F">
        <w:rPr>
          <w:rFonts w:ascii="Times New Roman" w:hAnsi="Times New Roman" w:cs="Times New Roman"/>
          <w:i/>
          <w:iCs/>
          <w:sz w:val="28"/>
          <w:szCs w:val="28"/>
        </w:rPr>
        <w:t>Intelligenza Artificiale. L’uso delle nuove macchine</w:t>
      </w:r>
      <w:r w:rsidRPr="0053175F">
        <w:rPr>
          <w:rFonts w:ascii="Times New Roman" w:hAnsi="Times New Roman" w:cs="Times New Roman"/>
          <w:sz w:val="28"/>
          <w:szCs w:val="28"/>
        </w:rPr>
        <w:t>”, Bompiani, 2021.</w:t>
      </w:r>
    </w:p>
    <w:p w14:paraId="6A8F8F3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E. </w:t>
      </w:r>
      <w:proofErr w:type="spellStart"/>
      <w:r w:rsidRPr="0053175F">
        <w:rPr>
          <w:rFonts w:ascii="Times New Roman" w:hAnsi="Times New Roman" w:cs="Times New Roman"/>
          <w:smallCaps/>
          <w:sz w:val="28"/>
          <w:szCs w:val="28"/>
        </w:rPr>
        <w:t>Follieri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 tipologia delle azioni</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proponibili</w:t>
      </w:r>
      <w:r w:rsidRPr="0053175F">
        <w:rPr>
          <w:rFonts w:ascii="Times New Roman" w:hAnsi="Times New Roman" w:cs="Times New Roman"/>
          <w:sz w:val="28"/>
          <w:szCs w:val="28"/>
        </w:rPr>
        <w:t xml:space="preserve">”, in </w:t>
      </w:r>
      <w:r w:rsidRPr="0053175F">
        <w:rPr>
          <w:rFonts w:ascii="Times New Roman" w:hAnsi="Times New Roman" w:cs="Times New Roman"/>
          <w:smallCaps/>
          <w:sz w:val="28"/>
          <w:szCs w:val="28"/>
        </w:rPr>
        <w:t xml:space="preserve">F. G. </w:t>
      </w:r>
      <w:proofErr w:type="spellStart"/>
      <w:r w:rsidRPr="0053175F">
        <w:rPr>
          <w:rFonts w:ascii="Times New Roman" w:hAnsi="Times New Roman" w:cs="Times New Roman"/>
          <w:smallCaps/>
          <w:sz w:val="28"/>
          <w:szCs w:val="28"/>
        </w:rPr>
        <w:t>Scoca</w:t>
      </w:r>
      <w:proofErr w:type="spellEnd"/>
      <w:r w:rsidRPr="0053175F">
        <w:rPr>
          <w:rFonts w:ascii="Times New Roman" w:hAnsi="Times New Roman" w:cs="Times New Roman"/>
          <w:sz w:val="28"/>
          <w:szCs w:val="28"/>
        </w:rPr>
        <w:t xml:space="preserve"> (a cura di), “</w:t>
      </w:r>
      <w:r w:rsidRPr="0053175F">
        <w:rPr>
          <w:rFonts w:ascii="Times New Roman" w:hAnsi="Times New Roman" w:cs="Times New Roman"/>
          <w:i/>
          <w:iCs/>
          <w:sz w:val="28"/>
          <w:szCs w:val="28"/>
        </w:rPr>
        <w:t>Giustizia amministrativa</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Torino, 2017.</w:t>
      </w:r>
    </w:p>
    <w:p w14:paraId="2075A359"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lastRenderedPageBreak/>
        <w:t>G. Fornasari</w:t>
      </w:r>
      <w:r w:rsidRPr="0053175F">
        <w:rPr>
          <w:rFonts w:ascii="Times New Roman" w:hAnsi="Times New Roman" w:cs="Times New Roman"/>
          <w:sz w:val="28"/>
          <w:szCs w:val="28"/>
        </w:rPr>
        <w:t>, “</w:t>
      </w:r>
      <w:r w:rsidRPr="0053175F">
        <w:rPr>
          <w:rFonts w:ascii="Times New Roman" w:hAnsi="Times New Roman" w:cs="Times New Roman"/>
          <w:i/>
          <w:iCs/>
          <w:sz w:val="28"/>
          <w:szCs w:val="28"/>
        </w:rPr>
        <w:t>I principi del diritto penale tedesco</w:t>
      </w:r>
      <w:r w:rsidRPr="0053175F">
        <w:rPr>
          <w:rFonts w:ascii="Times New Roman" w:hAnsi="Times New Roman" w:cs="Times New Roman"/>
          <w:sz w:val="28"/>
          <w:szCs w:val="28"/>
        </w:rPr>
        <w:t>”, Padova, 1993.</w:t>
      </w:r>
    </w:p>
    <w:p w14:paraId="5C083E8F"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U. M. Franklin</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The Real World of Technology</w:t>
      </w:r>
      <w:r w:rsidRPr="0053175F">
        <w:rPr>
          <w:rFonts w:ascii="Times New Roman" w:hAnsi="Times New Roman" w:cs="Times New Roman"/>
          <w:sz w:val="28"/>
          <w:szCs w:val="28"/>
          <w:lang w:val="en-US"/>
        </w:rPr>
        <w:t>”, 1999.</w:t>
      </w:r>
    </w:p>
    <w:p w14:paraId="4354DAC0"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 xml:space="preserve">S. </w:t>
      </w:r>
      <w:proofErr w:type="spellStart"/>
      <w:r w:rsidRPr="0053175F">
        <w:rPr>
          <w:rFonts w:ascii="Times New Roman" w:hAnsi="Times New Roman" w:cs="Times New Roman"/>
          <w:smallCaps/>
          <w:sz w:val="28"/>
          <w:szCs w:val="28"/>
        </w:rPr>
        <w:t>Gaboriau</w:t>
      </w:r>
      <w:proofErr w:type="spellEnd"/>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w:t>
      </w:r>
      <w:r w:rsidRPr="0053175F">
        <w:rPr>
          <w:rFonts w:ascii="Times New Roman" w:hAnsi="Times New Roman" w:cs="Times New Roman"/>
          <w:i/>
          <w:iCs/>
          <w:sz w:val="28"/>
          <w:szCs w:val="28"/>
        </w:rPr>
        <w:t>Libertà e umanità del giudice: due valori fondamentali della giustizia. La giustizia digitale può garantire nel tempo la fedeltà a questi valori?</w:t>
      </w:r>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Questione Giustizia</w:t>
      </w:r>
      <w:r w:rsidRPr="0053175F">
        <w:rPr>
          <w:rFonts w:ascii="Times New Roman" w:hAnsi="Times New Roman" w:cs="Times New Roman"/>
          <w:sz w:val="28"/>
          <w:szCs w:val="28"/>
        </w:rPr>
        <w:t>, fasc. 4, 2018.</w:t>
      </w:r>
    </w:p>
    <w:p w14:paraId="2958D9AF" w14:textId="77777777" w:rsidR="00265619" w:rsidRPr="0053175F" w:rsidRDefault="00265619" w:rsidP="0053175F">
      <w:pPr>
        <w:spacing w:before="100" w:beforeAutospacing="1" w:after="100" w:afterAutospacing="1" w:line="240" w:lineRule="auto"/>
        <w:jc w:val="both"/>
        <w:rPr>
          <w:rFonts w:ascii="Times New Roman" w:eastAsia="Times New Roman" w:hAnsi="Times New Roman" w:cs="Times New Roman"/>
          <w:sz w:val="28"/>
          <w:szCs w:val="28"/>
        </w:rPr>
      </w:pPr>
      <w:r w:rsidRPr="0053175F">
        <w:rPr>
          <w:rFonts w:ascii="Times New Roman" w:eastAsia="Times New Roman" w:hAnsi="Times New Roman" w:cs="Times New Roman"/>
          <w:smallCaps/>
          <w:sz w:val="28"/>
          <w:szCs w:val="28"/>
        </w:rPr>
        <w:t xml:space="preserve">A. Gambino, C. </w:t>
      </w:r>
      <w:proofErr w:type="spellStart"/>
      <w:r w:rsidRPr="0053175F">
        <w:rPr>
          <w:rFonts w:ascii="Times New Roman" w:eastAsia="Times New Roman" w:hAnsi="Times New Roman" w:cs="Times New Roman"/>
          <w:smallCaps/>
          <w:sz w:val="28"/>
          <w:szCs w:val="28"/>
        </w:rPr>
        <w:t>Bomprezzi</w:t>
      </w:r>
      <w:proofErr w:type="spellEnd"/>
      <w:r w:rsidRPr="0053175F">
        <w:rPr>
          <w:rFonts w:ascii="Times New Roman" w:eastAsia="Times New Roman" w:hAnsi="Times New Roman" w:cs="Times New Roman"/>
          <w:sz w:val="28"/>
          <w:szCs w:val="28"/>
        </w:rPr>
        <w:t>, “</w:t>
      </w:r>
      <w:proofErr w:type="spellStart"/>
      <w:r w:rsidRPr="0053175F">
        <w:rPr>
          <w:rFonts w:ascii="Times New Roman" w:eastAsia="Times New Roman" w:hAnsi="Times New Roman" w:cs="Times New Roman"/>
          <w:i/>
          <w:sz w:val="28"/>
          <w:szCs w:val="28"/>
        </w:rPr>
        <w:t>Blockchain</w:t>
      </w:r>
      <w:proofErr w:type="spellEnd"/>
      <w:r w:rsidRPr="0053175F">
        <w:rPr>
          <w:rFonts w:ascii="Times New Roman" w:eastAsia="Times New Roman" w:hAnsi="Times New Roman" w:cs="Times New Roman"/>
          <w:i/>
          <w:sz w:val="28"/>
          <w:szCs w:val="28"/>
        </w:rPr>
        <w:t xml:space="preserve"> e titolare del trattamento dei dati personali: il nodo rimane irrisolto</w:t>
      </w:r>
      <w:r w:rsidRPr="0053175F">
        <w:rPr>
          <w:rFonts w:ascii="Times New Roman" w:eastAsia="Times New Roman" w:hAnsi="Times New Roman" w:cs="Times New Roman"/>
          <w:iCs/>
          <w:sz w:val="28"/>
          <w:szCs w:val="28"/>
        </w:rPr>
        <w:t>”,</w:t>
      </w:r>
      <w:r w:rsidRPr="0053175F">
        <w:rPr>
          <w:rFonts w:ascii="Times New Roman" w:eastAsia="Times New Roman" w:hAnsi="Times New Roman" w:cs="Times New Roman"/>
          <w:sz w:val="28"/>
          <w:szCs w:val="28"/>
        </w:rPr>
        <w:t xml:space="preserve"> in </w:t>
      </w:r>
      <w:r w:rsidRPr="0053175F">
        <w:rPr>
          <w:rFonts w:ascii="Times New Roman" w:eastAsia="Times New Roman" w:hAnsi="Times New Roman" w:cs="Times New Roman"/>
          <w:i/>
          <w:sz w:val="28"/>
          <w:szCs w:val="28"/>
        </w:rPr>
        <w:t>www.iaic.it</w:t>
      </w:r>
      <w:r w:rsidRPr="0053175F">
        <w:rPr>
          <w:rFonts w:ascii="Times New Roman" w:eastAsia="Times New Roman" w:hAnsi="Times New Roman" w:cs="Times New Roman"/>
          <w:iCs/>
          <w:sz w:val="28"/>
          <w:szCs w:val="28"/>
        </w:rPr>
        <w:t>,</w:t>
      </w:r>
      <w:r w:rsidRPr="0053175F">
        <w:rPr>
          <w:rFonts w:ascii="Times New Roman" w:eastAsia="Times New Roman" w:hAnsi="Times New Roman" w:cs="Times New Roman"/>
          <w:sz w:val="28"/>
          <w:szCs w:val="28"/>
        </w:rPr>
        <w:t xml:space="preserve"> 20 gennaio 2020.</w:t>
      </w:r>
    </w:p>
    <w:p w14:paraId="50A3D18F"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hAnsi="Times New Roman" w:cs="Times New Roman"/>
          <w:smallCaps/>
          <w:sz w:val="28"/>
          <w:szCs w:val="28"/>
        </w:rPr>
        <w:t xml:space="preserve">C. </w:t>
      </w:r>
      <w:proofErr w:type="spellStart"/>
      <w:r w:rsidRPr="0053175F">
        <w:rPr>
          <w:rFonts w:ascii="Times New Roman" w:hAnsi="Times New Roman" w:cs="Times New Roman"/>
          <w:smallCaps/>
          <w:sz w:val="28"/>
          <w:szCs w:val="28"/>
        </w:rPr>
        <w:t>Garbarino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Applicazione del FATCA a livello europeo e protezione dei dati</w:t>
      </w:r>
      <w:r w:rsidRPr="0053175F">
        <w:rPr>
          <w:rFonts w:ascii="Times New Roman" w:hAnsi="Times New Roman" w:cs="Times New Roman"/>
          <w:sz w:val="28"/>
          <w:szCs w:val="28"/>
        </w:rPr>
        <w:t xml:space="preserve">”, 2018, su </w:t>
      </w:r>
      <w:r w:rsidRPr="0053175F">
        <w:rPr>
          <w:rFonts w:ascii="Times New Roman" w:hAnsi="Times New Roman" w:cs="Times New Roman"/>
          <w:i/>
          <w:iCs/>
          <w:sz w:val="28"/>
          <w:szCs w:val="28"/>
        </w:rPr>
        <w:t>privatebank.jpmorgan.com.</w:t>
      </w:r>
    </w:p>
    <w:p w14:paraId="37AB43A0"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eastAsia="Times New Roman" w:hAnsi="Times New Roman" w:cs="Times New Roman"/>
          <w:smallCaps/>
          <w:sz w:val="28"/>
          <w:szCs w:val="28"/>
        </w:rPr>
        <w:t>P. Ghezzi</w:t>
      </w:r>
      <w:r w:rsidRPr="0053175F">
        <w:rPr>
          <w:rFonts w:ascii="Times New Roman" w:eastAsia="Times New Roman" w:hAnsi="Times New Roman" w:cs="Times New Roman"/>
          <w:sz w:val="28"/>
          <w:szCs w:val="28"/>
        </w:rPr>
        <w:t>, “</w:t>
      </w:r>
      <w:proofErr w:type="spellStart"/>
      <w:r w:rsidRPr="0053175F">
        <w:rPr>
          <w:rFonts w:ascii="Times New Roman" w:eastAsia="Times New Roman" w:hAnsi="Times New Roman" w:cs="Times New Roman"/>
          <w:i/>
          <w:sz w:val="28"/>
          <w:szCs w:val="28"/>
        </w:rPr>
        <w:t>Blockchain</w:t>
      </w:r>
      <w:proofErr w:type="spellEnd"/>
      <w:r w:rsidRPr="0053175F">
        <w:rPr>
          <w:rFonts w:ascii="Times New Roman" w:eastAsia="Times New Roman" w:hAnsi="Times New Roman" w:cs="Times New Roman"/>
          <w:i/>
          <w:sz w:val="28"/>
          <w:szCs w:val="28"/>
        </w:rPr>
        <w:t>, quali prospettive per le politiche pubbliche</w:t>
      </w:r>
      <w:r w:rsidRPr="0053175F">
        <w:rPr>
          <w:rFonts w:ascii="Times New Roman" w:eastAsia="Times New Roman" w:hAnsi="Times New Roman" w:cs="Times New Roman"/>
          <w:iCs/>
          <w:sz w:val="28"/>
          <w:szCs w:val="28"/>
        </w:rPr>
        <w:t>”,</w:t>
      </w:r>
      <w:r w:rsidRPr="0053175F">
        <w:rPr>
          <w:rFonts w:ascii="Times New Roman" w:eastAsia="Times New Roman" w:hAnsi="Times New Roman" w:cs="Times New Roman"/>
          <w:sz w:val="28"/>
          <w:szCs w:val="28"/>
        </w:rPr>
        <w:t xml:space="preserve"> in </w:t>
      </w:r>
      <w:r w:rsidRPr="0053175F">
        <w:rPr>
          <w:rFonts w:ascii="Times New Roman" w:eastAsia="Times New Roman" w:hAnsi="Times New Roman" w:cs="Times New Roman"/>
          <w:i/>
          <w:sz w:val="28"/>
          <w:szCs w:val="28"/>
        </w:rPr>
        <w:t xml:space="preserve">www.blockchain4innovation.it, </w:t>
      </w:r>
      <w:r w:rsidRPr="0053175F">
        <w:rPr>
          <w:rFonts w:ascii="Times New Roman" w:eastAsia="Times New Roman" w:hAnsi="Times New Roman" w:cs="Times New Roman"/>
          <w:iCs/>
          <w:sz w:val="28"/>
          <w:szCs w:val="28"/>
        </w:rPr>
        <w:t>14 aprile 2021.</w:t>
      </w:r>
    </w:p>
    <w:p w14:paraId="404E2173"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 xml:space="preserve">S. </w:t>
      </w:r>
      <w:proofErr w:type="spellStart"/>
      <w:r w:rsidRPr="0053175F">
        <w:rPr>
          <w:rFonts w:ascii="Times New Roman" w:hAnsi="Times New Roman" w:cs="Times New Roman"/>
          <w:smallCaps/>
          <w:sz w:val="28"/>
          <w:szCs w:val="28"/>
        </w:rPr>
        <w:t>Giancone</w:t>
      </w:r>
      <w:proofErr w:type="spellEnd"/>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Influencer</w:t>
      </w:r>
      <w:proofErr w:type="spellEnd"/>
      <w:r w:rsidRPr="0053175F">
        <w:rPr>
          <w:rFonts w:ascii="Times New Roman" w:hAnsi="Times New Roman" w:cs="Times New Roman"/>
          <w:i/>
          <w:iCs/>
          <w:sz w:val="28"/>
          <w:szCs w:val="28"/>
        </w:rPr>
        <w:t xml:space="preserve"> e social network: quando l’uso di un marchio altrui è un atto illecito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iusinitinere.it</w:t>
      </w:r>
      <w:r w:rsidRPr="0053175F">
        <w:rPr>
          <w:rFonts w:ascii="Times New Roman" w:hAnsi="Times New Roman" w:cs="Times New Roman"/>
          <w:sz w:val="28"/>
          <w:szCs w:val="28"/>
        </w:rPr>
        <w:t>, 8 ottobre 2020.</w:t>
      </w:r>
    </w:p>
    <w:p w14:paraId="106607D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rPr>
        <w:t>M. S. Giannini</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Il potere discrezionale della pubblica amministrazione. </w:t>
      </w:r>
      <w:proofErr w:type="spellStart"/>
      <w:r w:rsidRPr="0053175F">
        <w:rPr>
          <w:rFonts w:ascii="Times New Roman" w:hAnsi="Times New Roman" w:cs="Times New Roman"/>
          <w:i/>
          <w:iCs/>
          <w:sz w:val="28"/>
          <w:szCs w:val="28"/>
          <w:lang w:val="en-US"/>
        </w:rPr>
        <w:t>Concetto</w:t>
      </w:r>
      <w:proofErr w:type="spellEnd"/>
      <w:r w:rsidRPr="0053175F">
        <w:rPr>
          <w:rFonts w:ascii="Times New Roman" w:hAnsi="Times New Roman" w:cs="Times New Roman"/>
          <w:i/>
          <w:iCs/>
          <w:sz w:val="28"/>
          <w:szCs w:val="28"/>
          <w:lang w:val="en-US"/>
        </w:rPr>
        <w:t xml:space="preserve"> e </w:t>
      </w:r>
      <w:proofErr w:type="spellStart"/>
      <w:r w:rsidRPr="0053175F">
        <w:rPr>
          <w:rFonts w:ascii="Times New Roman" w:hAnsi="Times New Roman" w:cs="Times New Roman"/>
          <w:i/>
          <w:iCs/>
          <w:sz w:val="28"/>
          <w:szCs w:val="28"/>
          <w:lang w:val="en-US"/>
        </w:rPr>
        <w:t>problemi</w:t>
      </w:r>
      <w:proofErr w:type="spellEnd"/>
      <w:r w:rsidRPr="0053175F">
        <w:rPr>
          <w:rFonts w:ascii="Times New Roman" w:hAnsi="Times New Roman" w:cs="Times New Roman"/>
          <w:sz w:val="28"/>
          <w:szCs w:val="28"/>
          <w:lang w:val="en-US"/>
        </w:rPr>
        <w:t>”,</w:t>
      </w:r>
      <w:r w:rsidRPr="0053175F">
        <w:rPr>
          <w:rFonts w:ascii="Times New Roman" w:hAnsi="Times New Roman" w:cs="Times New Roman"/>
          <w:i/>
          <w:iCs/>
          <w:sz w:val="28"/>
          <w:szCs w:val="28"/>
          <w:lang w:val="en-US"/>
        </w:rPr>
        <w:t xml:space="preserve"> </w:t>
      </w:r>
      <w:r w:rsidRPr="0053175F">
        <w:rPr>
          <w:rFonts w:ascii="Times New Roman" w:hAnsi="Times New Roman" w:cs="Times New Roman"/>
          <w:sz w:val="28"/>
          <w:szCs w:val="28"/>
          <w:lang w:val="en-US"/>
        </w:rPr>
        <w:t>Milano, 1939.</w:t>
      </w:r>
    </w:p>
    <w:p w14:paraId="35471BB2"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lang w:val="en-US"/>
        </w:rPr>
      </w:pPr>
      <w:r w:rsidRPr="0053175F">
        <w:rPr>
          <w:rFonts w:ascii="Times New Roman" w:hAnsi="Times New Roman" w:cs="Times New Roman"/>
          <w:smallCaps/>
          <w:sz w:val="28"/>
          <w:szCs w:val="28"/>
          <w:lang w:val="en-US"/>
        </w:rPr>
        <w:t xml:space="preserve">S. </w:t>
      </w:r>
      <w:proofErr w:type="spellStart"/>
      <w:r w:rsidRPr="0053175F">
        <w:rPr>
          <w:rFonts w:ascii="Times New Roman" w:hAnsi="Times New Roman" w:cs="Times New Roman"/>
          <w:smallCaps/>
          <w:sz w:val="28"/>
          <w:szCs w:val="28"/>
          <w:lang w:val="en-US"/>
        </w:rPr>
        <w:t>Gleß</w:t>
      </w:r>
      <w:proofErr w:type="spellEnd"/>
      <w:r w:rsidRPr="0053175F">
        <w:rPr>
          <w:rFonts w:ascii="Times New Roman" w:hAnsi="Times New Roman" w:cs="Times New Roman"/>
          <w:smallCaps/>
          <w:sz w:val="28"/>
          <w:szCs w:val="28"/>
          <w:lang w:val="en-US"/>
        </w:rPr>
        <w:t xml:space="preserve">, E. Silverman, T. </w:t>
      </w:r>
      <w:proofErr w:type="spellStart"/>
      <w:r w:rsidRPr="0053175F">
        <w:rPr>
          <w:rFonts w:ascii="Times New Roman" w:hAnsi="Times New Roman" w:cs="Times New Roman"/>
          <w:smallCaps/>
          <w:sz w:val="28"/>
          <w:szCs w:val="28"/>
          <w:lang w:val="en-US"/>
        </w:rPr>
        <w:t>Weigend</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If robots cause harm, who is to blame? Self-driving cars and criminal liability</w:t>
      </w:r>
      <w:r w:rsidRPr="0053175F">
        <w:rPr>
          <w:rFonts w:ascii="Times New Roman" w:hAnsi="Times New Roman" w:cs="Times New Roman"/>
          <w:sz w:val="28"/>
          <w:szCs w:val="28"/>
          <w:lang w:val="en-US"/>
        </w:rPr>
        <w:t xml:space="preserve">”, in </w:t>
      </w:r>
      <w:r w:rsidRPr="0053175F">
        <w:rPr>
          <w:rFonts w:ascii="Times New Roman" w:hAnsi="Times New Roman" w:cs="Times New Roman"/>
          <w:i/>
          <w:iCs/>
          <w:sz w:val="28"/>
          <w:szCs w:val="28"/>
          <w:lang w:val="en-US"/>
        </w:rPr>
        <w:t>New Criminal Law Review</w:t>
      </w:r>
      <w:r w:rsidRPr="0053175F">
        <w:rPr>
          <w:rFonts w:ascii="Times New Roman" w:hAnsi="Times New Roman" w:cs="Times New Roman"/>
          <w:sz w:val="28"/>
          <w:szCs w:val="28"/>
          <w:lang w:val="en-US"/>
        </w:rPr>
        <w:t>, 2016.</w:t>
      </w:r>
    </w:p>
    <w:p w14:paraId="03FE40A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K. Gödel</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Sulle proposizioni formalmente indecidibili dei Principia </w:t>
      </w:r>
      <w:proofErr w:type="spellStart"/>
      <w:r w:rsidRPr="0053175F">
        <w:rPr>
          <w:rFonts w:ascii="Times New Roman" w:hAnsi="Times New Roman" w:cs="Times New Roman"/>
          <w:i/>
          <w:iCs/>
          <w:sz w:val="28"/>
          <w:szCs w:val="28"/>
        </w:rPr>
        <w:t>Mathematica</w:t>
      </w:r>
      <w:proofErr w:type="spellEnd"/>
      <w:r w:rsidRPr="0053175F">
        <w:rPr>
          <w:rFonts w:ascii="Times New Roman" w:hAnsi="Times New Roman" w:cs="Times New Roman"/>
          <w:i/>
          <w:iCs/>
          <w:sz w:val="28"/>
          <w:szCs w:val="28"/>
        </w:rPr>
        <w:t xml:space="preserve"> e di sistemi affini</w:t>
      </w:r>
      <w:r w:rsidRPr="0053175F">
        <w:rPr>
          <w:rFonts w:ascii="Times New Roman" w:hAnsi="Times New Roman" w:cs="Times New Roman"/>
          <w:sz w:val="28"/>
          <w:szCs w:val="28"/>
        </w:rPr>
        <w:t xml:space="preserve">”, in </w:t>
      </w:r>
      <w:r w:rsidRPr="0053175F">
        <w:rPr>
          <w:rFonts w:ascii="Times New Roman" w:hAnsi="Times New Roman" w:cs="Times New Roman"/>
          <w:smallCaps/>
          <w:sz w:val="28"/>
          <w:szCs w:val="28"/>
        </w:rPr>
        <w:t xml:space="preserve">S. G. </w:t>
      </w:r>
      <w:proofErr w:type="spellStart"/>
      <w:r w:rsidRPr="0053175F">
        <w:rPr>
          <w:rFonts w:ascii="Times New Roman" w:hAnsi="Times New Roman" w:cs="Times New Roman"/>
          <w:smallCaps/>
          <w:sz w:val="28"/>
          <w:szCs w:val="28"/>
        </w:rPr>
        <w:t>Shanker</w:t>
      </w:r>
      <w:proofErr w:type="spellEnd"/>
      <w:r w:rsidRPr="0053175F">
        <w:rPr>
          <w:rFonts w:ascii="Times New Roman" w:hAnsi="Times New Roman" w:cs="Times New Roman"/>
          <w:sz w:val="28"/>
          <w:szCs w:val="28"/>
        </w:rPr>
        <w:t xml:space="preserve"> (a cura di), “</w:t>
      </w:r>
      <w:r w:rsidRPr="0053175F">
        <w:rPr>
          <w:rFonts w:ascii="Times New Roman" w:hAnsi="Times New Roman" w:cs="Times New Roman"/>
          <w:i/>
          <w:iCs/>
          <w:sz w:val="28"/>
          <w:szCs w:val="28"/>
        </w:rPr>
        <w:t>Il teorema di Gödel</w:t>
      </w:r>
      <w:r w:rsidRPr="0053175F">
        <w:rPr>
          <w:rFonts w:ascii="Times New Roman" w:hAnsi="Times New Roman" w:cs="Times New Roman"/>
          <w:sz w:val="28"/>
          <w:szCs w:val="28"/>
        </w:rPr>
        <w:t xml:space="preserve">”, </w:t>
      </w:r>
      <w:proofErr w:type="spellStart"/>
      <w:r w:rsidRPr="0053175F">
        <w:rPr>
          <w:rFonts w:ascii="Times New Roman" w:hAnsi="Times New Roman" w:cs="Times New Roman"/>
          <w:sz w:val="28"/>
          <w:szCs w:val="28"/>
        </w:rPr>
        <w:t>trad</w:t>
      </w:r>
      <w:proofErr w:type="spellEnd"/>
      <w:r w:rsidRPr="0053175F">
        <w:rPr>
          <w:rFonts w:ascii="Times New Roman" w:hAnsi="Times New Roman" w:cs="Times New Roman"/>
          <w:sz w:val="28"/>
          <w:szCs w:val="28"/>
        </w:rPr>
        <w:t xml:space="preserve">. </w:t>
      </w:r>
      <w:proofErr w:type="spellStart"/>
      <w:r w:rsidRPr="0053175F">
        <w:rPr>
          <w:rFonts w:ascii="Times New Roman" w:hAnsi="Times New Roman" w:cs="Times New Roman"/>
          <w:sz w:val="28"/>
          <w:szCs w:val="28"/>
        </w:rPr>
        <w:t>it</w:t>
      </w:r>
      <w:proofErr w:type="spellEnd"/>
      <w:r w:rsidRPr="0053175F">
        <w:rPr>
          <w:rFonts w:ascii="Times New Roman" w:hAnsi="Times New Roman" w:cs="Times New Roman"/>
          <w:sz w:val="28"/>
          <w:szCs w:val="28"/>
        </w:rPr>
        <w:t>. di P</w:t>
      </w:r>
      <w:r w:rsidRPr="0053175F">
        <w:rPr>
          <w:rFonts w:ascii="Times New Roman" w:hAnsi="Times New Roman" w:cs="Times New Roman"/>
          <w:smallCaps/>
          <w:sz w:val="28"/>
          <w:szCs w:val="28"/>
        </w:rPr>
        <w:t xml:space="preserve">. </w:t>
      </w:r>
      <w:proofErr w:type="spellStart"/>
      <w:r w:rsidRPr="0053175F">
        <w:rPr>
          <w:rFonts w:ascii="Times New Roman" w:hAnsi="Times New Roman" w:cs="Times New Roman"/>
          <w:smallCaps/>
          <w:sz w:val="28"/>
          <w:szCs w:val="28"/>
        </w:rPr>
        <w:t>Pagli</w:t>
      </w:r>
      <w:proofErr w:type="spellEnd"/>
      <w:r w:rsidRPr="0053175F">
        <w:rPr>
          <w:rFonts w:ascii="Times New Roman" w:hAnsi="Times New Roman" w:cs="Times New Roman"/>
          <w:sz w:val="28"/>
          <w:szCs w:val="28"/>
        </w:rPr>
        <w:t xml:space="preserve">, Franco </w:t>
      </w:r>
      <w:proofErr w:type="spellStart"/>
      <w:r w:rsidRPr="0053175F">
        <w:rPr>
          <w:rFonts w:ascii="Times New Roman" w:hAnsi="Times New Roman" w:cs="Times New Roman"/>
          <w:sz w:val="28"/>
          <w:szCs w:val="28"/>
        </w:rPr>
        <w:t>Muzzio</w:t>
      </w:r>
      <w:proofErr w:type="spellEnd"/>
      <w:r w:rsidRPr="0053175F">
        <w:rPr>
          <w:rFonts w:ascii="Times New Roman" w:hAnsi="Times New Roman" w:cs="Times New Roman"/>
          <w:sz w:val="28"/>
          <w:szCs w:val="28"/>
        </w:rPr>
        <w:t xml:space="preserve"> Editore, Padova, 1991.</w:t>
      </w:r>
    </w:p>
    <w:p w14:paraId="4C03EB7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L. </w:t>
      </w:r>
      <w:proofErr w:type="spellStart"/>
      <w:r w:rsidRPr="0053175F">
        <w:rPr>
          <w:rFonts w:ascii="Times New Roman" w:hAnsi="Times New Roman" w:cs="Times New Roman"/>
          <w:smallCaps/>
          <w:sz w:val="28"/>
          <w:szCs w:val="28"/>
        </w:rPr>
        <w:t>Goisis</w:t>
      </w:r>
      <w:proofErr w:type="spellEnd"/>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Hate</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Crimes</w:t>
      </w:r>
      <w:proofErr w:type="spellEnd"/>
      <w:r w:rsidRPr="0053175F">
        <w:rPr>
          <w:rFonts w:ascii="Times New Roman" w:hAnsi="Times New Roman" w:cs="Times New Roman"/>
          <w:i/>
          <w:iCs/>
          <w:sz w:val="28"/>
          <w:szCs w:val="28"/>
        </w:rPr>
        <w:t>: perché punire l’odio. Una prospettiva internazionale, comparatistica e politico-criminale</w:t>
      </w:r>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RIDPP</w:t>
      </w:r>
      <w:r w:rsidRPr="0053175F">
        <w:rPr>
          <w:rFonts w:ascii="Times New Roman" w:hAnsi="Times New Roman" w:cs="Times New Roman"/>
          <w:sz w:val="28"/>
          <w:szCs w:val="28"/>
        </w:rPr>
        <w:t>, 2018.</w:t>
      </w:r>
    </w:p>
    <w:p w14:paraId="4D6DEE8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L. </w:t>
      </w:r>
      <w:proofErr w:type="spellStart"/>
      <w:r w:rsidRPr="0053175F">
        <w:rPr>
          <w:rFonts w:ascii="Times New Roman" w:hAnsi="Times New Roman" w:cs="Times New Roman"/>
          <w:smallCaps/>
          <w:sz w:val="28"/>
          <w:szCs w:val="28"/>
        </w:rPr>
        <w:t>Goisis</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Libertà di espressione e odio omofobico. La Corte europea dei diritti dell’uomo equipara la discriminazione in base all’orientamento sessuale alla discriminazione razziale</w:t>
      </w:r>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RIDPP</w:t>
      </w:r>
      <w:r w:rsidRPr="0053175F">
        <w:rPr>
          <w:rFonts w:ascii="Times New Roman" w:hAnsi="Times New Roman" w:cs="Times New Roman"/>
          <w:sz w:val="28"/>
          <w:szCs w:val="28"/>
        </w:rPr>
        <w:t>, 2013.</w:t>
      </w:r>
    </w:p>
    <w:p w14:paraId="0D6596C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L. </w:t>
      </w:r>
      <w:proofErr w:type="spellStart"/>
      <w:r w:rsidRPr="0053175F">
        <w:rPr>
          <w:rFonts w:ascii="Times New Roman" w:hAnsi="Times New Roman" w:cs="Times New Roman"/>
          <w:smallCaps/>
          <w:sz w:val="28"/>
          <w:szCs w:val="28"/>
        </w:rPr>
        <w:t>Goisis</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Omosessualità, </w:t>
      </w:r>
      <w:proofErr w:type="spellStart"/>
      <w:r w:rsidRPr="0053175F">
        <w:rPr>
          <w:rFonts w:ascii="Times New Roman" w:hAnsi="Times New Roman" w:cs="Times New Roman"/>
          <w:i/>
          <w:iCs/>
          <w:sz w:val="28"/>
          <w:szCs w:val="28"/>
        </w:rPr>
        <w:t>hate</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crimes</w:t>
      </w:r>
      <w:proofErr w:type="spellEnd"/>
      <w:r w:rsidRPr="0053175F">
        <w:rPr>
          <w:rFonts w:ascii="Times New Roman" w:hAnsi="Times New Roman" w:cs="Times New Roman"/>
          <w:i/>
          <w:iCs/>
          <w:sz w:val="28"/>
          <w:szCs w:val="28"/>
        </w:rPr>
        <w:t xml:space="preserve"> e diritto penale</w:t>
      </w:r>
      <w:r w:rsidRPr="0053175F">
        <w:rPr>
          <w:rFonts w:ascii="Times New Roman" w:hAnsi="Times New Roman" w:cs="Times New Roman"/>
          <w:sz w:val="28"/>
          <w:szCs w:val="28"/>
        </w:rPr>
        <w:t xml:space="preserve">”, in </w:t>
      </w:r>
      <w:proofErr w:type="spellStart"/>
      <w:r w:rsidRPr="0053175F">
        <w:rPr>
          <w:rFonts w:ascii="Times New Roman" w:hAnsi="Times New Roman" w:cs="Times New Roman"/>
          <w:i/>
          <w:iCs/>
          <w:sz w:val="28"/>
          <w:szCs w:val="28"/>
        </w:rPr>
        <w:t>GenIus</w:t>
      </w:r>
      <w:proofErr w:type="spellEnd"/>
      <w:r w:rsidRPr="0053175F">
        <w:rPr>
          <w:rFonts w:ascii="Times New Roman" w:hAnsi="Times New Roman" w:cs="Times New Roman"/>
          <w:sz w:val="28"/>
          <w:szCs w:val="28"/>
        </w:rPr>
        <w:t>, 2015.</w:t>
      </w:r>
    </w:p>
    <w:p w14:paraId="0D55237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R. </w:t>
      </w:r>
      <w:proofErr w:type="spellStart"/>
      <w:r w:rsidRPr="0053175F">
        <w:rPr>
          <w:rFonts w:ascii="Times New Roman" w:hAnsi="Times New Roman" w:cs="Times New Roman"/>
          <w:smallCaps/>
          <w:sz w:val="28"/>
          <w:szCs w:val="28"/>
        </w:rPr>
        <w:t>Goldstein</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Incompletezza. La dimostrazione e il paradosso di Kurt Gödel</w:t>
      </w:r>
      <w:r w:rsidRPr="0053175F">
        <w:rPr>
          <w:rFonts w:ascii="Times New Roman" w:hAnsi="Times New Roman" w:cs="Times New Roman"/>
          <w:sz w:val="28"/>
          <w:szCs w:val="28"/>
        </w:rPr>
        <w:t>”, Codice Edizioni, Torino, 2006.</w:t>
      </w:r>
    </w:p>
    <w:p w14:paraId="163D317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C. Grandi</w:t>
      </w:r>
      <w:r w:rsidRPr="0053175F">
        <w:rPr>
          <w:rFonts w:ascii="Times New Roman" w:hAnsi="Times New Roman" w:cs="Times New Roman"/>
          <w:sz w:val="28"/>
          <w:szCs w:val="28"/>
        </w:rPr>
        <w:t>, “</w:t>
      </w:r>
      <w:r w:rsidRPr="0053175F">
        <w:rPr>
          <w:rFonts w:ascii="Times New Roman" w:hAnsi="Times New Roman" w:cs="Times New Roman"/>
          <w:i/>
          <w:iCs/>
          <w:sz w:val="28"/>
          <w:szCs w:val="28"/>
        </w:rPr>
        <w:t>Neuroscienze e responsabilità penale: nuove soluzioni per problemi antichi</w:t>
      </w:r>
      <w:r w:rsidRPr="0053175F">
        <w:rPr>
          <w:rFonts w:ascii="Times New Roman" w:hAnsi="Times New Roman" w:cs="Times New Roman"/>
          <w:sz w:val="28"/>
          <w:szCs w:val="28"/>
        </w:rPr>
        <w:t>”, 2016.</w:t>
      </w:r>
    </w:p>
    <w:p w14:paraId="449E86E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lastRenderedPageBreak/>
        <w:t>G. Greco</w:t>
      </w:r>
      <w:r w:rsidRPr="0053175F">
        <w:rPr>
          <w:rFonts w:ascii="Times New Roman" w:hAnsi="Times New Roman" w:cs="Times New Roman"/>
          <w:sz w:val="28"/>
          <w:szCs w:val="28"/>
        </w:rPr>
        <w:t>, “</w:t>
      </w:r>
      <w:r w:rsidRPr="0053175F">
        <w:rPr>
          <w:rFonts w:ascii="Times New Roman" w:hAnsi="Times New Roman" w:cs="Times New Roman"/>
          <w:i/>
          <w:iCs/>
          <w:sz w:val="28"/>
          <w:szCs w:val="28"/>
        </w:rPr>
        <w:t>Dal dilemma diritto soggettivo-interesse legittimo, alla differenziazione interesse strumentale-interesse finale</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 xml:space="preserve">in </w:t>
      </w:r>
      <w:r w:rsidRPr="0053175F">
        <w:rPr>
          <w:rFonts w:ascii="Times New Roman" w:hAnsi="Times New Roman" w:cs="Times New Roman"/>
          <w:i/>
          <w:iCs/>
          <w:sz w:val="28"/>
          <w:szCs w:val="28"/>
        </w:rPr>
        <w:t xml:space="preserve">Dir. </w:t>
      </w:r>
      <w:proofErr w:type="spellStart"/>
      <w:r w:rsidRPr="0053175F">
        <w:rPr>
          <w:rFonts w:ascii="Times New Roman" w:hAnsi="Times New Roman" w:cs="Times New Roman"/>
          <w:i/>
          <w:iCs/>
          <w:sz w:val="28"/>
          <w:szCs w:val="28"/>
        </w:rPr>
        <w:t>amm</w:t>
      </w:r>
      <w:proofErr w:type="spellEnd"/>
      <w:r w:rsidRPr="0053175F">
        <w:rPr>
          <w:rFonts w:ascii="Times New Roman" w:hAnsi="Times New Roman" w:cs="Times New Roman"/>
          <w:sz w:val="28"/>
          <w:szCs w:val="28"/>
        </w:rPr>
        <w:t>., 2014.</w:t>
      </w:r>
    </w:p>
    <w:p w14:paraId="10AA375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A. Greco</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Il </w:t>
      </w:r>
      <w:proofErr w:type="spellStart"/>
      <w:r w:rsidRPr="0053175F">
        <w:rPr>
          <w:rFonts w:ascii="Times New Roman" w:hAnsi="Times New Roman" w:cs="Times New Roman"/>
          <w:i/>
          <w:iCs/>
          <w:sz w:val="28"/>
          <w:szCs w:val="28"/>
        </w:rPr>
        <w:t>metaverso</w:t>
      </w:r>
      <w:proofErr w:type="spellEnd"/>
      <w:r w:rsidRPr="0053175F">
        <w:rPr>
          <w:rFonts w:ascii="Times New Roman" w:hAnsi="Times New Roman" w:cs="Times New Roman"/>
          <w:i/>
          <w:iCs/>
          <w:sz w:val="28"/>
          <w:szCs w:val="28"/>
        </w:rPr>
        <w:t xml:space="preserve"> come il Monopoli: scatta la corsa al mattone virtuale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Repubblica.it</w:t>
      </w:r>
    </w:p>
    <w:p w14:paraId="6D1AD6C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G. Griziotti</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w:t>
      </w:r>
      <w:proofErr w:type="spellStart"/>
      <w:r w:rsidRPr="0053175F">
        <w:rPr>
          <w:rFonts w:ascii="Times New Roman" w:hAnsi="Times New Roman" w:cs="Times New Roman"/>
          <w:i/>
          <w:iCs/>
          <w:sz w:val="28"/>
          <w:szCs w:val="28"/>
        </w:rPr>
        <w:t>Neurocapitalismo</w:t>
      </w:r>
      <w:proofErr w:type="spellEnd"/>
      <w:r w:rsidRPr="0053175F">
        <w:rPr>
          <w:rFonts w:ascii="Times New Roman" w:hAnsi="Times New Roman" w:cs="Times New Roman"/>
          <w:i/>
          <w:iCs/>
          <w:sz w:val="28"/>
          <w:szCs w:val="28"/>
        </w:rPr>
        <w:t>: mediazioni tecnologiche e linee di fuga</w:t>
      </w:r>
      <w:r w:rsidRPr="0053175F">
        <w:rPr>
          <w:rFonts w:ascii="Times New Roman" w:hAnsi="Times New Roman" w:cs="Times New Roman"/>
          <w:sz w:val="28"/>
          <w:szCs w:val="28"/>
        </w:rPr>
        <w:t>”, 2016.</w:t>
      </w:r>
    </w:p>
    <w:p w14:paraId="39ADA08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G. </w:t>
      </w:r>
      <w:proofErr w:type="spellStart"/>
      <w:r w:rsidRPr="0053175F">
        <w:rPr>
          <w:rFonts w:ascii="Times New Roman" w:hAnsi="Times New Roman" w:cs="Times New Roman"/>
          <w:smallCaps/>
          <w:sz w:val="28"/>
          <w:szCs w:val="28"/>
          <w:lang w:val="en-US"/>
        </w:rPr>
        <w:t>Hallevy</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The Criminal Liability of Artificial Intelligence Entities – from Science Fiction to Legal Social Control</w:t>
      </w:r>
      <w:r w:rsidRPr="0053175F">
        <w:rPr>
          <w:rFonts w:ascii="Times New Roman" w:hAnsi="Times New Roman" w:cs="Times New Roman"/>
          <w:sz w:val="28"/>
          <w:szCs w:val="28"/>
          <w:lang w:val="en-US"/>
        </w:rPr>
        <w:t xml:space="preserve">”, in </w:t>
      </w:r>
      <w:r w:rsidRPr="0053175F">
        <w:rPr>
          <w:rFonts w:ascii="Times New Roman" w:hAnsi="Times New Roman" w:cs="Times New Roman"/>
          <w:i/>
          <w:iCs/>
          <w:sz w:val="28"/>
          <w:szCs w:val="28"/>
          <w:lang w:val="en-US"/>
        </w:rPr>
        <w:t>Akron Intellectual Property Journal</w:t>
      </w:r>
      <w:r w:rsidRPr="0053175F">
        <w:rPr>
          <w:rFonts w:ascii="Times New Roman" w:hAnsi="Times New Roman" w:cs="Times New Roman"/>
          <w:sz w:val="28"/>
          <w:szCs w:val="28"/>
          <w:lang w:val="en-US"/>
        </w:rPr>
        <w:t>, 2010</w:t>
      </w:r>
    </w:p>
    <w:p w14:paraId="54F3280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z w:val="28"/>
          <w:szCs w:val="28"/>
        </w:rPr>
        <w:t>A</w:t>
      </w:r>
      <w:r w:rsidRPr="0053175F">
        <w:rPr>
          <w:rFonts w:ascii="Times New Roman" w:hAnsi="Times New Roman" w:cs="Times New Roman"/>
          <w:smallCaps/>
          <w:sz w:val="28"/>
          <w:szCs w:val="28"/>
        </w:rPr>
        <w:t xml:space="preserve">. </w:t>
      </w:r>
      <w:proofErr w:type="spellStart"/>
      <w:r w:rsidRPr="0053175F">
        <w:rPr>
          <w:rFonts w:ascii="Times New Roman" w:hAnsi="Times New Roman" w:cs="Times New Roman"/>
          <w:smallCaps/>
          <w:sz w:val="28"/>
          <w:szCs w:val="28"/>
        </w:rPr>
        <w:t>Hodges</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Storia di un enigma. Vita di Alan </w:t>
      </w:r>
      <w:proofErr w:type="spellStart"/>
      <w:r w:rsidRPr="0053175F">
        <w:rPr>
          <w:rFonts w:ascii="Times New Roman" w:hAnsi="Times New Roman" w:cs="Times New Roman"/>
          <w:i/>
          <w:iCs/>
          <w:sz w:val="28"/>
          <w:szCs w:val="28"/>
        </w:rPr>
        <w:t>Turing</w:t>
      </w:r>
      <w:proofErr w:type="spellEnd"/>
      <w:r w:rsidRPr="0053175F">
        <w:rPr>
          <w:rFonts w:ascii="Times New Roman" w:hAnsi="Times New Roman" w:cs="Times New Roman"/>
          <w:i/>
          <w:iCs/>
          <w:sz w:val="28"/>
          <w:szCs w:val="28"/>
        </w:rPr>
        <w:t xml:space="preserve"> 1912-1954</w:t>
      </w:r>
      <w:r w:rsidRPr="0053175F">
        <w:rPr>
          <w:rFonts w:ascii="Times New Roman" w:hAnsi="Times New Roman" w:cs="Times New Roman"/>
          <w:sz w:val="28"/>
          <w:szCs w:val="28"/>
        </w:rPr>
        <w:t xml:space="preserve">”, Bollati </w:t>
      </w:r>
      <w:proofErr w:type="spellStart"/>
      <w:r w:rsidRPr="0053175F">
        <w:rPr>
          <w:rFonts w:ascii="Times New Roman" w:hAnsi="Times New Roman" w:cs="Times New Roman"/>
          <w:sz w:val="28"/>
          <w:szCs w:val="28"/>
        </w:rPr>
        <w:t>Boringhieri</w:t>
      </w:r>
      <w:proofErr w:type="spellEnd"/>
      <w:r w:rsidRPr="0053175F">
        <w:rPr>
          <w:rFonts w:ascii="Times New Roman" w:hAnsi="Times New Roman" w:cs="Times New Roman"/>
          <w:sz w:val="28"/>
          <w:szCs w:val="28"/>
        </w:rPr>
        <w:t>, Torino, 2004.</w:t>
      </w:r>
    </w:p>
    <w:p w14:paraId="0F53E3CC"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eastAsia="Times New Roman" w:hAnsi="Times New Roman" w:cs="Times New Roman"/>
          <w:smallCaps/>
          <w:sz w:val="28"/>
          <w:szCs w:val="28"/>
        </w:rPr>
        <w:t>M. Iaselli</w:t>
      </w:r>
      <w:r w:rsidRPr="0053175F">
        <w:rPr>
          <w:rFonts w:ascii="Times New Roman" w:eastAsia="Times New Roman" w:hAnsi="Times New Roman" w:cs="Times New Roman"/>
          <w:sz w:val="28"/>
          <w:szCs w:val="28"/>
        </w:rPr>
        <w:t>, “</w:t>
      </w:r>
      <w:proofErr w:type="spellStart"/>
      <w:r w:rsidRPr="0053175F">
        <w:rPr>
          <w:rFonts w:ascii="Times New Roman" w:eastAsia="Times New Roman" w:hAnsi="Times New Roman" w:cs="Times New Roman"/>
          <w:i/>
          <w:sz w:val="28"/>
          <w:szCs w:val="28"/>
        </w:rPr>
        <w:t>Blockchain</w:t>
      </w:r>
      <w:proofErr w:type="spellEnd"/>
      <w:r w:rsidRPr="0053175F">
        <w:rPr>
          <w:rFonts w:ascii="Times New Roman" w:eastAsia="Times New Roman" w:hAnsi="Times New Roman" w:cs="Times New Roman"/>
          <w:i/>
          <w:sz w:val="28"/>
          <w:szCs w:val="28"/>
        </w:rPr>
        <w:t xml:space="preserve"> e privacy, bisogna lavorare ancora molto</w:t>
      </w:r>
      <w:r w:rsidRPr="0053175F">
        <w:rPr>
          <w:rFonts w:ascii="Times New Roman" w:eastAsia="Times New Roman" w:hAnsi="Times New Roman" w:cs="Times New Roman"/>
          <w:sz w:val="28"/>
          <w:szCs w:val="28"/>
        </w:rPr>
        <w:t xml:space="preserve">”, in </w:t>
      </w:r>
      <w:r w:rsidRPr="0053175F">
        <w:rPr>
          <w:rFonts w:ascii="Times New Roman" w:eastAsia="Times New Roman" w:hAnsi="Times New Roman" w:cs="Times New Roman"/>
          <w:i/>
          <w:iCs/>
          <w:sz w:val="28"/>
          <w:szCs w:val="28"/>
        </w:rPr>
        <w:t>federprivacy.org,</w:t>
      </w:r>
      <w:r w:rsidRPr="0053175F">
        <w:rPr>
          <w:rFonts w:ascii="Times New Roman" w:eastAsia="Times New Roman" w:hAnsi="Times New Roman" w:cs="Times New Roman"/>
          <w:sz w:val="28"/>
          <w:szCs w:val="28"/>
        </w:rPr>
        <w:t xml:space="preserve"> luglio 2020.</w:t>
      </w:r>
    </w:p>
    <w:p w14:paraId="2056CC9F"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hAnsi="Times New Roman" w:cs="Times New Roman"/>
          <w:smallCaps/>
          <w:sz w:val="28"/>
          <w:szCs w:val="28"/>
        </w:rPr>
        <w:t>M. Iaselli</w:t>
      </w:r>
      <w:r w:rsidRPr="0053175F">
        <w:rPr>
          <w:rFonts w:ascii="Times New Roman" w:hAnsi="Times New Roman" w:cs="Times New Roman"/>
          <w:sz w:val="28"/>
          <w:szCs w:val="28"/>
        </w:rPr>
        <w:t>, “</w:t>
      </w:r>
      <w:r w:rsidRPr="0053175F">
        <w:rPr>
          <w:rFonts w:ascii="Times New Roman" w:hAnsi="Times New Roman" w:cs="Times New Roman"/>
          <w:i/>
          <w:iCs/>
          <w:sz w:val="28"/>
          <w:szCs w:val="28"/>
        </w:rPr>
        <w:t>Consiglio di Stato: quando si può parlare di intelligenza artificiale? Palazzo Spada affronta una delicata questione tecnica sulla nozione di algoritmo, che assume notevole importanza anche per le necessarie conseguenze di carattere giuridico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altalex.it.</w:t>
      </w:r>
    </w:p>
    <w:p w14:paraId="3CF4BC7D"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eastAsia="Times New Roman" w:hAnsi="Times New Roman" w:cs="Times New Roman"/>
          <w:smallCaps/>
          <w:sz w:val="28"/>
          <w:szCs w:val="28"/>
        </w:rPr>
        <w:t>M. Iaselli</w:t>
      </w:r>
      <w:r w:rsidRPr="0053175F">
        <w:rPr>
          <w:rFonts w:ascii="Times New Roman" w:eastAsia="Times New Roman" w:hAnsi="Times New Roman" w:cs="Times New Roman"/>
          <w:sz w:val="28"/>
          <w:szCs w:val="28"/>
        </w:rPr>
        <w:t>,</w:t>
      </w:r>
      <w:r w:rsidRPr="0053175F">
        <w:rPr>
          <w:rFonts w:ascii="Times New Roman" w:eastAsia="Times New Roman" w:hAnsi="Times New Roman" w:cs="Times New Roman"/>
          <w:i/>
          <w:iCs/>
          <w:sz w:val="28"/>
          <w:szCs w:val="28"/>
        </w:rPr>
        <w:t xml:space="preserve"> “La raccomandata on line: disciplina normativa ed aspetti operativi”</w:t>
      </w:r>
      <w:r w:rsidRPr="0053175F">
        <w:rPr>
          <w:rFonts w:ascii="Times New Roman" w:eastAsia="Times New Roman" w:hAnsi="Times New Roman" w:cs="Times New Roman"/>
          <w:sz w:val="28"/>
          <w:szCs w:val="28"/>
        </w:rPr>
        <w:t xml:space="preserve">, in </w:t>
      </w:r>
      <w:r w:rsidRPr="0053175F">
        <w:rPr>
          <w:rFonts w:ascii="Times New Roman" w:eastAsia="Times New Roman" w:hAnsi="Times New Roman" w:cs="Times New Roman"/>
          <w:i/>
          <w:iCs/>
          <w:sz w:val="28"/>
          <w:szCs w:val="28"/>
        </w:rPr>
        <w:t>Diritto dell’Internet</w:t>
      </w:r>
      <w:r w:rsidRPr="0053175F">
        <w:rPr>
          <w:rFonts w:ascii="Times New Roman" w:eastAsia="Times New Roman" w:hAnsi="Times New Roman" w:cs="Times New Roman"/>
          <w:sz w:val="28"/>
          <w:szCs w:val="28"/>
        </w:rPr>
        <w:t>, n. 6, 2006.</w:t>
      </w:r>
    </w:p>
    <w:p w14:paraId="13EFE141"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hAnsi="Times New Roman" w:cs="Times New Roman"/>
          <w:sz w:val="28"/>
          <w:szCs w:val="28"/>
        </w:rPr>
        <w:t>A</w:t>
      </w:r>
      <w:r w:rsidRPr="0053175F">
        <w:rPr>
          <w:rFonts w:ascii="Times New Roman" w:hAnsi="Times New Roman" w:cs="Times New Roman"/>
          <w:smallCaps/>
          <w:sz w:val="28"/>
          <w:szCs w:val="28"/>
        </w:rPr>
        <w:t>. Ievolella</w:t>
      </w:r>
      <w:r w:rsidRPr="0053175F">
        <w:rPr>
          <w:rFonts w:ascii="Times New Roman" w:hAnsi="Times New Roman" w:cs="Times New Roman"/>
          <w:sz w:val="28"/>
          <w:szCs w:val="28"/>
        </w:rPr>
        <w:t>, “</w:t>
      </w:r>
      <w:r w:rsidRPr="0053175F">
        <w:rPr>
          <w:rFonts w:ascii="Times New Roman" w:hAnsi="Times New Roman" w:cs="Times New Roman"/>
          <w:i/>
          <w:iCs/>
          <w:sz w:val="28"/>
          <w:szCs w:val="28"/>
        </w:rPr>
        <w:t>Offeso con una e-mail inviata a lui e ad alcuni colleghi: è diffamazione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Diritto &amp; Giustizia</w:t>
      </w:r>
      <w:r w:rsidRPr="0053175F">
        <w:rPr>
          <w:rFonts w:ascii="Times New Roman" w:hAnsi="Times New Roman" w:cs="Times New Roman"/>
          <w:sz w:val="28"/>
          <w:szCs w:val="28"/>
        </w:rPr>
        <w:t>, fasc. 73, 2021.</w:t>
      </w:r>
    </w:p>
    <w:p w14:paraId="74A125E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L. </w:t>
      </w:r>
      <w:proofErr w:type="spellStart"/>
      <w:r w:rsidRPr="0053175F">
        <w:rPr>
          <w:rFonts w:ascii="Times New Roman" w:hAnsi="Times New Roman" w:cs="Times New Roman"/>
          <w:smallCaps/>
          <w:sz w:val="28"/>
          <w:szCs w:val="28"/>
        </w:rPr>
        <w:t>Imarisio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Il reato che non osa pronunciare il proprio nome. Reticenze e limiti nel c.d. disegno di legge Scalfarotto</w:t>
      </w:r>
      <w:r w:rsidRPr="0053175F">
        <w:rPr>
          <w:rFonts w:ascii="Times New Roman" w:hAnsi="Times New Roman" w:cs="Times New Roman"/>
          <w:sz w:val="28"/>
          <w:szCs w:val="28"/>
        </w:rPr>
        <w:t xml:space="preserve">”, in </w:t>
      </w:r>
      <w:proofErr w:type="spellStart"/>
      <w:r w:rsidRPr="0053175F">
        <w:rPr>
          <w:rFonts w:ascii="Times New Roman" w:hAnsi="Times New Roman" w:cs="Times New Roman"/>
          <w:i/>
          <w:iCs/>
          <w:sz w:val="28"/>
          <w:szCs w:val="28"/>
        </w:rPr>
        <w:t>GenIus</w:t>
      </w:r>
      <w:proofErr w:type="spellEnd"/>
      <w:r w:rsidRPr="0053175F">
        <w:rPr>
          <w:rFonts w:ascii="Times New Roman" w:hAnsi="Times New Roman" w:cs="Times New Roman"/>
          <w:sz w:val="28"/>
          <w:szCs w:val="28"/>
        </w:rPr>
        <w:t>, 2015.</w:t>
      </w:r>
    </w:p>
    <w:p w14:paraId="6538A81F"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G. </w:t>
      </w:r>
      <w:proofErr w:type="spellStart"/>
      <w:r w:rsidRPr="0053175F">
        <w:rPr>
          <w:rFonts w:ascii="Times New Roman" w:hAnsi="Times New Roman" w:cs="Times New Roman"/>
          <w:smallCaps/>
          <w:sz w:val="28"/>
          <w:szCs w:val="28"/>
        </w:rPr>
        <w:t>Iozzia</w:t>
      </w:r>
      <w:proofErr w:type="spellEnd"/>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Influencer</w:t>
      </w:r>
      <w:proofErr w:type="spellEnd"/>
      <w:r w:rsidRPr="0053175F">
        <w:rPr>
          <w:rFonts w:ascii="Times New Roman" w:hAnsi="Times New Roman" w:cs="Times New Roman"/>
          <w:i/>
          <w:iCs/>
          <w:sz w:val="28"/>
          <w:szCs w:val="28"/>
        </w:rPr>
        <w:t xml:space="preserve"> marketing e quadro normativo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altalex.com</w:t>
      </w:r>
      <w:r w:rsidRPr="0053175F">
        <w:rPr>
          <w:rFonts w:ascii="Times New Roman" w:hAnsi="Times New Roman" w:cs="Times New Roman"/>
          <w:sz w:val="28"/>
          <w:szCs w:val="28"/>
        </w:rPr>
        <w:t>, 17 luglio 2019.</w:t>
      </w:r>
    </w:p>
    <w:p w14:paraId="4996A1E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N. Irti</w:t>
      </w:r>
      <w:r w:rsidRPr="0053175F">
        <w:rPr>
          <w:rFonts w:ascii="Times New Roman" w:hAnsi="Times New Roman" w:cs="Times New Roman"/>
          <w:sz w:val="28"/>
          <w:szCs w:val="28"/>
        </w:rPr>
        <w:t>, “</w:t>
      </w:r>
      <w:r w:rsidRPr="0053175F">
        <w:rPr>
          <w:rFonts w:ascii="Times New Roman" w:hAnsi="Times New Roman" w:cs="Times New Roman"/>
          <w:i/>
          <w:iCs/>
          <w:sz w:val="28"/>
          <w:szCs w:val="28"/>
        </w:rPr>
        <w:t>Il diritto nell’età della tecnica</w:t>
      </w:r>
      <w:r w:rsidRPr="0053175F">
        <w:rPr>
          <w:rFonts w:ascii="Times New Roman" w:hAnsi="Times New Roman" w:cs="Times New Roman"/>
          <w:sz w:val="28"/>
          <w:szCs w:val="28"/>
        </w:rPr>
        <w:t>”, Editoriale Scientifica, 2007.</w:t>
      </w:r>
    </w:p>
    <w:p w14:paraId="32CED3D2"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N. Irti</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Norme e fatti. Saggi di teoria generale del diritto”, </w:t>
      </w:r>
      <w:r w:rsidRPr="0053175F">
        <w:rPr>
          <w:rFonts w:ascii="Times New Roman" w:hAnsi="Times New Roman" w:cs="Times New Roman"/>
          <w:sz w:val="28"/>
          <w:szCs w:val="28"/>
        </w:rPr>
        <w:t>Milano, 1984.</w:t>
      </w:r>
    </w:p>
    <w:p w14:paraId="43A0E72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R. </w:t>
      </w:r>
      <w:proofErr w:type="spellStart"/>
      <w:r w:rsidRPr="0053175F">
        <w:rPr>
          <w:rFonts w:ascii="Times New Roman" w:hAnsi="Times New Roman" w:cs="Times New Roman"/>
          <w:smallCaps/>
          <w:sz w:val="28"/>
          <w:szCs w:val="28"/>
        </w:rPr>
        <w:t>Jacchia</w:t>
      </w:r>
      <w:proofErr w:type="spellEnd"/>
      <w:r w:rsidRPr="0053175F">
        <w:rPr>
          <w:rFonts w:ascii="Times New Roman" w:hAnsi="Times New Roman" w:cs="Times New Roman"/>
          <w:smallCaps/>
          <w:sz w:val="28"/>
          <w:szCs w:val="28"/>
        </w:rPr>
        <w:t>, M. Stillo</w:t>
      </w:r>
      <w:r w:rsidRPr="0053175F">
        <w:rPr>
          <w:rFonts w:ascii="Times New Roman" w:hAnsi="Times New Roman" w:cs="Times New Roman"/>
          <w:sz w:val="28"/>
          <w:szCs w:val="28"/>
        </w:rPr>
        <w:t>, “</w:t>
      </w:r>
      <w:r w:rsidRPr="0053175F">
        <w:rPr>
          <w:rFonts w:ascii="Times New Roman" w:hAnsi="Times New Roman" w:cs="Times New Roman"/>
          <w:i/>
          <w:iCs/>
          <w:sz w:val="28"/>
          <w:szCs w:val="28"/>
        </w:rPr>
        <w:t>Codice Ue delle comunicazioni elettroniche: la nuova normativa per un mercato più accessibile e sicuro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agendadigitale.eu</w:t>
      </w:r>
      <w:r w:rsidRPr="0053175F">
        <w:rPr>
          <w:rFonts w:ascii="Times New Roman" w:hAnsi="Times New Roman" w:cs="Times New Roman"/>
          <w:sz w:val="28"/>
          <w:szCs w:val="28"/>
        </w:rPr>
        <w:t>, 30 aprile 2021.</w:t>
      </w:r>
    </w:p>
    <w:p w14:paraId="0ED057B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P. </w:t>
      </w:r>
      <w:proofErr w:type="spellStart"/>
      <w:r w:rsidRPr="0053175F">
        <w:rPr>
          <w:rFonts w:ascii="Times New Roman" w:hAnsi="Times New Roman" w:cs="Times New Roman"/>
          <w:smallCaps/>
          <w:sz w:val="28"/>
          <w:szCs w:val="28"/>
        </w:rPr>
        <w:t>Jeammet</w:t>
      </w:r>
      <w:proofErr w:type="spellEnd"/>
      <w:r w:rsidRPr="0053175F">
        <w:rPr>
          <w:rFonts w:ascii="Times New Roman" w:hAnsi="Times New Roman" w:cs="Times New Roman"/>
          <w:smallCaps/>
          <w:sz w:val="28"/>
          <w:szCs w:val="28"/>
        </w:rPr>
        <w:t>,</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Psicopatologia dell’adolescenza</w:t>
      </w:r>
      <w:r w:rsidRPr="0053175F">
        <w:rPr>
          <w:rFonts w:ascii="Times New Roman" w:hAnsi="Times New Roman" w:cs="Times New Roman"/>
          <w:sz w:val="28"/>
          <w:szCs w:val="28"/>
        </w:rPr>
        <w:t>”, 2019.</w:t>
      </w:r>
    </w:p>
    <w:p w14:paraId="69C13F06"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D. </w:t>
      </w:r>
      <w:proofErr w:type="spellStart"/>
      <w:r w:rsidRPr="0053175F">
        <w:rPr>
          <w:rFonts w:ascii="Times New Roman" w:hAnsi="Times New Roman" w:cs="Times New Roman"/>
          <w:smallCaps/>
          <w:sz w:val="28"/>
          <w:szCs w:val="28"/>
        </w:rPr>
        <w:t>Kahneman</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Pensieri lenti e veloci</w:t>
      </w:r>
      <w:r w:rsidRPr="0053175F">
        <w:rPr>
          <w:rFonts w:ascii="Times New Roman" w:hAnsi="Times New Roman" w:cs="Times New Roman"/>
          <w:sz w:val="28"/>
          <w:szCs w:val="28"/>
        </w:rPr>
        <w:t>”, 2012.</w:t>
      </w:r>
    </w:p>
    <w:p w14:paraId="359BB09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lastRenderedPageBreak/>
        <w:t>M. Kamal – W. Newman</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Revenge Pornography: Mental Health Implications and Related Legislation</w:t>
      </w:r>
      <w:r w:rsidRPr="0053175F">
        <w:rPr>
          <w:rFonts w:ascii="Times New Roman" w:hAnsi="Times New Roman" w:cs="Times New Roman"/>
          <w:sz w:val="28"/>
          <w:szCs w:val="28"/>
          <w:lang w:val="en-US"/>
        </w:rPr>
        <w:t xml:space="preserve">”, in </w:t>
      </w:r>
      <w:r w:rsidRPr="0053175F">
        <w:rPr>
          <w:rFonts w:ascii="Times New Roman" w:hAnsi="Times New Roman" w:cs="Times New Roman"/>
          <w:i/>
          <w:iCs/>
          <w:sz w:val="28"/>
          <w:szCs w:val="28"/>
          <w:lang w:val="en-US"/>
        </w:rPr>
        <w:t>The Journal of American Academy of Psychiatry and the Law,</w:t>
      </w:r>
      <w:r w:rsidRPr="0053175F">
        <w:rPr>
          <w:rFonts w:ascii="Times New Roman" w:hAnsi="Times New Roman" w:cs="Times New Roman"/>
          <w:sz w:val="28"/>
          <w:szCs w:val="28"/>
          <w:lang w:val="en-US"/>
        </w:rPr>
        <w:t xml:space="preserve"> 2016.</w:t>
      </w:r>
    </w:p>
    <w:p w14:paraId="30D2111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E. R. Kandel</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Principi di neuroscienze</w:t>
      </w:r>
      <w:r w:rsidRPr="0053175F">
        <w:rPr>
          <w:rFonts w:ascii="Times New Roman" w:hAnsi="Times New Roman" w:cs="Times New Roman"/>
          <w:sz w:val="28"/>
          <w:szCs w:val="28"/>
        </w:rPr>
        <w:t>”, 2015.</w:t>
      </w:r>
    </w:p>
    <w:p w14:paraId="05E61B03"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I. Kant</w:t>
      </w:r>
      <w:r w:rsidRPr="0053175F">
        <w:rPr>
          <w:rFonts w:ascii="Times New Roman" w:hAnsi="Times New Roman" w:cs="Times New Roman"/>
          <w:sz w:val="28"/>
          <w:szCs w:val="28"/>
        </w:rPr>
        <w:t>, “</w:t>
      </w:r>
      <w:r w:rsidRPr="0053175F">
        <w:rPr>
          <w:rFonts w:ascii="Times New Roman" w:hAnsi="Times New Roman" w:cs="Times New Roman"/>
          <w:i/>
          <w:iCs/>
          <w:sz w:val="28"/>
          <w:szCs w:val="28"/>
        </w:rPr>
        <w:t>Principi metafisici della dottrina del diritto</w:t>
      </w:r>
      <w:r w:rsidRPr="0053175F">
        <w:rPr>
          <w:rFonts w:ascii="Times New Roman" w:hAnsi="Times New Roman" w:cs="Times New Roman"/>
          <w:sz w:val="28"/>
          <w:szCs w:val="28"/>
        </w:rPr>
        <w:t>”, 1797.</w:t>
      </w:r>
    </w:p>
    <w:p w14:paraId="67A7076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D. Keats Citron</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Technological Due Process</w:t>
      </w:r>
      <w:r w:rsidRPr="0053175F">
        <w:rPr>
          <w:rFonts w:ascii="Times New Roman" w:hAnsi="Times New Roman" w:cs="Times New Roman"/>
          <w:sz w:val="28"/>
          <w:szCs w:val="28"/>
          <w:lang w:val="en-US"/>
        </w:rPr>
        <w:t>”, 85, Wash. Un.L.Rev.1249.</w:t>
      </w:r>
    </w:p>
    <w:p w14:paraId="0DD3AE92"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D. Keats Citron &amp; F. Pasquale</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The Scored Society: Due Process for Automated Predictions</w:t>
      </w:r>
      <w:r w:rsidRPr="0053175F">
        <w:rPr>
          <w:rFonts w:ascii="Times New Roman" w:hAnsi="Times New Roman" w:cs="Times New Roman"/>
          <w:sz w:val="28"/>
          <w:szCs w:val="28"/>
          <w:lang w:val="en-US"/>
        </w:rPr>
        <w:t>”,</w:t>
      </w:r>
      <w:r w:rsidRPr="0053175F">
        <w:rPr>
          <w:rFonts w:ascii="Times New Roman" w:hAnsi="Times New Roman" w:cs="Times New Roman"/>
          <w:i/>
          <w:iCs/>
          <w:sz w:val="28"/>
          <w:szCs w:val="28"/>
          <w:lang w:val="en-US"/>
        </w:rPr>
        <w:t xml:space="preserve"> </w:t>
      </w:r>
      <w:r w:rsidRPr="0053175F">
        <w:rPr>
          <w:rFonts w:ascii="Times New Roman" w:hAnsi="Times New Roman" w:cs="Times New Roman"/>
          <w:sz w:val="28"/>
          <w:szCs w:val="28"/>
          <w:lang w:val="en-US"/>
        </w:rPr>
        <w:t>89 WASH.L.REV. 1 (2014).</w:t>
      </w:r>
    </w:p>
    <w:p w14:paraId="0CDCDAB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T. King, N. Aggarwal, M. Taddeo, L. </w:t>
      </w:r>
      <w:proofErr w:type="spellStart"/>
      <w:r w:rsidRPr="0053175F">
        <w:rPr>
          <w:rFonts w:ascii="Times New Roman" w:hAnsi="Times New Roman" w:cs="Times New Roman"/>
          <w:smallCaps/>
          <w:sz w:val="28"/>
          <w:szCs w:val="28"/>
          <w:lang w:val="en-US"/>
        </w:rPr>
        <w:t>Floridi</w:t>
      </w:r>
      <w:proofErr w:type="spellEnd"/>
      <w:r w:rsidRPr="0053175F">
        <w:rPr>
          <w:rFonts w:ascii="Times New Roman" w:hAnsi="Times New Roman" w:cs="Times New Roman"/>
          <w:smallCaps/>
          <w:sz w:val="28"/>
          <w:szCs w:val="28"/>
          <w:lang w:val="en-US"/>
        </w:rPr>
        <w:t>,</w:t>
      </w:r>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Artificial Intelligence Crime: An Interdisciplinary Analysis of Foreseeable Threats and Solutions</w:t>
      </w:r>
      <w:r w:rsidRPr="0053175F">
        <w:rPr>
          <w:rFonts w:ascii="Times New Roman" w:hAnsi="Times New Roman" w:cs="Times New Roman"/>
          <w:sz w:val="28"/>
          <w:szCs w:val="28"/>
          <w:lang w:val="en-US"/>
        </w:rPr>
        <w:t xml:space="preserve">”, in </w:t>
      </w:r>
      <w:r w:rsidRPr="0053175F">
        <w:rPr>
          <w:rFonts w:ascii="Times New Roman" w:hAnsi="Times New Roman" w:cs="Times New Roman"/>
          <w:i/>
          <w:iCs/>
          <w:sz w:val="28"/>
          <w:szCs w:val="28"/>
          <w:lang w:val="en-US"/>
        </w:rPr>
        <w:t>Science and Engineering Ethics</w:t>
      </w:r>
      <w:r w:rsidRPr="0053175F">
        <w:rPr>
          <w:rFonts w:ascii="Times New Roman" w:hAnsi="Times New Roman" w:cs="Times New Roman"/>
          <w:sz w:val="28"/>
          <w:szCs w:val="28"/>
          <w:lang w:val="en-US"/>
        </w:rPr>
        <w:t>, 2019.</w:t>
      </w:r>
    </w:p>
    <w:p w14:paraId="0FBEDFB2"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z w:val="28"/>
          <w:szCs w:val="28"/>
          <w:lang w:val="en-US"/>
        </w:rPr>
        <w:t>H</w:t>
      </w:r>
      <w:r w:rsidRPr="0053175F">
        <w:rPr>
          <w:rFonts w:ascii="Times New Roman" w:hAnsi="Times New Roman" w:cs="Times New Roman"/>
          <w:smallCaps/>
          <w:sz w:val="28"/>
          <w:szCs w:val="28"/>
          <w:lang w:val="en-US"/>
        </w:rPr>
        <w:t xml:space="preserve">. A. Kissinger, E. Schmidt, D. </w:t>
      </w:r>
      <w:proofErr w:type="spellStart"/>
      <w:r w:rsidRPr="0053175F">
        <w:rPr>
          <w:rFonts w:ascii="Times New Roman" w:hAnsi="Times New Roman" w:cs="Times New Roman"/>
          <w:smallCaps/>
          <w:sz w:val="28"/>
          <w:szCs w:val="28"/>
          <w:lang w:val="en-US"/>
        </w:rPr>
        <w:t>Huttenlocher</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The Age of AI: And Our Human Future</w:t>
      </w:r>
      <w:r w:rsidRPr="0053175F">
        <w:rPr>
          <w:rFonts w:ascii="Times New Roman" w:hAnsi="Times New Roman" w:cs="Times New Roman"/>
          <w:sz w:val="28"/>
          <w:szCs w:val="28"/>
          <w:lang w:val="en-US"/>
        </w:rPr>
        <w:t>”, 2021.</w:t>
      </w:r>
    </w:p>
    <w:p w14:paraId="28985AE6"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J. Kroll</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Accountable Algorithms</w:t>
      </w:r>
      <w:r w:rsidRPr="0053175F">
        <w:rPr>
          <w:rFonts w:ascii="Times New Roman" w:hAnsi="Times New Roman" w:cs="Times New Roman"/>
          <w:sz w:val="28"/>
          <w:szCs w:val="28"/>
          <w:lang w:val="en-US"/>
        </w:rPr>
        <w:t xml:space="preserve">”, 165 </w:t>
      </w:r>
      <w:proofErr w:type="spellStart"/>
      <w:r w:rsidRPr="0053175F">
        <w:rPr>
          <w:rFonts w:ascii="Times New Roman" w:hAnsi="Times New Roman" w:cs="Times New Roman"/>
          <w:sz w:val="28"/>
          <w:szCs w:val="28"/>
          <w:lang w:val="en-US"/>
        </w:rPr>
        <w:t>Univ.Penn.L.Rev</w:t>
      </w:r>
      <w:proofErr w:type="spellEnd"/>
      <w:r w:rsidRPr="0053175F">
        <w:rPr>
          <w:rFonts w:ascii="Times New Roman" w:hAnsi="Times New Roman" w:cs="Times New Roman"/>
          <w:sz w:val="28"/>
          <w:szCs w:val="28"/>
          <w:lang w:val="en-US"/>
        </w:rPr>
        <w:t>. 2017.</w:t>
      </w:r>
    </w:p>
    <w:p w14:paraId="77E3FBF9"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M. Lancini,</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Abbiamo bisogno di genitori autorevoli. Aiutare gli adolescenti a diventare adulti</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Mondadori, 2017.</w:t>
      </w:r>
    </w:p>
    <w:p w14:paraId="0046782C"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M. Lancini, </w:t>
      </w:r>
      <w:r w:rsidRPr="0053175F">
        <w:rPr>
          <w:rFonts w:ascii="Times New Roman" w:hAnsi="Times New Roman" w:cs="Times New Roman"/>
          <w:sz w:val="28"/>
          <w:szCs w:val="28"/>
        </w:rPr>
        <w:t>“</w:t>
      </w:r>
      <w:r w:rsidRPr="0053175F">
        <w:rPr>
          <w:rFonts w:ascii="Times New Roman" w:hAnsi="Times New Roman" w:cs="Times New Roman"/>
          <w:i/>
          <w:iCs/>
          <w:sz w:val="28"/>
          <w:szCs w:val="28"/>
        </w:rPr>
        <w:t>Adolescenti navigati, Come sostenere la crescita dei nativi digitali</w:t>
      </w:r>
      <w:r w:rsidRPr="0053175F">
        <w:rPr>
          <w:rFonts w:ascii="Times New Roman" w:hAnsi="Times New Roman" w:cs="Times New Roman"/>
          <w:sz w:val="28"/>
          <w:szCs w:val="28"/>
        </w:rPr>
        <w:t xml:space="preserve">”, </w:t>
      </w:r>
      <w:proofErr w:type="spellStart"/>
      <w:r w:rsidRPr="0053175F">
        <w:rPr>
          <w:rFonts w:ascii="Times New Roman" w:hAnsi="Times New Roman" w:cs="Times New Roman"/>
          <w:sz w:val="28"/>
          <w:szCs w:val="28"/>
        </w:rPr>
        <w:t>Erickson</w:t>
      </w:r>
      <w:proofErr w:type="spellEnd"/>
      <w:r w:rsidRPr="0053175F">
        <w:rPr>
          <w:rFonts w:ascii="Times New Roman" w:hAnsi="Times New Roman" w:cs="Times New Roman"/>
          <w:sz w:val="28"/>
          <w:szCs w:val="28"/>
        </w:rPr>
        <w:t>, 2015.</w:t>
      </w:r>
    </w:p>
    <w:p w14:paraId="2A7CD513"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M. Lancini,</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Cosa serve ai nostri ragazzi. I nuovi adolescenti spiegati ai genitori, agli insegnanti, agli adulti</w:t>
      </w:r>
      <w:r w:rsidRPr="0053175F">
        <w:rPr>
          <w:rFonts w:ascii="Times New Roman" w:hAnsi="Times New Roman" w:cs="Times New Roman"/>
          <w:sz w:val="28"/>
          <w:szCs w:val="28"/>
        </w:rPr>
        <w:t>”, Utet, 2020.</w:t>
      </w:r>
    </w:p>
    <w:p w14:paraId="1207106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M. Lancini,</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 xml:space="preserve">Il ritiro sociale negli adolescenti. La solitudine di una generazione </w:t>
      </w:r>
      <w:proofErr w:type="spellStart"/>
      <w:r w:rsidRPr="0053175F">
        <w:rPr>
          <w:rFonts w:ascii="Times New Roman" w:hAnsi="Times New Roman" w:cs="Times New Roman"/>
          <w:i/>
          <w:iCs/>
          <w:sz w:val="28"/>
          <w:szCs w:val="28"/>
        </w:rPr>
        <w:t>iperconnessa</w:t>
      </w:r>
      <w:proofErr w:type="spellEnd"/>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Raffaello Cortina, 2019.</w:t>
      </w:r>
    </w:p>
    <w:p w14:paraId="340BE5E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E. Latifah, A. H. </w:t>
      </w:r>
      <w:proofErr w:type="spellStart"/>
      <w:r w:rsidRPr="0053175F">
        <w:rPr>
          <w:rFonts w:ascii="Times New Roman" w:hAnsi="Times New Roman" w:cs="Times New Roman"/>
          <w:smallCaps/>
          <w:sz w:val="28"/>
          <w:szCs w:val="28"/>
          <w:lang w:val="en-US"/>
        </w:rPr>
        <w:t>Bajrektarevic</w:t>
      </w:r>
      <w:proofErr w:type="spellEnd"/>
      <w:r w:rsidRPr="0053175F">
        <w:rPr>
          <w:rFonts w:ascii="Times New Roman" w:hAnsi="Times New Roman" w:cs="Times New Roman"/>
          <w:smallCaps/>
          <w:sz w:val="28"/>
          <w:szCs w:val="28"/>
          <w:lang w:val="en-US"/>
        </w:rPr>
        <w:t xml:space="preserve">, M. N. </w:t>
      </w:r>
      <w:proofErr w:type="spellStart"/>
      <w:r w:rsidRPr="0053175F">
        <w:rPr>
          <w:rFonts w:ascii="Times New Roman" w:hAnsi="Times New Roman" w:cs="Times New Roman"/>
          <w:smallCaps/>
          <w:sz w:val="28"/>
          <w:szCs w:val="28"/>
          <w:lang w:val="en-US"/>
        </w:rPr>
        <w:t>Imanullah</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Digital Justice in Online Dispute Resolution: The Shifting from Traditional to the New Generation of Dispute Resolution</w:t>
      </w:r>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 xml:space="preserve">in </w:t>
      </w:r>
      <w:proofErr w:type="spellStart"/>
      <w:r w:rsidRPr="0053175F">
        <w:rPr>
          <w:rFonts w:ascii="Times New Roman" w:hAnsi="Times New Roman" w:cs="Times New Roman"/>
          <w:i/>
          <w:iCs/>
          <w:sz w:val="28"/>
          <w:szCs w:val="28"/>
          <w:lang w:val="en-US"/>
        </w:rPr>
        <w:t>Brawijaya</w:t>
      </w:r>
      <w:proofErr w:type="spellEnd"/>
      <w:r w:rsidRPr="0053175F">
        <w:rPr>
          <w:rFonts w:ascii="Times New Roman" w:hAnsi="Times New Roman" w:cs="Times New Roman"/>
          <w:i/>
          <w:iCs/>
          <w:sz w:val="28"/>
          <w:szCs w:val="28"/>
          <w:lang w:val="en-US"/>
        </w:rPr>
        <w:t xml:space="preserve"> Law Journal</w:t>
      </w:r>
      <w:r w:rsidRPr="0053175F">
        <w:rPr>
          <w:rFonts w:ascii="Times New Roman" w:hAnsi="Times New Roman" w:cs="Times New Roman"/>
          <w:sz w:val="28"/>
          <w:szCs w:val="28"/>
          <w:lang w:val="en-US"/>
        </w:rPr>
        <w:t xml:space="preserve"> – </w:t>
      </w:r>
      <w:r w:rsidRPr="0053175F">
        <w:rPr>
          <w:rFonts w:ascii="Times New Roman" w:hAnsi="Times New Roman" w:cs="Times New Roman"/>
          <w:i/>
          <w:iCs/>
          <w:sz w:val="28"/>
          <w:szCs w:val="28"/>
          <w:lang w:val="en-US"/>
        </w:rPr>
        <w:t>Journal of Legal Studies</w:t>
      </w:r>
      <w:r w:rsidRPr="0053175F">
        <w:rPr>
          <w:rFonts w:ascii="Times New Roman" w:hAnsi="Times New Roman" w:cs="Times New Roman"/>
          <w:sz w:val="28"/>
          <w:szCs w:val="28"/>
          <w:lang w:val="en-US"/>
        </w:rPr>
        <w:t xml:space="preserve">, vol. 6, </w:t>
      </w:r>
      <w:proofErr w:type="spellStart"/>
      <w:r w:rsidRPr="0053175F">
        <w:rPr>
          <w:rFonts w:ascii="Times New Roman" w:hAnsi="Times New Roman" w:cs="Times New Roman"/>
          <w:sz w:val="28"/>
          <w:szCs w:val="28"/>
          <w:lang w:val="en-US"/>
        </w:rPr>
        <w:t>aprile</w:t>
      </w:r>
      <w:proofErr w:type="spellEnd"/>
      <w:r w:rsidRPr="0053175F">
        <w:rPr>
          <w:rFonts w:ascii="Times New Roman" w:hAnsi="Times New Roman" w:cs="Times New Roman"/>
          <w:sz w:val="28"/>
          <w:szCs w:val="28"/>
          <w:lang w:val="en-US"/>
        </w:rPr>
        <w:t xml:space="preserve"> 2019.</w:t>
      </w:r>
    </w:p>
    <w:p w14:paraId="477F9D2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A. Lavazza, L. </w:t>
      </w:r>
      <w:proofErr w:type="spellStart"/>
      <w:r w:rsidRPr="0053175F">
        <w:rPr>
          <w:rFonts w:ascii="Times New Roman" w:hAnsi="Times New Roman" w:cs="Times New Roman"/>
          <w:smallCaps/>
          <w:sz w:val="28"/>
          <w:szCs w:val="28"/>
        </w:rPr>
        <w:t>Sammicheli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Il delitto del cervello. La mente tra scienza e diritto</w:t>
      </w:r>
      <w:r w:rsidRPr="0053175F">
        <w:rPr>
          <w:rFonts w:ascii="Times New Roman" w:hAnsi="Times New Roman" w:cs="Times New Roman"/>
          <w:sz w:val="28"/>
          <w:szCs w:val="28"/>
        </w:rPr>
        <w:t>”, 2012.</w:t>
      </w:r>
    </w:p>
    <w:p w14:paraId="05BC6033"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F. M. Lawrence</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Punishing Hate. Bias Crimes under American Law</w:t>
      </w:r>
      <w:r w:rsidRPr="0053175F">
        <w:rPr>
          <w:rFonts w:ascii="Times New Roman" w:hAnsi="Times New Roman" w:cs="Times New Roman"/>
          <w:sz w:val="28"/>
          <w:szCs w:val="28"/>
          <w:lang w:val="en-US"/>
        </w:rPr>
        <w:t>”, Cambridge, 1999.</w:t>
      </w:r>
    </w:p>
    <w:p w14:paraId="26C32A2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lastRenderedPageBreak/>
        <w:t>D. Leavitt</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L’uomo che sapeva troppo. Alan </w:t>
      </w:r>
      <w:proofErr w:type="spellStart"/>
      <w:r w:rsidRPr="0053175F">
        <w:rPr>
          <w:rFonts w:ascii="Times New Roman" w:hAnsi="Times New Roman" w:cs="Times New Roman"/>
          <w:i/>
          <w:iCs/>
          <w:sz w:val="28"/>
          <w:szCs w:val="28"/>
        </w:rPr>
        <w:t>Turing</w:t>
      </w:r>
      <w:proofErr w:type="spellEnd"/>
      <w:r w:rsidRPr="0053175F">
        <w:rPr>
          <w:rFonts w:ascii="Times New Roman" w:hAnsi="Times New Roman" w:cs="Times New Roman"/>
          <w:i/>
          <w:iCs/>
          <w:sz w:val="28"/>
          <w:szCs w:val="28"/>
        </w:rPr>
        <w:t xml:space="preserve"> e l’invenzione del computer</w:t>
      </w:r>
      <w:r w:rsidRPr="0053175F">
        <w:rPr>
          <w:rFonts w:ascii="Times New Roman" w:hAnsi="Times New Roman" w:cs="Times New Roman"/>
          <w:sz w:val="28"/>
          <w:szCs w:val="28"/>
        </w:rPr>
        <w:t>”, La Biblioteca delle Scienze, Milano, 2009.</w:t>
      </w:r>
    </w:p>
    <w:p w14:paraId="283487F6"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F. Ledda</w:t>
      </w:r>
      <w:r w:rsidRPr="0053175F">
        <w:rPr>
          <w:rFonts w:ascii="Times New Roman" w:hAnsi="Times New Roman" w:cs="Times New Roman"/>
          <w:sz w:val="28"/>
          <w:szCs w:val="28"/>
        </w:rPr>
        <w:t>, “</w:t>
      </w:r>
      <w:r w:rsidRPr="0053175F">
        <w:rPr>
          <w:rFonts w:ascii="Times New Roman" w:hAnsi="Times New Roman" w:cs="Times New Roman"/>
          <w:i/>
          <w:iCs/>
          <w:sz w:val="28"/>
          <w:szCs w:val="28"/>
        </w:rPr>
        <w:t>Potere, tecnica e sindacato giudiziario</w:t>
      </w:r>
      <w:r w:rsidRPr="0053175F">
        <w:rPr>
          <w:rFonts w:ascii="Times New Roman" w:hAnsi="Times New Roman" w:cs="Times New Roman"/>
          <w:sz w:val="28"/>
          <w:szCs w:val="28"/>
        </w:rPr>
        <w:t>”, in</w:t>
      </w:r>
      <w:r w:rsidRPr="0053175F">
        <w:rPr>
          <w:rFonts w:ascii="Times New Roman" w:hAnsi="Times New Roman" w:cs="Times New Roman"/>
          <w:i/>
          <w:iCs/>
          <w:sz w:val="28"/>
          <w:szCs w:val="28"/>
        </w:rPr>
        <w:t xml:space="preserve"> “Studi in memoria di V. Bachelet</w:t>
      </w:r>
      <w:r w:rsidRPr="0053175F">
        <w:rPr>
          <w:rFonts w:ascii="Times New Roman" w:hAnsi="Times New Roman" w:cs="Times New Roman"/>
          <w:sz w:val="28"/>
          <w:szCs w:val="28"/>
        </w:rPr>
        <w:t>”, Milano, 1987.</w:t>
      </w:r>
    </w:p>
    <w:p w14:paraId="0250BCE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G. Leganza</w:t>
      </w:r>
      <w:r w:rsidRPr="0053175F">
        <w:rPr>
          <w:rFonts w:ascii="Times New Roman" w:hAnsi="Times New Roman" w:cs="Times New Roman"/>
          <w:sz w:val="28"/>
          <w:szCs w:val="28"/>
        </w:rPr>
        <w:t>, “</w:t>
      </w:r>
      <w:r w:rsidRPr="0053175F">
        <w:rPr>
          <w:rFonts w:ascii="Times New Roman" w:hAnsi="Times New Roman" w:cs="Times New Roman"/>
          <w:i/>
          <w:iCs/>
          <w:sz w:val="28"/>
          <w:szCs w:val="28"/>
        </w:rPr>
        <w:t>Luciano Floridi ci spiega cosa c’è di antico nell’intelligenza artificiale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IlFoglio.it.</w:t>
      </w:r>
    </w:p>
    <w:p w14:paraId="6E6B261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L. Lessig</w:t>
      </w:r>
      <w:r w:rsidRPr="0053175F">
        <w:rPr>
          <w:rFonts w:ascii="Times New Roman" w:hAnsi="Times New Roman" w:cs="Times New Roman"/>
          <w:sz w:val="28"/>
          <w:szCs w:val="28"/>
          <w:lang w:val="en-US"/>
        </w:rPr>
        <w:t>, “</w:t>
      </w:r>
      <w:proofErr w:type="spellStart"/>
      <w:r w:rsidRPr="0053175F">
        <w:rPr>
          <w:rFonts w:ascii="Times New Roman" w:hAnsi="Times New Roman" w:cs="Times New Roman"/>
          <w:i/>
          <w:iCs/>
          <w:sz w:val="28"/>
          <w:szCs w:val="28"/>
          <w:lang w:val="en-US"/>
        </w:rPr>
        <w:t>Code.Version</w:t>
      </w:r>
      <w:proofErr w:type="spellEnd"/>
      <w:r w:rsidRPr="0053175F">
        <w:rPr>
          <w:rFonts w:ascii="Times New Roman" w:hAnsi="Times New Roman" w:cs="Times New Roman"/>
          <w:i/>
          <w:iCs/>
          <w:sz w:val="28"/>
          <w:szCs w:val="28"/>
          <w:lang w:val="en-US"/>
        </w:rPr>
        <w:t xml:space="preserve"> 2.0</w:t>
      </w:r>
      <w:r w:rsidRPr="0053175F">
        <w:rPr>
          <w:rFonts w:ascii="Times New Roman" w:hAnsi="Times New Roman" w:cs="Times New Roman"/>
          <w:sz w:val="28"/>
          <w:szCs w:val="28"/>
          <w:lang w:val="en-US"/>
        </w:rPr>
        <w:t>”</w:t>
      </w:r>
      <w:r w:rsidRPr="0053175F">
        <w:rPr>
          <w:rFonts w:ascii="Times New Roman" w:hAnsi="Times New Roman" w:cs="Times New Roman"/>
          <w:i/>
          <w:iCs/>
          <w:sz w:val="28"/>
          <w:szCs w:val="28"/>
          <w:lang w:val="en-US"/>
        </w:rPr>
        <w:t xml:space="preserve">, </w:t>
      </w:r>
      <w:r w:rsidRPr="0053175F">
        <w:rPr>
          <w:rFonts w:ascii="Times New Roman" w:hAnsi="Times New Roman" w:cs="Times New Roman"/>
          <w:sz w:val="28"/>
          <w:szCs w:val="28"/>
          <w:lang w:val="en-US"/>
        </w:rPr>
        <w:t>New York, 2006.</w:t>
      </w:r>
    </w:p>
    <w:p w14:paraId="1FA1CB4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I. Licata,</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Complessità. Un’introduzione semplice</w:t>
      </w:r>
      <w:r w:rsidRPr="0053175F">
        <w:rPr>
          <w:rFonts w:ascii="Times New Roman" w:hAnsi="Times New Roman" w:cs="Times New Roman"/>
          <w:sz w:val="28"/>
          <w:szCs w:val="28"/>
        </w:rPr>
        <w:t>”, Di Renzo Editore, 2018.</w:t>
      </w:r>
    </w:p>
    <w:p w14:paraId="1CFF4752"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I. Licata</w:t>
      </w:r>
      <w:r w:rsidRPr="0053175F">
        <w:rPr>
          <w:rFonts w:ascii="Times New Roman" w:hAnsi="Times New Roman" w:cs="Times New Roman"/>
          <w:sz w:val="28"/>
          <w:szCs w:val="28"/>
        </w:rPr>
        <w:t>, “</w:t>
      </w:r>
      <w:r w:rsidRPr="0053175F">
        <w:rPr>
          <w:rFonts w:ascii="Times New Roman" w:hAnsi="Times New Roman" w:cs="Times New Roman"/>
          <w:i/>
          <w:iCs/>
          <w:sz w:val="28"/>
          <w:szCs w:val="28"/>
        </w:rPr>
        <w:t>I teoremi di Gödel e l’intelligenza artificiale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Indiscreto.org</w:t>
      </w:r>
      <w:r w:rsidRPr="0053175F">
        <w:rPr>
          <w:rFonts w:ascii="Times New Roman" w:hAnsi="Times New Roman" w:cs="Times New Roman"/>
          <w:sz w:val="28"/>
          <w:szCs w:val="28"/>
        </w:rPr>
        <w:t>.</w:t>
      </w:r>
    </w:p>
    <w:p w14:paraId="085FCBF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I. Licata</w:t>
      </w:r>
      <w:r w:rsidRPr="0053175F">
        <w:rPr>
          <w:rFonts w:ascii="Times New Roman" w:hAnsi="Times New Roman" w:cs="Times New Roman"/>
          <w:sz w:val="28"/>
          <w:szCs w:val="28"/>
        </w:rPr>
        <w:t>, “</w:t>
      </w:r>
      <w:r w:rsidRPr="0053175F">
        <w:rPr>
          <w:rFonts w:ascii="Times New Roman" w:hAnsi="Times New Roman" w:cs="Times New Roman"/>
          <w:i/>
          <w:iCs/>
          <w:sz w:val="28"/>
          <w:szCs w:val="28"/>
        </w:rPr>
        <w:t>La logica aperta della mente</w:t>
      </w:r>
      <w:r w:rsidRPr="0053175F">
        <w:rPr>
          <w:rFonts w:ascii="Times New Roman" w:hAnsi="Times New Roman" w:cs="Times New Roman"/>
          <w:sz w:val="28"/>
          <w:szCs w:val="28"/>
        </w:rPr>
        <w:t>”, Codice Edizioni, Torino, 2008.</w:t>
      </w:r>
    </w:p>
    <w:p w14:paraId="5E1F8409"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I. Licata,</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Piccole variazioni sulla scienza</w:t>
      </w:r>
      <w:r w:rsidRPr="0053175F">
        <w:rPr>
          <w:rFonts w:ascii="Times New Roman" w:hAnsi="Times New Roman" w:cs="Times New Roman"/>
          <w:sz w:val="28"/>
          <w:szCs w:val="28"/>
        </w:rPr>
        <w:t>”, Dedalo, Bari, 2016.</w:t>
      </w:r>
    </w:p>
    <w:p w14:paraId="7A1942E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D. Lima</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 xml:space="preserve">Could AI Agents Be Held Criminally Liable? Artificial Intelligence and the </w:t>
      </w:r>
      <w:proofErr w:type="spellStart"/>
      <w:r w:rsidRPr="0053175F">
        <w:rPr>
          <w:rFonts w:ascii="Times New Roman" w:hAnsi="Times New Roman" w:cs="Times New Roman"/>
          <w:i/>
          <w:iCs/>
          <w:sz w:val="28"/>
          <w:szCs w:val="28"/>
          <w:lang w:val="en-US"/>
        </w:rPr>
        <w:t>Challanges</w:t>
      </w:r>
      <w:proofErr w:type="spellEnd"/>
      <w:r w:rsidRPr="0053175F">
        <w:rPr>
          <w:rFonts w:ascii="Times New Roman" w:hAnsi="Times New Roman" w:cs="Times New Roman"/>
          <w:i/>
          <w:iCs/>
          <w:sz w:val="28"/>
          <w:szCs w:val="28"/>
          <w:lang w:val="en-US"/>
        </w:rPr>
        <w:t xml:space="preserve"> for Criminal Law</w:t>
      </w:r>
      <w:r w:rsidRPr="0053175F">
        <w:rPr>
          <w:rFonts w:ascii="Times New Roman" w:hAnsi="Times New Roman" w:cs="Times New Roman"/>
          <w:sz w:val="28"/>
          <w:szCs w:val="28"/>
          <w:lang w:val="en-US"/>
        </w:rPr>
        <w:t xml:space="preserve">”, in </w:t>
      </w:r>
      <w:r w:rsidRPr="0053175F">
        <w:rPr>
          <w:rFonts w:ascii="Times New Roman" w:hAnsi="Times New Roman" w:cs="Times New Roman"/>
          <w:i/>
          <w:iCs/>
          <w:sz w:val="28"/>
          <w:szCs w:val="28"/>
          <w:lang w:val="en-US"/>
        </w:rPr>
        <w:t>South Carolina Law Review</w:t>
      </w:r>
      <w:r w:rsidRPr="0053175F">
        <w:rPr>
          <w:rFonts w:ascii="Times New Roman" w:hAnsi="Times New Roman" w:cs="Times New Roman"/>
          <w:sz w:val="28"/>
          <w:szCs w:val="28"/>
          <w:lang w:val="en-US"/>
        </w:rPr>
        <w:t>, 2018.</w:t>
      </w:r>
    </w:p>
    <w:p w14:paraId="36289ED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A. Lisi</w:t>
      </w:r>
      <w:r w:rsidRPr="0053175F">
        <w:rPr>
          <w:rFonts w:ascii="Times New Roman" w:hAnsi="Times New Roman" w:cs="Times New Roman"/>
          <w:sz w:val="28"/>
          <w:szCs w:val="28"/>
        </w:rPr>
        <w:t>, “</w:t>
      </w:r>
      <w:r w:rsidRPr="0053175F">
        <w:rPr>
          <w:rFonts w:ascii="Times New Roman" w:hAnsi="Times New Roman" w:cs="Times New Roman"/>
          <w:i/>
          <w:iCs/>
          <w:sz w:val="28"/>
          <w:szCs w:val="28"/>
        </w:rPr>
        <w:t>Come sarà il 2022 dei documenti informatici: nuove regole digitali e qualche polemica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agendadigitale.eu</w:t>
      </w:r>
      <w:r w:rsidRPr="0053175F">
        <w:rPr>
          <w:rFonts w:ascii="Times New Roman" w:hAnsi="Times New Roman" w:cs="Times New Roman"/>
          <w:sz w:val="28"/>
          <w:szCs w:val="28"/>
        </w:rPr>
        <w:t>.</w:t>
      </w:r>
    </w:p>
    <w:p w14:paraId="4F63635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A. R. </w:t>
      </w:r>
      <w:proofErr w:type="spellStart"/>
      <w:r w:rsidRPr="0053175F">
        <w:rPr>
          <w:rFonts w:ascii="Times New Roman" w:hAnsi="Times New Roman" w:cs="Times New Roman"/>
          <w:smallCaps/>
          <w:sz w:val="28"/>
          <w:szCs w:val="28"/>
          <w:lang w:val="en-US"/>
        </w:rPr>
        <w:t>Lodder</w:t>
      </w:r>
      <w:proofErr w:type="spellEnd"/>
      <w:r w:rsidRPr="0053175F">
        <w:rPr>
          <w:rFonts w:ascii="Times New Roman" w:hAnsi="Times New Roman" w:cs="Times New Roman"/>
          <w:smallCaps/>
          <w:sz w:val="28"/>
          <w:szCs w:val="28"/>
          <w:lang w:val="en-US"/>
        </w:rPr>
        <w:t xml:space="preserve">, J. </w:t>
      </w:r>
      <w:proofErr w:type="spellStart"/>
      <w:r w:rsidRPr="0053175F">
        <w:rPr>
          <w:rFonts w:ascii="Times New Roman" w:hAnsi="Times New Roman" w:cs="Times New Roman"/>
          <w:smallCaps/>
          <w:sz w:val="28"/>
          <w:szCs w:val="28"/>
          <w:lang w:val="en-US"/>
        </w:rPr>
        <w:t>Zeleznikow</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Artificial Intelligence and Online Dispute Resolution</w:t>
      </w:r>
      <w:r w:rsidRPr="0053175F">
        <w:rPr>
          <w:rFonts w:ascii="Times New Roman" w:hAnsi="Times New Roman" w:cs="Times New Roman"/>
          <w:sz w:val="28"/>
          <w:szCs w:val="28"/>
          <w:lang w:val="en-US"/>
        </w:rPr>
        <w:t xml:space="preserve">”, in </w:t>
      </w:r>
      <w:r w:rsidRPr="0053175F">
        <w:rPr>
          <w:rFonts w:ascii="Times New Roman" w:hAnsi="Times New Roman" w:cs="Times New Roman"/>
          <w:smallCaps/>
          <w:sz w:val="28"/>
          <w:szCs w:val="28"/>
          <w:lang w:val="en-US"/>
        </w:rPr>
        <w:t xml:space="preserve">A. R. </w:t>
      </w:r>
      <w:proofErr w:type="spellStart"/>
      <w:r w:rsidRPr="0053175F">
        <w:rPr>
          <w:rFonts w:ascii="Times New Roman" w:hAnsi="Times New Roman" w:cs="Times New Roman"/>
          <w:smallCaps/>
          <w:sz w:val="28"/>
          <w:szCs w:val="28"/>
          <w:lang w:val="en-US"/>
        </w:rPr>
        <w:t>Lodder</w:t>
      </w:r>
      <w:proofErr w:type="spellEnd"/>
      <w:r w:rsidRPr="0053175F">
        <w:rPr>
          <w:rFonts w:ascii="Times New Roman" w:hAnsi="Times New Roman" w:cs="Times New Roman"/>
          <w:smallCaps/>
          <w:sz w:val="28"/>
          <w:szCs w:val="28"/>
          <w:lang w:val="en-US"/>
        </w:rPr>
        <w:t xml:space="preserve">, J. </w:t>
      </w:r>
      <w:proofErr w:type="spellStart"/>
      <w:r w:rsidRPr="0053175F">
        <w:rPr>
          <w:rFonts w:ascii="Times New Roman" w:hAnsi="Times New Roman" w:cs="Times New Roman"/>
          <w:smallCaps/>
          <w:sz w:val="28"/>
          <w:szCs w:val="28"/>
          <w:lang w:val="en-US"/>
        </w:rPr>
        <w:t>Zeleznikow</w:t>
      </w:r>
      <w:proofErr w:type="spellEnd"/>
      <w:r w:rsidRPr="0053175F">
        <w:rPr>
          <w:rFonts w:ascii="Times New Roman" w:hAnsi="Times New Roman" w:cs="Times New Roman"/>
          <w:sz w:val="28"/>
          <w:szCs w:val="28"/>
          <w:lang w:val="en-US"/>
        </w:rPr>
        <w:t>, “</w:t>
      </w:r>
      <w:proofErr w:type="spellStart"/>
      <w:r w:rsidRPr="0053175F">
        <w:rPr>
          <w:rFonts w:ascii="Times New Roman" w:hAnsi="Times New Roman" w:cs="Times New Roman"/>
          <w:i/>
          <w:iCs/>
          <w:sz w:val="28"/>
          <w:szCs w:val="28"/>
          <w:lang w:val="en-US"/>
        </w:rPr>
        <w:t>Enhaced</w:t>
      </w:r>
      <w:proofErr w:type="spellEnd"/>
      <w:r w:rsidRPr="0053175F">
        <w:rPr>
          <w:rFonts w:ascii="Times New Roman" w:hAnsi="Times New Roman" w:cs="Times New Roman"/>
          <w:i/>
          <w:iCs/>
          <w:sz w:val="28"/>
          <w:szCs w:val="28"/>
          <w:lang w:val="en-US"/>
        </w:rPr>
        <w:t xml:space="preserve"> Dispute Resolution </w:t>
      </w:r>
      <w:proofErr w:type="gramStart"/>
      <w:r w:rsidRPr="0053175F">
        <w:rPr>
          <w:rFonts w:ascii="Times New Roman" w:hAnsi="Times New Roman" w:cs="Times New Roman"/>
          <w:i/>
          <w:iCs/>
          <w:sz w:val="28"/>
          <w:szCs w:val="28"/>
          <w:lang w:val="en-US"/>
        </w:rPr>
        <w:t>through the Use of</w:t>
      </w:r>
      <w:proofErr w:type="gramEnd"/>
      <w:r w:rsidRPr="0053175F">
        <w:rPr>
          <w:rFonts w:ascii="Times New Roman" w:hAnsi="Times New Roman" w:cs="Times New Roman"/>
          <w:i/>
          <w:iCs/>
          <w:sz w:val="28"/>
          <w:szCs w:val="28"/>
          <w:lang w:val="en-US"/>
        </w:rPr>
        <w:t xml:space="preserve"> Information Technology</w:t>
      </w:r>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Cambridge University Press</w:t>
      </w:r>
      <w:r w:rsidRPr="0053175F">
        <w:rPr>
          <w:rFonts w:ascii="Times New Roman" w:hAnsi="Times New Roman" w:cs="Times New Roman"/>
          <w:sz w:val="28"/>
          <w:szCs w:val="28"/>
          <w:lang w:val="en-US"/>
        </w:rPr>
        <w:t>, 2010.</w:t>
      </w:r>
    </w:p>
    <w:p w14:paraId="32E7FA3F"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z w:val="28"/>
          <w:szCs w:val="28"/>
        </w:rPr>
        <w:t xml:space="preserve">I. M. </w:t>
      </w:r>
      <w:r w:rsidRPr="0053175F">
        <w:rPr>
          <w:rFonts w:ascii="Times New Roman" w:hAnsi="Times New Roman" w:cs="Times New Roman"/>
          <w:smallCaps/>
          <w:sz w:val="28"/>
          <w:szCs w:val="28"/>
        </w:rPr>
        <w:t>Lo Presti</w:t>
      </w:r>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CasaPound</w:t>
      </w:r>
      <w:proofErr w:type="spellEnd"/>
      <w:r w:rsidRPr="0053175F">
        <w:rPr>
          <w:rFonts w:ascii="Times New Roman" w:hAnsi="Times New Roman" w:cs="Times New Roman"/>
          <w:i/>
          <w:iCs/>
          <w:sz w:val="28"/>
          <w:szCs w:val="28"/>
        </w:rPr>
        <w:t xml:space="preserve">, Forza Nuova e </w:t>
      </w:r>
      <w:proofErr w:type="spellStart"/>
      <w:r w:rsidRPr="0053175F">
        <w:rPr>
          <w:rFonts w:ascii="Times New Roman" w:hAnsi="Times New Roman" w:cs="Times New Roman"/>
          <w:i/>
          <w:iCs/>
          <w:sz w:val="28"/>
          <w:szCs w:val="28"/>
        </w:rPr>
        <w:t>Facebook</w:t>
      </w:r>
      <w:proofErr w:type="spellEnd"/>
      <w:r w:rsidRPr="0053175F">
        <w:rPr>
          <w:rFonts w:ascii="Times New Roman" w:hAnsi="Times New Roman" w:cs="Times New Roman"/>
          <w:i/>
          <w:iCs/>
          <w:sz w:val="28"/>
          <w:szCs w:val="28"/>
        </w:rPr>
        <w:t>. Considerazioni a margine delle recenti ordinanze cautelari e questioni aperte circa la relazione tra partiti politici e social network”</w:t>
      </w:r>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Forum di Quaderni Costituzionali</w:t>
      </w:r>
      <w:r w:rsidRPr="0053175F">
        <w:rPr>
          <w:rFonts w:ascii="Times New Roman" w:hAnsi="Times New Roman" w:cs="Times New Roman"/>
          <w:sz w:val="28"/>
          <w:szCs w:val="28"/>
        </w:rPr>
        <w:t>, 2, 2020.</w:t>
      </w:r>
    </w:p>
    <w:p w14:paraId="08780859"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z w:val="28"/>
          <w:szCs w:val="28"/>
          <w:lang w:val="en-US"/>
        </w:rPr>
        <w:t>J</w:t>
      </w:r>
      <w:r w:rsidRPr="0053175F">
        <w:rPr>
          <w:rFonts w:ascii="Times New Roman" w:hAnsi="Times New Roman" w:cs="Times New Roman"/>
          <w:smallCaps/>
          <w:sz w:val="28"/>
          <w:szCs w:val="28"/>
          <w:lang w:val="en-US"/>
        </w:rPr>
        <w:t>. R. Lucas</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Mind, Machines and Gödel</w:t>
      </w:r>
      <w:r w:rsidRPr="0053175F">
        <w:rPr>
          <w:rFonts w:ascii="Times New Roman" w:hAnsi="Times New Roman" w:cs="Times New Roman"/>
          <w:sz w:val="28"/>
          <w:szCs w:val="28"/>
          <w:lang w:val="en-US"/>
        </w:rPr>
        <w:t xml:space="preserve">”, in </w:t>
      </w:r>
      <w:r w:rsidRPr="0053175F">
        <w:rPr>
          <w:rFonts w:ascii="Times New Roman" w:hAnsi="Times New Roman" w:cs="Times New Roman"/>
          <w:i/>
          <w:iCs/>
          <w:sz w:val="28"/>
          <w:szCs w:val="28"/>
          <w:lang w:val="en-US"/>
        </w:rPr>
        <w:t>Philosophy</w:t>
      </w:r>
      <w:r w:rsidRPr="0053175F">
        <w:rPr>
          <w:rFonts w:ascii="Times New Roman" w:hAnsi="Times New Roman" w:cs="Times New Roman"/>
          <w:sz w:val="28"/>
          <w:szCs w:val="28"/>
          <w:lang w:val="en-US"/>
        </w:rPr>
        <w:t>, 36, 1961.</w:t>
      </w:r>
    </w:p>
    <w:p w14:paraId="7FE5006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G. Luigi</w:t>
      </w:r>
      <w:r w:rsidRPr="0053175F">
        <w:rPr>
          <w:rFonts w:ascii="Times New Roman" w:hAnsi="Times New Roman" w:cs="Times New Roman"/>
          <w:sz w:val="28"/>
          <w:szCs w:val="28"/>
        </w:rPr>
        <w:t>, “</w:t>
      </w:r>
      <w:r w:rsidRPr="0053175F">
        <w:rPr>
          <w:rFonts w:ascii="Times New Roman" w:hAnsi="Times New Roman" w:cs="Times New Roman"/>
          <w:i/>
          <w:iCs/>
          <w:sz w:val="28"/>
          <w:szCs w:val="28"/>
        </w:rPr>
        <w:t>La Corte di cassazione ritorna sull’acquisizione dei tabulati telefonici dopo le indicazioni della CGUE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Ilpenalista.it</w:t>
      </w:r>
      <w:r w:rsidRPr="0053175F">
        <w:rPr>
          <w:rFonts w:ascii="Times New Roman" w:hAnsi="Times New Roman" w:cs="Times New Roman"/>
          <w:sz w:val="28"/>
          <w:szCs w:val="28"/>
        </w:rPr>
        <w:t>, 5 ottobre 2021.</w:t>
      </w:r>
    </w:p>
    <w:p w14:paraId="0F4DEAA8"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L. Luparia</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Data </w:t>
      </w:r>
      <w:proofErr w:type="spellStart"/>
      <w:r w:rsidRPr="0053175F">
        <w:rPr>
          <w:rFonts w:ascii="Times New Roman" w:hAnsi="Times New Roman" w:cs="Times New Roman"/>
          <w:i/>
          <w:iCs/>
          <w:sz w:val="28"/>
          <w:szCs w:val="28"/>
        </w:rPr>
        <w:t>retention</w:t>
      </w:r>
      <w:proofErr w:type="spellEnd"/>
      <w:r w:rsidRPr="0053175F">
        <w:rPr>
          <w:rFonts w:ascii="Times New Roman" w:hAnsi="Times New Roman" w:cs="Times New Roman"/>
          <w:i/>
          <w:iCs/>
          <w:sz w:val="28"/>
          <w:szCs w:val="28"/>
        </w:rPr>
        <w:t xml:space="preserve"> e processo penale. Un’occasione mancata per prendere i diritti davvero sul serio</w:t>
      </w:r>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Diritto di Internet</w:t>
      </w:r>
      <w:r w:rsidRPr="0053175F">
        <w:rPr>
          <w:rFonts w:ascii="Times New Roman" w:hAnsi="Times New Roman" w:cs="Times New Roman"/>
          <w:sz w:val="28"/>
          <w:szCs w:val="28"/>
        </w:rPr>
        <w:t>, 2019, 4.</w:t>
      </w:r>
    </w:p>
    <w:p w14:paraId="3B2FE428"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A. Malacarne</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La decretazione d’urgenza del Governo in materia di tabulati telefonici: breve commento a prima lettura del </w:t>
      </w:r>
      <w:proofErr w:type="spellStart"/>
      <w:r w:rsidRPr="0053175F">
        <w:rPr>
          <w:rFonts w:ascii="Times New Roman" w:hAnsi="Times New Roman" w:cs="Times New Roman"/>
          <w:i/>
          <w:iCs/>
          <w:sz w:val="28"/>
          <w:szCs w:val="28"/>
        </w:rPr>
        <w:t>d.l.</w:t>
      </w:r>
      <w:proofErr w:type="spellEnd"/>
      <w:r w:rsidRPr="0053175F">
        <w:rPr>
          <w:rFonts w:ascii="Times New Roman" w:hAnsi="Times New Roman" w:cs="Times New Roman"/>
          <w:i/>
          <w:iCs/>
          <w:sz w:val="28"/>
          <w:szCs w:val="28"/>
        </w:rPr>
        <w:t xml:space="preserve"> 30 settembre 2021, n. 132</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Sistema Penale</w:t>
      </w:r>
      <w:r w:rsidRPr="0053175F">
        <w:rPr>
          <w:rFonts w:ascii="Times New Roman" w:hAnsi="Times New Roman" w:cs="Times New Roman"/>
          <w:sz w:val="28"/>
          <w:szCs w:val="28"/>
        </w:rPr>
        <w:t>, 8 ottobre 2021.</w:t>
      </w:r>
    </w:p>
    <w:p w14:paraId="3750A40E" w14:textId="77777777" w:rsidR="00265619" w:rsidRPr="0053175F" w:rsidRDefault="00265619" w:rsidP="0053175F">
      <w:pPr>
        <w:spacing w:before="100" w:beforeAutospacing="1" w:after="100" w:afterAutospacing="1" w:line="240" w:lineRule="auto"/>
        <w:jc w:val="both"/>
        <w:rPr>
          <w:rFonts w:ascii="Times New Roman" w:eastAsia="Times New Roman" w:hAnsi="Times New Roman" w:cs="Times New Roman"/>
          <w:sz w:val="28"/>
          <w:szCs w:val="28"/>
          <w:lang w:eastAsia="it-IT"/>
        </w:rPr>
      </w:pPr>
      <w:r w:rsidRPr="0053175F">
        <w:rPr>
          <w:rFonts w:ascii="Times New Roman" w:eastAsia="Times New Roman" w:hAnsi="Times New Roman" w:cs="Times New Roman"/>
          <w:smallCaps/>
          <w:sz w:val="28"/>
          <w:szCs w:val="28"/>
          <w:lang w:eastAsia="it-IT"/>
        </w:rPr>
        <w:lastRenderedPageBreak/>
        <w:t>B. Manca</w:t>
      </w:r>
      <w:r w:rsidRPr="0053175F">
        <w:rPr>
          <w:rFonts w:ascii="Times New Roman" w:eastAsia="Times New Roman" w:hAnsi="Times New Roman" w:cs="Times New Roman"/>
          <w:sz w:val="28"/>
          <w:szCs w:val="28"/>
          <w:lang w:eastAsia="it-IT"/>
        </w:rPr>
        <w:t>, “</w:t>
      </w:r>
      <w:r w:rsidRPr="0053175F">
        <w:rPr>
          <w:rFonts w:ascii="Times New Roman" w:eastAsia="Times New Roman" w:hAnsi="Times New Roman" w:cs="Times New Roman"/>
          <w:i/>
          <w:iCs/>
          <w:sz w:val="28"/>
          <w:szCs w:val="28"/>
          <w:lang w:eastAsia="it-IT"/>
        </w:rPr>
        <w:t xml:space="preserve">L’Antitrust apre istruttoria su Alitalia e </w:t>
      </w:r>
      <w:proofErr w:type="spellStart"/>
      <w:r w:rsidRPr="0053175F">
        <w:rPr>
          <w:rFonts w:ascii="Times New Roman" w:eastAsia="Times New Roman" w:hAnsi="Times New Roman" w:cs="Times New Roman"/>
          <w:i/>
          <w:iCs/>
          <w:sz w:val="28"/>
          <w:szCs w:val="28"/>
          <w:lang w:eastAsia="it-IT"/>
        </w:rPr>
        <w:t>Aeffe</w:t>
      </w:r>
      <w:proofErr w:type="spellEnd"/>
      <w:r w:rsidRPr="0053175F">
        <w:rPr>
          <w:rFonts w:ascii="Times New Roman" w:eastAsia="Times New Roman" w:hAnsi="Times New Roman" w:cs="Times New Roman"/>
          <w:i/>
          <w:iCs/>
          <w:sz w:val="28"/>
          <w:szCs w:val="28"/>
          <w:lang w:eastAsia="it-IT"/>
        </w:rPr>
        <w:t xml:space="preserve"> di Alberta Ferretti: nel mirino anche le foto di </w:t>
      </w:r>
      <w:proofErr w:type="spellStart"/>
      <w:r w:rsidRPr="0053175F">
        <w:rPr>
          <w:rFonts w:ascii="Times New Roman" w:eastAsia="Times New Roman" w:hAnsi="Times New Roman" w:cs="Times New Roman"/>
          <w:i/>
          <w:iCs/>
          <w:sz w:val="28"/>
          <w:szCs w:val="28"/>
          <w:lang w:eastAsia="it-IT"/>
        </w:rPr>
        <w:t>influencer</w:t>
      </w:r>
      <w:proofErr w:type="spellEnd"/>
      <w:r w:rsidRPr="0053175F">
        <w:rPr>
          <w:rFonts w:ascii="Times New Roman" w:eastAsia="Times New Roman" w:hAnsi="Times New Roman" w:cs="Times New Roman"/>
          <w:i/>
          <w:iCs/>
          <w:sz w:val="28"/>
          <w:szCs w:val="28"/>
          <w:lang w:eastAsia="it-IT"/>
        </w:rPr>
        <w:t>: “pubblicità non riconoscibile</w:t>
      </w:r>
      <w:r w:rsidRPr="0053175F">
        <w:rPr>
          <w:rFonts w:ascii="Times New Roman" w:eastAsia="Times New Roman" w:hAnsi="Times New Roman" w:cs="Times New Roman"/>
          <w:sz w:val="28"/>
          <w:szCs w:val="28"/>
          <w:lang w:eastAsia="it-IT"/>
        </w:rPr>
        <w:t xml:space="preserve">”, su </w:t>
      </w:r>
      <w:r w:rsidRPr="0053175F">
        <w:rPr>
          <w:rFonts w:ascii="Times New Roman" w:eastAsia="Times New Roman" w:hAnsi="Times New Roman" w:cs="Times New Roman"/>
          <w:i/>
          <w:iCs/>
          <w:sz w:val="28"/>
          <w:szCs w:val="28"/>
          <w:lang w:eastAsia="it-IT"/>
        </w:rPr>
        <w:t>ilfattoquotidiano.it</w:t>
      </w:r>
      <w:r w:rsidRPr="0053175F">
        <w:rPr>
          <w:rFonts w:ascii="Times New Roman" w:eastAsia="Times New Roman" w:hAnsi="Times New Roman" w:cs="Times New Roman"/>
          <w:sz w:val="28"/>
          <w:szCs w:val="28"/>
          <w:lang w:eastAsia="it-IT"/>
        </w:rPr>
        <w:t>, 15 dicembre 2018.</w:t>
      </w:r>
    </w:p>
    <w:p w14:paraId="2BB2788A" w14:textId="77777777" w:rsidR="00265619" w:rsidRPr="0053175F" w:rsidRDefault="00265619" w:rsidP="0053175F">
      <w:pPr>
        <w:spacing w:before="100" w:beforeAutospacing="1" w:after="100" w:afterAutospacing="1" w:line="240" w:lineRule="auto"/>
        <w:jc w:val="both"/>
        <w:rPr>
          <w:rFonts w:ascii="Times New Roman" w:eastAsia="Times New Roman" w:hAnsi="Times New Roman" w:cs="Times New Roman"/>
          <w:sz w:val="28"/>
          <w:szCs w:val="28"/>
          <w:lang w:eastAsia="it-IT"/>
        </w:rPr>
      </w:pPr>
      <w:r w:rsidRPr="0053175F">
        <w:rPr>
          <w:rFonts w:ascii="Times New Roman" w:eastAsia="Times New Roman" w:hAnsi="Times New Roman" w:cs="Times New Roman"/>
          <w:smallCaps/>
          <w:sz w:val="28"/>
          <w:szCs w:val="28"/>
          <w:lang w:eastAsia="it-IT"/>
        </w:rPr>
        <w:t>G. Manca</w:t>
      </w:r>
      <w:r w:rsidRPr="0053175F">
        <w:rPr>
          <w:rFonts w:ascii="Times New Roman" w:eastAsia="Times New Roman" w:hAnsi="Times New Roman" w:cs="Times New Roman"/>
          <w:sz w:val="28"/>
          <w:szCs w:val="28"/>
          <w:lang w:eastAsia="it-IT"/>
        </w:rPr>
        <w:t>, “</w:t>
      </w:r>
      <w:r w:rsidRPr="0053175F">
        <w:rPr>
          <w:rFonts w:ascii="Times New Roman" w:eastAsia="Times New Roman" w:hAnsi="Times New Roman" w:cs="Times New Roman"/>
          <w:i/>
          <w:sz w:val="28"/>
          <w:szCs w:val="28"/>
          <w:lang w:eastAsia="it-IT"/>
        </w:rPr>
        <w:t>Interoperabilità nella pubblica amministrazione: presente e futuro digitale</w:t>
      </w:r>
      <w:r w:rsidRPr="0053175F">
        <w:rPr>
          <w:rFonts w:ascii="Times New Roman" w:eastAsia="Times New Roman" w:hAnsi="Times New Roman" w:cs="Times New Roman"/>
          <w:iCs/>
          <w:sz w:val="28"/>
          <w:szCs w:val="28"/>
          <w:lang w:eastAsia="it-IT"/>
        </w:rPr>
        <w:t xml:space="preserve">”, </w:t>
      </w:r>
      <w:r w:rsidRPr="0053175F">
        <w:rPr>
          <w:rFonts w:ascii="Times New Roman" w:eastAsia="Times New Roman" w:hAnsi="Times New Roman" w:cs="Times New Roman"/>
          <w:sz w:val="28"/>
          <w:szCs w:val="28"/>
          <w:lang w:eastAsia="it-IT"/>
        </w:rPr>
        <w:t xml:space="preserve">in </w:t>
      </w:r>
      <w:r w:rsidRPr="0053175F">
        <w:rPr>
          <w:rFonts w:ascii="Times New Roman" w:eastAsia="Times New Roman" w:hAnsi="Times New Roman" w:cs="Times New Roman"/>
          <w:i/>
          <w:sz w:val="28"/>
          <w:szCs w:val="28"/>
          <w:lang w:eastAsia="it-IT"/>
        </w:rPr>
        <w:t>www.agendadigitale.eu</w:t>
      </w:r>
      <w:r w:rsidRPr="0053175F">
        <w:rPr>
          <w:rFonts w:ascii="Times New Roman" w:eastAsia="Times New Roman" w:hAnsi="Times New Roman" w:cs="Times New Roman"/>
          <w:sz w:val="28"/>
          <w:szCs w:val="28"/>
          <w:lang w:eastAsia="it-IT"/>
        </w:rPr>
        <w:t>, 6 settembre 2018.</w:t>
      </w:r>
    </w:p>
    <w:p w14:paraId="78C71C99"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A. Magnani</w:t>
      </w:r>
      <w:r w:rsidRPr="0053175F">
        <w:rPr>
          <w:rFonts w:ascii="Times New Roman" w:hAnsi="Times New Roman" w:cs="Times New Roman"/>
          <w:sz w:val="28"/>
          <w:szCs w:val="28"/>
        </w:rPr>
        <w:t>, “</w:t>
      </w:r>
      <w:r w:rsidRPr="0053175F">
        <w:rPr>
          <w:rFonts w:ascii="Times New Roman" w:hAnsi="Times New Roman" w:cs="Times New Roman"/>
          <w:i/>
          <w:iCs/>
          <w:sz w:val="28"/>
          <w:szCs w:val="28"/>
        </w:rPr>
        <w:t>L’eredità</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digitale</w:t>
      </w:r>
      <w:r w:rsidRPr="0053175F">
        <w:rPr>
          <w:rFonts w:ascii="Times New Roman" w:hAnsi="Times New Roman" w:cs="Times New Roman"/>
          <w:sz w:val="28"/>
          <w:szCs w:val="28"/>
        </w:rPr>
        <w:t>”, in</w:t>
      </w:r>
      <w:r w:rsidRPr="0053175F">
        <w:rPr>
          <w:rFonts w:ascii="Times New Roman" w:hAnsi="Times New Roman" w:cs="Times New Roman"/>
          <w:i/>
          <w:iCs/>
          <w:sz w:val="28"/>
          <w:szCs w:val="28"/>
        </w:rPr>
        <w:t xml:space="preserve"> Notariato</w:t>
      </w:r>
      <w:r w:rsidRPr="0053175F">
        <w:rPr>
          <w:rFonts w:ascii="Times New Roman" w:hAnsi="Times New Roman" w:cs="Times New Roman"/>
          <w:sz w:val="28"/>
          <w:szCs w:val="28"/>
        </w:rPr>
        <w:t>, 2014</w:t>
      </w:r>
      <w:r w:rsidRPr="0053175F">
        <w:rPr>
          <w:rFonts w:ascii="Times New Roman" w:hAnsi="Times New Roman" w:cs="Times New Roman"/>
          <w:i/>
          <w:iCs/>
          <w:sz w:val="28"/>
          <w:szCs w:val="28"/>
        </w:rPr>
        <w:t>.</w:t>
      </w:r>
    </w:p>
    <w:p w14:paraId="09A10AF4" w14:textId="77777777" w:rsidR="00265619" w:rsidRPr="0053175F" w:rsidRDefault="00265619" w:rsidP="0053175F">
      <w:pPr>
        <w:spacing w:before="100" w:beforeAutospacing="1" w:after="100" w:afterAutospacing="1" w:line="240" w:lineRule="auto"/>
        <w:jc w:val="both"/>
        <w:rPr>
          <w:rFonts w:ascii="Times New Roman" w:eastAsia="Times New Roman" w:hAnsi="Times New Roman" w:cs="Times New Roman"/>
          <w:sz w:val="28"/>
          <w:szCs w:val="28"/>
        </w:rPr>
      </w:pPr>
      <w:r w:rsidRPr="0053175F">
        <w:rPr>
          <w:rFonts w:ascii="Times New Roman" w:eastAsia="Times New Roman" w:hAnsi="Times New Roman" w:cs="Times New Roman"/>
          <w:smallCaps/>
          <w:sz w:val="28"/>
          <w:szCs w:val="28"/>
        </w:rPr>
        <w:t xml:space="preserve">D. Marciano, G. </w:t>
      </w:r>
      <w:proofErr w:type="spellStart"/>
      <w:r w:rsidRPr="0053175F">
        <w:rPr>
          <w:rFonts w:ascii="Times New Roman" w:eastAsia="Times New Roman" w:hAnsi="Times New Roman" w:cs="Times New Roman"/>
          <w:smallCaps/>
          <w:sz w:val="28"/>
          <w:szCs w:val="28"/>
        </w:rPr>
        <w:t>Capaccioli</w:t>
      </w:r>
      <w:proofErr w:type="spellEnd"/>
      <w:r w:rsidRPr="0053175F">
        <w:rPr>
          <w:rFonts w:ascii="Times New Roman" w:eastAsia="Times New Roman" w:hAnsi="Times New Roman" w:cs="Times New Roman"/>
          <w:sz w:val="28"/>
          <w:szCs w:val="28"/>
        </w:rPr>
        <w:t>, “</w:t>
      </w:r>
      <w:r w:rsidRPr="0053175F">
        <w:rPr>
          <w:rFonts w:ascii="Times New Roman" w:eastAsia="Times New Roman" w:hAnsi="Times New Roman" w:cs="Times New Roman"/>
          <w:i/>
          <w:sz w:val="28"/>
          <w:szCs w:val="28"/>
        </w:rPr>
        <w:t xml:space="preserve">La </w:t>
      </w:r>
      <w:proofErr w:type="spellStart"/>
      <w:r w:rsidRPr="0053175F">
        <w:rPr>
          <w:rFonts w:ascii="Times New Roman" w:eastAsia="Times New Roman" w:hAnsi="Times New Roman" w:cs="Times New Roman"/>
          <w:i/>
          <w:sz w:val="28"/>
          <w:szCs w:val="28"/>
        </w:rPr>
        <w:t>blockchain</w:t>
      </w:r>
      <w:proofErr w:type="spellEnd"/>
      <w:r w:rsidRPr="0053175F">
        <w:rPr>
          <w:rFonts w:ascii="Times New Roman" w:eastAsia="Times New Roman" w:hAnsi="Times New Roman" w:cs="Times New Roman"/>
          <w:i/>
          <w:sz w:val="28"/>
          <w:szCs w:val="28"/>
        </w:rPr>
        <w:t xml:space="preserve"> ed il problema del trattamento dei dati personali</w:t>
      </w:r>
      <w:r w:rsidRPr="0053175F">
        <w:rPr>
          <w:rFonts w:ascii="Times New Roman" w:eastAsia="Times New Roman" w:hAnsi="Times New Roman" w:cs="Times New Roman"/>
          <w:iCs/>
          <w:sz w:val="28"/>
          <w:szCs w:val="28"/>
        </w:rPr>
        <w:t xml:space="preserve">”, </w:t>
      </w:r>
      <w:r w:rsidRPr="0053175F">
        <w:rPr>
          <w:rFonts w:ascii="Times New Roman" w:eastAsia="Times New Roman" w:hAnsi="Times New Roman" w:cs="Times New Roman"/>
          <w:sz w:val="28"/>
          <w:szCs w:val="28"/>
        </w:rPr>
        <w:t xml:space="preserve">in </w:t>
      </w:r>
      <w:r w:rsidRPr="0053175F">
        <w:rPr>
          <w:rFonts w:ascii="Times New Roman" w:eastAsia="Times New Roman" w:hAnsi="Times New Roman" w:cs="Times New Roman"/>
          <w:i/>
          <w:sz w:val="28"/>
          <w:szCs w:val="28"/>
        </w:rPr>
        <w:t>www.affidaty.io, 4</w:t>
      </w:r>
      <w:r w:rsidRPr="0053175F">
        <w:rPr>
          <w:rFonts w:ascii="Times New Roman" w:eastAsia="Times New Roman" w:hAnsi="Times New Roman" w:cs="Times New Roman"/>
          <w:sz w:val="28"/>
          <w:szCs w:val="28"/>
        </w:rPr>
        <w:t xml:space="preserve"> giugno 2019.</w:t>
      </w:r>
    </w:p>
    <w:p w14:paraId="022DDF6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R. </w:t>
      </w:r>
      <w:proofErr w:type="spellStart"/>
      <w:r w:rsidRPr="0053175F">
        <w:rPr>
          <w:rFonts w:ascii="Times New Roman" w:hAnsi="Times New Roman" w:cs="Times New Roman"/>
          <w:smallCaps/>
          <w:sz w:val="28"/>
          <w:szCs w:val="28"/>
          <w:lang w:val="en-US"/>
        </w:rPr>
        <w:t>Mardon</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The relationship between ownership and possession: observations from the context of digital virtual goods</w:t>
      </w:r>
      <w:r w:rsidRPr="0053175F">
        <w:rPr>
          <w:rFonts w:ascii="Times New Roman" w:hAnsi="Times New Roman" w:cs="Times New Roman"/>
          <w:sz w:val="28"/>
          <w:szCs w:val="28"/>
          <w:lang w:val="en-US"/>
        </w:rPr>
        <w:t>”, 2016.</w:t>
      </w:r>
    </w:p>
    <w:p w14:paraId="77455920" w14:textId="5B8C8AAD" w:rsidR="0053175F" w:rsidRPr="0053175F" w:rsidRDefault="0053175F"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F. Marenghi</w:t>
      </w:r>
      <w:r w:rsidRPr="0053175F">
        <w:rPr>
          <w:rFonts w:ascii="Times New Roman" w:hAnsi="Times New Roman" w:cs="Times New Roman"/>
          <w:sz w:val="28"/>
          <w:szCs w:val="28"/>
        </w:rPr>
        <w:t>, “</w:t>
      </w:r>
      <w:r w:rsidRPr="0053175F">
        <w:rPr>
          <w:rFonts w:ascii="Times New Roman" w:hAnsi="Times New Roman" w:cs="Times New Roman"/>
          <w:i/>
          <w:iCs/>
          <w:sz w:val="28"/>
          <w:szCs w:val="28"/>
        </w:rPr>
        <w:t>Diritto alla presunzione di innocenza e nuovi strumenti di tutela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altalex.com</w:t>
      </w:r>
      <w:r w:rsidRPr="0053175F">
        <w:rPr>
          <w:rFonts w:ascii="Times New Roman" w:hAnsi="Times New Roman" w:cs="Times New Roman"/>
          <w:sz w:val="28"/>
          <w:szCs w:val="28"/>
        </w:rPr>
        <w:t>, febbraio 2022.</w:t>
      </w:r>
    </w:p>
    <w:p w14:paraId="34DF2A36" w14:textId="6D05E860"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F. Marenghi</w:t>
      </w:r>
      <w:r w:rsidRPr="0053175F">
        <w:rPr>
          <w:rFonts w:ascii="Times New Roman" w:hAnsi="Times New Roman" w:cs="Times New Roman"/>
          <w:sz w:val="28"/>
          <w:szCs w:val="28"/>
        </w:rPr>
        <w:t>, “</w:t>
      </w:r>
      <w:r w:rsidRPr="0053175F">
        <w:rPr>
          <w:rFonts w:ascii="Times New Roman" w:hAnsi="Times New Roman" w:cs="Times New Roman"/>
          <w:i/>
          <w:iCs/>
          <w:sz w:val="28"/>
          <w:szCs w:val="28"/>
        </w:rPr>
        <w:t>Riforma giustizia penale: il provvedimento di «deindicizzazione»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altalex.com</w:t>
      </w:r>
      <w:r w:rsidRPr="0053175F">
        <w:rPr>
          <w:rFonts w:ascii="Times New Roman" w:hAnsi="Times New Roman" w:cs="Times New Roman"/>
          <w:sz w:val="28"/>
          <w:szCs w:val="28"/>
        </w:rPr>
        <w:t>.</w:t>
      </w:r>
    </w:p>
    <w:p w14:paraId="7063264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G. Marino</w:t>
      </w:r>
      <w:r w:rsidRPr="0053175F">
        <w:rPr>
          <w:rFonts w:ascii="Times New Roman" w:hAnsi="Times New Roman" w:cs="Times New Roman"/>
          <w:sz w:val="28"/>
          <w:szCs w:val="28"/>
        </w:rPr>
        <w:t>, “</w:t>
      </w:r>
      <w:r w:rsidRPr="0053175F">
        <w:rPr>
          <w:rFonts w:ascii="Times New Roman" w:hAnsi="Times New Roman" w:cs="Times New Roman"/>
          <w:i/>
          <w:iCs/>
          <w:sz w:val="28"/>
          <w:szCs w:val="28"/>
        </w:rPr>
        <w:t>La successione digitale</w:t>
      </w:r>
      <w:r w:rsidRPr="0053175F">
        <w:rPr>
          <w:rFonts w:ascii="Times New Roman" w:hAnsi="Times New Roman" w:cs="Times New Roman"/>
          <w:sz w:val="28"/>
          <w:szCs w:val="28"/>
        </w:rPr>
        <w:t xml:space="preserve">”, in </w:t>
      </w:r>
      <w:proofErr w:type="spellStart"/>
      <w:r w:rsidRPr="0053175F">
        <w:rPr>
          <w:rFonts w:ascii="Times New Roman" w:hAnsi="Times New Roman" w:cs="Times New Roman"/>
          <w:i/>
          <w:iCs/>
          <w:sz w:val="28"/>
          <w:szCs w:val="28"/>
        </w:rPr>
        <w:t>Oss</w:t>
      </w:r>
      <w:proofErr w:type="spellEnd"/>
      <w:r w:rsidRPr="0053175F">
        <w:rPr>
          <w:rFonts w:ascii="Times New Roman" w:hAnsi="Times New Roman" w:cs="Times New Roman"/>
          <w:i/>
          <w:iCs/>
          <w:sz w:val="28"/>
          <w:szCs w:val="28"/>
        </w:rPr>
        <w:t>. dir. civ. e comm</w:t>
      </w:r>
      <w:r w:rsidRPr="0053175F">
        <w:rPr>
          <w:rFonts w:ascii="Times New Roman" w:hAnsi="Times New Roman" w:cs="Times New Roman"/>
          <w:sz w:val="28"/>
          <w:szCs w:val="28"/>
        </w:rPr>
        <w:t>., 2018.</w:t>
      </w:r>
    </w:p>
    <w:p w14:paraId="26C00EF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eastAsia="Times New Roman" w:hAnsi="Times New Roman" w:cs="Times New Roman"/>
          <w:sz w:val="28"/>
          <w:szCs w:val="28"/>
        </w:rPr>
        <w:t xml:space="preserve">F. </w:t>
      </w:r>
      <w:r w:rsidRPr="0053175F">
        <w:rPr>
          <w:rFonts w:ascii="Times New Roman" w:eastAsia="Times New Roman" w:hAnsi="Times New Roman" w:cs="Times New Roman"/>
          <w:smallCaps/>
          <w:sz w:val="28"/>
          <w:szCs w:val="28"/>
        </w:rPr>
        <w:t>Martini</w:t>
      </w:r>
      <w:r w:rsidRPr="0053175F">
        <w:rPr>
          <w:rFonts w:ascii="Times New Roman" w:eastAsia="Times New Roman" w:hAnsi="Times New Roman" w:cs="Times New Roman"/>
          <w:sz w:val="28"/>
          <w:szCs w:val="28"/>
        </w:rPr>
        <w:t>, “</w:t>
      </w:r>
      <w:r w:rsidRPr="0053175F">
        <w:rPr>
          <w:rFonts w:ascii="Times New Roman" w:eastAsia="Times New Roman" w:hAnsi="Times New Roman" w:cs="Times New Roman"/>
          <w:i/>
          <w:iCs/>
          <w:sz w:val="28"/>
          <w:szCs w:val="28"/>
        </w:rPr>
        <w:t>Il sistema informativo pubblico”,</w:t>
      </w:r>
      <w:r w:rsidRPr="0053175F">
        <w:rPr>
          <w:rFonts w:ascii="Times New Roman" w:eastAsia="Times New Roman" w:hAnsi="Times New Roman" w:cs="Times New Roman"/>
          <w:sz w:val="28"/>
          <w:szCs w:val="28"/>
        </w:rPr>
        <w:t xml:space="preserve"> in “</w:t>
      </w:r>
      <w:r w:rsidRPr="0053175F">
        <w:rPr>
          <w:rFonts w:ascii="Times New Roman" w:eastAsia="Times New Roman" w:hAnsi="Times New Roman" w:cs="Times New Roman"/>
          <w:i/>
          <w:iCs/>
          <w:sz w:val="28"/>
          <w:szCs w:val="28"/>
        </w:rPr>
        <w:t>Quaderni del Dipartimento Pubblico”</w:t>
      </w:r>
      <w:r w:rsidRPr="0053175F">
        <w:rPr>
          <w:rFonts w:ascii="Times New Roman" w:eastAsia="Times New Roman" w:hAnsi="Times New Roman" w:cs="Times New Roman"/>
          <w:sz w:val="28"/>
          <w:szCs w:val="28"/>
        </w:rPr>
        <w:t>, Università di Pisa, Torino, 2006.</w:t>
      </w:r>
    </w:p>
    <w:p w14:paraId="48D13507" w14:textId="39B0E4DE" w:rsidR="0053175F" w:rsidRPr="0053175F" w:rsidRDefault="0053175F"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M. </w:t>
      </w:r>
      <w:proofErr w:type="spellStart"/>
      <w:r w:rsidRPr="0053175F">
        <w:rPr>
          <w:rFonts w:ascii="Times New Roman" w:hAnsi="Times New Roman" w:cs="Times New Roman"/>
          <w:smallCaps/>
          <w:sz w:val="28"/>
          <w:szCs w:val="28"/>
        </w:rPr>
        <w:t>Martorana</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L’offesa su </w:t>
      </w:r>
      <w:proofErr w:type="spellStart"/>
      <w:r w:rsidRPr="0053175F">
        <w:rPr>
          <w:rFonts w:ascii="Times New Roman" w:hAnsi="Times New Roman" w:cs="Times New Roman"/>
          <w:i/>
          <w:iCs/>
          <w:sz w:val="28"/>
          <w:szCs w:val="28"/>
        </w:rPr>
        <w:t>Facebook</w:t>
      </w:r>
      <w:proofErr w:type="spellEnd"/>
      <w:r w:rsidRPr="0053175F">
        <w:rPr>
          <w:rFonts w:ascii="Times New Roman" w:hAnsi="Times New Roman" w:cs="Times New Roman"/>
          <w:i/>
          <w:iCs/>
          <w:sz w:val="28"/>
          <w:szCs w:val="28"/>
        </w:rPr>
        <w:t xml:space="preserve"> non è reato se l’insultato è online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altalex.com</w:t>
      </w:r>
      <w:r w:rsidRPr="0053175F">
        <w:rPr>
          <w:rFonts w:ascii="Times New Roman" w:hAnsi="Times New Roman" w:cs="Times New Roman"/>
          <w:sz w:val="28"/>
          <w:szCs w:val="28"/>
        </w:rPr>
        <w:t>, febbraio 2022</w:t>
      </w:r>
      <w:r w:rsidRPr="0053175F">
        <w:rPr>
          <w:rFonts w:ascii="Times New Roman" w:hAnsi="Times New Roman" w:cs="Times New Roman"/>
          <w:sz w:val="28"/>
          <w:szCs w:val="28"/>
        </w:rPr>
        <w:t>.</w:t>
      </w:r>
    </w:p>
    <w:p w14:paraId="310A005B" w14:textId="5315A063"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 xml:space="preserve">M. </w:t>
      </w:r>
      <w:proofErr w:type="spellStart"/>
      <w:r w:rsidRPr="0053175F">
        <w:rPr>
          <w:rFonts w:ascii="Times New Roman" w:hAnsi="Times New Roman" w:cs="Times New Roman"/>
          <w:smallCaps/>
          <w:sz w:val="28"/>
          <w:szCs w:val="28"/>
        </w:rPr>
        <w:t>Martorana</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Minori sui social: educhiamoli per difenderli</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agendadigitale.eu.</w:t>
      </w:r>
    </w:p>
    <w:p w14:paraId="67BC5D80"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M. Massimi</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Art. 132</w:t>
      </w:r>
      <w:r w:rsidRPr="0053175F">
        <w:rPr>
          <w:rFonts w:ascii="Times New Roman" w:hAnsi="Times New Roman" w:cs="Times New Roman"/>
          <w:sz w:val="28"/>
          <w:szCs w:val="28"/>
        </w:rPr>
        <w:t>, in R</w:t>
      </w:r>
      <w:r w:rsidRPr="0053175F">
        <w:rPr>
          <w:rFonts w:ascii="Times New Roman" w:hAnsi="Times New Roman" w:cs="Times New Roman"/>
          <w:smallCaps/>
          <w:sz w:val="28"/>
          <w:szCs w:val="28"/>
        </w:rPr>
        <w:t xml:space="preserve">. </w:t>
      </w:r>
      <w:proofErr w:type="spellStart"/>
      <w:r w:rsidRPr="0053175F">
        <w:rPr>
          <w:rFonts w:ascii="Times New Roman" w:hAnsi="Times New Roman" w:cs="Times New Roman"/>
          <w:smallCaps/>
          <w:sz w:val="28"/>
          <w:szCs w:val="28"/>
        </w:rPr>
        <w:t>Sciaudone</w:t>
      </w:r>
      <w:proofErr w:type="spellEnd"/>
      <w:r w:rsidRPr="0053175F">
        <w:rPr>
          <w:rFonts w:ascii="Times New Roman" w:hAnsi="Times New Roman" w:cs="Times New Roman"/>
          <w:sz w:val="28"/>
          <w:szCs w:val="28"/>
        </w:rPr>
        <w:t xml:space="preserve"> (a cura di) “</w:t>
      </w:r>
      <w:r w:rsidRPr="0053175F">
        <w:rPr>
          <w:rFonts w:ascii="Times New Roman" w:hAnsi="Times New Roman" w:cs="Times New Roman"/>
          <w:i/>
          <w:iCs/>
          <w:sz w:val="28"/>
          <w:szCs w:val="28"/>
        </w:rPr>
        <w:t>Il Codice della Privacy</w:t>
      </w:r>
      <w:r w:rsidRPr="0053175F">
        <w:rPr>
          <w:rFonts w:ascii="Times New Roman" w:hAnsi="Times New Roman" w:cs="Times New Roman"/>
          <w:sz w:val="28"/>
          <w:szCs w:val="28"/>
        </w:rPr>
        <w:t xml:space="preserve">”, </w:t>
      </w:r>
      <w:proofErr w:type="spellStart"/>
      <w:r w:rsidRPr="0053175F">
        <w:rPr>
          <w:rFonts w:ascii="Times New Roman" w:hAnsi="Times New Roman" w:cs="Times New Roman"/>
          <w:sz w:val="28"/>
          <w:szCs w:val="28"/>
        </w:rPr>
        <w:t>Pacini</w:t>
      </w:r>
      <w:proofErr w:type="spellEnd"/>
      <w:r w:rsidRPr="0053175F">
        <w:rPr>
          <w:rFonts w:ascii="Times New Roman" w:hAnsi="Times New Roman" w:cs="Times New Roman"/>
          <w:sz w:val="28"/>
          <w:szCs w:val="28"/>
        </w:rPr>
        <w:t>, Ospedaletto, 2019.</w:t>
      </w:r>
    </w:p>
    <w:p w14:paraId="405BEB6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G. </w:t>
      </w:r>
      <w:proofErr w:type="spellStart"/>
      <w:r w:rsidRPr="0053175F">
        <w:rPr>
          <w:rFonts w:ascii="Times New Roman" w:hAnsi="Times New Roman" w:cs="Times New Roman"/>
          <w:smallCaps/>
          <w:sz w:val="28"/>
          <w:szCs w:val="28"/>
          <w:lang w:val="en-US"/>
        </w:rPr>
        <w:t>Mastrobuoni</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Crime is Terribly Revealing: Information Technology and Police Productivity</w:t>
      </w:r>
      <w:r w:rsidRPr="0053175F">
        <w:rPr>
          <w:rFonts w:ascii="Times New Roman" w:hAnsi="Times New Roman" w:cs="Times New Roman"/>
          <w:sz w:val="28"/>
          <w:szCs w:val="28"/>
          <w:lang w:val="en-US"/>
        </w:rPr>
        <w:t>”, 2017.</w:t>
      </w:r>
    </w:p>
    <w:p w14:paraId="21631B46"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 xml:space="preserve">R. </w:t>
      </w:r>
      <w:proofErr w:type="spellStart"/>
      <w:r w:rsidRPr="0053175F">
        <w:rPr>
          <w:rFonts w:ascii="Times New Roman" w:hAnsi="Times New Roman" w:cs="Times New Roman"/>
          <w:smallCaps/>
          <w:sz w:val="28"/>
          <w:szCs w:val="28"/>
        </w:rPr>
        <w:t>Mazzucconi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w:t>
      </w:r>
      <w:proofErr w:type="spellStart"/>
      <w:r w:rsidRPr="0053175F">
        <w:rPr>
          <w:rFonts w:ascii="Times New Roman" w:hAnsi="Times New Roman" w:cs="Times New Roman"/>
          <w:i/>
          <w:iCs/>
          <w:sz w:val="28"/>
          <w:szCs w:val="28"/>
        </w:rPr>
        <w:t>influencer</w:t>
      </w:r>
      <w:proofErr w:type="spellEnd"/>
      <w:r w:rsidRPr="0053175F">
        <w:rPr>
          <w:rFonts w:ascii="Times New Roman" w:hAnsi="Times New Roman" w:cs="Times New Roman"/>
          <w:i/>
          <w:iCs/>
          <w:sz w:val="28"/>
          <w:szCs w:val="28"/>
        </w:rPr>
        <w:t xml:space="preserve"> marketing e il rapporto di </w:t>
      </w:r>
      <w:proofErr w:type="spellStart"/>
      <w:r w:rsidRPr="0053175F">
        <w:rPr>
          <w:rFonts w:ascii="Times New Roman" w:hAnsi="Times New Roman" w:cs="Times New Roman"/>
          <w:i/>
          <w:iCs/>
          <w:sz w:val="28"/>
          <w:szCs w:val="28"/>
        </w:rPr>
        <w:t>endorsement</w:t>
      </w:r>
      <w:proofErr w:type="spellEnd"/>
      <w:r w:rsidRPr="0053175F">
        <w:rPr>
          <w:rFonts w:ascii="Times New Roman" w:hAnsi="Times New Roman" w:cs="Times New Roman"/>
          <w:i/>
          <w:iCs/>
          <w:sz w:val="28"/>
          <w:szCs w:val="28"/>
        </w:rPr>
        <w:t xml:space="preserve"> tra aziende e </w:t>
      </w:r>
      <w:proofErr w:type="spellStart"/>
      <w:r w:rsidRPr="0053175F">
        <w:rPr>
          <w:rFonts w:ascii="Times New Roman" w:hAnsi="Times New Roman" w:cs="Times New Roman"/>
          <w:i/>
          <w:iCs/>
          <w:sz w:val="28"/>
          <w:szCs w:val="28"/>
        </w:rPr>
        <w:t>influencers</w:t>
      </w:r>
      <w:proofErr w:type="spellEnd"/>
      <w:r w:rsidRPr="0053175F">
        <w:rPr>
          <w:rFonts w:ascii="Times New Roman" w:hAnsi="Times New Roman" w:cs="Times New Roman"/>
          <w:i/>
          <w:iCs/>
          <w:sz w:val="28"/>
          <w:szCs w:val="28"/>
        </w:rPr>
        <w:t>: profili giuridici e derive illecite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cyberlaws.it</w:t>
      </w:r>
      <w:r w:rsidRPr="0053175F">
        <w:rPr>
          <w:rFonts w:ascii="Times New Roman" w:hAnsi="Times New Roman" w:cs="Times New Roman"/>
          <w:sz w:val="28"/>
          <w:szCs w:val="28"/>
        </w:rPr>
        <w:t>, 21 maggio 2020.</w:t>
      </w:r>
    </w:p>
    <w:p w14:paraId="721A172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lang w:val="en-US"/>
        </w:rPr>
        <w:t>V. Mayer-</w:t>
      </w:r>
      <w:proofErr w:type="spellStart"/>
      <w:r w:rsidRPr="0053175F">
        <w:rPr>
          <w:rFonts w:ascii="Times New Roman" w:hAnsi="Times New Roman" w:cs="Times New Roman"/>
          <w:smallCaps/>
          <w:sz w:val="28"/>
          <w:szCs w:val="28"/>
          <w:lang w:val="en-US"/>
        </w:rPr>
        <w:t>Schoenberger</w:t>
      </w:r>
      <w:proofErr w:type="spellEnd"/>
      <w:r w:rsidRPr="0053175F">
        <w:rPr>
          <w:rFonts w:ascii="Times New Roman" w:hAnsi="Times New Roman" w:cs="Times New Roman"/>
          <w:smallCaps/>
          <w:sz w:val="28"/>
          <w:szCs w:val="28"/>
          <w:lang w:val="en-US"/>
        </w:rPr>
        <w:t xml:space="preserve">, K. </w:t>
      </w:r>
      <w:proofErr w:type="spellStart"/>
      <w:r w:rsidRPr="0053175F">
        <w:rPr>
          <w:rFonts w:ascii="Times New Roman" w:hAnsi="Times New Roman" w:cs="Times New Roman"/>
          <w:smallCaps/>
          <w:sz w:val="28"/>
          <w:szCs w:val="28"/>
          <w:lang w:val="en-US"/>
        </w:rPr>
        <w:t>Cukier</w:t>
      </w:r>
      <w:proofErr w:type="spellEnd"/>
      <w:r w:rsidRPr="0053175F">
        <w:rPr>
          <w:rFonts w:ascii="Times New Roman" w:hAnsi="Times New Roman" w:cs="Times New Roman"/>
          <w:smallCaps/>
          <w:sz w:val="28"/>
          <w:szCs w:val="28"/>
          <w:lang w:val="en-US"/>
        </w:rPr>
        <w:t xml:space="preserve">, </w:t>
      </w:r>
      <w:r w:rsidRPr="0053175F">
        <w:rPr>
          <w:rFonts w:ascii="Times New Roman" w:hAnsi="Times New Roman" w:cs="Times New Roman"/>
          <w:sz w:val="28"/>
          <w:szCs w:val="28"/>
          <w:lang w:val="en-US"/>
        </w:rPr>
        <w:t>“</w:t>
      </w:r>
      <w:r w:rsidRPr="0053175F">
        <w:rPr>
          <w:rFonts w:ascii="Times New Roman" w:hAnsi="Times New Roman" w:cs="Times New Roman"/>
          <w:i/>
          <w:iCs/>
          <w:sz w:val="28"/>
          <w:szCs w:val="28"/>
          <w:lang w:val="en-US"/>
        </w:rPr>
        <w:t xml:space="preserve">Big Data. </w:t>
      </w:r>
      <w:r w:rsidRPr="0053175F">
        <w:rPr>
          <w:rFonts w:ascii="Times New Roman" w:hAnsi="Times New Roman" w:cs="Times New Roman"/>
          <w:i/>
          <w:iCs/>
          <w:sz w:val="28"/>
          <w:szCs w:val="28"/>
        </w:rPr>
        <w:t>Una rivoluzione che trasformerà il nostro modo di vivere</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Garzanti,</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Milano, 2016.</w:t>
      </w:r>
    </w:p>
    <w:p w14:paraId="6DF650DC"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lastRenderedPageBreak/>
        <w:t xml:space="preserve">C. </w:t>
      </w:r>
      <w:proofErr w:type="spellStart"/>
      <w:r w:rsidRPr="0053175F">
        <w:rPr>
          <w:rFonts w:ascii="Times New Roman" w:hAnsi="Times New Roman" w:cs="Times New Roman"/>
          <w:smallCaps/>
          <w:sz w:val="28"/>
          <w:szCs w:val="28"/>
        </w:rPr>
        <w:t>Melzi</w:t>
      </w:r>
      <w:proofErr w:type="spellEnd"/>
      <w:r w:rsidRPr="0053175F">
        <w:rPr>
          <w:rFonts w:ascii="Times New Roman" w:hAnsi="Times New Roman" w:cs="Times New Roman"/>
          <w:smallCaps/>
          <w:sz w:val="28"/>
          <w:szCs w:val="28"/>
        </w:rPr>
        <w:t xml:space="preserve"> d’</w:t>
      </w:r>
      <w:proofErr w:type="spellStart"/>
      <w:r w:rsidRPr="0053175F">
        <w:rPr>
          <w:rFonts w:ascii="Times New Roman" w:hAnsi="Times New Roman" w:cs="Times New Roman"/>
          <w:smallCaps/>
          <w:sz w:val="28"/>
          <w:szCs w:val="28"/>
        </w:rPr>
        <w:t>Eril</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 Cassazione esclude l’estensione ai siti internet delle garanzie costituzionali previste per il sequestro di stampati</w:t>
      </w:r>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Dir. Pen. Uomo</w:t>
      </w:r>
      <w:r w:rsidRPr="0053175F">
        <w:rPr>
          <w:rFonts w:ascii="Times New Roman" w:hAnsi="Times New Roman" w:cs="Times New Roman"/>
          <w:sz w:val="28"/>
          <w:szCs w:val="28"/>
        </w:rPr>
        <w:t>, 2014.</w:t>
      </w:r>
    </w:p>
    <w:p w14:paraId="1D88FC23"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L. </w:t>
      </w:r>
      <w:proofErr w:type="spellStart"/>
      <w:r w:rsidRPr="0053175F">
        <w:rPr>
          <w:rFonts w:ascii="Times New Roman" w:hAnsi="Times New Roman" w:cs="Times New Roman"/>
          <w:smallCaps/>
          <w:sz w:val="28"/>
          <w:szCs w:val="28"/>
        </w:rPr>
        <w:t>Mischitelli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Intelligenza artificiale etica: ecco l’approccio “globale” Unesco (approvato anche dalla Cina)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agendadigitale.eu</w:t>
      </w:r>
      <w:r w:rsidRPr="0053175F">
        <w:rPr>
          <w:rFonts w:ascii="Times New Roman" w:hAnsi="Times New Roman" w:cs="Times New Roman"/>
          <w:sz w:val="28"/>
          <w:szCs w:val="28"/>
        </w:rPr>
        <w:t>.</w:t>
      </w:r>
    </w:p>
    <w:p w14:paraId="2B3D9A1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S. </w:t>
      </w:r>
      <w:proofErr w:type="spellStart"/>
      <w:r w:rsidRPr="0053175F">
        <w:rPr>
          <w:rFonts w:ascii="Times New Roman" w:hAnsi="Times New Roman" w:cs="Times New Roman"/>
          <w:smallCaps/>
          <w:sz w:val="28"/>
          <w:szCs w:val="28"/>
        </w:rPr>
        <w:t>Molfino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Vietato pubblicare le foto dei figli sui social network senza il consenso dell’altro genitore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Ilfamiliarista.it</w:t>
      </w:r>
      <w:r w:rsidRPr="0053175F">
        <w:rPr>
          <w:rFonts w:ascii="Times New Roman" w:hAnsi="Times New Roman" w:cs="Times New Roman"/>
          <w:sz w:val="28"/>
          <w:szCs w:val="28"/>
        </w:rPr>
        <w:t>, gennaio 2018.</w:t>
      </w:r>
    </w:p>
    <w:p w14:paraId="754C3F5C"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P. G. </w:t>
      </w:r>
      <w:proofErr w:type="spellStart"/>
      <w:r w:rsidRPr="0053175F">
        <w:rPr>
          <w:rFonts w:ascii="Times New Roman" w:hAnsi="Times New Roman" w:cs="Times New Roman"/>
          <w:smallCaps/>
          <w:sz w:val="28"/>
          <w:szCs w:val="28"/>
        </w:rPr>
        <w:t>Monateri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 responsabilità civile</w:t>
      </w:r>
      <w:r w:rsidRPr="0053175F">
        <w:rPr>
          <w:rFonts w:ascii="Times New Roman" w:hAnsi="Times New Roman" w:cs="Times New Roman"/>
          <w:sz w:val="28"/>
          <w:szCs w:val="28"/>
        </w:rPr>
        <w:t>”, Torino, 2006.</w:t>
      </w:r>
    </w:p>
    <w:p w14:paraId="0927ADA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L. </w:t>
      </w:r>
      <w:proofErr w:type="spellStart"/>
      <w:r w:rsidRPr="0053175F">
        <w:rPr>
          <w:rFonts w:ascii="Times New Roman" w:hAnsi="Times New Roman" w:cs="Times New Roman"/>
          <w:smallCaps/>
          <w:sz w:val="28"/>
          <w:szCs w:val="28"/>
        </w:rPr>
        <w:t>Morassutto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Omofobia e medioevo italiano</w:t>
      </w:r>
      <w:r w:rsidRPr="0053175F">
        <w:rPr>
          <w:rFonts w:ascii="Times New Roman" w:hAnsi="Times New Roman" w:cs="Times New Roman"/>
          <w:sz w:val="28"/>
          <w:szCs w:val="28"/>
        </w:rPr>
        <w:t xml:space="preserve">”, in </w:t>
      </w:r>
      <w:proofErr w:type="spellStart"/>
      <w:r w:rsidRPr="0053175F">
        <w:rPr>
          <w:rFonts w:ascii="Times New Roman" w:hAnsi="Times New Roman" w:cs="Times New Roman"/>
          <w:i/>
          <w:iCs/>
          <w:sz w:val="28"/>
          <w:szCs w:val="28"/>
        </w:rPr>
        <w:t>GenIus</w:t>
      </w:r>
      <w:proofErr w:type="spellEnd"/>
      <w:r w:rsidRPr="0053175F">
        <w:rPr>
          <w:rFonts w:ascii="Times New Roman" w:hAnsi="Times New Roman" w:cs="Times New Roman"/>
          <w:sz w:val="28"/>
          <w:szCs w:val="28"/>
        </w:rPr>
        <w:t>, 2015.</w:t>
      </w:r>
    </w:p>
    <w:p w14:paraId="523E860F"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eastAsia="Times New Roman" w:hAnsi="Times New Roman" w:cs="Times New Roman"/>
          <w:smallCaps/>
          <w:sz w:val="28"/>
          <w:szCs w:val="28"/>
        </w:rPr>
        <w:t>C. Morelli</w:t>
      </w:r>
      <w:r w:rsidRPr="0053175F">
        <w:rPr>
          <w:rFonts w:ascii="Times New Roman" w:eastAsia="Times New Roman" w:hAnsi="Times New Roman" w:cs="Times New Roman"/>
          <w:sz w:val="28"/>
          <w:szCs w:val="28"/>
        </w:rPr>
        <w:t>, “</w:t>
      </w:r>
      <w:r w:rsidRPr="0053175F">
        <w:rPr>
          <w:rFonts w:ascii="Times New Roman" w:eastAsia="Times New Roman" w:hAnsi="Times New Roman" w:cs="Times New Roman"/>
          <w:i/>
          <w:sz w:val="28"/>
          <w:szCs w:val="28"/>
        </w:rPr>
        <w:t>Dallo spazio economico europeo allo spazio comune dei data UE</w:t>
      </w:r>
      <w:r w:rsidRPr="0053175F">
        <w:rPr>
          <w:rFonts w:ascii="Times New Roman" w:eastAsia="Times New Roman" w:hAnsi="Times New Roman" w:cs="Times New Roman"/>
          <w:iCs/>
          <w:sz w:val="28"/>
          <w:szCs w:val="28"/>
        </w:rPr>
        <w:t>”,</w:t>
      </w:r>
      <w:r w:rsidRPr="0053175F">
        <w:rPr>
          <w:rFonts w:ascii="Times New Roman" w:eastAsia="Times New Roman" w:hAnsi="Times New Roman" w:cs="Times New Roman"/>
          <w:sz w:val="28"/>
          <w:szCs w:val="28"/>
        </w:rPr>
        <w:t xml:space="preserve"> in </w:t>
      </w:r>
      <w:r w:rsidRPr="0053175F">
        <w:rPr>
          <w:rFonts w:ascii="Times New Roman" w:eastAsia="Times New Roman" w:hAnsi="Times New Roman" w:cs="Times New Roman"/>
          <w:i/>
          <w:sz w:val="28"/>
          <w:szCs w:val="28"/>
        </w:rPr>
        <w:t>www.altalex.com</w:t>
      </w:r>
      <w:r w:rsidRPr="0053175F">
        <w:rPr>
          <w:rFonts w:ascii="Times New Roman" w:eastAsia="Times New Roman" w:hAnsi="Times New Roman" w:cs="Times New Roman"/>
          <w:sz w:val="28"/>
          <w:szCs w:val="28"/>
        </w:rPr>
        <w:t>, 22 marzo 2021.</w:t>
      </w:r>
    </w:p>
    <w:p w14:paraId="43A9E0D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A. Moretti</w:t>
      </w:r>
      <w:r w:rsidRPr="0053175F">
        <w:rPr>
          <w:rFonts w:ascii="Times New Roman" w:hAnsi="Times New Roman" w:cs="Times New Roman"/>
          <w:sz w:val="28"/>
          <w:szCs w:val="28"/>
        </w:rPr>
        <w:t>, “</w:t>
      </w:r>
      <w:r w:rsidRPr="0053175F">
        <w:rPr>
          <w:rFonts w:ascii="Times New Roman" w:hAnsi="Times New Roman" w:cs="Times New Roman"/>
          <w:i/>
          <w:iCs/>
          <w:sz w:val="28"/>
          <w:szCs w:val="28"/>
        </w:rPr>
        <w:t>Algoritmi e diritti fondamentali della persona. Il contributo del Regolamento UE 2016/679</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in “</w:t>
      </w:r>
      <w:r w:rsidRPr="0053175F">
        <w:rPr>
          <w:rFonts w:ascii="Times New Roman" w:hAnsi="Times New Roman" w:cs="Times New Roman"/>
          <w:i/>
          <w:iCs/>
          <w:sz w:val="28"/>
          <w:szCs w:val="28"/>
        </w:rPr>
        <w:t>Diritto dell’informazione e dell’Informatica</w:t>
      </w:r>
      <w:r w:rsidRPr="0053175F">
        <w:rPr>
          <w:rFonts w:ascii="Times New Roman" w:hAnsi="Times New Roman" w:cs="Times New Roman"/>
          <w:sz w:val="28"/>
          <w:szCs w:val="28"/>
        </w:rPr>
        <w:t>”, 2018</w:t>
      </w:r>
    </w:p>
    <w:p w14:paraId="6723677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L. Mumford</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Technics and Civilization</w:t>
      </w:r>
      <w:r w:rsidRPr="0053175F">
        <w:rPr>
          <w:rFonts w:ascii="Times New Roman" w:hAnsi="Times New Roman" w:cs="Times New Roman"/>
          <w:sz w:val="28"/>
          <w:szCs w:val="28"/>
          <w:lang w:val="en-US"/>
        </w:rPr>
        <w:t>”, 1961.</w:t>
      </w:r>
    </w:p>
    <w:p w14:paraId="5444B4B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G. Natale</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La Grande Sezione della Corte di Giustizia si è pronunciata sui poteri delle Autorità Nazionali nell’ambito del RGDP a fronte della gestione dei dati da parte dei colossi del web (C. </w:t>
      </w:r>
      <w:proofErr w:type="spellStart"/>
      <w:r w:rsidRPr="0053175F">
        <w:rPr>
          <w:rFonts w:ascii="Times New Roman" w:hAnsi="Times New Roman" w:cs="Times New Roman"/>
          <w:i/>
          <w:iCs/>
          <w:sz w:val="28"/>
          <w:szCs w:val="28"/>
        </w:rPr>
        <w:t>giust</w:t>
      </w:r>
      <w:proofErr w:type="spellEnd"/>
      <w:r w:rsidRPr="0053175F">
        <w:rPr>
          <w:rFonts w:ascii="Times New Roman" w:hAnsi="Times New Roman" w:cs="Times New Roman"/>
          <w:i/>
          <w:iCs/>
          <w:sz w:val="28"/>
          <w:szCs w:val="28"/>
        </w:rPr>
        <w:t>. UE, Grande Sezione, sentenza 15 giugno 2021, C-645/19)</w:t>
      </w:r>
      <w:r w:rsidRPr="0053175F">
        <w:rPr>
          <w:rFonts w:ascii="Times New Roman" w:hAnsi="Times New Roman" w:cs="Times New Roman"/>
          <w:sz w:val="28"/>
          <w:szCs w:val="28"/>
        </w:rPr>
        <w:t xml:space="preserve">”, su Rassegna Avvocatura dello Stato, </w:t>
      </w:r>
      <w:proofErr w:type="gramStart"/>
      <w:r w:rsidRPr="0053175F">
        <w:rPr>
          <w:rFonts w:ascii="Times New Roman" w:hAnsi="Times New Roman" w:cs="Times New Roman"/>
          <w:sz w:val="28"/>
          <w:szCs w:val="28"/>
        </w:rPr>
        <w:t>Gennaio</w:t>
      </w:r>
      <w:proofErr w:type="gramEnd"/>
      <w:r w:rsidRPr="0053175F">
        <w:rPr>
          <w:rFonts w:ascii="Times New Roman" w:hAnsi="Times New Roman" w:cs="Times New Roman"/>
          <w:sz w:val="28"/>
          <w:szCs w:val="28"/>
        </w:rPr>
        <w:t>-Marzo 2021.</w:t>
      </w:r>
    </w:p>
    <w:p w14:paraId="6AD4C53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A. </w:t>
      </w:r>
      <w:proofErr w:type="spellStart"/>
      <w:r w:rsidRPr="0053175F">
        <w:rPr>
          <w:rFonts w:ascii="Times New Roman" w:hAnsi="Times New Roman" w:cs="Times New Roman"/>
          <w:smallCaps/>
          <w:sz w:val="28"/>
          <w:szCs w:val="28"/>
        </w:rPr>
        <w:t>Natalini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Diritto all’immagine e pubblicazione di foto non autorizzata: per essere risarcita è la parte lesa che deve provare il pregiudizio economico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Diritto &amp; Giustizia</w:t>
      </w:r>
      <w:r w:rsidRPr="0053175F">
        <w:rPr>
          <w:rFonts w:ascii="Times New Roman" w:hAnsi="Times New Roman" w:cs="Times New Roman"/>
          <w:sz w:val="28"/>
          <w:szCs w:val="28"/>
        </w:rPr>
        <w:t>, fasc. 0, 2010.</w:t>
      </w:r>
    </w:p>
    <w:p w14:paraId="7F9DA8F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A. Nelson, T. L. Nguyen Tu </w:t>
      </w:r>
      <w:r w:rsidRPr="0053175F">
        <w:rPr>
          <w:rFonts w:ascii="Times New Roman" w:hAnsi="Times New Roman" w:cs="Times New Roman"/>
          <w:sz w:val="28"/>
          <w:szCs w:val="28"/>
          <w:lang w:val="en-US"/>
        </w:rPr>
        <w:t xml:space="preserve">e </w:t>
      </w:r>
      <w:r w:rsidRPr="0053175F">
        <w:rPr>
          <w:rFonts w:ascii="Times New Roman" w:hAnsi="Times New Roman" w:cs="Times New Roman"/>
          <w:smallCaps/>
          <w:sz w:val="28"/>
          <w:szCs w:val="28"/>
          <w:lang w:val="en-US"/>
        </w:rPr>
        <w:t xml:space="preserve">A. </w:t>
      </w:r>
      <w:proofErr w:type="spellStart"/>
      <w:r w:rsidRPr="0053175F">
        <w:rPr>
          <w:rFonts w:ascii="Times New Roman" w:hAnsi="Times New Roman" w:cs="Times New Roman"/>
          <w:smallCaps/>
          <w:sz w:val="28"/>
          <w:szCs w:val="28"/>
          <w:lang w:val="en-US"/>
        </w:rPr>
        <w:t>Headlam</w:t>
      </w:r>
      <w:proofErr w:type="spellEnd"/>
      <w:r w:rsidRPr="0053175F">
        <w:rPr>
          <w:rFonts w:ascii="Times New Roman" w:hAnsi="Times New Roman" w:cs="Times New Roman"/>
          <w:smallCaps/>
          <w:sz w:val="28"/>
          <w:szCs w:val="28"/>
          <w:lang w:val="en-US"/>
        </w:rPr>
        <w:t xml:space="preserve"> Hines, </w:t>
      </w:r>
      <w:r w:rsidRPr="0053175F">
        <w:rPr>
          <w:rFonts w:ascii="Times New Roman" w:hAnsi="Times New Roman" w:cs="Times New Roman"/>
          <w:sz w:val="28"/>
          <w:szCs w:val="28"/>
          <w:lang w:val="en-US"/>
        </w:rPr>
        <w:t>“</w:t>
      </w:r>
      <w:r w:rsidRPr="0053175F">
        <w:rPr>
          <w:rFonts w:ascii="Times New Roman" w:hAnsi="Times New Roman" w:cs="Times New Roman"/>
          <w:i/>
          <w:iCs/>
          <w:sz w:val="28"/>
          <w:szCs w:val="28"/>
          <w:lang w:val="en-US"/>
        </w:rPr>
        <w:t>Technicolor. Race, Technology, and Everyday Life</w:t>
      </w:r>
      <w:r w:rsidRPr="0053175F">
        <w:rPr>
          <w:rFonts w:ascii="Times New Roman" w:hAnsi="Times New Roman" w:cs="Times New Roman"/>
          <w:sz w:val="28"/>
          <w:szCs w:val="28"/>
          <w:lang w:val="en-US"/>
        </w:rPr>
        <w:t>”, 2001.</w:t>
      </w:r>
    </w:p>
    <w:p w14:paraId="5E66EB9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eastAsia="Times New Roman" w:hAnsi="Times New Roman" w:cs="Times New Roman"/>
          <w:smallCaps/>
          <w:sz w:val="28"/>
          <w:szCs w:val="28"/>
        </w:rPr>
        <w:t>W. Nonnis</w:t>
      </w:r>
      <w:r w:rsidRPr="0053175F">
        <w:rPr>
          <w:rFonts w:ascii="Times New Roman" w:eastAsia="Times New Roman" w:hAnsi="Times New Roman" w:cs="Times New Roman"/>
          <w:sz w:val="28"/>
          <w:szCs w:val="28"/>
        </w:rPr>
        <w:t>, “</w:t>
      </w:r>
      <w:proofErr w:type="spellStart"/>
      <w:r w:rsidRPr="0053175F">
        <w:rPr>
          <w:rFonts w:ascii="Times New Roman" w:eastAsia="Times New Roman" w:hAnsi="Times New Roman" w:cs="Times New Roman"/>
          <w:i/>
          <w:sz w:val="28"/>
          <w:szCs w:val="28"/>
        </w:rPr>
        <w:t>Blockchain</w:t>
      </w:r>
      <w:proofErr w:type="spellEnd"/>
      <w:r w:rsidRPr="0053175F">
        <w:rPr>
          <w:rFonts w:ascii="Times New Roman" w:eastAsia="Times New Roman" w:hAnsi="Times New Roman" w:cs="Times New Roman"/>
          <w:i/>
          <w:sz w:val="28"/>
          <w:szCs w:val="28"/>
        </w:rPr>
        <w:t>, il suo contributo durante la pandemia</w:t>
      </w:r>
      <w:r w:rsidRPr="0053175F">
        <w:rPr>
          <w:rFonts w:ascii="Times New Roman" w:eastAsia="Times New Roman" w:hAnsi="Times New Roman" w:cs="Times New Roman"/>
          <w:iCs/>
          <w:sz w:val="28"/>
          <w:szCs w:val="28"/>
        </w:rPr>
        <w:t>”,</w:t>
      </w:r>
      <w:r w:rsidRPr="0053175F">
        <w:rPr>
          <w:rFonts w:ascii="Times New Roman" w:eastAsia="Times New Roman" w:hAnsi="Times New Roman" w:cs="Times New Roman"/>
          <w:sz w:val="28"/>
          <w:szCs w:val="28"/>
        </w:rPr>
        <w:t xml:space="preserve"> in </w:t>
      </w:r>
      <w:r w:rsidRPr="0053175F">
        <w:rPr>
          <w:rFonts w:ascii="Times New Roman" w:eastAsia="Times New Roman" w:hAnsi="Times New Roman" w:cs="Times New Roman"/>
          <w:i/>
          <w:iCs/>
          <w:sz w:val="28"/>
          <w:szCs w:val="28"/>
        </w:rPr>
        <w:t>www.blockchain4innovation.it</w:t>
      </w:r>
      <w:r w:rsidRPr="0053175F">
        <w:rPr>
          <w:rFonts w:ascii="Times New Roman" w:eastAsia="Times New Roman" w:hAnsi="Times New Roman" w:cs="Times New Roman"/>
          <w:sz w:val="28"/>
          <w:szCs w:val="28"/>
        </w:rPr>
        <w:t>, 19 aprile 2021.</w:t>
      </w:r>
    </w:p>
    <w:p w14:paraId="2D699338"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E. Nunziante</w:t>
      </w:r>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Influencer</w:t>
      </w:r>
      <w:proofErr w:type="spellEnd"/>
      <w:r w:rsidRPr="0053175F">
        <w:rPr>
          <w:rFonts w:ascii="Times New Roman" w:hAnsi="Times New Roman" w:cs="Times New Roman"/>
          <w:i/>
          <w:iCs/>
          <w:sz w:val="28"/>
          <w:szCs w:val="28"/>
        </w:rPr>
        <w:t xml:space="preserve"> e pubblicità, quale trasparenza: che fare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agendadigitale.eu</w:t>
      </w:r>
      <w:r w:rsidRPr="0053175F">
        <w:rPr>
          <w:rFonts w:ascii="Times New Roman" w:hAnsi="Times New Roman" w:cs="Times New Roman"/>
          <w:sz w:val="28"/>
          <w:szCs w:val="28"/>
        </w:rPr>
        <w:t>, 30 ottobre 2019.</w:t>
      </w:r>
    </w:p>
    <w:p w14:paraId="46419320"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lang w:val="en-US"/>
        </w:rPr>
      </w:pPr>
      <w:r w:rsidRPr="0053175F">
        <w:rPr>
          <w:rFonts w:ascii="Times New Roman" w:hAnsi="Times New Roman" w:cs="Times New Roman"/>
          <w:smallCaps/>
          <w:sz w:val="28"/>
          <w:szCs w:val="28"/>
          <w:lang w:val="en-US"/>
        </w:rPr>
        <w:t>D. Ormerod</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Voyeurism: Elements of Offence-Privacy-Reasonable Expectation of Privacy</w:t>
      </w:r>
      <w:r w:rsidRPr="0053175F">
        <w:rPr>
          <w:rFonts w:ascii="Times New Roman" w:hAnsi="Times New Roman" w:cs="Times New Roman"/>
          <w:sz w:val="28"/>
          <w:szCs w:val="28"/>
          <w:lang w:val="en-US"/>
        </w:rPr>
        <w:t xml:space="preserve">”, in </w:t>
      </w:r>
      <w:proofErr w:type="spellStart"/>
      <w:r w:rsidRPr="0053175F">
        <w:rPr>
          <w:rFonts w:ascii="Times New Roman" w:hAnsi="Times New Roman" w:cs="Times New Roman"/>
          <w:i/>
          <w:iCs/>
          <w:sz w:val="28"/>
          <w:szCs w:val="28"/>
          <w:lang w:val="en-US"/>
        </w:rPr>
        <w:t>CrimLawReview</w:t>
      </w:r>
      <w:proofErr w:type="spellEnd"/>
      <w:r w:rsidRPr="0053175F">
        <w:rPr>
          <w:rFonts w:ascii="Times New Roman" w:hAnsi="Times New Roman" w:cs="Times New Roman"/>
          <w:sz w:val="28"/>
          <w:szCs w:val="28"/>
          <w:lang w:val="en-US"/>
        </w:rPr>
        <w:t>, 2008.</w:t>
      </w:r>
    </w:p>
    <w:p w14:paraId="5CB60CE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P. Otranto</w:t>
      </w:r>
      <w:r w:rsidRPr="0053175F">
        <w:rPr>
          <w:rFonts w:ascii="Times New Roman" w:hAnsi="Times New Roman" w:cs="Times New Roman"/>
          <w:sz w:val="28"/>
          <w:szCs w:val="28"/>
        </w:rPr>
        <w:t>, “</w:t>
      </w:r>
      <w:r w:rsidRPr="0053175F">
        <w:rPr>
          <w:rFonts w:ascii="Times New Roman" w:hAnsi="Times New Roman" w:cs="Times New Roman"/>
          <w:i/>
          <w:iCs/>
          <w:sz w:val="28"/>
          <w:szCs w:val="28"/>
        </w:rPr>
        <w:t>Decisione amministrativa e digitalizzazione della p.a.</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in</w:t>
      </w:r>
      <w:r w:rsidRPr="0053175F">
        <w:rPr>
          <w:rFonts w:ascii="Times New Roman" w:hAnsi="Times New Roman" w:cs="Times New Roman"/>
          <w:i/>
          <w:iCs/>
          <w:sz w:val="28"/>
          <w:szCs w:val="28"/>
        </w:rPr>
        <w:t xml:space="preserve"> federalismi.it.</w:t>
      </w:r>
    </w:p>
    <w:p w14:paraId="4F1A422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lastRenderedPageBreak/>
        <w:t xml:space="preserve">U. </w:t>
      </w:r>
      <w:proofErr w:type="spellStart"/>
      <w:r w:rsidRPr="0053175F">
        <w:rPr>
          <w:rFonts w:ascii="Times New Roman" w:hAnsi="Times New Roman" w:cs="Times New Roman"/>
          <w:smallCaps/>
          <w:sz w:val="28"/>
          <w:szCs w:val="28"/>
          <w:lang w:val="en-US"/>
        </w:rPr>
        <w:t>Pagallo</w:t>
      </w:r>
      <w:proofErr w:type="spellEnd"/>
      <w:r w:rsidRPr="0053175F">
        <w:rPr>
          <w:rFonts w:ascii="Times New Roman" w:hAnsi="Times New Roman" w:cs="Times New Roman"/>
          <w:smallCaps/>
          <w:sz w:val="28"/>
          <w:szCs w:val="28"/>
          <w:lang w:val="en-US"/>
        </w:rPr>
        <w:t xml:space="preserve">, S. </w:t>
      </w:r>
      <w:proofErr w:type="spellStart"/>
      <w:r w:rsidRPr="0053175F">
        <w:rPr>
          <w:rFonts w:ascii="Times New Roman" w:hAnsi="Times New Roman" w:cs="Times New Roman"/>
          <w:smallCaps/>
          <w:sz w:val="28"/>
          <w:szCs w:val="28"/>
          <w:lang w:val="en-US"/>
        </w:rPr>
        <w:t>Quattrocolo</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 xml:space="preserve">The impact of AI on criminal law, and its </w:t>
      </w:r>
      <w:proofErr w:type="gramStart"/>
      <w:r w:rsidRPr="0053175F">
        <w:rPr>
          <w:rFonts w:ascii="Times New Roman" w:hAnsi="Times New Roman" w:cs="Times New Roman"/>
          <w:i/>
          <w:iCs/>
          <w:sz w:val="28"/>
          <w:szCs w:val="28"/>
          <w:lang w:val="en-US"/>
        </w:rPr>
        <w:t>two fold</w:t>
      </w:r>
      <w:proofErr w:type="gramEnd"/>
      <w:r w:rsidRPr="0053175F">
        <w:rPr>
          <w:rFonts w:ascii="Times New Roman" w:hAnsi="Times New Roman" w:cs="Times New Roman"/>
          <w:i/>
          <w:iCs/>
          <w:sz w:val="28"/>
          <w:szCs w:val="28"/>
          <w:lang w:val="en-US"/>
        </w:rPr>
        <w:t xml:space="preserve"> procedures</w:t>
      </w:r>
      <w:r w:rsidRPr="0053175F">
        <w:rPr>
          <w:rFonts w:ascii="Times New Roman" w:hAnsi="Times New Roman" w:cs="Times New Roman"/>
          <w:sz w:val="28"/>
          <w:szCs w:val="28"/>
          <w:lang w:val="en-US"/>
        </w:rPr>
        <w:t xml:space="preserve">”, in </w:t>
      </w:r>
      <w:r w:rsidRPr="0053175F">
        <w:rPr>
          <w:rFonts w:ascii="Times New Roman" w:hAnsi="Times New Roman" w:cs="Times New Roman"/>
          <w:smallCaps/>
          <w:sz w:val="28"/>
          <w:szCs w:val="28"/>
          <w:lang w:val="en-US"/>
        </w:rPr>
        <w:t xml:space="preserve">W. Barfield, U. </w:t>
      </w:r>
      <w:proofErr w:type="spellStart"/>
      <w:r w:rsidRPr="0053175F">
        <w:rPr>
          <w:rFonts w:ascii="Times New Roman" w:hAnsi="Times New Roman" w:cs="Times New Roman"/>
          <w:smallCaps/>
          <w:sz w:val="28"/>
          <w:szCs w:val="28"/>
          <w:lang w:val="en-US"/>
        </w:rPr>
        <w:t>Pagallo</w:t>
      </w:r>
      <w:proofErr w:type="spellEnd"/>
      <w:r w:rsidRPr="0053175F">
        <w:rPr>
          <w:rFonts w:ascii="Times New Roman" w:hAnsi="Times New Roman" w:cs="Times New Roman"/>
          <w:sz w:val="28"/>
          <w:szCs w:val="28"/>
          <w:lang w:val="en-US"/>
        </w:rPr>
        <w:t xml:space="preserve"> (a </w:t>
      </w:r>
      <w:proofErr w:type="spellStart"/>
      <w:r w:rsidRPr="0053175F">
        <w:rPr>
          <w:rFonts w:ascii="Times New Roman" w:hAnsi="Times New Roman" w:cs="Times New Roman"/>
          <w:sz w:val="28"/>
          <w:szCs w:val="28"/>
          <w:lang w:val="en-US"/>
        </w:rPr>
        <w:t>cura</w:t>
      </w:r>
      <w:proofErr w:type="spellEnd"/>
      <w:r w:rsidRPr="0053175F">
        <w:rPr>
          <w:rFonts w:ascii="Times New Roman" w:hAnsi="Times New Roman" w:cs="Times New Roman"/>
          <w:sz w:val="28"/>
          <w:szCs w:val="28"/>
          <w:lang w:val="en-US"/>
        </w:rPr>
        <w:t xml:space="preserve"> di), “</w:t>
      </w:r>
      <w:r w:rsidRPr="0053175F">
        <w:rPr>
          <w:rFonts w:ascii="Times New Roman" w:hAnsi="Times New Roman" w:cs="Times New Roman"/>
          <w:i/>
          <w:iCs/>
          <w:sz w:val="28"/>
          <w:szCs w:val="28"/>
          <w:lang w:val="en-US"/>
        </w:rPr>
        <w:t>Research Handbook on the Law of Artificial Intelligence</w:t>
      </w:r>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Edward Elgar Pub</w:t>
      </w:r>
      <w:r w:rsidRPr="0053175F">
        <w:rPr>
          <w:rFonts w:ascii="Times New Roman" w:hAnsi="Times New Roman" w:cs="Times New Roman"/>
          <w:sz w:val="28"/>
          <w:szCs w:val="28"/>
          <w:lang w:val="en-US"/>
        </w:rPr>
        <w:t>, 2018.</w:t>
      </w:r>
    </w:p>
    <w:p w14:paraId="3D67ACA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E. Palazzolo,</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 xml:space="preserve">Libertà di espressione, </w:t>
      </w:r>
      <w:proofErr w:type="spellStart"/>
      <w:r w:rsidRPr="0053175F">
        <w:rPr>
          <w:rFonts w:ascii="Times New Roman" w:hAnsi="Times New Roman" w:cs="Times New Roman"/>
          <w:i/>
          <w:iCs/>
          <w:sz w:val="28"/>
          <w:szCs w:val="28"/>
        </w:rPr>
        <w:t>Facebook</w:t>
      </w:r>
      <w:proofErr w:type="spellEnd"/>
      <w:r w:rsidRPr="0053175F">
        <w:rPr>
          <w:rFonts w:ascii="Times New Roman" w:hAnsi="Times New Roman" w:cs="Times New Roman"/>
          <w:i/>
          <w:iCs/>
          <w:sz w:val="28"/>
          <w:szCs w:val="28"/>
        </w:rPr>
        <w:t xml:space="preserve"> e movimenti di estrema destra: provvedimenti a confronto</w:t>
      </w:r>
      <w:r w:rsidRPr="0053175F">
        <w:rPr>
          <w:rFonts w:ascii="Times New Roman" w:hAnsi="Times New Roman" w:cs="Times New Roman"/>
          <w:sz w:val="28"/>
          <w:szCs w:val="28"/>
        </w:rPr>
        <w:t>”, 2020.</w:t>
      </w:r>
    </w:p>
    <w:p w14:paraId="4D57532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C. Pappalardo</w:t>
      </w:r>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Influencer</w:t>
      </w:r>
      <w:proofErr w:type="spellEnd"/>
      <w:r w:rsidRPr="0053175F">
        <w:rPr>
          <w:rFonts w:ascii="Times New Roman" w:hAnsi="Times New Roman" w:cs="Times New Roman"/>
          <w:i/>
          <w:iCs/>
          <w:sz w:val="28"/>
          <w:szCs w:val="28"/>
        </w:rPr>
        <w:t xml:space="preserve"> e Autodisciplina pubblicitaria – prime applicazioni della Digital Chart</w:t>
      </w:r>
      <w:r w:rsidRPr="0053175F">
        <w:rPr>
          <w:rFonts w:ascii="Times New Roman" w:hAnsi="Times New Roman" w:cs="Times New Roman"/>
          <w:sz w:val="28"/>
          <w:szCs w:val="28"/>
        </w:rPr>
        <w:t xml:space="preserve">”, su </w:t>
      </w:r>
      <w:proofErr w:type="spellStart"/>
      <w:r w:rsidRPr="0053175F">
        <w:rPr>
          <w:rFonts w:ascii="Times New Roman" w:hAnsi="Times New Roman" w:cs="Times New Roman"/>
          <w:i/>
          <w:iCs/>
          <w:sz w:val="28"/>
          <w:szCs w:val="28"/>
        </w:rPr>
        <w:t>DeJure</w:t>
      </w:r>
      <w:proofErr w:type="spellEnd"/>
      <w:r w:rsidRPr="0053175F">
        <w:rPr>
          <w:rFonts w:ascii="Times New Roman" w:hAnsi="Times New Roman" w:cs="Times New Roman"/>
          <w:sz w:val="28"/>
          <w:szCs w:val="28"/>
        </w:rPr>
        <w:t>.</w:t>
      </w:r>
    </w:p>
    <w:p w14:paraId="2A1D6911"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L. Pardo</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Il </w:t>
      </w:r>
      <w:proofErr w:type="spellStart"/>
      <w:r w:rsidRPr="0053175F">
        <w:rPr>
          <w:rFonts w:ascii="Times New Roman" w:hAnsi="Times New Roman" w:cs="Times New Roman"/>
          <w:i/>
          <w:iCs/>
          <w:sz w:val="28"/>
          <w:szCs w:val="28"/>
        </w:rPr>
        <w:t>metaverso</w:t>
      </w:r>
      <w:proofErr w:type="spellEnd"/>
      <w:r w:rsidRPr="0053175F">
        <w:rPr>
          <w:rFonts w:ascii="Times New Roman" w:hAnsi="Times New Roman" w:cs="Times New Roman"/>
          <w:i/>
          <w:iCs/>
          <w:sz w:val="28"/>
          <w:szCs w:val="28"/>
        </w:rPr>
        <w:t xml:space="preserve"> spalanca nuove frontiere dell’economia. E delle regole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wired.it</w:t>
      </w:r>
      <w:r w:rsidRPr="0053175F">
        <w:rPr>
          <w:rFonts w:ascii="Times New Roman" w:hAnsi="Times New Roman" w:cs="Times New Roman"/>
          <w:sz w:val="28"/>
          <w:szCs w:val="28"/>
        </w:rPr>
        <w:t>.</w:t>
      </w:r>
    </w:p>
    <w:p w14:paraId="4554749C"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C. Parodi</w:t>
      </w:r>
      <w:r w:rsidRPr="0053175F">
        <w:rPr>
          <w:rFonts w:ascii="Times New Roman" w:hAnsi="Times New Roman" w:cs="Times New Roman"/>
          <w:sz w:val="28"/>
          <w:szCs w:val="28"/>
        </w:rPr>
        <w:t>, “</w:t>
      </w:r>
      <w:r w:rsidRPr="0053175F">
        <w:rPr>
          <w:rFonts w:ascii="Times New Roman" w:hAnsi="Times New Roman" w:cs="Times New Roman"/>
          <w:i/>
          <w:iCs/>
          <w:sz w:val="28"/>
          <w:szCs w:val="28"/>
        </w:rPr>
        <w:t>Sottratto al P.M. il potere di richiedere autonomamente i tabulati</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ilpenalista.it</w:t>
      </w:r>
      <w:r w:rsidRPr="0053175F">
        <w:rPr>
          <w:rFonts w:ascii="Times New Roman" w:hAnsi="Times New Roman" w:cs="Times New Roman"/>
          <w:sz w:val="28"/>
          <w:szCs w:val="28"/>
        </w:rPr>
        <w:t>, 1° ottobre 2021.</w:t>
      </w:r>
    </w:p>
    <w:p w14:paraId="540A70C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C. Parodi</w:t>
      </w:r>
      <w:r w:rsidRPr="0053175F">
        <w:rPr>
          <w:rFonts w:ascii="Times New Roman" w:hAnsi="Times New Roman" w:cs="Times New Roman"/>
          <w:sz w:val="28"/>
          <w:szCs w:val="28"/>
        </w:rPr>
        <w:t>, “</w:t>
      </w:r>
      <w:r w:rsidRPr="0053175F">
        <w:rPr>
          <w:rFonts w:ascii="Times New Roman" w:hAnsi="Times New Roman" w:cs="Times New Roman"/>
          <w:i/>
          <w:iCs/>
          <w:sz w:val="28"/>
          <w:szCs w:val="28"/>
        </w:rPr>
        <w:t>Tabulati telefonici e contrasti interpretativi: come sopravvivere in attesa di una nuova legge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ilpenalista.it</w:t>
      </w:r>
      <w:r w:rsidRPr="0053175F">
        <w:rPr>
          <w:rFonts w:ascii="Times New Roman" w:hAnsi="Times New Roman" w:cs="Times New Roman"/>
          <w:sz w:val="28"/>
          <w:szCs w:val="28"/>
        </w:rPr>
        <w:t>, 3 maggio 2021.</w:t>
      </w:r>
    </w:p>
    <w:p w14:paraId="2F95F9B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C. Parodi</w:t>
      </w:r>
      <w:r w:rsidRPr="0053175F">
        <w:rPr>
          <w:rFonts w:ascii="Times New Roman" w:hAnsi="Times New Roman" w:cs="Times New Roman"/>
          <w:sz w:val="28"/>
          <w:szCs w:val="28"/>
        </w:rPr>
        <w:t>, “</w:t>
      </w:r>
      <w:r w:rsidRPr="0053175F">
        <w:rPr>
          <w:rFonts w:ascii="Times New Roman" w:hAnsi="Times New Roman" w:cs="Times New Roman"/>
          <w:i/>
          <w:iCs/>
          <w:sz w:val="28"/>
          <w:szCs w:val="28"/>
        </w:rPr>
        <w:t>Tabulati telefonici: la Suprema Corte si esprime dopo le indicazioni della CGUE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ilpenalista.it</w:t>
      </w:r>
      <w:r w:rsidRPr="0053175F">
        <w:rPr>
          <w:rFonts w:ascii="Times New Roman" w:hAnsi="Times New Roman" w:cs="Times New Roman"/>
          <w:sz w:val="28"/>
          <w:szCs w:val="28"/>
        </w:rPr>
        <w:t>, 5 agosto 2021.</w:t>
      </w:r>
    </w:p>
    <w:p w14:paraId="2799660E"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lang w:val="en-US"/>
        </w:rPr>
      </w:pPr>
      <w:r w:rsidRPr="0053175F">
        <w:rPr>
          <w:rFonts w:ascii="Times New Roman" w:hAnsi="Times New Roman" w:cs="Times New Roman"/>
          <w:smallCaps/>
          <w:sz w:val="28"/>
          <w:szCs w:val="28"/>
          <w:lang w:val="en-US"/>
        </w:rPr>
        <w:t xml:space="preserve">L. </w:t>
      </w:r>
      <w:proofErr w:type="spellStart"/>
      <w:r w:rsidRPr="0053175F">
        <w:rPr>
          <w:rFonts w:ascii="Times New Roman" w:hAnsi="Times New Roman" w:cs="Times New Roman"/>
          <w:smallCaps/>
          <w:sz w:val="28"/>
          <w:szCs w:val="28"/>
          <w:lang w:val="en-US"/>
        </w:rPr>
        <w:t>Pasculli</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Genetics, Robotics and Crime Prevention</w:t>
      </w:r>
      <w:r w:rsidRPr="0053175F">
        <w:rPr>
          <w:rFonts w:ascii="Times New Roman" w:hAnsi="Times New Roman" w:cs="Times New Roman"/>
          <w:sz w:val="28"/>
          <w:szCs w:val="28"/>
          <w:lang w:val="en-US"/>
        </w:rPr>
        <w:t>”.</w:t>
      </w:r>
    </w:p>
    <w:p w14:paraId="42ECDDA2"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lang w:val="en-US"/>
        </w:rPr>
      </w:pPr>
      <w:r w:rsidRPr="0053175F">
        <w:rPr>
          <w:rFonts w:ascii="Times New Roman" w:hAnsi="Times New Roman" w:cs="Times New Roman"/>
          <w:smallCaps/>
          <w:sz w:val="28"/>
          <w:szCs w:val="28"/>
          <w:lang w:val="en-US"/>
        </w:rPr>
        <w:t>F. Pasquale,</w:t>
      </w:r>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The Black Box Society. The secret Algorithms that Control Money and Information</w:t>
      </w:r>
      <w:r w:rsidRPr="0053175F">
        <w:rPr>
          <w:rFonts w:ascii="Times New Roman" w:hAnsi="Times New Roman" w:cs="Times New Roman"/>
          <w:sz w:val="28"/>
          <w:szCs w:val="28"/>
          <w:lang w:val="en-US"/>
        </w:rPr>
        <w:t>”, Cambridge – Ma 2015.</w:t>
      </w:r>
    </w:p>
    <w:p w14:paraId="13FF72AF"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N. </w:t>
      </w:r>
      <w:proofErr w:type="spellStart"/>
      <w:r w:rsidRPr="0053175F">
        <w:rPr>
          <w:rFonts w:ascii="Times New Roman" w:hAnsi="Times New Roman" w:cs="Times New Roman"/>
          <w:smallCaps/>
          <w:sz w:val="28"/>
          <w:szCs w:val="28"/>
        </w:rPr>
        <w:t>Patrignani</w:t>
      </w:r>
      <w:proofErr w:type="spellEnd"/>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Metaverso</w:t>
      </w:r>
      <w:proofErr w:type="spellEnd"/>
      <w:r w:rsidRPr="0053175F">
        <w:rPr>
          <w:rFonts w:ascii="Times New Roman" w:hAnsi="Times New Roman" w:cs="Times New Roman"/>
          <w:i/>
          <w:iCs/>
          <w:sz w:val="28"/>
          <w:szCs w:val="28"/>
        </w:rPr>
        <w:t>, rischio di un nuovo Medioevo digitale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agendadigitale.eu.</w:t>
      </w:r>
    </w:p>
    <w:p w14:paraId="49DF6D74"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hAnsi="Times New Roman" w:cs="Times New Roman"/>
          <w:smallCaps/>
          <w:sz w:val="28"/>
          <w:szCs w:val="28"/>
        </w:rPr>
        <w:t>F. Patroni Griffi</w:t>
      </w:r>
      <w:r w:rsidRPr="0053175F">
        <w:rPr>
          <w:rFonts w:ascii="Times New Roman" w:hAnsi="Times New Roman" w:cs="Times New Roman"/>
          <w:i/>
          <w:iCs/>
          <w:sz w:val="28"/>
          <w:szCs w:val="28"/>
        </w:rPr>
        <w:t>, “La decisione robotica e il giudice amministrativo</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 xml:space="preserve">in </w:t>
      </w:r>
      <w:r w:rsidRPr="0053175F">
        <w:rPr>
          <w:rFonts w:ascii="Times New Roman" w:hAnsi="Times New Roman" w:cs="Times New Roman"/>
          <w:i/>
          <w:iCs/>
          <w:sz w:val="28"/>
          <w:szCs w:val="28"/>
        </w:rPr>
        <w:t>giustizia-amministrativa.it.</w:t>
      </w:r>
    </w:p>
    <w:p w14:paraId="1B76D8BB"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 xml:space="preserve">M. </w:t>
      </w:r>
      <w:proofErr w:type="spellStart"/>
      <w:r w:rsidRPr="0053175F">
        <w:rPr>
          <w:rFonts w:ascii="Times New Roman" w:hAnsi="Times New Roman" w:cs="Times New Roman"/>
          <w:smallCaps/>
          <w:sz w:val="28"/>
          <w:szCs w:val="28"/>
        </w:rPr>
        <w:t>Pelissero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 parola pericolosa. Il confine incerto del controllo penale del dissenso</w:t>
      </w:r>
      <w:r w:rsidRPr="0053175F">
        <w:rPr>
          <w:rFonts w:ascii="Times New Roman" w:hAnsi="Times New Roman" w:cs="Times New Roman"/>
          <w:sz w:val="28"/>
          <w:szCs w:val="28"/>
        </w:rPr>
        <w:t xml:space="preserve">”, in </w:t>
      </w:r>
      <w:proofErr w:type="spellStart"/>
      <w:r w:rsidRPr="0053175F">
        <w:rPr>
          <w:rFonts w:ascii="Times New Roman" w:hAnsi="Times New Roman" w:cs="Times New Roman"/>
          <w:i/>
          <w:iCs/>
          <w:sz w:val="28"/>
          <w:szCs w:val="28"/>
        </w:rPr>
        <w:t>QuestG</w:t>
      </w:r>
      <w:proofErr w:type="spellEnd"/>
      <w:r w:rsidRPr="0053175F">
        <w:rPr>
          <w:rFonts w:ascii="Times New Roman" w:hAnsi="Times New Roman" w:cs="Times New Roman"/>
          <w:sz w:val="28"/>
          <w:szCs w:val="28"/>
        </w:rPr>
        <w:t>, 2015.</w:t>
      </w:r>
    </w:p>
    <w:p w14:paraId="39652C6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M. </w:t>
      </w:r>
      <w:proofErr w:type="spellStart"/>
      <w:r w:rsidRPr="0053175F">
        <w:rPr>
          <w:rFonts w:ascii="Times New Roman" w:hAnsi="Times New Roman" w:cs="Times New Roman"/>
          <w:smallCaps/>
          <w:sz w:val="28"/>
          <w:szCs w:val="28"/>
        </w:rPr>
        <w:t>Pelissero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Omofobia e plausibilità dell’intervento penale</w:t>
      </w:r>
      <w:r w:rsidRPr="0053175F">
        <w:rPr>
          <w:rFonts w:ascii="Times New Roman" w:hAnsi="Times New Roman" w:cs="Times New Roman"/>
          <w:sz w:val="28"/>
          <w:szCs w:val="28"/>
        </w:rPr>
        <w:t xml:space="preserve">”, in </w:t>
      </w:r>
      <w:proofErr w:type="spellStart"/>
      <w:r w:rsidRPr="0053175F">
        <w:rPr>
          <w:rFonts w:ascii="Times New Roman" w:hAnsi="Times New Roman" w:cs="Times New Roman"/>
          <w:i/>
          <w:iCs/>
          <w:sz w:val="28"/>
          <w:szCs w:val="28"/>
        </w:rPr>
        <w:t>GenIus</w:t>
      </w:r>
      <w:proofErr w:type="spellEnd"/>
      <w:r w:rsidRPr="0053175F">
        <w:rPr>
          <w:rFonts w:ascii="Times New Roman" w:hAnsi="Times New Roman" w:cs="Times New Roman"/>
          <w:sz w:val="28"/>
          <w:szCs w:val="28"/>
        </w:rPr>
        <w:t>, 2015.</w:t>
      </w:r>
    </w:p>
    <w:p w14:paraId="7964C37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R. Pelliccia</w:t>
      </w:r>
      <w:r w:rsidRPr="0053175F">
        <w:rPr>
          <w:rFonts w:ascii="Times New Roman" w:hAnsi="Times New Roman" w:cs="Times New Roman"/>
          <w:sz w:val="28"/>
          <w:szCs w:val="28"/>
        </w:rPr>
        <w:t>, “</w:t>
      </w:r>
      <w:r w:rsidRPr="0053175F">
        <w:rPr>
          <w:rFonts w:ascii="Times New Roman" w:hAnsi="Times New Roman" w:cs="Times New Roman"/>
          <w:i/>
          <w:iCs/>
          <w:sz w:val="28"/>
          <w:szCs w:val="28"/>
        </w:rPr>
        <w:t>Polizia predittiva</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 xml:space="preserve">Human </w:t>
      </w:r>
      <w:proofErr w:type="spellStart"/>
      <w:r w:rsidRPr="0053175F">
        <w:rPr>
          <w:rFonts w:ascii="Times New Roman" w:hAnsi="Times New Roman" w:cs="Times New Roman"/>
          <w:i/>
          <w:iCs/>
          <w:sz w:val="28"/>
          <w:szCs w:val="28"/>
        </w:rPr>
        <w:t>Rights</w:t>
      </w:r>
      <w:proofErr w:type="spellEnd"/>
      <w:r w:rsidRPr="0053175F">
        <w:rPr>
          <w:rFonts w:ascii="Times New Roman" w:hAnsi="Times New Roman" w:cs="Times New Roman"/>
          <w:i/>
          <w:iCs/>
          <w:sz w:val="28"/>
          <w:szCs w:val="28"/>
        </w:rPr>
        <w:t xml:space="preserve"> Data Analysis Group</w:t>
      </w:r>
      <w:r w:rsidRPr="0053175F">
        <w:rPr>
          <w:rFonts w:ascii="Times New Roman" w:hAnsi="Times New Roman" w:cs="Times New Roman"/>
          <w:sz w:val="28"/>
          <w:szCs w:val="28"/>
        </w:rPr>
        <w:t xml:space="preserve"> (</w:t>
      </w:r>
      <w:proofErr w:type="spellStart"/>
      <w:r w:rsidRPr="0053175F">
        <w:rPr>
          <w:rFonts w:ascii="Times New Roman" w:hAnsi="Times New Roman" w:cs="Times New Roman"/>
          <w:sz w:val="28"/>
          <w:szCs w:val="28"/>
        </w:rPr>
        <w:t>Hrdag</w:t>
      </w:r>
      <w:proofErr w:type="spellEnd"/>
      <w:r w:rsidRPr="0053175F">
        <w:rPr>
          <w:rFonts w:ascii="Times New Roman" w:hAnsi="Times New Roman" w:cs="Times New Roman"/>
          <w:sz w:val="28"/>
          <w:szCs w:val="28"/>
        </w:rPr>
        <w:t>).</w:t>
      </w:r>
    </w:p>
    <w:p w14:paraId="29AC26A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R. </w:t>
      </w:r>
      <w:proofErr w:type="spellStart"/>
      <w:r w:rsidRPr="0053175F">
        <w:rPr>
          <w:rFonts w:ascii="Times New Roman" w:hAnsi="Times New Roman" w:cs="Times New Roman"/>
          <w:smallCaps/>
          <w:sz w:val="28"/>
          <w:szCs w:val="28"/>
        </w:rPr>
        <w:t>Penrose</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 Mente Nuova dell’Imperatore</w:t>
      </w:r>
      <w:r w:rsidRPr="0053175F">
        <w:rPr>
          <w:rFonts w:ascii="Times New Roman" w:hAnsi="Times New Roman" w:cs="Times New Roman"/>
          <w:sz w:val="28"/>
          <w:szCs w:val="28"/>
        </w:rPr>
        <w:t>”, nel 1992.</w:t>
      </w:r>
    </w:p>
    <w:p w14:paraId="4C533D3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S. Peron</w:t>
      </w:r>
      <w:r w:rsidRPr="0053175F">
        <w:rPr>
          <w:rFonts w:ascii="Times New Roman" w:hAnsi="Times New Roman" w:cs="Times New Roman"/>
          <w:sz w:val="28"/>
          <w:szCs w:val="28"/>
        </w:rPr>
        <w:t xml:space="preserve">, “Il </w:t>
      </w:r>
      <w:r w:rsidRPr="0053175F">
        <w:rPr>
          <w:rFonts w:ascii="Times New Roman" w:hAnsi="Times New Roman" w:cs="Times New Roman"/>
          <w:i/>
          <w:iCs/>
          <w:sz w:val="28"/>
          <w:szCs w:val="28"/>
        </w:rPr>
        <w:t>risarcimento dei danni da diffamazione: analisi e riflessione sui criteri orientativi proposti dell’Osservatorio sulla Giustizia civile di Milano</w:t>
      </w:r>
      <w:r w:rsidRPr="0053175F">
        <w:rPr>
          <w:rFonts w:ascii="Times New Roman" w:hAnsi="Times New Roman" w:cs="Times New Roman"/>
          <w:sz w:val="28"/>
          <w:szCs w:val="28"/>
        </w:rPr>
        <w:t xml:space="preserve">” (edizione 2018), in </w:t>
      </w:r>
      <w:r w:rsidRPr="0053175F">
        <w:rPr>
          <w:rFonts w:ascii="Times New Roman" w:hAnsi="Times New Roman" w:cs="Times New Roman"/>
          <w:i/>
          <w:iCs/>
          <w:sz w:val="28"/>
          <w:szCs w:val="28"/>
        </w:rPr>
        <w:t>filodiritto.it</w:t>
      </w:r>
      <w:r w:rsidRPr="0053175F">
        <w:rPr>
          <w:rFonts w:ascii="Times New Roman" w:hAnsi="Times New Roman" w:cs="Times New Roman"/>
          <w:sz w:val="28"/>
          <w:szCs w:val="28"/>
        </w:rPr>
        <w:t>, 2018.</w:t>
      </w:r>
    </w:p>
    <w:p w14:paraId="30604671"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lastRenderedPageBreak/>
        <w:t>S. Peron</w:t>
      </w:r>
      <w:r w:rsidRPr="0053175F">
        <w:rPr>
          <w:rFonts w:ascii="Times New Roman" w:hAnsi="Times New Roman" w:cs="Times New Roman"/>
          <w:sz w:val="28"/>
          <w:szCs w:val="28"/>
        </w:rPr>
        <w:t>, “</w:t>
      </w:r>
      <w:r w:rsidRPr="0053175F">
        <w:rPr>
          <w:rFonts w:ascii="Times New Roman" w:hAnsi="Times New Roman" w:cs="Times New Roman"/>
          <w:i/>
          <w:iCs/>
          <w:sz w:val="28"/>
          <w:szCs w:val="28"/>
        </w:rPr>
        <w:t>Internet, regime applicabile per i casi di diffamazione e responsabilità del direttore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Responsabilità Civile e Previdenza</w:t>
      </w:r>
      <w:r w:rsidRPr="0053175F">
        <w:rPr>
          <w:rFonts w:ascii="Times New Roman" w:hAnsi="Times New Roman" w:cs="Times New Roman"/>
          <w:sz w:val="28"/>
          <w:szCs w:val="28"/>
        </w:rPr>
        <w:t>, fasc. 1, 2011.</w:t>
      </w:r>
    </w:p>
    <w:p w14:paraId="787B2042"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B. Perry</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In the Name of Hate: Understanding Hate Crimes</w:t>
      </w:r>
      <w:r w:rsidRPr="0053175F">
        <w:rPr>
          <w:rFonts w:ascii="Times New Roman" w:hAnsi="Times New Roman" w:cs="Times New Roman"/>
          <w:sz w:val="28"/>
          <w:szCs w:val="28"/>
          <w:lang w:val="en-US"/>
        </w:rPr>
        <w:t xml:space="preserve">”, </w:t>
      </w:r>
      <w:proofErr w:type="spellStart"/>
      <w:r w:rsidRPr="0053175F">
        <w:rPr>
          <w:rFonts w:ascii="Times New Roman" w:hAnsi="Times New Roman" w:cs="Times New Roman"/>
          <w:sz w:val="28"/>
          <w:szCs w:val="28"/>
          <w:lang w:val="en-US"/>
        </w:rPr>
        <w:t>Londra</w:t>
      </w:r>
      <w:proofErr w:type="spellEnd"/>
      <w:r w:rsidRPr="0053175F">
        <w:rPr>
          <w:rFonts w:ascii="Times New Roman" w:hAnsi="Times New Roman" w:cs="Times New Roman"/>
          <w:sz w:val="28"/>
          <w:szCs w:val="28"/>
          <w:lang w:val="en-US"/>
        </w:rPr>
        <w:t>, 2001.</w:t>
      </w:r>
    </w:p>
    <w:p w14:paraId="2691818F"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E. </w:t>
      </w:r>
      <w:proofErr w:type="spellStart"/>
      <w:r w:rsidRPr="0053175F">
        <w:rPr>
          <w:rFonts w:ascii="Times New Roman" w:hAnsi="Times New Roman" w:cs="Times New Roman"/>
          <w:smallCaps/>
          <w:sz w:val="28"/>
          <w:szCs w:val="28"/>
        </w:rPr>
        <w:t>Perusia</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Giurisdizione italiana anche per le offese on line su un sito straniero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Cassazione Penale</w:t>
      </w:r>
      <w:r w:rsidRPr="0053175F">
        <w:rPr>
          <w:rFonts w:ascii="Times New Roman" w:hAnsi="Times New Roman" w:cs="Times New Roman"/>
          <w:sz w:val="28"/>
          <w:szCs w:val="28"/>
        </w:rPr>
        <w:t>, fasc. 6, 2001.</w:t>
      </w:r>
    </w:p>
    <w:p w14:paraId="37240EE9"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G. Pestelli</w:t>
      </w:r>
      <w:r w:rsidRPr="0053175F">
        <w:rPr>
          <w:rFonts w:ascii="Times New Roman" w:hAnsi="Times New Roman" w:cs="Times New Roman"/>
          <w:sz w:val="28"/>
          <w:szCs w:val="28"/>
        </w:rPr>
        <w:t>, “</w:t>
      </w:r>
      <w:r w:rsidRPr="0053175F">
        <w:rPr>
          <w:rFonts w:ascii="Times New Roman" w:hAnsi="Times New Roman" w:cs="Times New Roman"/>
          <w:i/>
          <w:iCs/>
          <w:sz w:val="28"/>
          <w:szCs w:val="28"/>
        </w:rPr>
        <w:t>D.L. 132/2021: un discutibile e inutile aggravio di procedura per tabulati telefonici e telematici</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quotidianogiuridico.it</w:t>
      </w:r>
      <w:r w:rsidRPr="0053175F">
        <w:rPr>
          <w:rFonts w:ascii="Times New Roman" w:hAnsi="Times New Roman" w:cs="Times New Roman"/>
          <w:sz w:val="28"/>
          <w:szCs w:val="28"/>
        </w:rPr>
        <w:t>, 4 ottobre 2021.</w:t>
      </w:r>
    </w:p>
    <w:p w14:paraId="7D5CD0D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D. Petrini</w:t>
      </w:r>
      <w:r w:rsidRPr="0053175F">
        <w:rPr>
          <w:rFonts w:ascii="Times New Roman" w:hAnsi="Times New Roman" w:cs="Times New Roman"/>
          <w:sz w:val="28"/>
          <w:szCs w:val="28"/>
        </w:rPr>
        <w:t>, “</w:t>
      </w:r>
      <w:r w:rsidRPr="0053175F">
        <w:rPr>
          <w:rFonts w:ascii="Times New Roman" w:hAnsi="Times New Roman" w:cs="Times New Roman"/>
          <w:i/>
          <w:iCs/>
          <w:sz w:val="28"/>
          <w:szCs w:val="28"/>
        </w:rPr>
        <w:t>Il direttore della testata telematica, tra horror vacui e prospettive di riforma; sperando che nulla cambi</w:t>
      </w:r>
      <w:r w:rsidRPr="0053175F">
        <w:rPr>
          <w:rFonts w:ascii="Times New Roman" w:hAnsi="Times New Roman" w:cs="Times New Roman"/>
          <w:sz w:val="28"/>
          <w:szCs w:val="28"/>
        </w:rPr>
        <w:t xml:space="preserve">”, su </w:t>
      </w:r>
      <w:proofErr w:type="spellStart"/>
      <w:r w:rsidRPr="0053175F">
        <w:rPr>
          <w:rFonts w:ascii="Times New Roman" w:hAnsi="Times New Roman" w:cs="Times New Roman"/>
          <w:i/>
          <w:iCs/>
          <w:sz w:val="28"/>
          <w:szCs w:val="28"/>
        </w:rPr>
        <w:t>Riv</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It</w:t>
      </w:r>
      <w:proofErr w:type="spellEnd"/>
      <w:r w:rsidRPr="0053175F">
        <w:rPr>
          <w:rFonts w:ascii="Times New Roman" w:hAnsi="Times New Roman" w:cs="Times New Roman"/>
          <w:i/>
          <w:iCs/>
          <w:sz w:val="28"/>
          <w:szCs w:val="28"/>
        </w:rPr>
        <w:t xml:space="preserve">. Dir. e </w:t>
      </w:r>
      <w:proofErr w:type="spellStart"/>
      <w:r w:rsidRPr="0053175F">
        <w:rPr>
          <w:rFonts w:ascii="Times New Roman" w:hAnsi="Times New Roman" w:cs="Times New Roman"/>
          <w:i/>
          <w:iCs/>
          <w:sz w:val="28"/>
          <w:szCs w:val="28"/>
        </w:rPr>
        <w:t>Proc</w:t>
      </w:r>
      <w:proofErr w:type="spellEnd"/>
      <w:r w:rsidRPr="0053175F">
        <w:rPr>
          <w:rFonts w:ascii="Times New Roman" w:hAnsi="Times New Roman" w:cs="Times New Roman"/>
          <w:i/>
          <w:iCs/>
          <w:sz w:val="28"/>
          <w:szCs w:val="28"/>
        </w:rPr>
        <w:t>. Pen</w:t>
      </w:r>
      <w:r w:rsidRPr="0053175F">
        <w:rPr>
          <w:rFonts w:ascii="Times New Roman" w:hAnsi="Times New Roman" w:cs="Times New Roman"/>
          <w:sz w:val="28"/>
          <w:szCs w:val="28"/>
        </w:rPr>
        <w:t>., fasc. 4, 2012.</w:t>
      </w:r>
    </w:p>
    <w:p w14:paraId="6CC3C966"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lang w:val="en-US"/>
        </w:rPr>
        <w:t xml:space="preserve">E. </w:t>
      </w:r>
      <w:proofErr w:type="spellStart"/>
      <w:r w:rsidRPr="0053175F">
        <w:rPr>
          <w:rFonts w:ascii="Times New Roman" w:hAnsi="Times New Roman" w:cs="Times New Roman"/>
          <w:smallCaps/>
          <w:sz w:val="28"/>
          <w:szCs w:val="28"/>
          <w:lang w:val="en-US"/>
        </w:rPr>
        <w:t>Picozza</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Problems about enforcement</w:t>
      </w:r>
      <w:r w:rsidRPr="0053175F">
        <w:rPr>
          <w:rFonts w:ascii="Times New Roman" w:hAnsi="Times New Roman" w:cs="Times New Roman"/>
          <w:sz w:val="28"/>
          <w:szCs w:val="28"/>
          <w:lang w:val="en-US"/>
        </w:rPr>
        <w:t xml:space="preserve">”, in </w:t>
      </w:r>
      <w:r w:rsidRPr="0053175F">
        <w:rPr>
          <w:rFonts w:ascii="Times New Roman" w:hAnsi="Times New Roman" w:cs="Times New Roman"/>
          <w:smallCaps/>
          <w:sz w:val="28"/>
          <w:szCs w:val="28"/>
          <w:lang w:val="en-US"/>
        </w:rPr>
        <w:t xml:space="preserve">E. </w:t>
      </w:r>
      <w:proofErr w:type="spellStart"/>
      <w:r w:rsidRPr="0053175F">
        <w:rPr>
          <w:rFonts w:ascii="Times New Roman" w:hAnsi="Times New Roman" w:cs="Times New Roman"/>
          <w:smallCaps/>
          <w:sz w:val="28"/>
          <w:szCs w:val="28"/>
          <w:lang w:val="en-US"/>
        </w:rPr>
        <w:t>Picozza</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Neurolaw. An Introduction</w:t>
      </w:r>
      <w:r w:rsidRPr="0053175F">
        <w:rPr>
          <w:rFonts w:ascii="Times New Roman" w:hAnsi="Times New Roman" w:cs="Times New Roman"/>
          <w:sz w:val="28"/>
          <w:szCs w:val="28"/>
          <w:lang w:val="en-US"/>
        </w:rPr>
        <w:t>”,</w:t>
      </w:r>
      <w:r w:rsidRPr="0053175F">
        <w:rPr>
          <w:rFonts w:ascii="Times New Roman" w:hAnsi="Times New Roman" w:cs="Times New Roman"/>
          <w:i/>
          <w:iCs/>
          <w:sz w:val="28"/>
          <w:szCs w:val="28"/>
          <w:lang w:val="en-US"/>
        </w:rPr>
        <w:t xml:space="preserve"> </w:t>
      </w:r>
      <w:r w:rsidRPr="0053175F">
        <w:rPr>
          <w:rFonts w:ascii="Times New Roman" w:hAnsi="Times New Roman" w:cs="Times New Roman"/>
          <w:sz w:val="28"/>
          <w:szCs w:val="28"/>
          <w:lang w:val="en-US"/>
        </w:rPr>
        <w:t xml:space="preserve">Ed. </w:t>
      </w:r>
      <w:proofErr w:type="spellStart"/>
      <w:r w:rsidRPr="0053175F">
        <w:rPr>
          <w:rFonts w:ascii="Times New Roman" w:hAnsi="Times New Roman" w:cs="Times New Roman"/>
          <w:sz w:val="28"/>
          <w:szCs w:val="28"/>
        </w:rPr>
        <w:t>Springer</w:t>
      </w:r>
      <w:proofErr w:type="spellEnd"/>
      <w:r w:rsidRPr="0053175F">
        <w:rPr>
          <w:rFonts w:ascii="Times New Roman" w:hAnsi="Times New Roman" w:cs="Times New Roman"/>
          <w:sz w:val="28"/>
          <w:szCs w:val="28"/>
        </w:rPr>
        <w:t>, 2016.</w:t>
      </w:r>
    </w:p>
    <w:p w14:paraId="2E12486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I. </w:t>
      </w:r>
      <w:proofErr w:type="spellStart"/>
      <w:r w:rsidRPr="0053175F">
        <w:rPr>
          <w:rFonts w:ascii="Times New Roman" w:hAnsi="Times New Roman" w:cs="Times New Roman"/>
          <w:smallCaps/>
          <w:sz w:val="28"/>
          <w:szCs w:val="28"/>
        </w:rPr>
        <w:t>Pietroletti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Nessun risarcimento per l’avvocato se non prova i pregiudizi concreti ricollegabili all’attività</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Diritto &amp; Giustizia</w:t>
      </w:r>
      <w:r w:rsidRPr="0053175F">
        <w:rPr>
          <w:rFonts w:ascii="Times New Roman" w:hAnsi="Times New Roman" w:cs="Times New Roman"/>
          <w:sz w:val="28"/>
          <w:szCs w:val="28"/>
        </w:rPr>
        <w:t>, fasc. 128, 2018.</w:t>
      </w:r>
    </w:p>
    <w:p w14:paraId="0E70D5D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G. </w:t>
      </w:r>
      <w:proofErr w:type="spellStart"/>
      <w:r w:rsidRPr="0053175F">
        <w:rPr>
          <w:rFonts w:ascii="Times New Roman" w:hAnsi="Times New Roman" w:cs="Times New Roman"/>
          <w:smallCaps/>
          <w:sz w:val="28"/>
          <w:szCs w:val="28"/>
        </w:rPr>
        <w:t>Pietropolli</w:t>
      </w:r>
      <w:proofErr w:type="spellEnd"/>
      <w:r w:rsidRPr="0053175F">
        <w:rPr>
          <w:rFonts w:ascii="Times New Roman" w:hAnsi="Times New Roman" w:cs="Times New Roman"/>
          <w:smallCaps/>
          <w:sz w:val="28"/>
          <w:szCs w:val="28"/>
        </w:rPr>
        <w:t xml:space="preserve"> </w:t>
      </w:r>
      <w:proofErr w:type="spellStart"/>
      <w:r w:rsidRPr="0053175F">
        <w:rPr>
          <w:rFonts w:ascii="Times New Roman" w:hAnsi="Times New Roman" w:cs="Times New Roman"/>
          <w:smallCaps/>
          <w:sz w:val="28"/>
          <w:szCs w:val="28"/>
        </w:rPr>
        <w:t>Charmet</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I nuovi adolescenti</w:t>
      </w:r>
      <w:r w:rsidRPr="0053175F">
        <w:rPr>
          <w:rFonts w:ascii="Times New Roman" w:hAnsi="Times New Roman" w:cs="Times New Roman"/>
          <w:sz w:val="28"/>
          <w:szCs w:val="28"/>
        </w:rPr>
        <w:t>”, 2000.</w:t>
      </w:r>
    </w:p>
    <w:p w14:paraId="19C75519"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F. Pizzetti</w:t>
      </w:r>
      <w:r w:rsidRPr="0053175F">
        <w:rPr>
          <w:rFonts w:ascii="Times New Roman" w:hAnsi="Times New Roman" w:cs="Times New Roman"/>
          <w:sz w:val="28"/>
          <w:szCs w:val="28"/>
        </w:rPr>
        <w:t>, “</w:t>
      </w:r>
      <w:r w:rsidRPr="0053175F">
        <w:rPr>
          <w:rFonts w:ascii="Times New Roman" w:hAnsi="Times New Roman" w:cs="Times New Roman"/>
          <w:i/>
          <w:iCs/>
          <w:sz w:val="28"/>
          <w:szCs w:val="28"/>
        </w:rPr>
        <w:t>Intelligenza artificiale, protezione dei dati personali e regolazione</w:t>
      </w:r>
      <w:r w:rsidRPr="0053175F">
        <w:rPr>
          <w:rFonts w:ascii="Times New Roman" w:hAnsi="Times New Roman" w:cs="Times New Roman"/>
          <w:sz w:val="28"/>
          <w:szCs w:val="28"/>
        </w:rPr>
        <w:t>”, Torino, 2018.</w:t>
      </w:r>
    </w:p>
    <w:p w14:paraId="0F184CF8"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F. Pizzetti</w:t>
      </w:r>
      <w:r w:rsidRPr="0053175F">
        <w:rPr>
          <w:rFonts w:ascii="Times New Roman" w:hAnsi="Times New Roman" w:cs="Times New Roman"/>
          <w:sz w:val="28"/>
          <w:szCs w:val="28"/>
        </w:rPr>
        <w:t>,</w:t>
      </w:r>
      <w:r w:rsidRPr="0053175F">
        <w:rPr>
          <w:rFonts w:ascii="Times New Roman" w:hAnsi="Times New Roman" w:cs="Times New Roman"/>
          <w:smallCaps/>
          <w:sz w:val="28"/>
          <w:szCs w:val="28"/>
        </w:rPr>
        <w:t xml:space="preserve"> </w:t>
      </w:r>
      <w:r w:rsidRPr="0053175F">
        <w:rPr>
          <w:rFonts w:ascii="Times New Roman" w:hAnsi="Times New Roman" w:cs="Times New Roman"/>
          <w:sz w:val="28"/>
          <w:szCs w:val="28"/>
        </w:rPr>
        <w:t>“</w:t>
      </w:r>
      <w:r w:rsidRPr="0053175F">
        <w:rPr>
          <w:rFonts w:ascii="Times New Roman" w:hAnsi="Times New Roman" w:cs="Times New Roman"/>
          <w:i/>
          <w:iCs/>
          <w:sz w:val="28"/>
          <w:szCs w:val="28"/>
        </w:rPr>
        <w:t>Privacy e il diritto europeo alla protezione dei dati personali. dalla direttiva 95/46 al nuovo Regolamento europeo</w:t>
      </w:r>
      <w:r w:rsidRPr="0053175F">
        <w:rPr>
          <w:rFonts w:ascii="Times New Roman" w:hAnsi="Times New Roman" w:cs="Times New Roman"/>
          <w:sz w:val="28"/>
          <w:szCs w:val="28"/>
        </w:rPr>
        <w:t>”, 2016.</w:t>
      </w:r>
    </w:p>
    <w:p w14:paraId="324D720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F. Pizzetti</w:t>
      </w:r>
      <w:r w:rsidRPr="0053175F">
        <w:rPr>
          <w:rFonts w:ascii="Times New Roman" w:hAnsi="Times New Roman" w:cs="Times New Roman"/>
          <w:sz w:val="28"/>
          <w:szCs w:val="28"/>
        </w:rPr>
        <w:t>, “</w:t>
      </w:r>
      <w:r w:rsidRPr="0053175F">
        <w:rPr>
          <w:rFonts w:ascii="Times New Roman" w:hAnsi="Times New Roman" w:cs="Times New Roman"/>
          <w:i/>
          <w:iCs/>
          <w:sz w:val="28"/>
          <w:szCs w:val="28"/>
        </w:rPr>
        <w:t>Protezione dei dati personali in Italia tra GDPR e codice novellato</w:t>
      </w:r>
      <w:r w:rsidRPr="0053175F">
        <w:rPr>
          <w:rFonts w:ascii="Times New Roman" w:hAnsi="Times New Roman" w:cs="Times New Roman"/>
          <w:sz w:val="28"/>
          <w:szCs w:val="28"/>
        </w:rPr>
        <w:t>”, 2021.</w:t>
      </w:r>
    </w:p>
    <w:p w14:paraId="601B54C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A. Police</w:t>
      </w:r>
      <w:r w:rsidRPr="0053175F">
        <w:rPr>
          <w:rFonts w:ascii="Times New Roman" w:hAnsi="Times New Roman" w:cs="Times New Roman"/>
          <w:sz w:val="28"/>
          <w:szCs w:val="28"/>
        </w:rPr>
        <w:t>, “</w:t>
      </w:r>
      <w:r w:rsidRPr="0053175F">
        <w:rPr>
          <w:rFonts w:ascii="Times New Roman" w:hAnsi="Times New Roman" w:cs="Times New Roman"/>
          <w:i/>
          <w:iCs/>
          <w:sz w:val="28"/>
          <w:szCs w:val="28"/>
        </w:rPr>
        <w:t>Il principio di responsabilità</w:t>
      </w:r>
      <w:r w:rsidRPr="0053175F">
        <w:rPr>
          <w:rFonts w:ascii="Times New Roman" w:hAnsi="Times New Roman" w:cs="Times New Roman"/>
          <w:sz w:val="28"/>
          <w:szCs w:val="28"/>
        </w:rPr>
        <w:t xml:space="preserve">”, in </w:t>
      </w:r>
      <w:r w:rsidRPr="0053175F">
        <w:rPr>
          <w:rFonts w:ascii="Times New Roman" w:hAnsi="Times New Roman" w:cs="Times New Roman"/>
          <w:smallCaps/>
          <w:sz w:val="28"/>
          <w:szCs w:val="28"/>
        </w:rPr>
        <w:t xml:space="preserve">M. Renna, F. </w:t>
      </w:r>
      <w:proofErr w:type="spellStart"/>
      <w:r w:rsidRPr="0053175F">
        <w:rPr>
          <w:rFonts w:ascii="Times New Roman" w:hAnsi="Times New Roman" w:cs="Times New Roman"/>
          <w:smallCaps/>
          <w:sz w:val="28"/>
          <w:szCs w:val="28"/>
        </w:rPr>
        <w:t>Saitta</w:t>
      </w:r>
      <w:proofErr w:type="spellEnd"/>
      <w:r w:rsidRPr="0053175F">
        <w:rPr>
          <w:rFonts w:ascii="Times New Roman" w:hAnsi="Times New Roman" w:cs="Times New Roman"/>
          <w:sz w:val="28"/>
          <w:szCs w:val="28"/>
        </w:rPr>
        <w:t>, (a cura di) “</w:t>
      </w:r>
      <w:r w:rsidRPr="0053175F">
        <w:rPr>
          <w:rFonts w:ascii="Times New Roman" w:hAnsi="Times New Roman" w:cs="Times New Roman"/>
          <w:i/>
          <w:iCs/>
          <w:sz w:val="28"/>
          <w:szCs w:val="28"/>
        </w:rPr>
        <w:t>Studi sui principii del diritto amministrativo</w:t>
      </w:r>
      <w:r w:rsidRPr="0053175F">
        <w:rPr>
          <w:rFonts w:ascii="Times New Roman" w:hAnsi="Times New Roman" w:cs="Times New Roman"/>
          <w:sz w:val="28"/>
          <w:szCs w:val="28"/>
        </w:rPr>
        <w:t>”, Milano, 2012.</w:t>
      </w:r>
    </w:p>
    <w:p w14:paraId="1390038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O. Pollicino,</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Codice della comunicazione digitale</w:t>
      </w:r>
      <w:r w:rsidRPr="0053175F">
        <w:rPr>
          <w:rFonts w:ascii="Times New Roman" w:hAnsi="Times New Roman" w:cs="Times New Roman"/>
          <w:sz w:val="28"/>
          <w:szCs w:val="28"/>
        </w:rPr>
        <w:t>”, 2015.</w:t>
      </w:r>
    </w:p>
    <w:p w14:paraId="16E506F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O. Pollicino</w:t>
      </w:r>
      <w:r w:rsidRPr="0053175F">
        <w:rPr>
          <w:rFonts w:ascii="Times New Roman" w:hAnsi="Times New Roman" w:cs="Times New Roman"/>
          <w:sz w:val="28"/>
          <w:szCs w:val="28"/>
        </w:rPr>
        <w:t>, “</w:t>
      </w:r>
      <w:r w:rsidRPr="0053175F">
        <w:rPr>
          <w:rFonts w:ascii="Times New Roman" w:hAnsi="Times New Roman" w:cs="Times New Roman"/>
          <w:i/>
          <w:iCs/>
          <w:sz w:val="28"/>
          <w:szCs w:val="28"/>
        </w:rPr>
        <w:t>Diritto dell’informazione e dei media</w:t>
      </w:r>
      <w:r w:rsidRPr="0053175F">
        <w:rPr>
          <w:rFonts w:ascii="Times New Roman" w:hAnsi="Times New Roman" w:cs="Times New Roman"/>
          <w:sz w:val="28"/>
          <w:szCs w:val="28"/>
        </w:rPr>
        <w:t>”, 2019.</w:t>
      </w:r>
    </w:p>
    <w:p w14:paraId="6B49549F"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O. Pollicino,</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Parole e potere. Libertà di espressione</w:t>
      </w:r>
      <w:r w:rsidRPr="0053175F">
        <w:rPr>
          <w:rFonts w:ascii="Times New Roman" w:hAnsi="Times New Roman" w:cs="Times New Roman"/>
          <w:sz w:val="28"/>
          <w:szCs w:val="28"/>
        </w:rPr>
        <w:t xml:space="preserve">, </w:t>
      </w:r>
      <w:proofErr w:type="spellStart"/>
      <w:r w:rsidRPr="0053175F">
        <w:rPr>
          <w:rFonts w:ascii="Times New Roman" w:hAnsi="Times New Roman" w:cs="Times New Roman"/>
          <w:i/>
          <w:iCs/>
          <w:sz w:val="28"/>
          <w:szCs w:val="28"/>
        </w:rPr>
        <w:t>hate</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speech</w:t>
      </w:r>
      <w:proofErr w:type="spellEnd"/>
      <w:r w:rsidRPr="0053175F">
        <w:rPr>
          <w:rFonts w:ascii="Times New Roman" w:hAnsi="Times New Roman" w:cs="Times New Roman"/>
          <w:i/>
          <w:iCs/>
          <w:sz w:val="28"/>
          <w:szCs w:val="28"/>
        </w:rPr>
        <w:t xml:space="preserve"> e </w:t>
      </w:r>
      <w:proofErr w:type="spellStart"/>
      <w:r w:rsidRPr="0053175F">
        <w:rPr>
          <w:rFonts w:ascii="Times New Roman" w:hAnsi="Times New Roman" w:cs="Times New Roman"/>
          <w:i/>
          <w:iCs/>
          <w:sz w:val="28"/>
          <w:szCs w:val="28"/>
        </w:rPr>
        <w:t>fake</w:t>
      </w:r>
      <w:proofErr w:type="spellEnd"/>
      <w:r w:rsidRPr="0053175F">
        <w:rPr>
          <w:rFonts w:ascii="Times New Roman" w:hAnsi="Times New Roman" w:cs="Times New Roman"/>
          <w:i/>
          <w:iCs/>
          <w:sz w:val="28"/>
          <w:szCs w:val="28"/>
        </w:rPr>
        <w:t xml:space="preserve"> news</w:t>
      </w:r>
      <w:r w:rsidRPr="0053175F">
        <w:rPr>
          <w:rFonts w:ascii="Times New Roman" w:hAnsi="Times New Roman" w:cs="Times New Roman"/>
          <w:sz w:val="28"/>
          <w:szCs w:val="28"/>
        </w:rPr>
        <w:t>”, 2017.</w:t>
      </w:r>
    </w:p>
    <w:p w14:paraId="7740539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eastAsia="Times New Roman" w:hAnsi="Times New Roman" w:cs="Times New Roman"/>
          <w:smallCaps/>
          <w:sz w:val="28"/>
          <w:szCs w:val="28"/>
        </w:rPr>
        <w:t>V. Portale</w:t>
      </w:r>
      <w:r w:rsidRPr="0053175F">
        <w:rPr>
          <w:rFonts w:ascii="Times New Roman" w:eastAsia="Times New Roman" w:hAnsi="Times New Roman" w:cs="Times New Roman"/>
          <w:sz w:val="28"/>
          <w:szCs w:val="28"/>
        </w:rPr>
        <w:t>, “</w:t>
      </w:r>
      <w:r w:rsidRPr="0053175F">
        <w:rPr>
          <w:rFonts w:ascii="Times New Roman" w:eastAsia="Times New Roman" w:hAnsi="Times New Roman" w:cs="Times New Roman"/>
          <w:i/>
          <w:sz w:val="28"/>
          <w:szCs w:val="28"/>
        </w:rPr>
        <w:t xml:space="preserve">Quanto è legale la </w:t>
      </w:r>
      <w:proofErr w:type="spellStart"/>
      <w:r w:rsidRPr="0053175F">
        <w:rPr>
          <w:rFonts w:ascii="Times New Roman" w:eastAsia="Times New Roman" w:hAnsi="Times New Roman" w:cs="Times New Roman"/>
          <w:i/>
          <w:sz w:val="28"/>
          <w:szCs w:val="28"/>
        </w:rPr>
        <w:t>Blockchain</w:t>
      </w:r>
      <w:proofErr w:type="spellEnd"/>
      <w:r w:rsidRPr="0053175F">
        <w:rPr>
          <w:rFonts w:ascii="Times New Roman" w:eastAsia="Times New Roman" w:hAnsi="Times New Roman" w:cs="Times New Roman"/>
          <w:i/>
          <w:sz w:val="28"/>
          <w:szCs w:val="28"/>
        </w:rPr>
        <w:t xml:space="preserve">? La compatibilità tra </w:t>
      </w:r>
      <w:proofErr w:type="spellStart"/>
      <w:r w:rsidRPr="0053175F">
        <w:rPr>
          <w:rFonts w:ascii="Times New Roman" w:eastAsia="Times New Roman" w:hAnsi="Times New Roman" w:cs="Times New Roman"/>
          <w:i/>
          <w:sz w:val="28"/>
          <w:szCs w:val="28"/>
        </w:rPr>
        <w:t>Blockchain</w:t>
      </w:r>
      <w:proofErr w:type="spellEnd"/>
      <w:r w:rsidRPr="0053175F">
        <w:rPr>
          <w:rFonts w:ascii="Times New Roman" w:eastAsia="Times New Roman" w:hAnsi="Times New Roman" w:cs="Times New Roman"/>
          <w:i/>
          <w:sz w:val="28"/>
          <w:szCs w:val="28"/>
        </w:rPr>
        <w:t xml:space="preserve"> e normativa GDPR</w:t>
      </w:r>
      <w:r w:rsidRPr="0053175F">
        <w:rPr>
          <w:rFonts w:ascii="Times New Roman" w:eastAsia="Times New Roman" w:hAnsi="Times New Roman" w:cs="Times New Roman"/>
          <w:iCs/>
          <w:sz w:val="28"/>
          <w:szCs w:val="28"/>
        </w:rPr>
        <w:t>”,</w:t>
      </w:r>
      <w:r w:rsidRPr="0053175F">
        <w:rPr>
          <w:rFonts w:ascii="Times New Roman" w:eastAsia="Times New Roman" w:hAnsi="Times New Roman" w:cs="Times New Roman"/>
          <w:sz w:val="28"/>
          <w:szCs w:val="28"/>
        </w:rPr>
        <w:t xml:space="preserve"> in </w:t>
      </w:r>
      <w:r w:rsidRPr="0053175F">
        <w:rPr>
          <w:rFonts w:ascii="Times New Roman" w:eastAsia="Times New Roman" w:hAnsi="Times New Roman" w:cs="Times New Roman"/>
          <w:i/>
          <w:sz w:val="28"/>
          <w:szCs w:val="28"/>
        </w:rPr>
        <w:t>www.blog.osservatori.net</w:t>
      </w:r>
      <w:r w:rsidRPr="0053175F">
        <w:rPr>
          <w:rFonts w:ascii="Times New Roman" w:eastAsia="Times New Roman" w:hAnsi="Times New Roman" w:cs="Times New Roman"/>
          <w:iCs/>
          <w:sz w:val="28"/>
          <w:szCs w:val="28"/>
        </w:rPr>
        <w:t>,</w:t>
      </w:r>
      <w:r w:rsidRPr="0053175F">
        <w:rPr>
          <w:rFonts w:ascii="Times New Roman" w:eastAsia="Times New Roman" w:hAnsi="Times New Roman" w:cs="Times New Roman"/>
          <w:sz w:val="28"/>
          <w:szCs w:val="28"/>
        </w:rPr>
        <w:t xml:space="preserve"> 31 luglio 2020.</w:t>
      </w:r>
    </w:p>
    <w:p w14:paraId="79D4B7F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R. A. Posner</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The Right of Privacy</w:t>
      </w:r>
      <w:r w:rsidRPr="0053175F">
        <w:rPr>
          <w:rFonts w:ascii="Times New Roman" w:hAnsi="Times New Roman" w:cs="Times New Roman"/>
          <w:sz w:val="28"/>
          <w:szCs w:val="28"/>
          <w:lang w:val="en-US"/>
        </w:rPr>
        <w:t xml:space="preserve">”, 12 </w:t>
      </w:r>
      <w:r w:rsidRPr="0053175F">
        <w:rPr>
          <w:rFonts w:ascii="Times New Roman" w:hAnsi="Times New Roman" w:cs="Times New Roman"/>
          <w:i/>
          <w:iCs/>
          <w:sz w:val="28"/>
          <w:szCs w:val="28"/>
          <w:lang w:val="en-US"/>
        </w:rPr>
        <w:t>Georgia Law Review</w:t>
      </w:r>
      <w:r w:rsidRPr="0053175F">
        <w:rPr>
          <w:rFonts w:ascii="Times New Roman" w:hAnsi="Times New Roman" w:cs="Times New Roman"/>
          <w:sz w:val="28"/>
          <w:szCs w:val="28"/>
          <w:lang w:val="en-US"/>
        </w:rPr>
        <w:t xml:space="preserve"> 393, 1977.</w:t>
      </w:r>
    </w:p>
    <w:p w14:paraId="70A2DB18"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lastRenderedPageBreak/>
        <w:t>A. Proto Pisani</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Appunti sulla c.d. tutela costitutiva e sulle tecniche di produzione degli effetti sostanziali”, </w:t>
      </w:r>
      <w:r w:rsidRPr="0053175F">
        <w:rPr>
          <w:rFonts w:ascii="Times New Roman" w:hAnsi="Times New Roman" w:cs="Times New Roman"/>
          <w:sz w:val="28"/>
          <w:szCs w:val="28"/>
        </w:rPr>
        <w:t xml:space="preserve">in </w:t>
      </w:r>
      <w:proofErr w:type="spellStart"/>
      <w:r w:rsidRPr="0053175F">
        <w:rPr>
          <w:rFonts w:ascii="Times New Roman" w:hAnsi="Times New Roman" w:cs="Times New Roman"/>
          <w:i/>
          <w:iCs/>
          <w:sz w:val="28"/>
          <w:szCs w:val="28"/>
        </w:rPr>
        <w:t>Riv</w:t>
      </w:r>
      <w:proofErr w:type="spellEnd"/>
      <w:r w:rsidRPr="0053175F">
        <w:rPr>
          <w:rFonts w:ascii="Times New Roman" w:hAnsi="Times New Roman" w:cs="Times New Roman"/>
          <w:i/>
          <w:iCs/>
          <w:sz w:val="28"/>
          <w:szCs w:val="28"/>
        </w:rPr>
        <w:t xml:space="preserve">. dir. </w:t>
      </w:r>
      <w:proofErr w:type="spellStart"/>
      <w:r w:rsidRPr="0053175F">
        <w:rPr>
          <w:rFonts w:ascii="Times New Roman" w:hAnsi="Times New Roman" w:cs="Times New Roman"/>
          <w:i/>
          <w:iCs/>
          <w:sz w:val="28"/>
          <w:szCs w:val="28"/>
        </w:rPr>
        <w:t>proc</w:t>
      </w:r>
      <w:proofErr w:type="spellEnd"/>
      <w:r w:rsidRPr="0053175F">
        <w:rPr>
          <w:rFonts w:ascii="Times New Roman" w:hAnsi="Times New Roman" w:cs="Times New Roman"/>
          <w:sz w:val="28"/>
          <w:szCs w:val="28"/>
        </w:rPr>
        <w:t>., 1991.</w:t>
      </w:r>
    </w:p>
    <w:p w14:paraId="32BC098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A. </w:t>
      </w:r>
      <w:proofErr w:type="spellStart"/>
      <w:r w:rsidRPr="0053175F">
        <w:rPr>
          <w:rFonts w:ascii="Times New Roman" w:hAnsi="Times New Roman" w:cs="Times New Roman"/>
          <w:smallCaps/>
          <w:sz w:val="28"/>
          <w:szCs w:val="28"/>
        </w:rPr>
        <w:t>Pugiotto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Aporie, paradossi ed eterogenesi dei fini nel disegno di legge in materia di contrasto all’omofobia e alla </w:t>
      </w:r>
      <w:proofErr w:type="spellStart"/>
      <w:r w:rsidRPr="0053175F">
        <w:rPr>
          <w:rFonts w:ascii="Times New Roman" w:hAnsi="Times New Roman" w:cs="Times New Roman"/>
          <w:i/>
          <w:iCs/>
          <w:sz w:val="28"/>
          <w:szCs w:val="28"/>
        </w:rPr>
        <w:t>transfobia</w:t>
      </w:r>
      <w:proofErr w:type="spellEnd"/>
      <w:r w:rsidRPr="0053175F">
        <w:rPr>
          <w:rFonts w:ascii="Times New Roman" w:hAnsi="Times New Roman" w:cs="Times New Roman"/>
          <w:sz w:val="28"/>
          <w:szCs w:val="28"/>
        </w:rPr>
        <w:t xml:space="preserve">”, in </w:t>
      </w:r>
      <w:proofErr w:type="spellStart"/>
      <w:r w:rsidRPr="0053175F">
        <w:rPr>
          <w:rFonts w:ascii="Times New Roman" w:hAnsi="Times New Roman" w:cs="Times New Roman"/>
          <w:i/>
          <w:iCs/>
          <w:sz w:val="28"/>
          <w:szCs w:val="28"/>
        </w:rPr>
        <w:t>GenIus</w:t>
      </w:r>
      <w:proofErr w:type="spellEnd"/>
      <w:r w:rsidRPr="0053175F">
        <w:rPr>
          <w:rFonts w:ascii="Times New Roman" w:hAnsi="Times New Roman" w:cs="Times New Roman"/>
          <w:sz w:val="28"/>
          <w:szCs w:val="28"/>
        </w:rPr>
        <w:t>, 2015.</w:t>
      </w:r>
    </w:p>
    <w:p w14:paraId="72C54EFC"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S. </w:t>
      </w:r>
      <w:proofErr w:type="spellStart"/>
      <w:r w:rsidRPr="0053175F">
        <w:rPr>
          <w:rFonts w:ascii="Times New Roman" w:hAnsi="Times New Roman" w:cs="Times New Roman"/>
          <w:smallCaps/>
          <w:sz w:val="28"/>
          <w:szCs w:val="28"/>
        </w:rPr>
        <w:t>Pugliatti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 proprietà nel nuovo diritto</w:t>
      </w:r>
      <w:r w:rsidRPr="0053175F">
        <w:rPr>
          <w:rFonts w:ascii="Times New Roman" w:hAnsi="Times New Roman" w:cs="Times New Roman"/>
          <w:sz w:val="28"/>
          <w:szCs w:val="28"/>
        </w:rPr>
        <w:t>”, 1964.</w:t>
      </w:r>
    </w:p>
    <w:p w14:paraId="1674116F"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M. </w:t>
      </w:r>
      <w:proofErr w:type="spellStart"/>
      <w:r w:rsidRPr="0053175F">
        <w:rPr>
          <w:rFonts w:ascii="Times New Roman" w:hAnsi="Times New Roman" w:cs="Times New Roman"/>
          <w:smallCaps/>
          <w:sz w:val="28"/>
          <w:szCs w:val="28"/>
        </w:rPr>
        <w:t>Raco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 Digital Chart: una prima regolamentazione dell’</w:t>
      </w:r>
      <w:proofErr w:type="spellStart"/>
      <w:r w:rsidRPr="0053175F">
        <w:rPr>
          <w:rFonts w:ascii="Times New Roman" w:hAnsi="Times New Roman" w:cs="Times New Roman"/>
          <w:i/>
          <w:iCs/>
          <w:sz w:val="28"/>
          <w:szCs w:val="28"/>
        </w:rPr>
        <w:t>influencer</w:t>
      </w:r>
      <w:proofErr w:type="spellEnd"/>
      <w:r w:rsidRPr="0053175F">
        <w:rPr>
          <w:rFonts w:ascii="Times New Roman" w:hAnsi="Times New Roman" w:cs="Times New Roman"/>
          <w:i/>
          <w:iCs/>
          <w:sz w:val="28"/>
          <w:szCs w:val="28"/>
        </w:rPr>
        <w:t xml:space="preserve"> marketing</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 xml:space="preserve">iusinitinere.it, </w:t>
      </w:r>
      <w:r w:rsidRPr="0053175F">
        <w:rPr>
          <w:rFonts w:ascii="Times New Roman" w:hAnsi="Times New Roman" w:cs="Times New Roman"/>
          <w:sz w:val="28"/>
          <w:szCs w:val="28"/>
        </w:rPr>
        <w:t>5 maggio 2020.</w:t>
      </w:r>
    </w:p>
    <w:p w14:paraId="7DCD9AC6"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z w:val="28"/>
          <w:szCs w:val="28"/>
        </w:rPr>
        <w:t>M</w:t>
      </w:r>
      <w:r w:rsidRPr="0053175F">
        <w:rPr>
          <w:rFonts w:ascii="Times New Roman" w:hAnsi="Times New Roman" w:cs="Times New Roman"/>
          <w:smallCaps/>
          <w:sz w:val="28"/>
          <w:szCs w:val="28"/>
        </w:rPr>
        <w:t xml:space="preserve">. </w:t>
      </w:r>
      <w:proofErr w:type="spellStart"/>
      <w:r w:rsidRPr="0053175F">
        <w:rPr>
          <w:rFonts w:ascii="Times New Roman" w:hAnsi="Times New Roman" w:cs="Times New Roman"/>
          <w:smallCaps/>
          <w:sz w:val="28"/>
          <w:szCs w:val="28"/>
        </w:rPr>
        <w:t>Raco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Product </w:t>
      </w:r>
      <w:proofErr w:type="spellStart"/>
      <w:r w:rsidRPr="0053175F">
        <w:rPr>
          <w:rFonts w:ascii="Times New Roman" w:hAnsi="Times New Roman" w:cs="Times New Roman"/>
          <w:i/>
          <w:iCs/>
          <w:sz w:val="28"/>
          <w:szCs w:val="28"/>
        </w:rPr>
        <w:t>placement</w:t>
      </w:r>
      <w:proofErr w:type="spellEnd"/>
      <w:r w:rsidRPr="0053175F">
        <w:rPr>
          <w:rFonts w:ascii="Times New Roman" w:hAnsi="Times New Roman" w:cs="Times New Roman"/>
          <w:i/>
          <w:iCs/>
          <w:sz w:val="28"/>
          <w:szCs w:val="28"/>
        </w:rPr>
        <w:t xml:space="preserve"> ai limiti della pubblicità occulta: Baby K e Chiara </w:t>
      </w:r>
      <w:proofErr w:type="spellStart"/>
      <w:r w:rsidRPr="0053175F">
        <w:rPr>
          <w:rFonts w:ascii="Times New Roman" w:hAnsi="Times New Roman" w:cs="Times New Roman"/>
          <w:i/>
          <w:iCs/>
          <w:sz w:val="28"/>
          <w:szCs w:val="28"/>
        </w:rPr>
        <w:t>Ferragni</w:t>
      </w:r>
      <w:proofErr w:type="spellEnd"/>
      <w:r w:rsidRPr="0053175F">
        <w:rPr>
          <w:rFonts w:ascii="Times New Roman" w:hAnsi="Times New Roman" w:cs="Times New Roman"/>
          <w:i/>
          <w:iCs/>
          <w:sz w:val="28"/>
          <w:szCs w:val="28"/>
        </w:rPr>
        <w:t xml:space="preserve"> per </w:t>
      </w:r>
      <w:proofErr w:type="spellStart"/>
      <w:r w:rsidRPr="0053175F">
        <w:rPr>
          <w:rFonts w:ascii="Times New Roman" w:hAnsi="Times New Roman" w:cs="Times New Roman"/>
          <w:i/>
          <w:iCs/>
          <w:sz w:val="28"/>
          <w:szCs w:val="28"/>
        </w:rPr>
        <w:t>Pantene</w:t>
      </w:r>
      <w:proofErr w:type="spellEnd"/>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iusinitinere.it,</w:t>
      </w:r>
      <w:r w:rsidRPr="0053175F">
        <w:rPr>
          <w:rFonts w:ascii="Times New Roman" w:hAnsi="Times New Roman" w:cs="Times New Roman"/>
          <w:sz w:val="28"/>
          <w:szCs w:val="28"/>
        </w:rPr>
        <w:t xml:space="preserve"> 3 gennaio 2021.</w:t>
      </w:r>
    </w:p>
    <w:p w14:paraId="53B79AC2"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G. U. Rescigno</w:t>
      </w:r>
      <w:r w:rsidRPr="0053175F">
        <w:rPr>
          <w:rFonts w:ascii="Times New Roman" w:hAnsi="Times New Roman" w:cs="Times New Roman"/>
          <w:sz w:val="28"/>
          <w:szCs w:val="28"/>
        </w:rPr>
        <w:t>, “</w:t>
      </w:r>
      <w:r w:rsidRPr="0053175F">
        <w:rPr>
          <w:rFonts w:ascii="Times New Roman" w:hAnsi="Times New Roman" w:cs="Times New Roman"/>
          <w:i/>
          <w:iCs/>
          <w:sz w:val="28"/>
          <w:szCs w:val="28"/>
        </w:rPr>
        <w:t>L’esercizio dell’azione pubblica ed il pubblico ministero</w:t>
      </w:r>
      <w:r w:rsidRPr="0053175F">
        <w:rPr>
          <w:rFonts w:ascii="Times New Roman" w:hAnsi="Times New Roman" w:cs="Times New Roman"/>
          <w:sz w:val="28"/>
          <w:szCs w:val="28"/>
        </w:rPr>
        <w:t>”, relazione dell’8 novembre 2004 al Convegno dell’Associazione Italiana dei Costituzionalisti su “</w:t>
      </w:r>
      <w:r w:rsidRPr="0053175F">
        <w:rPr>
          <w:rFonts w:ascii="Times New Roman" w:hAnsi="Times New Roman" w:cs="Times New Roman"/>
          <w:i/>
          <w:iCs/>
          <w:sz w:val="28"/>
          <w:szCs w:val="28"/>
        </w:rPr>
        <w:t>Separazione dei poteri e</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funzione giurisdizionale</w:t>
      </w:r>
      <w:r w:rsidRPr="0053175F">
        <w:rPr>
          <w:rFonts w:ascii="Times New Roman" w:hAnsi="Times New Roman" w:cs="Times New Roman"/>
          <w:sz w:val="28"/>
          <w:szCs w:val="28"/>
        </w:rPr>
        <w:t>”.</w:t>
      </w:r>
    </w:p>
    <w:p w14:paraId="45B8F5FE"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hAnsi="Times New Roman" w:cs="Times New Roman"/>
          <w:smallCaps/>
          <w:sz w:val="28"/>
          <w:szCs w:val="28"/>
        </w:rPr>
        <w:t>F. Resta</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Conservazione dei dati e diritto alla riservatezza. La Corte di giustizia interviene sulla data </w:t>
      </w:r>
      <w:proofErr w:type="spellStart"/>
      <w:r w:rsidRPr="0053175F">
        <w:rPr>
          <w:rFonts w:ascii="Times New Roman" w:hAnsi="Times New Roman" w:cs="Times New Roman"/>
          <w:i/>
          <w:iCs/>
          <w:sz w:val="28"/>
          <w:szCs w:val="28"/>
        </w:rPr>
        <w:t>retention</w:t>
      </w:r>
      <w:proofErr w:type="spellEnd"/>
      <w:r w:rsidRPr="0053175F">
        <w:rPr>
          <w:rFonts w:ascii="Times New Roman" w:hAnsi="Times New Roman" w:cs="Times New Roman"/>
          <w:i/>
          <w:iCs/>
          <w:sz w:val="28"/>
          <w:szCs w:val="28"/>
        </w:rPr>
        <w:t>. I riflessi sulla disciplina interna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Giustizia Insieme.</w:t>
      </w:r>
    </w:p>
    <w:p w14:paraId="63C1F23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G. Resta, V. Zeno-</w:t>
      </w:r>
      <w:proofErr w:type="spellStart"/>
      <w:r w:rsidRPr="0053175F">
        <w:rPr>
          <w:rFonts w:ascii="Times New Roman" w:hAnsi="Times New Roman" w:cs="Times New Roman"/>
          <w:smallCaps/>
          <w:sz w:val="28"/>
          <w:szCs w:val="28"/>
        </w:rPr>
        <w:t>Zencovich</w:t>
      </w:r>
      <w:proofErr w:type="spellEnd"/>
      <w:r w:rsidRPr="0053175F">
        <w:rPr>
          <w:rFonts w:ascii="Times New Roman" w:hAnsi="Times New Roman" w:cs="Times New Roman"/>
          <w:sz w:val="28"/>
          <w:szCs w:val="28"/>
        </w:rPr>
        <w:t xml:space="preserve"> (a cura di), “</w:t>
      </w:r>
      <w:r w:rsidRPr="0053175F">
        <w:rPr>
          <w:rFonts w:ascii="Times New Roman" w:hAnsi="Times New Roman" w:cs="Times New Roman"/>
          <w:i/>
          <w:iCs/>
          <w:sz w:val="28"/>
          <w:szCs w:val="28"/>
        </w:rPr>
        <w:t xml:space="preserve">Il diritto all’oblio su internet dopo la sentenza Google </w:t>
      </w:r>
      <w:proofErr w:type="spellStart"/>
      <w:r w:rsidRPr="0053175F">
        <w:rPr>
          <w:rFonts w:ascii="Times New Roman" w:hAnsi="Times New Roman" w:cs="Times New Roman"/>
          <w:i/>
          <w:iCs/>
          <w:sz w:val="28"/>
          <w:szCs w:val="28"/>
        </w:rPr>
        <w:t>Spain</w:t>
      </w:r>
      <w:proofErr w:type="spellEnd"/>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Roma Tre Press</w:t>
      </w:r>
      <w:r w:rsidRPr="0053175F">
        <w:rPr>
          <w:rFonts w:ascii="Times New Roman" w:hAnsi="Times New Roman" w:cs="Times New Roman"/>
          <w:sz w:val="28"/>
          <w:szCs w:val="28"/>
        </w:rPr>
        <w:t>, Roma, 2015.</w:t>
      </w:r>
    </w:p>
    <w:p w14:paraId="22769CEC"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F. Resta</w:t>
      </w:r>
      <w:r w:rsidRPr="0053175F">
        <w:rPr>
          <w:rFonts w:ascii="Times New Roman" w:hAnsi="Times New Roman" w:cs="Times New Roman"/>
          <w:sz w:val="28"/>
          <w:szCs w:val="28"/>
        </w:rPr>
        <w:t>, “</w:t>
      </w:r>
      <w:r w:rsidRPr="0053175F">
        <w:rPr>
          <w:rFonts w:ascii="Times New Roman" w:hAnsi="Times New Roman" w:cs="Times New Roman"/>
          <w:i/>
          <w:iCs/>
          <w:sz w:val="28"/>
          <w:szCs w:val="28"/>
        </w:rPr>
        <w:t>La nuova disciplina dell’acquisizione dei tabulati</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Giustizia Insieme</w:t>
      </w:r>
      <w:r w:rsidRPr="0053175F">
        <w:rPr>
          <w:rFonts w:ascii="Times New Roman" w:hAnsi="Times New Roman" w:cs="Times New Roman"/>
          <w:sz w:val="28"/>
          <w:szCs w:val="28"/>
        </w:rPr>
        <w:t>, 2 ottobre 2021.</w:t>
      </w:r>
    </w:p>
    <w:p w14:paraId="3B6EDB42"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hAnsi="Times New Roman" w:cs="Times New Roman"/>
          <w:smallCaps/>
          <w:sz w:val="28"/>
          <w:szCs w:val="28"/>
        </w:rPr>
        <w:t xml:space="preserve">N. </w:t>
      </w:r>
      <w:proofErr w:type="spellStart"/>
      <w:r w:rsidRPr="0053175F">
        <w:rPr>
          <w:rFonts w:ascii="Times New Roman" w:hAnsi="Times New Roman" w:cs="Times New Roman"/>
          <w:smallCaps/>
          <w:sz w:val="28"/>
          <w:szCs w:val="28"/>
        </w:rPr>
        <w:t>Rezende</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Dati esterni alle comunicazioni e processo penale: questioni ancora aperte in tema di data </w:t>
      </w:r>
      <w:proofErr w:type="spellStart"/>
      <w:r w:rsidRPr="0053175F">
        <w:rPr>
          <w:rFonts w:ascii="Times New Roman" w:hAnsi="Times New Roman" w:cs="Times New Roman"/>
          <w:i/>
          <w:iCs/>
          <w:sz w:val="28"/>
          <w:szCs w:val="28"/>
        </w:rPr>
        <w:t>retention</w:t>
      </w:r>
      <w:proofErr w:type="spellEnd"/>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www.sistemapenale.it.</w:t>
      </w:r>
    </w:p>
    <w:p w14:paraId="26DE3E6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V. Ricciuto, C. </w:t>
      </w:r>
      <w:proofErr w:type="spellStart"/>
      <w:r w:rsidRPr="0053175F">
        <w:rPr>
          <w:rFonts w:ascii="Times New Roman" w:hAnsi="Times New Roman" w:cs="Times New Roman"/>
          <w:smallCaps/>
          <w:sz w:val="28"/>
          <w:szCs w:val="28"/>
        </w:rPr>
        <w:t>Solinas</w:t>
      </w:r>
      <w:proofErr w:type="spellEnd"/>
      <w:r w:rsidRPr="0053175F">
        <w:rPr>
          <w:rFonts w:ascii="Times New Roman" w:hAnsi="Times New Roman" w:cs="Times New Roman"/>
          <w:smallCaps/>
          <w:sz w:val="28"/>
          <w:szCs w:val="28"/>
        </w:rPr>
        <w:t>,</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Fornitura di servizi digitali e prestazione di dati personali: punti fermi ed ambiguità sulla corrispettività del contratto</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GiustiziaCivile.com</w:t>
      </w:r>
      <w:r w:rsidRPr="0053175F">
        <w:rPr>
          <w:rFonts w:ascii="Times New Roman" w:hAnsi="Times New Roman" w:cs="Times New Roman"/>
          <w:sz w:val="28"/>
          <w:szCs w:val="28"/>
        </w:rPr>
        <w:t>, 18 maggio 2021.</w:t>
      </w:r>
    </w:p>
    <w:p w14:paraId="370DD86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L. Rinaldi</w:t>
      </w:r>
      <w:r w:rsidRPr="0053175F">
        <w:rPr>
          <w:rFonts w:ascii="Times New Roman" w:hAnsi="Times New Roman" w:cs="Times New Roman"/>
          <w:sz w:val="28"/>
          <w:szCs w:val="28"/>
        </w:rPr>
        <w:t>, “</w:t>
      </w:r>
      <w:r w:rsidRPr="0053175F">
        <w:rPr>
          <w:rFonts w:ascii="Times New Roman" w:hAnsi="Times New Roman" w:cs="Times New Roman"/>
          <w:i/>
          <w:iCs/>
          <w:sz w:val="28"/>
          <w:szCs w:val="28"/>
        </w:rPr>
        <w:t>Sul cibo, sul corpo e sul divenire della forma</w:t>
      </w:r>
      <w:r w:rsidRPr="0053175F">
        <w:rPr>
          <w:rFonts w:ascii="Times New Roman" w:hAnsi="Times New Roman" w:cs="Times New Roman"/>
          <w:sz w:val="28"/>
          <w:szCs w:val="28"/>
        </w:rPr>
        <w:t>”, 2021.</w:t>
      </w:r>
    </w:p>
    <w:p w14:paraId="2934BEF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L. Rinaldi</w:t>
      </w:r>
      <w:r w:rsidRPr="0053175F">
        <w:rPr>
          <w:rFonts w:ascii="Times New Roman" w:hAnsi="Times New Roman" w:cs="Times New Roman"/>
          <w:sz w:val="28"/>
          <w:szCs w:val="28"/>
        </w:rPr>
        <w:t>, “</w:t>
      </w:r>
      <w:r w:rsidRPr="0053175F">
        <w:rPr>
          <w:rFonts w:ascii="Times New Roman" w:hAnsi="Times New Roman" w:cs="Times New Roman"/>
          <w:i/>
          <w:iCs/>
          <w:sz w:val="28"/>
          <w:szCs w:val="28"/>
        </w:rPr>
        <w:t>Sul nascere madri e padri. L’abisso, le sue insidie e le sue possibilità</w:t>
      </w:r>
      <w:r w:rsidRPr="0053175F">
        <w:rPr>
          <w:rFonts w:ascii="Times New Roman" w:hAnsi="Times New Roman" w:cs="Times New Roman"/>
          <w:sz w:val="28"/>
          <w:szCs w:val="28"/>
        </w:rPr>
        <w:t>”, 2019.</w:t>
      </w:r>
    </w:p>
    <w:p w14:paraId="678EDCC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E. </w:t>
      </w:r>
      <w:proofErr w:type="spellStart"/>
      <w:r w:rsidRPr="0053175F">
        <w:rPr>
          <w:rFonts w:ascii="Times New Roman" w:hAnsi="Times New Roman" w:cs="Times New Roman"/>
          <w:smallCaps/>
          <w:sz w:val="28"/>
          <w:szCs w:val="28"/>
        </w:rPr>
        <w:t>Rinaldini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Data </w:t>
      </w:r>
      <w:proofErr w:type="spellStart"/>
      <w:r w:rsidRPr="0053175F">
        <w:rPr>
          <w:rFonts w:ascii="Times New Roman" w:hAnsi="Times New Roman" w:cs="Times New Roman"/>
          <w:i/>
          <w:iCs/>
          <w:sz w:val="28"/>
          <w:szCs w:val="28"/>
        </w:rPr>
        <w:t>retention</w:t>
      </w:r>
      <w:proofErr w:type="spellEnd"/>
      <w:r w:rsidRPr="0053175F">
        <w:rPr>
          <w:rFonts w:ascii="Times New Roman" w:hAnsi="Times New Roman" w:cs="Times New Roman"/>
          <w:i/>
          <w:iCs/>
          <w:sz w:val="28"/>
          <w:szCs w:val="28"/>
        </w:rPr>
        <w:t xml:space="preserve"> e procedimento penale. Gli effetti della sentenza della Corte di Giustizia nel caso H.K. sul regime dell’acquisizione dei tabulati telefonici e telematici: urge l’intervento del legislatore</w:t>
      </w:r>
      <w:r w:rsidRPr="0053175F">
        <w:rPr>
          <w:rFonts w:ascii="Times New Roman" w:hAnsi="Times New Roman" w:cs="Times New Roman"/>
          <w:sz w:val="28"/>
          <w:szCs w:val="28"/>
        </w:rPr>
        <w:t>”, in</w:t>
      </w:r>
      <w:r w:rsidRPr="0053175F">
        <w:rPr>
          <w:rFonts w:ascii="Times New Roman" w:hAnsi="Times New Roman" w:cs="Times New Roman"/>
          <w:i/>
          <w:iCs/>
          <w:sz w:val="28"/>
          <w:szCs w:val="28"/>
        </w:rPr>
        <w:t xml:space="preserve"> Giurisprudenza Penale Web, </w:t>
      </w:r>
      <w:r w:rsidRPr="0053175F">
        <w:rPr>
          <w:rFonts w:ascii="Times New Roman" w:hAnsi="Times New Roman" w:cs="Times New Roman"/>
          <w:sz w:val="28"/>
          <w:szCs w:val="28"/>
        </w:rPr>
        <w:t>2021, 5.</w:t>
      </w:r>
    </w:p>
    <w:p w14:paraId="6EB7957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lastRenderedPageBreak/>
        <w:t xml:space="preserve">S. </w:t>
      </w:r>
      <w:proofErr w:type="spellStart"/>
      <w:r w:rsidRPr="0053175F">
        <w:rPr>
          <w:rFonts w:ascii="Times New Roman" w:hAnsi="Times New Roman" w:cs="Times New Roman"/>
          <w:smallCaps/>
          <w:sz w:val="28"/>
          <w:szCs w:val="28"/>
        </w:rPr>
        <w:t>Riondato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Robotica e diritto penale (robot, ibridi, chimere, “animali tecnologici”)</w:t>
      </w:r>
      <w:r w:rsidRPr="0053175F">
        <w:rPr>
          <w:rFonts w:ascii="Times New Roman" w:hAnsi="Times New Roman" w:cs="Times New Roman"/>
          <w:sz w:val="28"/>
          <w:szCs w:val="28"/>
        </w:rPr>
        <w:t xml:space="preserve">”, in </w:t>
      </w:r>
      <w:r w:rsidRPr="0053175F">
        <w:rPr>
          <w:rFonts w:ascii="Times New Roman" w:hAnsi="Times New Roman" w:cs="Times New Roman"/>
          <w:smallCaps/>
          <w:sz w:val="28"/>
          <w:szCs w:val="28"/>
        </w:rPr>
        <w:t xml:space="preserve">D. Provolo, S. </w:t>
      </w:r>
      <w:proofErr w:type="spellStart"/>
      <w:r w:rsidRPr="0053175F">
        <w:rPr>
          <w:rFonts w:ascii="Times New Roman" w:hAnsi="Times New Roman" w:cs="Times New Roman"/>
          <w:smallCaps/>
          <w:sz w:val="28"/>
          <w:szCs w:val="28"/>
        </w:rPr>
        <w:t>Riondato</w:t>
      </w:r>
      <w:proofErr w:type="spellEnd"/>
      <w:r w:rsidRPr="0053175F">
        <w:rPr>
          <w:rFonts w:ascii="Times New Roman" w:hAnsi="Times New Roman" w:cs="Times New Roman"/>
          <w:smallCaps/>
          <w:sz w:val="28"/>
          <w:szCs w:val="28"/>
        </w:rPr>
        <w:t xml:space="preserve">, F. </w:t>
      </w:r>
      <w:proofErr w:type="spellStart"/>
      <w:r w:rsidRPr="0053175F">
        <w:rPr>
          <w:rFonts w:ascii="Times New Roman" w:hAnsi="Times New Roman" w:cs="Times New Roman"/>
          <w:smallCaps/>
          <w:sz w:val="28"/>
          <w:szCs w:val="28"/>
        </w:rPr>
        <w:t>Yenisey</w:t>
      </w:r>
      <w:proofErr w:type="spellEnd"/>
      <w:r w:rsidRPr="0053175F">
        <w:rPr>
          <w:rFonts w:ascii="Times New Roman" w:hAnsi="Times New Roman" w:cs="Times New Roman"/>
          <w:sz w:val="28"/>
          <w:szCs w:val="28"/>
        </w:rPr>
        <w:t xml:space="preserve"> (a cura di), “</w:t>
      </w:r>
      <w:r w:rsidRPr="0053175F">
        <w:rPr>
          <w:rFonts w:ascii="Times New Roman" w:hAnsi="Times New Roman" w:cs="Times New Roman"/>
          <w:i/>
          <w:iCs/>
          <w:sz w:val="28"/>
          <w:szCs w:val="28"/>
        </w:rPr>
        <w:t xml:space="preserve">Genetics, </w:t>
      </w:r>
      <w:proofErr w:type="spellStart"/>
      <w:r w:rsidRPr="0053175F">
        <w:rPr>
          <w:rFonts w:ascii="Times New Roman" w:hAnsi="Times New Roman" w:cs="Times New Roman"/>
          <w:i/>
          <w:iCs/>
          <w:sz w:val="28"/>
          <w:szCs w:val="28"/>
        </w:rPr>
        <w:t>Robotics</w:t>
      </w:r>
      <w:proofErr w:type="spellEnd"/>
      <w:r w:rsidRPr="0053175F">
        <w:rPr>
          <w:rFonts w:ascii="Times New Roman" w:hAnsi="Times New Roman" w:cs="Times New Roman"/>
          <w:i/>
          <w:iCs/>
          <w:sz w:val="28"/>
          <w:szCs w:val="28"/>
        </w:rPr>
        <w:t xml:space="preserve">, Law, </w:t>
      </w:r>
      <w:proofErr w:type="spellStart"/>
      <w:r w:rsidRPr="0053175F">
        <w:rPr>
          <w:rFonts w:ascii="Times New Roman" w:hAnsi="Times New Roman" w:cs="Times New Roman"/>
          <w:i/>
          <w:iCs/>
          <w:sz w:val="28"/>
          <w:szCs w:val="28"/>
        </w:rPr>
        <w:t>Punishment</w:t>
      </w:r>
      <w:proofErr w:type="spellEnd"/>
      <w:r w:rsidRPr="0053175F">
        <w:rPr>
          <w:rFonts w:ascii="Times New Roman" w:hAnsi="Times New Roman" w:cs="Times New Roman"/>
          <w:sz w:val="28"/>
          <w:szCs w:val="28"/>
        </w:rPr>
        <w:t>”.</w:t>
      </w:r>
    </w:p>
    <w:p w14:paraId="13EE6076"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S. Rodotà, </w:t>
      </w:r>
      <w:r w:rsidRPr="0053175F">
        <w:rPr>
          <w:rFonts w:ascii="Times New Roman" w:hAnsi="Times New Roman" w:cs="Times New Roman"/>
          <w:sz w:val="28"/>
          <w:szCs w:val="28"/>
        </w:rPr>
        <w:t>“</w:t>
      </w:r>
      <w:r w:rsidRPr="0053175F">
        <w:rPr>
          <w:rFonts w:ascii="Times New Roman" w:hAnsi="Times New Roman" w:cs="Times New Roman"/>
          <w:i/>
          <w:iCs/>
          <w:sz w:val="28"/>
          <w:szCs w:val="28"/>
        </w:rPr>
        <w:t>Il</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mondo nella rete. Quali diritti, quali vincoli</w:t>
      </w:r>
      <w:r w:rsidRPr="0053175F">
        <w:rPr>
          <w:rFonts w:ascii="Times New Roman" w:hAnsi="Times New Roman" w:cs="Times New Roman"/>
          <w:sz w:val="28"/>
          <w:szCs w:val="28"/>
        </w:rPr>
        <w:t>”,</w:t>
      </w:r>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Editori Laterza e la Repubblica, Roma-Bari, 2014.</w:t>
      </w:r>
    </w:p>
    <w:p w14:paraId="3AF73B2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M. Rossetti</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Post nubila </w:t>
      </w:r>
      <w:proofErr w:type="spellStart"/>
      <w:r w:rsidRPr="0053175F">
        <w:rPr>
          <w:rFonts w:ascii="Times New Roman" w:hAnsi="Times New Roman" w:cs="Times New Roman"/>
          <w:i/>
          <w:iCs/>
          <w:sz w:val="28"/>
          <w:szCs w:val="28"/>
        </w:rPr>
        <w:t>phoebus</w:t>
      </w:r>
      <w:proofErr w:type="spellEnd"/>
      <w:r w:rsidRPr="0053175F">
        <w:rPr>
          <w:rFonts w:ascii="Times New Roman" w:hAnsi="Times New Roman" w:cs="Times New Roman"/>
          <w:i/>
          <w:iCs/>
          <w:sz w:val="28"/>
          <w:szCs w:val="28"/>
        </w:rPr>
        <w:t>, ovvero gli effetti concreti della sentenza delle sezioni unite n. 26972 del 2008 in tema di danno non patrimoniale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Giustizia Civile</w:t>
      </w:r>
      <w:r w:rsidRPr="0053175F">
        <w:rPr>
          <w:rFonts w:ascii="Times New Roman" w:hAnsi="Times New Roman" w:cs="Times New Roman"/>
          <w:sz w:val="28"/>
          <w:szCs w:val="28"/>
        </w:rPr>
        <w:t>, fasc. 4-5, 2009.</w:t>
      </w:r>
    </w:p>
    <w:p w14:paraId="39A5080E"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hAnsi="Times New Roman" w:cs="Times New Roman"/>
          <w:smallCaps/>
          <w:sz w:val="28"/>
          <w:szCs w:val="28"/>
        </w:rPr>
        <w:t>E. Rotolo</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Sarà </w:t>
      </w:r>
      <w:proofErr w:type="spellStart"/>
      <w:r w:rsidRPr="0053175F">
        <w:rPr>
          <w:rFonts w:ascii="Times New Roman" w:hAnsi="Times New Roman" w:cs="Times New Roman"/>
          <w:i/>
          <w:iCs/>
          <w:sz w:val="28"/>
          <w:szCs w:val="28"/>
        </w:rPr>
        <w:t>metaverso</w:t>
      </w:r>
      <w:proofErr w:type="spellEnd"/>
      <w:r w:rsidRPr="0053175F">
        <w:rPr>
          <w:rFonts w:ascii="Times New Roman" w:hAnsi="Times New Roman" w:cs="Times New Roman"/>
          <w:i/>
          <w:iCs/>
          <w:sz w:val="28"/>
          <w:szCs w:val="28"/>
        </w:rPr>
        <w:t xml:space="preserve"> in mille settori: ecco tutte le possibilità di business</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agendadigitale.eu.</w:t>
      </w:r>
    </w:p>
    <w:p w14:paraId="0B32E678"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C. </w:t>
      </w:r>
      <w:proofErr w:type="spellStart"/>
      <w:r w:rsidRPr="0053175F">
        <w:rPr>
          <w:rFonts w:ascii="Times New Roman" w:hAnsi="Times New Roman" w:cs="Times New Roman"/>
          <w:smallCaps/>
          <w:sz w:val="28"/>
          <w:szCs w:val="28"/>
        </w:rPr>
        <w:t>Roxin</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Sul consenso nel diritto penale</w:t>
      </w:r>
      <w:r w:rsidRPr="0053175F">
        <w:rPr>
          <w:rFonts w:ascii="Times New Roman" w:hAnsi="Times New Roman" w:cs="Times New Roman"/>
          <w:sz w:val="28"/>
          <w:szCs w:val="28"/>
        </w:rPr>
        <w:t>”, in “</w:t>
      </w:r>
      <w:r w:rsidRPr="0053175F">
        <w:rPr>
          <w:rFonts w:ascii="Times New Roman" w:hAnsi="Times New Roman" w:cs="Times New Roman"/>
          <w:i/>
          <w:iCs/>
          <w:sz w:val="28"/>
          <w:szCs w:val="28"/>
        </w:rPr>
        <w:t>Antigiuridicità e cause di giustificazione. Problemi di teoria dell’illecito penale</w:t>
      </w:r>
      <w:r w:rsidRPr="0053175F">
        <w:rPr>
          <w:rFonts w:ascii="Times New Roman" w:hAnsi="Times New Roman" w:cs="Times New Roman"/>
          <w:sz w:val="28"/>
          <w:szCs w:val="28"/>
        </w:rPr>
        <w:t>”, a cura di S</w:t>
      </w:r>
      <w:r w:rsidRPr="0053175F">
        <w:rPr>
          <w:rFonts w:ascii="Times New Roman" w:hAnsi="Times New Roman" w:cs="Times New Roman"/>
          <w:smallCaps/>
          <w:sz w:val="28"/>
          <w:szCs w:val="28"/>
        </w:rPr>
        <w:t>. Moccia</w:t>
      </w:r>
      <w:r w:rsidRPr="0053175F">
        <w:rPr>
          <w:rFonts w:ascii="Times New Roman" w:hAnsi="Times New Roman" w:cs="Times New Roman"/>
          <w:sz w:val="28"/>
          <w:szCs w:val="28"/>
        </w:rPr>
        <w:t>, Napoli, 1996.</w:t>
      </w:r>
    </w:p>
    <w:p w14:paraId="3AC033DB"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C. </w:t>
      </w:r>
      <w:proofErr w:type="spellStart"/>
      <w:r w:rsidRPr="0053175F">
        <w:rPr>
          <w:rFonts w:ascii="Times New Roman" w:hAnsi="Times New Roman" w:cs="Times New Roman"/>
          <w:smallCaps/>
          <w:sz w:val="28"/>
          <w:szCs w:val="28"/>
          <w:lang w:val="en-US"/>
        </w:rPr>
        <w:t>Roxin</w:t>
      </w:r>
      <w:proofErr w:type="spellEnd"/>
      <w:r w:rsidRPr="0053175F">
        <w:rPr>
          <w:rFonts w:ascii="Times New Roman" w:hAnsi="Times New Roman" w:cs="Times New Roman"/>
          <w:sz w:val="28"/>
          <w:szCs w:val="28"/>
          <w:lang w:val="en-US"/>
        </w:rPr>
        <w:t>, “</w:t>
      </w:r>
      <w:proofErr w:type="spellStart"/>
      <w:r w:rsidRPr="0053175F">
        <w:rPr>
          <w:rFonts w:ascii="Times New Roman" w:hAnsi="Times New Roman" w:cs="Times New Roman"/>
          <w:i/>
          <w:iCs/>
          <w:sz w:val="28"/>
          <w:szCs w:val="28"/>
          <w:lang w:val="en-US"/>
        </w:rPr>
        <w:t>Über</w:t>
      </w:r>
      <w:proofErr w:type="spellEnd"/>
      <w:r w:rsidRPr="0053175F">
        <w:rPr>
          <w:rFonts w:ascii="Times New Roman" w:hAnsi="Times New Roman" w:cs="Times New Roman"/>
          <w:i/>
          <w:iCs/>
          <w:sz w:val="28"/>
          <w:szCs w:val="28"/>
          <w:lang w:val="en-US"/>
        </w:rPr>
        <w:t xml:space="preserve"> die </w:t>
      </w:r>
      <w:proofErr w:type="spellStart"/>
      <w:r w:rsidRPr="0053175F">
        <w:rPr>
          <w:rFonts w:ascii="Times New Roman" w:hAnsi="Times New Roman" w:cs="Times New Roman"/>
          <w:i/>
          <w:iCs/>
          <w:sz w:val="28"/>
          <w:szCs w:val="28"/>
          <w:lang w:val="en-US"/>
        </w:rPr>
        <w:t>mutmassliche</w:t>
      </w:r>
      <w:proofErr w:type="spellEnd"/>
      <w:r w:rsidRPr="0053175F">
        <w:rPr>
          <w:rFonts w:ascii="Times New Roman" w:hAnsi="Times New Roman" w:cs="Times New Roman"/>
          <w:i/>
          <w:iCs/>
          <w:sz w:val="28"/>
          <w:szCs w:val="28"/>
          <w:lang w:val="en-US"/>
        </w:rPr>
        <w:t xml:space="preserve"> </w:t>
      </w:r>
      <w:proofErr w:type="spellStart"/>
      <w:r w:rsidRPr="0053175F">
        <w:rPr>
          <w:rFonts w:ascii="Times New Roman" w:hAnsi="Times New Roman" w:cs="Times New Roman"/>
          <w:i/>
          <w:iCs/>
          <w:sz w:val="28"/>
          <w:szCs w:val="28"/>
          <w:lang w:val="en-US"/>
        </w:rPr>
        <w:t>Einwilligung</w:t>
      </w:r>
      <w:proofErr w:type="spellEnd"/>
      <w:r w:rsidRPr="0053175F">
        <w:rPr>
          <w:rFonts w:ascii="Times New Roman" w:hAnsi="Times New Roman" w:cs="Times New Roman"/>
          <w:sz w:val="28"/>
          <w:szCs w:val="28"/>
          <w:lang w:val="en-US"/>
        </w:rPr>
        <w:t>”, in “</w:t>
      </w:r>
      <w:r w:rsidRPr="0053175F">
        <w:rPr>
          <w:rFonts w:ascii="Times New Roman" w:hAnsi="Times New Roman" w:cs="Times New Roman"/>
          <w:i/>
          <w:iCs/>
          <w:sz w:val="28"/>
          <w:szCs w:val="28"/>
          <w:lang w:val="en-US"/>
        </w:rPr>
        <w:t xml:space="preserve">Festschrift </w:t>
      </w:r>
      <w:proofErr w:type="spellStart"/>
      <w:r w:rsidRPr="0053175F">
        <w:rPr>
          <w:rFonts w:ascii="Times New Roman" w:hAnsi="Times New Roman" w:cs="Times New Roman"/>
          <w:i/>
          <w:iCs/>
          <w:sz w:val="28"/>
          <w:szCs w:val="28"/>
          <w:lang w:val="en-US"/>
        </w:rPr>
        <w:t>für</w:t>
      </w:r>
      <w:proofErr w:type="spellEnd"/>
      <w:r w:rsidRPr="0053175F">
        <w:rPr>
          <w:rFonts w:ascii="Times New Roman" w:hAnsi="Times New Roman" w:cs="Times New Roman"/>
          <w:i/>
          <w:iCs/>
          <w:sz w:val="28"/>
          <w:szCs w:val="28"/>
          <w:lang w:val="en-US"/>
        </w:rPr>
        <w:t xml:space="preserve"> Hans </w:t>
      </w:r>
      <w:proofErr w:type="spellStart"/>
      <w:r w:rsidRPr="0053175F">
        <w:rPr>
          <w:rFonts w:ascii="Times New Roman" w:hAnsi="Times New Roman" w:cs="Times New Roman"/>
          <w:i/>
          <w:iCs/>
          <w:sz w:val="28"/>
          <w:szCs w:val="28"/>
          <w:lang w:val="en-US"/>
        </w:rPr>
        <w:t>Welzel</w:t>
      </w:r>
      <w:proofErr w:type="spellEnd"/>
      <w:r w:rsidRPr="0053175F">
        <w:rPr>
          <w:rFonts w:ascii="Times New Roman" w:hAnsi="Times New Roman" w:cs="Times New Roman"/>
          <w:sz w:val="28"/>
          <w:szCs w:val="28"/>
          <w:lang w:val="en-US"/>
        </w:rPr>
        <w:t xml:space="preserve">”, </w:t>
      </w:r>
      <w:proofErr w:type="spellStart"/>
      <w:r w:rsidRPr="0053175F">
        <w:rPr>
          <w:rFonts w:ascii="Times New Roman" w:hAnsi="Times New Roman" w:cs="Times New Roman"/>
          <w:sz w:val="28"/>
          <w:szCs w:val="28"/>
          <w:lang w:val="en-US"/>
        </w:rPr>
        <w:t>Berlino</w:t>
      </w:r>
      <w:proofErr w:type="spellEnd"/>
      <w:r w:rsidRPr="0053175F">
        <w:rPr>
          <w:rFonts w:ascii="Times New Roman" w:hAnsi="Times New Roman" w:cs="Times New Roman"/>
          <w:sz w:val="28"/>
          <w:szCs w:val="28"/>
          <w:lang w:val="en-US"/>
        </w:rPr>
        <w:t>-New York 1974.</w:t>
      </w:r>
    </w:p>
    <w:p w14:paraId="7A921D1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U. Ruffolo, E. Al </w:t>
      </w:r>
      <w:proofErr w:type="spellStart"/>
      <w:r w:rsidRPr="0053175F">
        <w:rPr>
          <w:rFonts w:ascii="Times New Roman" w:hAnsi="Times New Roman" w:cs="Times New Roman"/>
          <w:smallCaps/>
          <w:sz w:val="28"/>
          <w:szCs w:val="28"/>
        </w:rPr>
        <w:t>Mureden</w:t>
      </w:r>
      <w:proofErr w:type="spellEnd"/>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Autonomous</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vehicles</w:t>
      </w:r>
      <w:proofErr w:type="spellEnd"/>
      <w:r w:rsidRPr="0053175F">
        <w:rPr>
          <w:rFonts w:ascii="Times New Roman" w:hAnsi="Times New Roman" w:cs="Times New Roman"/>
          <w:i/>
          <w:iCs/>
          <w:sz w:val="28"/>
          <w:szCs w:val="28"/>
        </w:rPr>
        <w:t xml:space="preserve"> e responsabilità nel nostro sistema ed in quello statunitense</w:t>
      </w:r>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Giurisprudenza Italiana</w:t>
      </w:r>
      <w:r w:rsidRPr="0053175F">
        <w:rPr>
          <w:rFonts w:ascii="Times New Roman" w:hAnsi="Times New Roman" w:cs="Times New Roman"/>
          <w:sz w:val="28"/>
          <w:szCs w:val="28"/>
        </w:rPr>
        <w:t>, 2019.</w:t>
      </w:r>
    </w:p>
    <w:p w14:paraId="5273E97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U. Ruffolo, A. </w:t>
      </w:r>
      <w:proofErr w:type="spellStart"/>
      <w:r w:rsidRPr="0053175F">
        <w:rPr>
          <w:rFonts w:ascii="Times New Roman" w:hAnsi="Times New Roman" w:cs="Times New Roman"/>
          <w:smallCaps/>
          <w:sz w:val="28"/>
          <w:szCs w:val="28"/>
        </w:rPr>
        <w:t>Amidei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Intelligenza artificiale e diritti della persona: le frontiere del </w:t>
      </w:r>
      <w:proofErr w:type="spellStart"/>
      <w:r w:rsidRPr="0053175F">
        <w:rPr>
          <w:rFonts w:ascii="Times New Roman" w:hAnsi="Times New Roman" w:cs="Times New Roman"/>
          <w:i/>
          <w:iCs/>
          <w:sz w:val="28"/>
          <w:szCs w:val="28"/>
        </w:rPr>
        <w:t>transumanesimo</w:t>
      </w:r>
      <w:proofErr w:type="spellEnd"/>
      <w:r w:rsidRPr="0053175F">
        <w:rPr>
          <w:rFonts w:ascii="Times New Roman" w:hAnsi="Times New Roman" w:cs="Times New Roman"/>
          <w:sz w:val="28"/>
          <w:szCs w:val="28"/>
        </w:rPr>
        <w:t>”.</w:t>
      </w:r>
    </w:p>
    <w:p w14:paraId="43CFF429"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U. Ruffolo</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Intelligenza Artificiale, machine </w:t>
      </w:r>
      <w:proofErr w:type="spellStart"/>
      <w:r w:rsidRPr="0053175F">
        <w:rPr>
          <w:rFonts w:ascii="Times New Roman" w:hAnsi="Times New Roman" w:cs="Times New Roman"/>
          <w:i/>
          <w:iCs/>
          <w:sz w:val="28"/>
          <w:szCs w:val="28"/>
        </w:rPr>
        <w:t>learning</w:t>
      </w:r>
      <w:proofErr w:type="spellEnd"/>
      <w:r w:rsidRPr="0053175F">
        <w:rPr>
          <w:rFonts w:ascii="Times New Roman" w:hAnsi="Times New Roman" w:cs="Times New Roman"/>
          <w:i/>
          <w:iCs/>
          <w:sz w:val="28"/>
          <w:szCs w:val="28"/>
        </w:rPr>
        <w:t xml:space="preserve"> e responsabilità da algoritmo</w:t>
      </w:r>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Giurisprudenza Italiana</w:t>
      </w:r>
      <w:r w:rsidRPr="0053175F">
        <w:rPr>
          <w:rFonts w:ascii="Times New Roman" w:hAnsi="Times New Roman" w:cs="Times New Roman"/>
          <w:sz w:val="28"/>
          <w:szCs w:val="28"/>
        </w:rPr>
        <w:t xml:space="preserve"> n. 7/2019, Utet Giuridica, Torino.</w:t>
      </w:r>
    </w:p>
    <w:p w14:paraId="1BD6ADC0" w14:textId="77777777" w:rsidR="00265619" w:rsidRPr="0053175F" w:rsidRDefault="00265619" w:rsidP="0053175F">
      <w:pPr>
        <w:spacing w:before="100" w:beforeAutospacing="1" w:after="100" w:afterAutospacing="1" w:line="240" w:lineRule="auto"/>
        <w:jc w:val="both"/>
        <w:rPr>
          <w:rFonts w:ascii="Times New Roman" w:hAnsi="Times New Roman" w:cs="Times New Roman"/>
          <w:i/>
          <w:iCs/>
          <w:sz w:val="28"/>
          <w:szCs w:val="28"/>
        </w:rPr>
      </w:pPr>
      <w:r w:rsidRPr="0053175F">
        <w:rPr>
          <w:rFonts w:ascii="Times New Roman" w:hAnsi="Times New Roman" w:cs="Times New Roman"/>
          <w:smallCaps/>
          <w:sz w:val="28"/>
          <w:szCs w:val="28"/>
        </w:rPr>
        <w:t>N. Ruggiero</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Quanto (e come) ci spia lo </w:t>
      </w:r>
      <w:proofErr w:type="spellStart"/>
      <w:r w:rsidRPr="0053175F">
        <w:rPr>
          <w:rFonts w:ascii="Times New Roman" w:hAnsi="Times New Roman" w:cs="Times New Roman"/>
          <w:i/>
          <w:iCs/>
          <w:sz w:val="28"/>
          <w:szCs w:val="28"/>
        </w:rPr>
        <w:t>smartphone</w:t>
      </w:r>
      <w:proofErr w:type="spellEnd"/>
      <w:r w:rsidRPr="0053175F">
        <w:rPr>
          <w:rFonts w:ascii="Times New Roman" w:hAnsi="Times New Roman" w:cs="Times New Roman"/>
          <w:i/>
          <w:iCs/>
          <w:sz w:val="28"/>
          <w:szCs w:val="28"/>
        </w:rPr>
        <w:t>? Tutte le trappole che ignoriamo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agendadigitale.eu</w:t>
      </w:r>
    </w:p>
    <w:p w14:paraId="15D464F6"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eastAsia="Times New Roman" w:hAnsi="Times New Roman" w:cs="Times New Roman"/>
          <w:smallCaps/>
          <w:sz w:val="28"/>
          <w:szCs w:val="28"/>
          <w:highlight w:val="white"/>
          <w:lang w:val="en-GB"/>
        </w:rPr>
        <w:t xml:space="preserve">A. </w:t>
      </w:r>
      <w:proofErr w:type="spellStart"/>
      <w:r w:rsidRPr="0053175F">
        <w:rPr>
          <w:rFonts w:ascii="Times New Roman" w:eastAsia="Times New Roman" w:hAnsi="Times New Roman" w:cs="Times New Roman"/>
          <w:smallCaps/>
          <w:sz w:val="28"/>
          <w:szCs w:val="28"/>
          <w:highlight w:val="white"/>
          <w:lang w:val="en-GB"/>
        </w:rPr>
        <w:t>Rutjes</w:t>
      </w:r>
      <w:proofErr w:type="spellEnd"/>
      <w:r w:rsidRPr="0053175F">
        <w:rPr>
          <w:rFonts w:ascii="Times New Roman" w:eastAsia="Times New Roman" w:hAnsi="Times New Roman" w:cs="Times New Roman"/>
          <w:sz w:val="28"/>
          <w:szCs w:val="28"/>
          <w:highlight w:val="white"/>
          <w:lang w:val="en-GB"/>
        </w:rPr>
        <w:t>, “</w:t>
      </w:r>
      <w:r w:rsidRPr="0053175F">
        <w:rPr>
          <w:rFonts w:ascii="Times New Roman" w:eastAsia="Times New Roman" w:hAnsi="Times New Roman" w:cs="Times New Roman"/>
          <w:i/>
          <w:sz w:val="28"/>
          <w:szCs w:val="28"/>
          <w:highlight w:val="white"/>
          <w:lang w:val="en-GB"/>
        </w:rPr>
        <w:t>Blockchain and GDPR: better safe than sorry</w:t>
      </w:r>
      <w:r w:rsidRPr="0053175F">
        <w:rPr>
          <w:rFonts w:ascii="Times New Roman" w:eastAsia="Times New Roman" w:hAnsi="Times New Roman" w:cs="Times New Roman"/>
          <w:sz w:val="28"/>
          <w:szCs w:val="28"/>
          <w:highlight w:val="white"/>
          <w:lang w:val="en-GB"/>
        </w:rPr>
        <w:t>”, 2018.</w:t>
      </w:r>
    </w:p>
    <w:p w14:paraId="1031EC6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F. </w:t>
      </w:r>
      <w:proofErr w:type="spellStart"/>
      <w:r w:rsidRPr="0053175F">
        <w:rPr>
          <w:rFonts w:ascii="Times New Roman" w:hAnsi="Times New Roman" w:cs="Times New Roman"/>
          <w:smallCaps/>
          <w:sz w:val="28"/>
          <w:szCs w:val="28"/>
        </w:rPr>
        <w:t>Saitta</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Le patologie dell’atto amministrativo elettronico e il sindacato del giudice amministrativo</w:t>
      </w:r>
      <w:r w:rsidRPr="0053175F">
        <w:rPr>
          <w:rFonts w:ascii="Times New Roman" w:hAnsi="Times New Roman" w:cs="Times New Roman"/>
          <w:sz w:val="28"/>
          <w:szCs w:val="28"/>
        </w:rPr>
        <w:t xml:space="preserve">”, in </w:t>
      </w:r>
      <w:proofErr w:type="spellStart"/>
      <w:r w:rsidRPr="0053175F">
        <w:rPr>
          <w:rFonts w:ascii="Times New Roman" w:hAnsi="Times New Roman" w:cs="Times New Roman"/>
          <w:i/>
          <w:iCs/>
          <w:sz w:val="28"/>
          <w:szCs w:val="28"/>
        </w:rPr>
        <w:t>Riv.dir.amm.elettronico</w:t>
      </w:r>
      <w:proofErr w:type="spellEnd"/>
      <w:r w:rsidRPr="0053175F">
        <w:rPr>
          <w:rFonts w:ascii="Times New Roman" w:hAnsi="Times New Roman" w:cs="Times New Roman"/>
          <w:sz w:val="28"/>
          <w:szCs w:val="28"/>
        </w:rPr>
        <w:t xml:space="preserve">, disponibile </w:t>
      </w:r>
      <w:r w:rsidRPr="0053175F">
        <w:rPr>
          <w:rFonts w:ascii="Times New Roman" w:hAnsi="Times New Roman" w:cs="Times New Roman"/>
          <w:i/>
          <w:iCs/>
          <w:sz w:val="28"/>
          <w:szCs w:val="28"/>
        </w:rPr>
        <w:t>on line</w:t>
      </w:r>
      <w:r w:rsidRPr="0053175F">
        <w:rPr>
          <w:rFonts w:ascii="Times New Roman" w:hAnsi="Times New Roman" w:cs="Times New Roman"/>
          <w:sz w:val="28"/>
          <w:szCs w:val="28"/>
        </w:rPr>
        <w:t>, 2003.</w:t>
      </w:r>
    </w:p>
    <w:p w14:paraId="6647571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B. </w:t>
      </w:r>
      <w:proofErr w:type="spellStart"/>
      <w:r w:rsidRPr="0053175F">
        <w:rPr>
          <w:rFonts w:ascii="Times New Roman" w:hAnsi="Times New Roman" w:cs="Times New Roman"/>
          <w:smallCaps/>
          <w:sz w:val="28"/>
          <w:szCs w:val="28"/>
          <w:lang w:val="en-US"/>
        </w:rPr>
        <w:t>Sandywell</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 xml:space="preserve">On the </w:t>
      </w:r>
      <w:proofErr w:type="spellStart"/>
      <w:r w:rsidRPr="0053175F">
        <w:rPr>
          <w:rFonts w:ascii="Times New Roman" w:hAnsi="Times New Roman" w:cs="Times New Roman"/>
          <w:i/>
          <w:iCs/>
          <w:sz w:val="28"/>
          <w:szCs w:val="28"/>
          <w:lang w:val="en-US"/>
        </w:rPr>
        <w:t>globalisation</w:t>
      </w:r>
      <w:proofErr w:type="spellEnd"/>
      <w:r w:rsidRPr="0053175F">
        <w:rPr>
          <w:rFonts w:ascii="Times New Roman" w:hAnsi="Times New Roman" w:cs="Times New Roman"/>
          <w:i/>
          <w:iCs/>
          <w:sz w:val="28"/>
          <w:szCs w:val="28"/>
          <w:lang w:val="en-US"/>
        </w:rPr>
        <w:t xml:space="preserve"> of crime: The internet and the new criminality</w:t>
      </w:r>
      <w:r w:rsidRPr="0053175F">
        <w:rPr>
          <w:rFonts w:ascii="Times New Roman" w:hAnsi="Times New Roman" w:cs="Times New Roman"/>
          <w:sz w:val="28"/>
          <w:szCs w:val="28"/>
          <w:lang w:val="en-US"/>
        </w:rPr>
        <w:t>”, in “</w:t>
      </w:r>
      <w:r w:rsidRPr="0053175F">
        <w:rPr>
          <w:rFonts w:ascii="Times New Roman" w:hAnsi="Times New Roman" w:cs="Times New Roman"/>
          <w:i/>
          <w:iCs/>
          <w:sz w:val="28"/>
          <w:szCs w:val="28"/>
          <w:lang w:val="en-US"/>
        </w:rPr>
        <w:t>Handbook of Internet Crime</w:t>
      </w:r>
      <w:r w:rsidRPr="0053175F">
        <w:rPr>
          <w:rFonts w:ascii="Times New Roman" w:hAnsi="Times New Roman" w:cs="Times New Roman"/>
          <w:sz w:val="28"/>
          <w:szCs w:val="28"/>
          <w:lang w:val="en-US"/>
        </w:rPr>
        <w:t xml:space="preserve">”, a </w:t>
      </w:r>
      <w:proofErr w:type="spellStart"/>
      <w:r w:rsidRPr="0053175F">
        <w:rPr>
          <w:rFonts w:ascii="Times New Roman" w:hAnsi="Times New Roman" w:cs="Times New Roman"/>
          <w:sz w:val="28"/>
          <w:szCs w:val="28"/>
          <w:lang w:val="en-US"/>
        </w:rPr>
        <w:t>cura</w:t>
      </w:r>
      <w:proofErr w:type="spellEnd"/>
      <w:r w:rsidRPr="0053175F">
        <w:rPr>
          <w:rFonts w:ascii="Times New Roman" w:hAnsi="Times New Roman" w:cs="Times New Roman"/>
          <w:sz w:val="28"/>
          <w:szCs w:val="28"/>
          <w:lang w:val="en-US"/>
        </w:rPr>
        <w:t xml:space="preserve"> di </w:t>
      </w:r>
      <w:r w:rsidRPr="0053175F">
        <w:rPr>
          <w:rFonts w:ascii="Times New Roman" w:hAnsi="Times New Roman" w:cs="Times New Roman"/>
          <w:smallCaps/>
          <w:sz w:val="28"/>
          <w:szCs w:val="28"/>
          <w:lang w:val="en-US"/>
        </w:rPr>
        <w:t xml:space="preserve">Y. </w:t>
      </w:r>
      <w:proofErr w:type="spellStart"/>
      <w:r w:rsidRPr="0053175F">
        <w:rPr>
          <w:rFonts w:ascii="Times New Roman" w:hAnsi="Times New Roman" w:cs="Times New Roman"/>
          <w:smallCaps/>
          <w:sz w:val="28"/>
          <w:szCs w:val="28"/>
          <w:lang w:val="en-US"/>
        </w:rPr>
        <w:t>Jewkes</w:t>
      </w:r>
      <w:proofErr w:type="spellEnd"/>
      <w:r w:rsidRPr="0053175F">
        <w:rPr>
          <w:rFonts w:ascii="Times New Roman" w:hAnsi="Times New Roman" w:cs="Times New Roman"/>
          <w:smallCaps/>
          <w:sz w:val="28"/>
          <w:szCs w:val="28"/>
          <w:lang w:val="en-US"/>
        </w:rPr>
        <w:t xml:space="preserve"> – M. Yar</w:t>
      </w:r>
      <w:r w:rsidRPr="0053175F">
        <w:rPr>
          <w:rFonts w:ascii="Times New Roman" w:hAnsi="Times New Roman" w:cs="Times New Roman"/>
          <w:sz w:val="28"/>
          <w:szCs w:val="28"/>
          <w:lang w:val="en-US"/>
        </w:rPr>
        <w:t>, Milton, 2010.</w:t>
      </w:r>
    </w:p>
    <w:p w14:paraId="59E4796C"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z w:val="28"/>
          <w:szCs w:val="28"/>
          <w:lang w:val="en-US"/>
        </w:rPr>
        <w:t>S</w:t>
      </w:r>
      <w:r w:rsidRPr="0053175F">
        <w:rPr>
          <w:rFonts w:ascii="Times New Roman" w:hAnsi="Times New Roman" w:cs="Times New Roman"/>
          <w:smallCaps/>
          <w:sz w:val="28"/>
          <w:szCs w:val="28"/>
          <w:lang w:val="en-US"/>
        </w:rPr>
        <w:t xml:space="preserve">. </w:t>
      </w:r>
      <w:proofErr w:type="spellStart"/>
      <w:r w:rsidRPr="0053175F">
        <w:rPr>
          <w:rFonts w:ascii="Times New Roman" w:hAnsi="Times New Roman" w:cs="Times New Roman"/>
          <w:smallCaps/>
          <w:sz w:val="28"/>
          <w:szCs w:val="28"/>
          <w:lang w:val="en-US"/>
        </w:rPr>
        <w:t>Sardella</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Influencer marketing e Fashion Law</w:t>
      </w:r>
      <w:r w:rsidRPr="0053175F">
        <w:rPr>
          <w:rFonts w:ascii="Times New Roman" w:hAnsi="Times New Roman" w:cs="Times New Roman"/>
          <w:sz w:val="28"/>
          <w:szCs w:val="28"/>
          <w:lang w:val="en-US"/>
        </w:rPr>
        <w:t xml:space="preserve">”, </w:t>
      </w:r>
      <w:proofErr w:type="spellStart"/>
      <w:r w:rsidRPr="0053175F">
        <w:rPr>
          <w:rFonts w:ascii="Times New Roman" w:hAnsi="Times New Roman" w:cs="Times New Roman"/>
          <w:sz w:val="28"/>
          <w:szCs w:val="28"/>
          <w:lang w:val="en-US"/>
        </w:rPr>
        <w:t>su</w:t>
      </w:r>
      <w:proofErr w:type="spellEnd"/>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iusinitinere.it</w:t>
      </w:r>
      <w:r w:rsidRPr="0053175F">
        <w:rPr>
          <w:rFonts w:ascii="Times New Roman" w:hAnsi="Times New Roman" w:cs="Times New Roman"/>
          <w:sz w:val="28"/>
          <w:szCs w:val="28"/>
          <w:lang w:val="en-US"/>
        </w:rPr>
        <w:t xml:space="preserve">, 19 </w:t>
      </w:r>
      <w:proofErr w:type="spellStart"/>
      <w:r w:rsidRPr="0053175F">
        <w:rPr>
          <w:rFonts w:ascii="Times New Roman" w:hAnsi="Times New Roman" w:cs="Times New Roman"/>
          <w:sz w:val="28"/>
          <w:szCs w:val="28"/>
          <w:lang w:val="en-US"/>
        </w:rPr>
        <w:t>aprile</w:t>
      </w:r>
      <w:proofErr w:type="spellEnd"/>
      <w:r w:rsidRPr="0053175F">
        <w:rPr>
          <w:rFonts w:ascii="Times New Roman" w:hAnsi="Times New Roman" w:cs="Times New Roman"/>
          <w:sz w:val="28"/>
          <w:szCs w:val="28"/>
          <w:lang w:val="en-US"/>
        </w:rPr>
        <w:t xml:space="preserve"> 2020.</w:t>
      </w:r>
    </w:p>
    <w:p w14:paraId="2D13184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G. </w:t>
      </w:r>
      <w:proofErr w:type="spellStart"/>
      <w:r w:rsidRPr="0053175F">
        <w:rPr>
          <w:rFonts w:ascii="Times New Roman" w:hAnsi="Times New Roman" w:cs="Times New Roman"/>
          <w:smallCaps/>
          <w:sz w:val="28"/>
          <w:szCs w:val="28"/>
          <w:lang w:val="en-US"/>
        </w:rPr>
        <w:t>Satell</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3 Reasons to Kill Influencer Marketing</w:t>
      </w:r>
      <w:r w:rsidRPr="0053175F">
        <w:rPr>
          <w:rFonts w:ascii="Times New Roman" w:hAnsi="Times New Roman" w:cs="Times New Roman"/>
          <w:sz w:val="28"/>
          <w:szCs w:val="28"/>
          <w:lang w:val="en-US"/>
        </w:rPr>
        <w:t xml:space="preserve">”, </w:t>
      </w:r>
      <w:proofErr w:type="spellStart"/>
      <w:r w:rsidRPr="0053175F">
        <w:rPr>
          <w:rFonts w:ascii="Times New Roman" w:hAnsi="Times New Roman" w:cs="Times New Roman"/>
          <w:sz w:val="28"/>
          <w:szCs w:val="28"/>
          <w:lang w:val="en-US"/>
        </w:rPr>
        <w:t>su</w:t>
      </w:r>
      <w:proofErr w:type="spellEnd"/>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Harvard Business Review,</w:t>
      </w:r>
      <w:r w:rsidRPr="0053175F">
        <w:rPr>
          <w:rFonts w:ascii="Times New Roman" w:hAnsi="Times New Roman" w:cs="Times New Roman"/>
          <w:sz w:val="28"/>
          <w:szCs w:val="28"/>
          <w:lang w:val="en-US"/>
        </w:rPr>
        <w:t xml:space="preserve"> 2014.</w:t>
      </w:r>
    </w:p>
    <w:p w14:paraId="5098034F"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lastRenderedPageBreak/>
        <w:t>C. Schmitt</w:t>
      </w:r>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Il </w:t>
      </w:r>
      <w:proofErr w:type="spellStart"/>
      <w:r w:rsidRPr="0053175F">
        <w:rPr>
          <w:rFonts w:ascii="Times New Roman" w:hAnsi="Times New Roman" w:cs="Times New Roman"/>
          <w:i/>
          <w:iCs/>
          <w:sz w:val="28"/>
          <w:szCs w:val="28"/>
        </w:rPr>
        <w:t>nomos</w:t>
      </w:r>
      <w:proofErr w:type="spellEnd"/>
      <w:r w:rsidRPr="0053175F">
        <w:rPr>
          <w:rFonts w:ascii="Times New Roman" w:hAnsi="Times New Roman" w:cs="Times New Roman"/>
          <w:i/>
          <w:iCs/>
          <w:sz w:val="28"/>
          <w:szCs w:val="28"/>
        </w:rPr>
        <w:t xml:space="preserve"> della terra nel diritto internazionale dello «</w:t>
      </w:r>
      <w:proofErr w:type="spellStart"/>
      <w:r w:rsidRPr="0053175F">
        <w:rPr>
          <w:rFonts w:ascii="Times New Roman" w:hAnsi="Times New Roman" w:cs="Times New Roman"/>
          <w:i/>
          <w:iCs/>
          <w:sz w:val="28"/>
          <w:szCs w:val="28"/>
        </w:rPr>
        <w:t>Jus</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publicum</w:t>
      </w:r>
      <w:proofErr w:type="spellEnd"/>
      <w:r w:rsidRPr="0053175F">
        <w:rPr>
          <w:rFonts w:ascii="Times New Roman" w:hAnsi="Times New Roman" w:cs="Times New Roman"/>
          <w:i/>
          <w:iCs/>
          <w:sz w:val="28"/>
          <w:szCs w:val="28"/>
        </w:rPr>
        <w:t xml:space="preserve"> </w:t>
      </w:r>
      <w:proofErr w:type="spellStart"/>
      <w:r w:rsidRPr="0053175F">
        <w:rPr>
          <w:rFonts w:ascii="Times New Roman" w:hAnsi="Times New Roman" w:cs="Times New Roman"/>
          <w:i/>
          <w:iCs/>
          <w:sz w:val="28"/>
          <w:szCs w:val="28"/>
        </w:rPr>
        <w:t>europaeum</w:t>
      </w:r>
      <w:proofErr w:type="spellEnd"/>
      <w:r w:rsidRPr="0053175F">
        <w:rPr>
          <w:rFonts w:ascii="Times New Roman" w:hAnsi="Times New Roman" w:cs="Times New Roman"/>
          <w:i/>
          <w:iCs/>
          <w:sz w:val="28"/>
          <w:szCs w:val="28"/>
        </w:rPr>
        <w:t>»</w:t>
      </w:r>
      <w:r w:rsidRPr="0053175F">
        <w:rPr>
          <w:rFonts w:ascii="Times New Roman" w:hAnsi="Times New Roman" w:cs="Times New Roman"/>
          <w:sz w:val="28"/>
          <w:szCs w:val="28"/>
        </w:rPr>
        <w:t>”, Adelphi, 2011.</w:t>
      </w:r>
    </w:p>
    <w:p w14:paraId="72C3D68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F. G. </w:t>
      </w:r>
      <w:proofErr w:type="spellStart"/>
      <w:r w:rsidRPr="0053175F">
        <w:rPr>
          <w:rFonts w:ascii="Times New Roman" w:hAnsi="Times New Roman" w:cs="Times New Roman"/>
          <w:smallCaps/>
          <w:sz w:val="28"/>
          <w:szCs w:val="28"/>
        </w:rPr>
        <w:t>Scoca</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L’interesse legittimo. Storia e teoria</w:t>
      </w:r>
      <w:r w:rsidRPr="0053175F">
        <w:rPr>
          <w:rFonts w:ascii="Times New Roman" w:hAnsi="Times New Roman" w:cs="Times New Roman"/>
          <w:sz w:val="28"/>
          <w:szCs w:val="28"/>
        </w:rPr>
        <w:t>”, Torino, 2017.</w:t>
      </w:r>
    </w:p>
    <w:p w14:paraId="5E09B0F0"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A. Serena</w:t>
      </w:r>
      <w:r w:rsidRPr="0053175F">
        <w:rPr>
          <w:rFonts w:ascii="Times New Roman" w:hAnsi="Times New Roman" w:cs="Times New Roman"/>
          <w:sz w:val="28"/>
          <w:szCs w:val="28"/>
        </w:rPr>
        <w:t>, “</w:t>
      </w:r>
      <w:r w:rsidRPr="0053175F">
        <w:rPr>
          <w:rFonts w:ascii="Times New Roman" w:hAnsi="Times New Roman" w:cs="Times New Roman"/>
          <w:i/>
          <w:iCs/>
          <w:sz w:val="28"/>
          <w:szCs w:val="28"/>
        </w:rPr>
        <w:t>Eredità digitale</w:t>
      </w:r>
      <w:r w:rsidRPr="0053175F">
        <w:rPr>
          <w:rFonts w:ascii="Times New Roman" w:hAnsi="Times New Roman" w:cs="Times New Roman"/>
          <w:sz w:val="28"/>
          <w:szCs w:val="28"/>
        </w:rPr>
        <w:t>”, in AA.VV, “</w:t>
      </w:r>
      <w:r w:rsidRPr="0053175F">
        <w:rPr>
          <w:rFonts w:ascii="Times New Roman" w:hAnsi="Times New Roman" w:cs="Times New Roman"/>
          <w:i/>
          <w:iCs/>
          <w:sz w:val="28"/>
          <w:szCs w:val="28"/>
        </w:rPr>
        <w:t>Identità ed eredità digitali, stato dell’arte e</w:t>
      </w:r>
      <w:r w:rsidRPr="0053175F">
        <w:rPr>
          <w:rFonts w:ascii="Times New Roman" w:hAnsi="Times New Roman" w:cs="Times New Roman"/>
          <w:sz w:val="28"/>
          <w:szCs w:val="28"/>
        </w:rPr>
        <w:t xml:space="preserve"> </w:t>
      </w:r>
      <w:r w:rsidRPr="0053175F">
        <w:rPr>
          <w:rFonts w:ascii="Times New Roman" w:hAnsi="Times New Roman" w:cs="Times New Roman"/>
          <w:i/>
          <w:iCs/>
          <w:sz w:val="28"/>
          <w:szCs w:val="28"/>
        </w:rPr>
        <w:t>possibili soluzioni</w:t>
      </w:r>
      <w:r w:rsidRPr="0053175F">
        <w:rPr>
          <w:rFonts w:ascii="Times New Roman" w:hAnsi="Times New Roman" w:cs="Times New Roman"/>
          <w:sz w:val="28"/>
          <w:szCs w:val="28"/>
        </w:rPr>
        <w:t xml:space="preserve">”, </w:t>
      </w:r>
      <w:proofErr w:type="spellStart"/>
      <w:r w:rsidRPr="0053175F">
        <w:rPr>
          <w:rFonts w:ascii="Times New Roman" w:hAnsi="Times New Roman" w:cs="Times New Roman"/>
          <w:sz w:val="28"/>
          <w:szCs w:val="28"/>
        </w:rPr>
        <w:t>Aracne</w:t>
      </w:r>
      <w:proofErr w:type="spellEnd"/>
      <w:r w:rsidRPr="0053175F">
        <w:rPr>
          <w:rFonts w:ascii="Times New Roman" w:hAnsi="Times New Roman" w:cs="Times New Roman"/>
          <w:sz w:val="28"/>
          <w:szCs w:val="28"/>
        </w:rPr>
        <w:t>, 2016.</w:t>
      </w:r>
    </w:p>
    <w:p w14:paraId="34D5D482"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z w:val="28"/>
          <w:szCs w:val="28"/>
        </w:rPr>
        <w:t>R</w:t>
      </w:r>
      <w:r w:rsidRPr="0053175F">
        <w:rPr>
          <w:rFonts w:ascii="Times New Roman" w:hAnsi="Times New Roman" w:cs="Times New Roman"/>
          <w:smallCaps/>
          <w:sz w:val="28"/>
          <w:szCs w:val="28"/>
        </w:rPr>
        <w:t>. Settimio</w:t>
      </w:r>
      <w:r w:rsidRPr="0053175F">
        <w:rPr>
          <w:rFonts w:ascii="Times New Roman" w:hAnsi="Times New Roman" w:cs="Times New Roman"/>
          <w:sz w:val="28"/>
          <w:szCs w:val="28"/>
        </w:rPr>
        <w:t>, “</w:t>
      </w:r>
      <w:r w:rsidRPr="0053175F">
        <w:rPr>
          <w:rFonts w:ascii="Times New Roman" w:hAnsi="Times New Roman" w:cs="Times New Roman"/>
          <w:i/>
          <w:iCs/>
          <w:sz w:val="28"/>
          <w:szCs w:val="28"/>
        </w:rPr>
        <w:t>Deindicizzazione e diritto all’oblio al vaglio della Suprema Corte</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GiustiziaCivile.com</w:t>
      </w:r>
      <w:r w:rsidRPr="0053175F">
        <w:rPr>
          <w:rFonts w:ascii="Times New Roman" w:hAnsi="Times New Roman" w:cs="Times New Roman"/>
          <w:sz w:val="28"/>
          <w:szCs w:val="28"/>
        </w:rPr>
        <w:t xml:space="preserve">, 27 settembre 2021. </w:t>
      </w:r>
    </w:p>
    <w:p w14:paraId="0A465998"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G. </w:t>
      </w:r>
      <w:proofErr w:type="spellStart"/>
      <w:r w:rsidRPr="0053175F">
        <w:rPr>
          <w:rFonts w:ascii="Times New Roman" w:hAnsi="Times New Roman" w:cs="Times New Roman"/>
          <w:smallCaps/>
          <w:sz w:val="28"/>
          <w:szCs w:val="28"/>
        </w:rPr>
        <w:t>Sias</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 Nuova Sardegna</w:t>
      </w:r>
      <w:r w:rsidRPr="0053175F">
        <w:rPr>
          <w:rFonts w:ascii="Times New Roman" w:hAnsi="Times New Roman" w:cs="Times New Roman"/>
          <w:sz w:val="28"/>
          <w:szCs w:val="28"/>
        </w:rPr>
        <w:t>”, 2 febbraio 2018.</w:t>
      </w:r>
    </w:p>
    <w:p w14:paraId="47E7D1F1"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color w:val="000000" w:themeColor="text1"/>
          <w:sz w:val="28"/>
          <w:szCs w:val="28"/>
        </w:rPr>
        <w:t>A. Simeone</w:t>
      </w:r>
      <w:r w:rsidRPr="0053175F">
        <w:rPr>
          <w:rFonts w:ascii="Times New Roman" w:hAnsi="Times New Roman" w:cs="Times New Roman"/>
          <w:color w:val="000000" w:themeColor="text1"/>
          <w:sz w:val="28"/>
          <w:szCs w:val="28"/>
        </w:rPr>
        <w:t>, “</w:t>
      </w:r>
      <w:r w:rsidRPr="0053175F">
        <w:rPr>
          <w:rFonts w:ascii="Times New Roman" w:hAnsi="Times New Roman" w:cs="Times New Roman"/>
          <w:i/>
          <w:iCs/>
          <w:color w:val="000000" w:themeColor="text1"/>
          <w:sz w:val="28"/>
          <w:szCs w:val="28"/>
        </w:rPr>
        <w:t>La nuova compagna del padre non può pubblicare le foto dei minori senza il consenso della madre</w:t>
      </w:r>
      <w:r w:rsidRPr="0053175F">
        <w:rPr>
          <w:rFonts w:ascii="Times New Roman" w:hAnsi="Times New Roman" w:cs="Times New Roman"/>
          <w:color w:val="000000" w:themeColor="text1"/>
          <w:sz w:val="28"/>
          <w:szCs w:val="28"/>
        </w:rPr>
        <w:t xml:space="preserve">”, su </w:t>
      </w:r>
      <w:r w:rsidRPr="0053175F">
        <w:rPr>
          <w:rFonts w:ascii="Times New Roman" w:hAnsi="Times New Roman" w:cs="Times New Roman"/>
          <w:i/>
          <w:iCs/>
          <w:color w:val="000000" w:themeColor="text1"/>
          <w:sz w:val="28"/>
          <w:szCs w:val="28"/>
        </w:rPr>
        <w:t>Ilfamiliarista.it</w:t>
      </w:r>
      <w:r w:rsidRPr="0053175F">
        <w:rPr>
          <w:rFonts w:ascii="Times New Roman" w:hAnsi="Times New Roman" w:cs="Times New Roman"/>
          <w:color w:val="000000" w:themeColor="text1"/>
          <w:sz w:val="28"/>
          <w:szCs w:val="28"/>
        </w:rPr>
        <w:t>, luglio 2019.</w:t>
      </w:r>
    </w:p>
    <w:p w14:paraId="236DED7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E. </w:t>
      </w:r>
      <w:proofErr w:type="spellStart"/>
      <w:r w:rsidRPr="0053175F">
        <w:rPr>
          <w:rFonts w:ascii="Times New Roman" w:hAnsi="Times New Roman" w:cs="Times New Roman"/>
          <w:smallCaps/>
          <w:sz w:val="28"/>
          <w:szCs w:val="28"/>
        </w:rPr>
        <w:t>Simionato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AGCM e pubblicità occulta: aperto il procedimento istruttorio nei confronti di BAT e Stefano De Martino, Cecilia </w:t>
      </w:r>
      <w:proofErr w:type="spellStart"/>
      <w:r w:rsidRPr="0053175F">
        <w:rPr>
          <w:rFonts w:ascii="Times New Roman" w:hAnsi="Times New Roman" w:cs="Times New Roman"/>
          <w:i/>
          <w:iCs/>
          <w:sz w:val="28"/>
          <w:szCs w:val="28"/>
        </w:rPr>
        <w:t>Rodriguez</w:t>
      </w:r>
      <w:proofErr w:type="spellEnd"/>
      <w:r w:rsidRPr="0053175F">
        <w:rPr>
          <w:rFonts w:ascii="Times New Roman" w:hAnsi="Times New Roman" w:cs="Times New Roman"/>
          <w:i/>
          <w:iCs/>
          <w:sz w:val="28"/>
          <w:szCs w:val="28"/>
        </w:rPr>
        <w:t xml:space="preserve"> e Stefano Sala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iusinitinere.it</w:t>
      </w:r>
      <w:r w:rsidRPr="0053175F">
        <w:rPr>
          <w:rFonts w:ascii="Times New Roman" w:hAnsi="Times New Roman" w:cs="Times New Roman"/>
          <w:sz w:val="28"/>
          <w:szCs w:val="28"/>
        </w:rPr>
        <w:t>, 1° giugno 2021.</w:t>
      </w:r>
    </w:p>
    <w:p w14:paraId="4B3B725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E. </w:t>
      </w:r>
      <w:proofErr w:type="spellStart"/>
      <w:r w:rsidRPr="0053175F">
        <w:rPr>
          <w:rFonts w:ascii="Times New Roman" w:hAnsi="Times New Roman" w:cs="Times New Roman"/>
          <w:smallCaps/>
          <w:sz w:val="28"/>
          <w:szCs w:val="28"/>
        </w:rPr>
        <w:t>Simionato</w:t>
      </w:r>
      <w:proofErr w:type="spellEnd"/>
      <w:r w:rsidRPr="0053175F">
        <w:rPr>
          <w:rFonts w:ascii="Times New Roman" w:hAnsi="Times New Roman" w:cs="Times New Roman"/>
          <w:sz w:val="28"/>
          <w:szCs w:val="28"/>
        </w:rPr>
        <w:t xml:space="preserve"> e </w:t>
      </w:r>
      <w:r w:rsidRPr="0053175F">
        <w:rPr>
          <w:rFonts w:ascii="Times New Roman" w:hAnsi="Times New Roman" w:cs="Times New Roman"/>
          <w:smallCaps/>
          <w:sz w:val="28"/>
          <w:szCs w:val="28"/>
        </w:rPr>
        <w:t xml:space="preserve">M. E. </w:t>
      </w:r>
      <w:proofErr w:type="spellStart"/>
      <w:r w:rsidRPr="0053175F">
        <w:rPr>
          <w:rFonts w:ascii="Times New Roman" w:hAnsi="Times New Roman" w:cs="Times New Roman"/>
          <w:smallCaps/>
          <w:sz w:val="28"/>
          <w:szCs w:val="28"/>
        </w:rPr>
        <w:t>Orlandini</w:t>
      </w:r>
      <w:proofErr w:type="spellEnd"/>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Fedez</w:t>
      </w:r>
      <w:proofErr w:type="spellEnd"/>
      <w:r w:rsidRPr="0053175F">
        <w:rPr>
          <w:rFonts w:ascii="Times New Roman" w:hAnsi="Times New Roman" w:cs="Times New Roman"/>
          <w:i/>
          <w:iCs/>
          <w:sz w:val="28"/>
          <w:szCs w:val="28"/>
        </w:rPr>
        <w:t>, Mille e Coca Cola: è davvero pubblicità occulta?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iusinitinere.it</w:t>
      </w:r>
      <w:r w:rsidRPr="0053175F">
        <w:rPr>
          <w:rFonts w:ascii="Times New Roman" w:hAnsi="Times New Roman" w:cs="Times New Roman"/>
          <w:sz w:val="28"/>
          <w:szCs w:val="28"/>
        </w:rPr>
        <w:t>, 8 luglio 2021.</w:t>
      </w:r>
    </w:p>
    <w:p w14:paraId="429EC029"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 xml:space="preserve">G. </w:t>
      </w:r>
      <w:proofErr w:type="spellStart"/>
      <w:r w:rsidRPr="0053175F">
        <w:rPr>
          <w:rFonts w:ascii="Times New Roman" w:hAnsi="Times New Roman" w:cs="Times New Roman"/>
          <w:smallCaps/>
          <w:sz w:val="28"/>
          <w:szCs w:val="28"/>
        </w:rPr>
        <w:t>Simmel</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 socievolezza</w:t>
      </w:r>
      <w:r w:rsidRPr="0053175F">
        <w:rPr>
          <w:rFonts w:ascii="Times New Roman" w:hAnsi="Times New Roman" w:cs="Times New Roman"/>
          <w:sz w:val="28"/>
          <w:szCs w:val="28"/>
        </w:rPr>
        <w:t>”, 2011.</w:t>
      </w:r>
    </w:p>
    <w:p w14:paraId="5F3EBA16"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A. </w:t>
      </w:r>
      <w:proofErr w:type="spellStart"/>
      <w:r w:rsidRPr="0053175F">
        <w:rPr>
          <w:rFonts w:ascii="Times New Roman" w:hAnsi="Times New Roman" w:cs="Times New Roman"/>
          <w:smallCaps/>
          <w:sz w:val="28"/>
          <w:szCs w:val="28"/>
        </w:rPr>
        <w:t>Simoncini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L’algoritmo incostituzionale: intelligenza artificiale e il futuro delle libertà</w:t>
      </w:r>
      <w:r w:rsidRPr="0053175F">
        <w:rPr>
          <w:rFonts w:ascii="Times New Roman" w:hAnsi="Times New Roman" w:cs="Times New Roman"/>
          <w:sz w:val="28"/>
          <w:szCs w:val="28"/>
        </w:rPr>
        <w:t>”, 2019.</w:t>
      </w:r>
    </w:p>
    <w:p w14:paraId="0475CBF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G. </w:t>
      </w:r>
      <w:proofErr w:type="spellStart"/>
      <w:r w:rsidRPr="0053175F">
        <w:rPr>
          <w:rFonts w:ascii="Times New Roman" w:hAnsi="Times New Roman" w:cs="Times New Roman"/>
          <w:smallCaps/>
          <w:sz w:val="28"/>
          <w:szCs w:val="28"/>
        </w:rPr>
        <w:t>Spangher</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I tabulati: un difficile equilibrio tra esigenze di accertamento e tutela di diritti fondamentali</w:t>
      </w:r>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Giustizia Insieme</w:t>
      </w:r>
      <w:r w:rsidRPr="0053175F">
        <w:rPr>
          <w:rFonts w:ascii="Times New Roman" w:hAnsi="Times New Roman" w:cs="Times New Roman"/>
          <w:sz w:val="28"/>
          <w:szCs w:val="28"/>
        </w:rPr>
        <w:t>, 3 maggio 2021.</w:t>
      </w:r>
    </w:p>
    <w:p w14:paraId="361F7543"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A. </w:t>
      </w:r>
      <w:proofErr w:type="spellStart"/>
      <w:r w:rsidRPr="0053175F">
        <w:rPr>
          <w:rFonts w:ascii="Times New Roman" w:hAnsi="Times New Roman" w:cs="Times New Roman"/>
          <w:smallCaps/>
          <w:sz w:val="28"/>
          <w:szCs w:val="28"/>
        </w:rPr>
        <w:t>Spena</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Libertà di espressione e reati di opinione</w:t>
      </w:r>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RIDPP</w:t>
      </w:r>
      <w:r w:rsidRPr="0053175F">
        <w:rPr>
          <w:rFonts w:ascii="Times New Roman" w:hAnsi="Times New Roman" w:cs="Times New Roman"/>
          <w:sz w:val="28"/>
          <w:szCs w:val="28"/>
        </w:rPr>
        <w:t>, 2007.</w:t>
      </w:r>
    </w:p>
    <w:p w14:paraId="6FE268B3"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lang w:val="en-US"/>
        </w:rPr>
      </w:pPr>
      <w:r w:rsidRPr="0053175F">
        <w:rPr>
          <w:rFonts w:ascii="Times New Roman" w:hAnsi="Times New Roman" w:cs="Times New Roman"/>
          <w:smallCaps/>
          <w:sz w:val="28"/>
          <w:szCs w:val="28"/>
          <w:lang w:val="en-US"/>
        </w:rPr>
        <w:t>L. Steinberg</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Adolescence</w:t>
      </w:r>
      <w:r w:rsidRPr="0053175F">
        <w:rPr>
          <w:rFonts w:ascii="Times New Roman" w:hAnsi="Times New Roman" w:cs="Times New Roman"/>
          <w:sz w:val="28"/>
          <w:szCs w:val="28"/>
          <w:lang w:val="en-US"/>
        </w:rPr>
        <w:t>”, 2010.</w:t>
      </w:r>
    </w:p>
    <w:p w14:paraId="5BD7814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L. Steinberg,</w:t>
      </w:r>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Age of opportunity: Lessons</w:t>
      </w:r>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from the New Science of Adolescence</w:t>
      </w:r>
      <w:r w:rsidRPr="0053175F">
        <w:rPr>
          <w:rFonts w:ascii="Times New Roman" w:hAnsi="Times New Roman" w:cs="Times New Roman"/>
          <w:sz w:val="28"/>
          <w:szCs w:val="28"/>
          <w:lang w:val="en-US"/>
        </w:rPr>
        <w:t>”,</w:t>
      </w:r>
      <w:r w:rsidRPr="0053175F">
        <w:rPr>
          <w:rFonts w:ascii="Times New Roman" w:hAnsi="Times New Roman" w:cs="Times New Roman"/>
          <w:i/>
          <w:iCs/>
          <w:sz w:val="28"/>
          <w:szCs w:val="28"/>
          <w:lang w:val="en-US"/>
        </w:rPr>
        <w:t xml:space="preserve"> </w:t>
      </w:r>
      <w:r w:rsidRPr="0053175F">
        <w:rPr>
          <w:rFonts w:ascii="Times New Roman" w:hAnsi="Times New Roman" w:cs="Times New Roman"/>
          <w:sz w:val="28"/>
          <w:szCs w:val="28"/>
          <w:lang w:val="en-US"/>
        </w:rPr>
        <w:t>2015.</w:t>
      </w:r>
    </w:p>
    <w:p w14:paraId="758864E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L. Steinberg,</w:t>
      </w:r>
      <w:r w:rsidRPr="0053175F">
        <w:rPr>
          <w:rFonts w:ascii="Times New Roman" w:hAnsi="Times New Roman" w:cs="Times New Roman"/>
          <w:i/>
          <w:iCs/>
          <w:sz w:val="28"/>
          <w:szCs w:val="28"/>
          <w:lang w:val="en-US"/>
        </w:rPr>
        <w:t xml:space="preserve"> “The 10 Basic principles of Good parenting</w:t>
      </w:r>
      <w:r w:rsidRPr="0053175F">
        <w:rPr>
          <w:rFonts w:ascii="Times New Roman" w:hAnsi="Times New Roman" w:cs="Times New Roman"/>
          <w:sz w:val="28"/>
          <w:szCs w:val="28"/>
          <w:lang w:val="en-US"/>
        </w:rPr>
        <w:t>”, 2005.</w:t>
      </w:r>
    </w:p>
    <w:p w14:paraId="0C94BEE7"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L. Steinberg,</w:t>
      </w:r>
      <w:r w:rsidRPr="0053175F">
        <w:rPr>
          <w:rFonts w:ascii="Times New Roman" w:hAnsi="Times New Roman" w:cs="Times New Roman"/>
          <w:i/>
          <w:iCs/>
          <w:sz w:val="28"/>
          <w:szCs w:val="28"/>
          <w:lang w:val="en-US"/>
        </w:rPr>
        <w:t xml:space="preserve"> </w:t>
      </w:r>
      <w:r w:rsidRPr="0053175F">
        <w:rPr>
          <w:rFonts w:ascii="Times New Roman" w:hAnsi="Times New Roman" w:cs="Times New Roman"/>
          <w:sz w:val="28"/>
          <w:szCs w:val="28"/>
          <w:lang w:val="en-US"/>
        </w:rPr>
        <w:t>“</w:t>
      </w:r>
      <w:r w:rsidRPr="0053175F">
        <w:rPr>
          <w:rFonts w:ascii="Times New Roman" w:hAnsi="Times New Roman" w:cs="Times New Roman"/>
          <w:i/>
          <w:iCs/>
          <w:sz w:val="28"/>
          <w:szCs w:val="28"/>
          <w:lang w:val="en-US"/>
        </w:rPr>
        <w:t>You and your adolescent</w:t>
      </w:r>
      <w:r w:rsidRPr="0053175F">
        <w:rPr>
          <w:rFonts w:ascii="Times New Roman" w:hAnsi="Times New Roman" w:cs="Times New Roman"/>
          <w:sz w:val="28"/>
          <w:szCs w:val="28"/>
          <w:lang w:val="en-US"/>
        </w:rPr>
        <w:t>”, 2011.</w:t>
      </w:r>
    </w:p>
    <w:p w14:paraId="416C5F7C"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S. </w:t>
      </w:r>
      <w:proofErr w:type="spellStart"/>
      <w:r w:rsidRPr="0053175F">
        <w:rPr>
          <w:rFonts w:ascii="Times New Roman" w:hAnsi="Times New Roman" w:cs="Times New Roman"/>
          <w:smallCaps/>
          <w:sz w:val="28"/>
          <w:szCs w:val="28"/>
          <w:lang w:val="en-US"/>
        </w:rPr>
        <w:t>Sterrett</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Bringing up Turing’s “Child Machine</w:t>
      </w:r>
      <w:r w:rsidRPr="0053175F">
        <w:rPr>
          <w:rFonts w:ascii="Times New Roman" w:hAnsi="Times New Roman" w:cs="Times New Roman"/>
          <w:sz w:val="28"/>
          <w:szCs w:val="28"/>
          <w:lang w:val="en-US"/>
        </w:rPr>
        <w:t>”, in “</w:t>
      </w:r>
      <w:r w:rsidRPr="0053175F">
        <w:rPr>
          <w:rFonts w:ascii="Times New Roman" w:hAnsi="Times New Roman" w:cs="Times New Roman"/>
          <w:i/>
          <w:iCs/>
          <w:sz w:val="28"/>
          <w:szCs w:val="28"/>
          <w:lang w:val="en-US"/>
        </w:rPr>
        <w:t>How the world computes</w:t>
      </w:r>
      <w:r w:rsidRPr="0053175F">
        <w:rPr>
          <w:rFonts w:ascii="Times New Roman" w:hAnsi="Times New Roman" w:cs="Times New Roman"/>
          <w:sz w:val="28"/>
          <w:szCs w:val="28"/>
          <w:lang w:val="en-US"/>
        </w:rPr>
        <w:t>” Turing Centenary Conference, Springer, 2012.</w:t>
      </w:r>
    </w:p>
    <w:p w14:paraId="7598016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lastRenderedPageBreak/>
        <w:t xml:space="preserve">F. </w:t>
      </w:r>
      <w:proofErr w:type="spellStart"/>
      <w:r w:rsidRPr="0053175F">
        <w:rPr>
          <w:rFonts w:ascii="Times New Roman" w:hAnsi="Times New Roman" w:cs="Times New Roman"/>
          <w:smallCaps/>
          <w:sz w:val="28"/>
          <w:szCs w:val="28"/>
        </w:rPr>
        <w:t>Tarsitano</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 xml:space="preserve">Il diritto del lavoro alla prova degli algoritmi: la “tappa” della Procura di Milano nella corsa alla tutela dei </w:t>
      </w:r>
      <w:proofErr w:type="spellStart"/>
      <w:r w:rsidRPr="0053175F">
        <w:rPr>
          <w:rFonts w:ascii="Times New Roman" w:hAnsi="Times New Roman" w:cs="Times New Roman"/>
          <w:i/>
          <w:iCs/>
          <w:sz w:val="28"/>
          <w:szCs w:val="28"/>
        </w:rPr>
        <w:t>riders</w:t>
      </w:r>
      <w:proofErr w:type="spellEnd"/>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quotidianogiuridico.it</w:t>
      </w:r>
      <w:r w:rsidRPr="0053175F">
        <w:rPr>
          <w:rFonts w:ascii="Times New Roman" w:hAnsi="Times New Roman" w:cs="Times New Roman"/>
          <w:sz w:val="28"/>
          <w:szCs w:val="28"/>
        </w:rPr>
        <w:t xml:space="preserve">, </w:t>
      </w:r>
      <w:proofErr w:type="gramStart"/>
      <w:r w:rsidRPr="0053175F">
        <w:rPr>
          <w:rFonts w:ascii="Times New Roman" w:hAnsi="Times New Roman" w:cs="Times New Roman"/>
          <w:sz w:val="28"/>
          <w:szCs w:val="28"/>
        </w:rPr>
        <w:t>Marzo</w:t>
      </w:r>
      <w:proofErr w:type="gramEnd"/>
      <w:r w:rsidRPr="0053175F">
        <w:rPr>
          <w:rFonts w:ascii="Times New Roman" w:hAnsi="Times New Roman" w:cs="Times New Roman"/>
          <w:sz w:val="28"/>
          <w:szCs w:val="28"/>
        </w:rPr>
        <w:t xml:space="preserve"> 2021.</w:t>
      </w:r>
    </w:p>
    <w:p w14:paraId="637A685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S. </w:t>
      </w:r>
      <w:proofErr w:type="spellStart"/>
      <w:r w:rsidRPr="0053175F">
        <w:rPr>
          <w:rFonts w:ascii="Times New Roman" w:hAnsi="Times New Roman" w:cs="Times New Roman"/>
          <w:smallCaps/>
          <w:sz w:val="28"/>
          <w:szCs w:val="28"/>
        </w:rPr>
        <w:t>Tordini</w:t>
      </w:r>
      <w:proofErr w:type="spellEnd"/>
      <w:r w:rsidRPr="0053175F">
        <w:rPr>
          <w:rFonts w:ascii="Times New Roman" w:hAnsi="Times New Roman" w:cs="Times New Roman"/>
          <w:smallCaps/>
          <w:sz w:val="28"/>
          <w:szCs w:val="28"/>
        </w:rPr>
        <w:t xml:space="preserve"> Cagli</w:t>
      </w:r>
      <w:r w:rsidRPr="0053175F">
        <w:rPr>
          <w:rFonts w:ascii="Times New Roman" w:hAnsi="Times New Roman" w:cs="Times New Roman"/>
          <w:sz w:val="28"/>
          <w:szCs w:val="28"/>
        </w:rPr>
        <w:t>, “</w:t>
      </w:r>
      <w:r w:rsidRPr="0053175F">
        <w:rPr>
          <w:rFonts w:ascii="Times New Roman" w:hAnsi="Times New Roman" w:cs="Times New Roman"/>
          <w:i/>
          <w:iCs/>
          <w:sz w:val="28"/>
          <w:szCs w:val="28"/>
        </w:rPr>
        <w:t>Principio di autodeterminazione e consenso dell’avente diritto</w:t>
      </w:r>
      <w:r w:rsidRPr="0053175F">
        <w:rPr>
          <w:rFonts w:ascii="Times New Roman" w:hAnsi="Times New Roman" w:cs="Times New Roman"/>
          <w:sz w:val="28"/>
          <w:szCs w:val="28"/>
        </w:rPr>
        <w:t>”, Bologna, 2008.</w:t>
      </w:r>
    </w:p>
    <w:p w14:paraId="6A02AE8B" w14:textId="77777777" w:rsidR="00265619" w:rsidRPr="0053175F" w:rsidRDefault="00265619" w:rsidP="0053175F">
      <w:pPr>
        <w:spacing w:before="100" w:beforeAutospacing="1" w:after="100" w:afterAutospacing="1" w:line="240" w:lineRule="auto"/>
        <w:jc w:val="both"/>
        <w:rPr>
          <w:rFonts w:ascii="Times New Roman" w:hAnsi="Times New Roman" w:cs="Times New Roman"/>
          <w:smallCaps/>
          <w:sz w:val="28"/>
          <w:szCs w:val="28"/>
        </w:rPr>
      </w:pPr>
      <w:r w:rsidRPr="0053175F">
        <w:rPr>
          <w:rFonts w:ascii="Times New Roman" w:hAnsi="Times New Roman" w:cs="Times New Roman"/>
          <w:smallCaps/>
          <w:sz w:val="28"/>
          <w:szCs w:val="28"/>
        </w:rPr>
        <w:t>A. Traversi</w:t>
      </w:r>
      <w:r w:rsidRPr="0053175F">
        <w:rPr>
          <w:rFonts w:ascii="Times New Roman" w:hAnsi="Times New Roman" w:cs="Times New Roman"/>
          <w:sz w:val="28"/>
          <w:szCs w:val="28"/>
        </w:rPr>
        <w:t>, “</w:t>
      </w:r>
      <w:r w:rsidRPr="0053175F">
        <w:rPr>
          <w:rFonts w:ascii="Times New Roman" w:hAnsi="Times New Roman" w:cs="Times New Roman"/>
          <w:i/>
          <w:iCs/>
          <w:sz w:val="28"/>
          <w:szCs w:val="28"/>
        </w:rPr>
        <w:t>Intelligenza artificiale applicata alla giustizia</w:t>
      </w:r>
      <w:r w:rsidRPr="0053175F">
        <w:rPr>
          <w:rFonts w:ascii="Times New Roman" w:hAnsi="Times New Roman" w:cs="Times New Roman"/>
          <w:sz w:val="28"/>
          <w:szCs w:val="28"/>
        </w:rPr>
        <w:t>”, 2005.</w:t>
      </w:r>
    </w:p>
    <w:p w14:paraId="03EF06E2"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P. </w:t>
      </w:r>
      <w:proofErr w:type="spellStart"/>
      <w:r w:rsidRPr="0053175F">
        <w:rPr>
          <w:rFonts w:ascii="Times New Roman" w:hAnsi="Times New Roman" w:cs="Times New Roman"/>
          <w:smallCaps/>
          <w:sz w:val="28"/>
          <w:szCs w:val="28"/>
        </w:rPr>
        <w:t>Trimarchi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 responsabilità civile: atti illeciti, rischio, danno, responsabilità civile</w:t>
      </w:r>
      <w:r w:rsidRPr="0053175F">
        <w:rPr>
          <w:rFonts w:ascii="Times New Roman" w:hAnsi="Times New Roman" w:cs="Times New Roman"/>
          <w:sz w:val="28"/>
          <w:szCs w:val="28"/>
        </w:rPr>
        <w:t>”, 2021.</w:t>
      </w:r>
    </w:p>
    <w:p w14:paraId="03E7AD4C"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A. </w:t>
      </w:r>
      <w:proofErr w:type="spellStart"/>
      <w:r w:rsidRPr="0053175F">
        <w:rPr>
          <w:rFonts w:ascii="Times New Roman" w:hAnsi="Times New Roman" w:cs="Times New Roman"/>
          <w:smallCaps/>
          <w:sz w:val="28"/>
          <w:szCs w:val="28"/>
        </w:rPr>
        <w:t>Turing</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Le basi chimiche della morfogenesi</w:t>
      </w:r>
      <w:r w:rsidRPr="0053175F">
        <w:rPr>
          <w:rFonts w:ascii="Times New Roman" w:hAnsi="Times New Roman" w:cs="Times New Roman"/>
          <w:sz w:val="28"/>
          <w:szCs w:val="28"/>
        </w:rPr>
        <w:t xml:space="preserve">”, </w:t>
      </w:r>
      <w:proofErr w:type="spellStart"/>
      <w:r w:rsidRPr="0053175F">
        <w:rPr>
          <w:rFonts w:ascii="Times New Roman" w:hAnsi="Times New Roman" w:cs="Times New Roman"/>
          <w:sz w:val="28"/>
          <w:szCs w:val="28"/>
        </w:rPr>
        <w:t>Mimesis</w:t>
      </w:r>
      <w:proofErr w:type="spellEnd"/>
      <w:r w:rsidRPr="0053175F">
        <w:rPr>
          <w:rFonts w:ascii="Times New Roman" w:hAnsi="Times New Roman" w:cs="Times New Roman"/>
          <w:sz w:val="28"/>
          <w:szCs w:val="28"/>
        </w:rPr>
        <w:t xml:space="preserve"> Edizioni, Sesto San Giovanni, 2021.</w:t>
      </w:r>
    </w:p>
    <w:p w14:paraId="69F001FE"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F. </w:t>
      </w:r>
      <w:proofErr w:type="spellStart"/>
      <w:r w:rsidRPr="0053175F">
        <w:rPr>
          <w:rFonts w:ascii="Times New Roman" w:hAnsi="Times New Roman" w:cs="Times New Roman"/>
          <w:smallCaps/>
          <w:sz w:val="28"/>
          <w:szCs w:val="28"/>
        </w:rPr>
        <w:t>Valerini</w:t>
      </w:r>
      <w:proofErr w:type="spellEnd"/>
      <w:r w:rsidRPr="0053175F">
        <w:rPr>
          <w:rFonts w:ascii="Times New Roman" w:hAnsi="Times New Roman" w:cs="Times New Roman"/>
          <w:sz w:val="28"/>
          <w:szCs w:val="28"/>
        </w:rPr>
        <w:t>, “</w:t>
      </w:r>
      <w:r w:rsidRPr="0053175F">
        <w:rPr>
          <w:rFonts w:ascii="Times New Roman" w:hAnsi="Times New Roman" w:cs="Times New Roman"/>
          <w:i/>
          <w:iCs/>
          <w:sz w:val="28"/>
          <w:szCs w:val="28"/>
        </w:rPr>
        <w:t>La familiarità della minore con i social network non salva Yahoo.it dal risarcimento del danno per la pubblicazione della foto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Diritto &amp; Giustizia</w:t>
      </w:r>
      <w:r w:rsidRPr="0053175F">
        <w:rPr>
          <w:rFonts w:ascii="Times New Roman" w:hAnsi="Times New Roman" w:cs="Times New Roman"/>
          <w:sz w:val="28"/>
          <w:szCs w:val="28"/>
        </w:rPr>
        <w:t>, fasc. 92, 2018.</w:t>
      </w:r>
    </w:p>
    <w:p w14:paraId="37894EC2"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G. </w:t>
      </w:r>
      <w:proofErr w:type="spellStart"/>
      <w:r w:rsidRPr="0053175F">
        <w:rPr>
          <w:rFonts w:ascii="Times New Roman" w:hAnsi="Times New Roman" w:cs="Times New Roman"/>
          <w:smallCaps/>
          <w:sz w:val="28"/>
          <w:szCs w:val="28"/>
        </w:rPr>
        <w:t>Vellar</w:t>
      </w:r>
      <w:proofErr w:type="spellEnd"/>
      <w:r w:rsidRPr="0053175F">
        <w:rPr>
          <w:rFonts w:ascii="Times New Roman" w:hAnsi="Times New Roman" w:cs="Times New Roman"/>
          <w:i/>
          <w:iCs/>
          <w:smallCaps/>
          <w:sz w:val="28"/>
          <w:szCs w:val="28"/>
        </w:rPr>
        <w:t xml:space="preserve">, </w:t>
      </w:r>
      <w:r w:rsidRPr="0053175F">
        <w:rPr>
          <w:rFonts w:ascii="Times New Roman" w:hAnsi="Times New Roman" w:cs="Times New Roman"/>
          <w:smallCaps/>
          <w:sz w:val="28"/>
          <w:szCs w:val="28"/>
        </w:rPr>
        <w:t>F. Basile</w:t>
      </w:r>
      <w:r w:rsidRPr="0053175F">
        <w:rPr>
          <w:rFonts w:ascii="Times New Roman" w:hAnsi="Times New Roman" w:cs="Times New Roman"/>
          <w:sz w:val="28"/>
          <w:szCs w:val="28"/>
        </w:rPr>
        <w:t>, “</w:t>
      </w:r>
      <w:r w:rsidRPr="0053175F">
        <w:rPr>
          <w:rFonts w:ascii="Times New Roman" w:hAnsi="Times New Roman" w:cs="Times New Roman"/>
          <w:i/>
          <w:iCs/>
          <w:sz w:val="28"/>
          <w:szCs w:val="28"/>
        </w:rPr>
        <w:t>Diritto penale e neuroscienze</w:t>
      </w:r>
      <w:r w:rsidRPr="0053175F">
        <w:rPr>
          <w:rFonts w:ascii="Times New Roman" w:hAnsi="Times New Roman" w:cs="Times New Roman"/>
          <w:sz w:val="28"/>
          <w:szCs w:val="28"/>
        </w:rPr>
        <w:t>”, 2016.</w:t>
      </w:r>
    </w:p>
    <w:p w14:paraId="299F280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G. E. Vigevani, O. Pollicino, C. </w:t>
      </w:r>
      <w:proofErr w:type="spellStart"/>
      <w:r w:rsidRPr="0053175F">
        <w:rPr>
          <w:rFonts w:ascii="Times New Roman" w:hAnsi="Times New Roman" w:cs="Times New Roman"/>
          <w:smallCaps/>
          <w:sz w:val="28"/>
          <w:szCs w:val="28"/>
        </w:rPr>
        <w:t>Melzi</w:t>
      </w:r>
      <w:proofErr w:type="spellEnd"/>
      <w:r w:rsidRPr="0053175F">
        <w:rPr>
          <w:rFonts w:ascii="Times New Roman" w:hAnsi="Times New Roman" w:cs="Times New Roman"/>
          <w:smallCaps/>
          <w:sz w:val="28"/>
          <w:szCs w:val="28"/>
        </w:rPr>
        <w:t xml:space="preserve"> D’</w:t>
      </w:r>
      <w:proofErr w:type="spellStart"/>
      <w:r w:rsidRPr="0053175F">
        <w:rPr>
          <w:rFonts w:ascii="Times New Roman" w:hAnsi="Times New Roman" w:cs="Times New Roman"/>
          <w:smallCaps/>
          <w:sz w:val="28"/>
          <w:szCs w:val="28"/>
        </w:rPr>
        <w:t>Eril</w:t>
      </w:r>
      <w:proofErr w:type="spellEnd"/>
      <w:r w:rsidRPr="0053175F">
        <w:rPr>
          <w:rFonts w:ascii="Times New Roman" w:hAnsi="Times New Roman" w:cs="Times New Roman"/>
          <w:smallCaps/>
          <w:sz w:val="28"/>
          <w:szCs w:val="28"/>
        </w:rPr>
        <w:t xml:space="preserve">, M. </w:t>
      </w:r>
      <w:proofErr w:type="spellStart"/>
      <w:r w:rsidRPr="0053175F">
        <w:rPr>
          <w:rFonts w:ascii="Times New Roman" w:hAnsi="Times New Roman" w:cs="Times New Roman"/>
          <w:smallCaps/>
          <w:sz w:val="28"/>
          <w:szCs w:val="28"/>
        </w:rPr>
        <w:t>Cuniberti</w:t>
      </w:r>
      <w:proofErr w:type="spellEnd"/>
      <w:r w:rsidRPr="0053175F">
        <w:rPr>
          <w:rFonts w:ascii="Times New Roman" w:hAnsi="Times New Roman" w:cs="Times New Roman"/>
          <w:smallCaps/>
          <w:sz w:val="28"/>
          <w:szCs w:val="28"/>
        </w:rPr>
        <w:t>, M. Bassini</w:t>
      </w:r>
      <w:r w:rsidRPr="0053175F">
        <w:rPr>
          <w:rFonts w:ascii="Times New Roman" w:hAnsi="Times New Roman" w:cs="Times New Roman"/>
          <w:sz w:val="28"/>
          <w:szCs w:val="28"/>
        </w:rPr>
        <w:t>, “</w:t>
      </w:r>
      <w:r w:rsidRPr="0053175F">
        <w:rPr>
          <w:rFonts w:ascii="Times New Roman" w:hAnsi="Times New Roman" w:cs="Times New Roman"/>
          <w:i/>
          <w:iCs/>
          <w:sz w:val="28"/>
          <w:szCs w:val="28"/>
        </w:rPr>
        <w:t>Diritto dell’informazione e dei media</w:t>
      </w:r>
      <w:r w:rsidRPr="0053175F">
        <w:rPr>
          <w:rFonts w:ascii="Times New Roman" w:hAnsi="Times New Roman" w:cs="Times New Roman"/>
          <w:sz w:val="28"/>
          <w:szCs w:val="28"/>
        </w:rPr>
        <w:t>”, G. Giappichelli Editore, Torino, 2019.</w:t>
      </w:r>
    </w:p>
    <w:p w14:paraId="59CEFC7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A. Villa</w:t>
      </w:r>
      <w:r w:rsidRPr="0053175F">
        <w:rPr>
          <w:rFonts w:ascii="Times New Roman" w:hAnsi="Times New Roman" w:cs="Times New Roman"/>
          <w:sz w:val="28"/>
          <w:szCs w:val="28"/>
        </w:rPr>
        <w:t>, “</w:t>
      </w:r>
      <w:r w:rsidRPr="0053175F">
        <w:rPr>
          <w:rFonts w:ascii="Times New Roman" w:hAnsi="Times New Roman" w:cs="Times New Roman"/>
          <w:i/>
          <w:iCs/>
          <w:sz w:val="28"/>
          <w:szCs w:val="28"/>
        </w:rPr>
        <w:t>Il diritto di critica ancorché contenga giudizi soggettivi deve fondarsi su fatti che debbono corrispondere a verità perlomeno putativa</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Diritto &amp; Giustizia</w:t>
      </w:r>
      <w:r w:rsidRPr="0053175F">
        <w:rPr>
          <w:rFonts w:ascii="Times New Roman" w:hAnsi="Times New Roman" w:cs="Times New Roman"/>
          <w:sz w:val="28"/>
          <w:szCs w:val="28"/>
        </w:rPr>
        <w:t>, fasc. 171, 2017.</w:t>
      </w:r>
    </w:p>
    <w:p w14:paraId="74B93BD9"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P. Villaschi</w:t>
      </w:r>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Facebook</w:t>
      </w:r>
      <w:proofErr w:type="spellEnd"/>
      <w:r w:rsidRPr="0053175F">
        <w:rPr>
          <w:rFonts w:ascii="Times New Roman" w:hAnsi="Times New Roman" w:cs="Times New Roman"/>
          <w:i/>
          <w:iCs/>
          <w:sz w:val="28"/>
          <w:szCs w:val="28"/>
        </w:rPr>
        <w:t xml:space="preserve"> come la </w:t>
      </w:r>
      <w:proofErr w:type="gramStart"/>
      <w:r w:rsidRPr="0053175F">
        <w:rPr>
          <w:rFonts w:ascii="Times New Roman" w:hAnsi="Times New Roman" w:cs="Times New Roman"/>
          <w:i/>
          <w:iCs/>
          <w:sz w:val="28"/>
          <w:szCs w:val="28"/>
        </w:rPr>
        <w:t>RAI?:</w:t>
      </w:r>
      <w:proofErr w:type="gramEnd"/>
      <w:r w:rsidRPr="0053175F">
        <w:rPr>
          <w:rFonts w:ascii="Times New Roman" w:hAnsi="Times New Roman" w:cs="Times New Roman"/>
          <w:i/>
          <w:iCs/>
          <w:sz w:val="28"/>
          <w:szCs w:val="28"/>
        </w:rPr>
        <w:t xml:space="preserve"> note a margine dell’ordinanza del Tribunale di Roma del 12.12.2019 sul caso </w:t>
      </w:r>
      <w:proofErr w:type="spellStart"/>
      <w:r w:rsidRPr="0053175F">
        <w:rPr>
          <w:rFonts w:ascii="Times New Roman" w:hAnsi="Times New Roman" w:cs="Times New Roman"/>
          <w:i/>
          <w:iCs/>
          <w:sz w:val="28"/>
          <w:szCs w:val="28"/>
        </w:rPr>
        <w:t>CasaPound</w:t>
      </w:r>
      <w:proofErr w:type="spellEnd"/>
      <w:r w:rsidRPr="0053175F">
        <w:rPr>
          <w:rFonts w:ascii="Times New Roman" w:hAnsi="Times New Roman" w:cs="Times New Roman"/>
          <w:i/>
          <w:iCs/>
          <w:sz w:val="28"/>
          <w:szCs w:val="28"/>
        </w:rPr>
        <w:t xml:space="preserve"> c. </w:t>
      </w:r>
      <w:proofErr w:type="spellStart"/>
      <w:r w:rsidRPr="0053175F">
        <w:rPr>
          <w:rFonts w:ascii="Times New Roman" w:hAnsi="Times New Roman" w:cs="Times New Roman"/>
          <w:i/>
          <w:iCs/>
          <w:sz w:val="28"/>
          <w:szCs w:val="28"/>
        </w:rPr>
        <w:t>Facebook</w:t>
      </w:r>
      <w:proofErr w:type="spellEnd"/>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osservatorioaic.it.</w:t>
      </w:r>
    </w:p>
    <w:p w14:paraId="0139D80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F. Volpe</w:t>
      </w:r>
      <w:r w:rsidRPr="0053175F">
        <w:rPr>
          <w:rFonts w:ascii="Times New Roman" w:hAnsi="Times New Roman" w:cs="Times New Roman"/>
          <w:sz w:val="28"/>
          <w:szCs w:val="28"/>
        </w:rPr>
        <w:t>, “</w:t>
      </w:r>
      <w:r w:rsidRPr="0053175F">
        <w:rPr>
          <w:rFonts w:ascii="Times New Roman" w:hAnsi="Times New Roman" w:cs="Times New Roman"/>
          <w:i/>
          <w:iCs/>
          <w:sz w:val="28"/>
          <w:szCs w:val="28"/>
        </w:rPr>
        <w:t>Discrezionalità tecnica e presupposti dell’atto amministrativo</w:t>
      </w:r>
      <w:r w:rsidRPr="0053175F">
        <w:rPr>
          <w:rFonts w:ascii="Times New Roman" w:hAnsi="Times New Roman" w:cs="Times New Roman"/>
          <w:sz w:val="28"/>
          <w:szCs w:val="28"/>
        </w:rPr>
        <w:t>”, in</w:t>
      </w:r>
      <w:r w:rsidRPr="0053175F">
        <w:rPr>
          <w:rFonts w:ascii="Times New Roman" w:hAnsi="Times New Roman" w:cs="Times New Roman"/>
          <w:i/>
          <w:iCs/>
          <w:sz w:val="28"/>
          <w:szCs w:val="28"/>
        </w:rPr>
        <w:t xml:space="preserve"> Dir. </w:t>
      </w:r>
      <w:proofErr w:type="spellStart"/>
      <w:r w:rsidRPr="0053175F">
        <w:rPr>
          <w:rFonts w:ascii="Times New Roman" w:hAnsi="Times New Roman" w:cs="Times New Roman"/>
          <w:i/>
          <w:iCs/>
          <w:sz w:val="28"/>
          <w:szCs w:val="28"/>
        </w:rPr>
        <w:t>Amm</w:t>
      </w:r>
      <w:proofErr w:type="spellEnd"/>
      <w:r w:rsidRPr="0053175F">
        <w:rPr>
          <w:rFonts w:ascii="Times New Roman" w:hAnsi="Times New Roman" w:cs="Times New Roman"/>
          <w:i/>
          <w:iCs/>
          <w:sz w:val="28"/>
          <w:szCs w:val="28"/>
        </w:rPr>
        <w:t xml:space="preserve">., </w:t>
      </w:r>
      <w:r w:rsidRPr="0053175F">
        <w:rPr>
          <w:rFonts w:ascii="Times New Roman" w:hAnsi="Times New Roman" w:cs="Times New Roman"/>
          <w:sz w:val="28"/>
          <w:szCs w:val="28"/>
        </w:rPr>
        <w:t>2008.</w:t>
      </w:r>
    </w:p>
    <w:p w14:paraId="2320BF63"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S. D. Warren</w:t>
      </w:r>
      <w:r w:rsidRPr="0053175F">
        <w:rPr>
          <w:rFonts w:ascii="Times New Roman" w:hAnsi="Times New Roman" w:cs="Times New Roman"/>
          <w:sz w:val="28"/>
          <w:szCs w:val="28"/>
          <w:lang w:val="en-US"/>
        </w:rPr>
        <w:t xml:space="preserve"> e </w:t>
      </w:r>
      <w:r w:rsidRPr="0053175F">
        <w:rPr>
          <w:rFonts w:ascii="Times New Roman" w:hAnsi="Times New Roman" w:cs="Times New Roman"/>
          <w:smallCaps/>
          <w:sz w:val="28"/>
          <w:szCs w:val="28"/>
          <w:lang w:val="en-US"/>
        </w:rPr>
        <w:t>L. D. Brandeis</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The Right to privacy</w:t>
      </w:r>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Harvard Law Review</w:t>
      </w:r>
      <w:r w:rsidRPr="0053175F">
        <w:rPr>
          <w:rFonts w:ascii="Times New Roman" w:hAnsi="Times New Roman" w:cs="Times New Roman"/>
          <w:sz w:val="28"/>
          <w:szCs w:val="28"/>
          <w:lang w:val="en-US"/>
        </w:rPr>
        <w:t>, 1890.</w:t>
      </w:r>
    </w:p>
    <w:p w14:paraId="3A5AF9B4"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D. M. Wegner</w:t>
      </w:r>
      <w:r w:rsidRPr="0053175F">
        <w:rPr>
          <w:rFonts w:ascii="Times New Roman" w:hAnsi="Times New Roman" w:cs="Times New Roman"/>
          <w:i/>
          <w:iCs/>
          <w:sz w:val="28"/>
          <w:szCs w:val="28"/>
          <w:lang w:val="en-US"/>
        </w:rPr>
        <w:t>, “The illusion of conscious will</w:t>
      </w:r>
      <w:r w:rsidRPr="0053175F">
        <w:rPr>
          <w:rFonts w:ascii="Times New Roman" w:hAnsi="Times New Roman" w:cs="Times New Roman"/>
          <w:sz w:val="28"/>
          <w:szCs w:val="28"/>
          <w:lang w:val="en-US"/>
        </w:rPr>
        <w:t>”, 2002.</w:t>
      </w:r>
    </w:p>
    <w:p w14:paraId="4F2A5155"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L. Winner,</w:t>
      </w:r>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Autonomous technology</w:t>
      </w:r>
      <w:r w:rsidRPr="0053175F">
        <w:rPr>
          <w:rFonts w:ascii="Times New Roman" w:hAnsi="Times New Roman" w:cs="Times New Roman"/>
          <w:sz w:val="28"/>
          <w:szCs w:val="28"/>
          <w:lang w:val="en-US"/>
        </w:rPr>
        <w:t>”, Cambridge, Mass., 1977.</w:t>
      </w:r>
    </w:p>
    <w:p w14:paraId="257F116F"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GB"/>
        </w:rPr>
      </w:pPr>
      <w:r w:rsidRPr="0053175F">
        <w:rPr>
          <w:rFonts w:ascii="Times New Roman" w:hAnsi="Times New Roman" w:cs="Times New Roman"/>
          <w:smallCaps/>
          <w:sz w:val="28"/>
          <w:szCs w:val="28"/>
          <w:lang w:val="en-GB"/>
        </w:rPr>
        <w:t xml:space="preserve">M. </w:t>
      </w:r>
      <w:proofErr w:type="spellStart"/>
      <w:r w:rsidRPr="0053175F">
        <w:rPr>
          <w:rFonts w:ascii="Times New Roman" w:hAnsi="Times New Roman" w:cs="Times New Roman"/>
          <w:smallCaps/>
          <w:sz w:val="28"/>
          <w:szCs w:val="28"/>
          <w:lang w:val="en-GB"/>
        </w:rPr>
        <w:t>Zalnieriute</w:t>
      </w:r>
      <w:proofErr w:type="spellEnd"/>
      <w:r w:rsidRPr="0053175F">
        <w:rPr>
          <w:rFonts w:ascii="Times New Roman" w:hAnsi="Times New Roman" w:cs="Times New Roman"/>
          <w:smallCaps/>
          <w:sz w:val="28"/>
          <w:szCs w:val="28"/>
          <w:lang w:val="en-GB"/>
        </w:rPr>
        <w:t>, L. Bennett Moses, G. Williams</w:t>
      </w:r>
      <w:r w:rsidRPr="0053175F">
        <w:rPr>
          <w:rFonts w:ascii="Times New Roman" w:hAnsi="Times New Roman" w:cs="Times New Roman"/>
          <w:sz w:val="28"/>
          <w:szCs w:val="28"/>
          <w:lang w:val="en-GB"/>
        </w:rPr>
        <w:t>, “</w:t>
      </w:r>
      <w:r w:rsidRPr="0053175F">
        <w:rPr>
          <w:rFonts w:ascii="Times New Roman" w:hAnsi="Times New Roman" w:cs="Times New Roman"/>
          <w:i/>
          <w:iCs/>
          <w:sz w:val="28"/>
          <w:szCs w:val="28"/>
          <w:lang w:val="en-GB"/>
        </w:rPr>
        <w:t>The Rule of law and Automation of Government Decision-Making”</w:t>
      </w:r>
      <w:r w:rsidRPr="0053175F">
        <w:rPr>
          <w:rFonts w:ascii="Times New Roman" w:hAnsi="Times New Roman" w:cs="Times New Roman"/>
          <w:sz w:val="28"/>
          <w:szCs w:val="28"/>
          <w:lang w:val="en-GB"/>
        </w:rPr>
        <w:t>, in</w:t>
      </w:r>
      <w:r w:rsidRPr="0053175F">
        <w:rPr>
          <w:rFonts w:ascii="Times New Roman" w:hAnsi="Times New Roman" w:cs="Times New Roman"/>
          <w:i/>
          <w:iCs/>
          <w:sz w:val="28"/>
          <w:szCs w:val="28"/>
          <w:lang w:val="en-GB"/>
        </w:rPr>
        <w:t xml:space="preserve"> “The modern law review</w:t>
      </w:r>
      <w:r w:rsidRPr="0053175F">
        <w:rPr>
          <w:rFonts w:ascii="Times New Roman" w:hAnsi="Times New Roman" w:cs="Times New Roman"/>
          <w:sz w:val="28"/>
          <w:szCs w:val="28"/>
          <w:lang w:val="en-GB"/>
        </w:rPr>
        <w:t>”,</w:t>
      </w:r>
      <w:r w:rsidRPr="0053175F">
        <w:rPr>
          <w:rFonts w:ascii="Times New Roman" w:hAnsi="Times New Roman" w:cs="Times New Roman"/>
          <w:i/>
          <w:iCs/>
          <w:sz w:val="28"/>
          <w:szCs w:val="28"/>
          <w:lang w:val="en-GB"/>
        </w:rPr>
        <w:t xml:space="preserve"> </w:t>
      </w:r>
      <w:r w:rsidRPr="0053175F">
        <w:rPr>
          <w:rFonts w:ascii="Times New Roman" w:hAnsi="Times New Roman" w:cs="Times New Roman"/>
          <w:sz w:val="28"/>
          <w:szCs w:val="28"/>
          <w:lang w:val="en-GB"/>
        </w:rPr>
        <w:t>2019.</w:t>
      </w:r>
    </w:p>
    <w:p w14:paraId="439CB4FE" w14:textId="77777777" w:rsidR="0053175F" w:rsidRPr="0053175F" w:rsidRDefault="0053175F"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t xml:space="preserve">F. </w:t>
      </w:r>
      <w:proofErr w:type="spellStart"/>
      <w:r w:rsidRPr="0053175F">
        <w:rPr>
          <w:rFonts w:ascii="Times New Roman" w:hAnsi="Times New Roman" w:cs="Times New Roman"/>
          <w:smallCaps/>
          <w:sz w:val="28"/>
          <w:szCs w:val="28"/>
        </w:rPr>
        <w:t>Zambonin</w:t>
      </w:r>
      <w:proofErr w:type="spellEnd"/>
      <w:r w:rsidRPr="0053175F">
        <w:rPr>
          <w:rFonts w:ascii="Times New Roman" w:hAnsi="Times New Roman" w:cs="Times New Roman"/>
          <w:sz w:val="28"/>
          <w:szCs w:val="28"/>
        </w:rPr>
        <w:t>, “</w:t>
      </w:r>
      <w:proofErr w:type="spellStart"/>
      <w:r w:rsidRPr="0053175F">
        <w:rPr>
          <w:rFonts w:ascii="Times New Roman" w:hAnsi="Times New Roman" w:cs="Times New Roman"/>
          <w:i/>
          <w:iCs/>
          <w:sz w:val="28"/>
          <w:szCs w:val="28"/>
        </w:rPr>
        <w:t>Alexa</w:t>
      </w:r>
      <w:proofErr w:type="spellEnd"/>
      <w:r w:rsidRPr="0053175F">
        <w:rPr>
          <w:rFonts w:ascii="Times New Roman" w:hAnsi="Times New Roman" w:cs="Times New Roman"/>
          <w:i/>
          <w:iCs/>
          <w:sz w:val="28"/>
          <w:szCs w:val="28"/>
        </w:rPr>
        <w:t xml:space="preserve"> testimone in un caso di omicidio</w:t>
      </w:r>
      <w:r w:rsidRPr="0053175F">
        <w:rPr>
          <w:rFonts w:ascii="Times New Roman" w:hAnsi="Times New Roman" w:cs="Times New Roman"/>
          <w:sz w:val="28"/>
          <w:szCs w:val="28"/>
        </w:rPr>
        <w:t xml:space="preserve">”, su </w:t>
      </w:r>
      <w:r w:rsidRPr="0053175F">
        <w:rPr>
          <w:rFonts w:ascii="Times New Roman" w:hAnsi="Times New Roman" w:cs="Times New Roman"/>
          <w:i/>
          <w:iCs/>
          <w:sz w:val="28"/>
          <w:szCs w:val="28"/>
        </w:rPr>
        <w:t>Il tuo legale</w:t>
      </w:r>
      <w:r w:rsidRPr="0053175F">
        <w:rPr>
          <w:rFonts w:ascii="Times New Roman" w:hAnsi="Times New Roman" w:cs="Times New Roman"/>
          <w:sz w:val="28"/>
          <w:szCs w:val="28"/>
        </w:rPr>
        <w:t>, 2019</w:t>
      </w:r>
      <w:r w:rsidRPr="0053175F">
        <w:rPr>
          <w:rFonts w:ascii="Times New Roman" w:hAnsi="Times New Roman" w:cs="Times New Roman"/>
          <w:sz w:val="28"/>
          <w:szCs w:val="28"/>
        </w:rPr>
        <w:t>.</w:t>
      </w:r>
    </w:p>
    <w:p w14:paraId="16CC83DA" w14:textId="1FB6D1D6"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rPr>
      </w:pPr>
      <w:r w:rsidRPr="0053175F">
        <w:rPr>
          <w:rFonts w:ascii="Times New Roman" w:hAnsi="Times New Roman" w:cs="Times New Roman"/>
          <w:smallCaps/>
          <w:sz w:val="28"/>
          <w:szCs w:val="28"/>
        </w:rPr>
        <w:lastRenderedPageBreak/>
        <w:t>G. Zara</w:t>
      </w:r>
      <w:r w:rsidRPr="0053175F">
        <w:rPr>
          <w:rFonts w:ascii="Times New Roman" w:hAnsi="Times New Roman" w:cs="Times New Roman"/>
          <w:sz w:val="28"/>
          <w:szCs w:val="28"/>
        </w:rPr>
        <w:t>, “</w:t>
      </w:r>
      <w:r w:rsidRPr="0053175F">
        <w:rPr>
          <w:rFonts w:ascii="Times New Roman" w:hAnsi="Times New Roman" w:cs="Times New Roman"/>
          <w:i/>
          <w:iCs/>
          <w:sz w:val="28"/>
          <w:szCs w:val="28"/>
        </w:rPr>
        <w:t>Tra il probabile e il certo. La valutazione del rischio di violenza e di recidiva criminale</w:t>
      </w:r>
      <w:r w:rsidRPr="0053175F">
        <w:rPr>
          <w:rFonts w:ascii="Times New Roman" w:hAnsi="Times New Roman" w:cs="Times New Roman"/>
          <w:sz w:val="28"/>
          <w:szCs w:val="28"/>
        </w:rPr>
        <w:t xml:space="preserve">”, in </w:t>
      </w:r>
      <w:r w:rsidRPr="0053175F">
        <w:rPr>
          <w:rFonts w:ascii="Times New Roman" w:hAnsi="Times New Roman" w:cs="Times New Roman"/>
          <w:i/>
          <w:iCs/>
          <w:sz w:val="28"/>
          <w:szCs w:val="28"/>
        </w:rPr>
        <w:t>Diritto penale contemporaneo</w:t>
      </w:r>
      <w:r w:rsidRPr="0053175F">
        <w:rPr>
          <w:rFonts w:ascii="Times New Roman" w:hAnsi="Times New Roman" w:cs="Times New Roman"/>
          <w:sz w:val="28"/>
          <w:szCs w:val="28"/>
        </w:rPr>
        <w:t>, 20 maggio 2016.</w:t>
      </w:r>
    </w:p>
    <w:p w14:paraId="3EEB0256"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GB"/>
        </w:rPr>
        <w:t xml:space="preserve">Z. </w:t>
      </w:r>
      <w:proofErr w:type="spellStart"/>
      <w:r w:rsidRPr="0053175F">
        <w:rPr>
          <w:rFonts w:ascii="Times New Roman" w:hAnsi="Times New Roman" w:cs="Times New Roman"/>
          <w:smallCaps/>
          <w:sz w:val="28"/>
          <w:szCs w:val="28"/>
          <w:lang w:val="en-GB"/>
        </w:rPr>
        <w:t>Zencovich</w:t>
      </w:r>
      <w:proofErr w:type="spellEnd"/>
      <w:r w:rsidRPr="0053175F">
        <w:rPr>
          <w:rFonts w:ascii="Times New Roman" w:hAnsi="Times New Roman" w:cs="Times New Roman"/>
          <w:sz w:val="28"/>
          <w:szCs w:val="28"/>
          <w:lang w:val="en-GB"/>
        </w:rPr>
        <w:t>, “</w:t>
      </w:r>
      <w:r w:rsidRPr="0053175F">
        <w:rPr>
          <w:rFonts w:ascii="Times New Roman" w:hAnsi="Times New Roman" w:cs="Times New Roman"/>
          <w:i/>
          <w:iCs/>
          <w:sz w:val="28"/>
          <w:szCs w:val="28"/>
          <w:lang w:val="en-GB"/>
        </w:rPr>
        <w:t>The Datasphere, Data flows beyond control and the challenges for law and governance</w:t>
      </w:r>
      <w:r w:rsidRPr="0053175F">
        <w:rPr>
          <w:rFonts w:ascii="Times New Roman" w:hAnsi="Times New Roman" w:cs="Times New Roman"/>
          <w:sz w:val="28"/>
          <w:szCs w:val="28"/>
          <w:lang w:val="en-GB"/>
        </w:rPr>
        <w:t>”,</w:t>
      </w:r>
      <w:r w:rsidRPr="0053175F">
        <w:rPr>
          <w:rFonts w:ascii="Times New Roman" w:hAnsi="Times New Roman" w:cs="Times New Roman"/>
          <w:i/>
          <w:iCs/>
          <w:sz w:val="28"/>
          <w:szCs w:val="28"/>
          <w:lang w:val="en-GB"/>
        </w:rPr>
        <w:t xml:space="preserve"> </w:t>
      </w:r>
      <w:r w:rsidRPr="0053175F">
        <w:rPr>
          <w:rFonts w:ascii="Times New Roman" w:hAnsi="Times New Roman" w:cs="Times New Roman"/>
          <w:sz w:val="28"/>
          <w:szCs w:val="28"/>
          <w:lang w:val="en-GB"/>
        </w:rPr>
        <w:t>in</w:t>
      </w:r>
      <w:r w:rsidRPr="0053175F">
        <w:rPr>
          <w:rFonts w:ascii="Times New Roman" w:hAnsi="Times New Roman" w:cs="Times New Roman"/>
          <w:i/>
          <w:iCs/>
          <w:sz w:val="28"/>
          <w:szCs w:val="28"/>
          <w:lang w:val="en-GB"/>
        </w:rPr>
        <w:t xml:space="preserve"> European Journal of Comparative Law and Governance, </w:t>
      </w:r>
      <w:r w:rsidRPr="0053175F">
        <w:rPr>
          <w:rFonts w:ascii="Times New Roman" w:hAnsi="Times New Roman" w:cs="Times New Roman"/>
          <w:sz w:val="28"/>
          <w:szCs w:val="28"/>
          <w:lang w:val="en-GB"/>
        </w:rPr>
        <w:t>V, 2019/162.</w:t>
      </w:r>
    </w:p>
    <w:p w14:paraId="58C5634D"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S. </w:t>
      </w:r>
      <w:proofErr w:type="spellStart"/>
      <w:r w:rsidRPr="0053175F">
        <w:rPr>
          <w:rFonts w:ascii="Times New Roman" w:hAnsi="Times New Roman" w:cs="Times New Roman"/>
          <w:smallCaps/>
          <w:sz w:val="28"/>
          <w:szCs w:val="28"/>
          <w:lang w:val="en-US"/>
        </w:rPr>
        <w:t>Zuboff</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Big other: surveillance capitalism and the prospects of an information civilization</w:t>
      </w:r>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Journal of Information Technology”</w:t>
      </w:r>
      <w:r w:rsidRPr="0053175F">
        <w:rPr>
          <w:rFonts w:ascii="Times New Roman" w:hAnsi="Times New Roman" w:cs="Times New Roman"/>
          <w:sz w:val="28"/>
          <w:szCs w:val="28"/>
          <w:lang w:val="en-US"/>
        </w:rPr>
        <w:t xml:space="preserve"> (2015) 30.</w:t>
      </w:r>
    </w:p>
    <w:p w14:paraId="277F5472"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 xml:space="preserve">S. </w:t>
      </w:r>
      <w:proofErr w:type="spellStart"/>
      <w:r w:rsidRPr="0053175F">
        <w:rPr>
          <w:rFonts w:ascii="Times New Roman" w:hAnsi="Times New Roman" w:cs="Times New Roman"/>
          <w:smallCaps/>
          <w:sz w:val="28"/>
          <w:szCs w:val="28"/>
          <w:lang w:val="en-US"/>
        </w:rPr>
        <w:t>Zuboff</w:t>
      </w:r>
      <w:proofErr w:type="spellEnd"/>
      <w:r w:rsidRPr="0053175F">
        <w:rPr>
          <w:rFonts w:ascii="Times New Roman" w:hAnsi="Times New Roman" w:cs="Times New Roman"/>
          <w:sz w:val="28"/>
          <w:szCs w:val="28"/>
          <w:lang w:val="en-US"/>
        </w:rPr>
        <w:t>, “</w:t>
      </w:r>
      <w:r w:rsidRPr="0053175F">
        <w:rPr>
          <w:rFonts w:ascii="Times New Roman" w:hAnsi="Times New Roman" w:cs="Times New Roman"/>
          <w:i/>
          <w:iCs/>
          <w:sz w:val="28"/>
          <w:szCs w:val="28"/>
          <w:lang w:val="en-US"/>
        </w:rPr>
        <w:t>The Age of Surveillance Capitalism. The Fight for a Human Future at the New Frontier of Power</w:t>
      </w:r>
      <w:r w:rsidRPr="0053175F">
        <w:rPr>
          <w:rFonts w:ascii="Times New Roman" w:hAnsi="Times New Roman" w:cs="Times New Roman"/>
          <w:sz w:val="28"/>
          <w:szCs w:val="28"/>
          <w:lang w:val="en-US"/>
        </w:rPr>
        <w:t>”, London, 2019.</w:t>
      </w:r>
    </w:p>
    <w:p w14:paraId="5AD75A3A" w14:textId="77777777" w:rsidR="00265619" w:rsidRPr="0053175F" w:rsidRDefault="00265619" w:rsidP="0053175F">
      <w:pPr>
        <w:spacing w:before="100" w:beforeAutospacing="1" w:after="100" w:afterAutospacing="1" w:line="240" w:lineRule="auto"/>
        <w:jc w:val="both"/>
        <w:rPr>
          <w:rFonts w:ascii="Times New Roman" w:hAnsi="Times New Roman" w:cs="Times New Roman"/>
          <w:sz w:val="28"/>
          <w:szCs w:val="28"/>
          <w:lang w:val="en-US"/>
        </w:rPr>
      </w:pPr>
      <w:r w:rsidRPr="0053175F">
        <w:rPr>
          <w:rFonts w:ascii="Times New Roman" w:hAnsi="Times New Roman" w:cs="Times New Roman"/>
          <w:smallCaps/>
          <w:sz w:val="28"/>
          <w:szCs w:val="28"/>
          <w:lang w:val="en-US"/>
        </w:rPr>
        <w:t>S</w:t>
      </w:r>
      <w:r w:rsidRPr="0053175F">
        <w:rPr>
          <w:rFonts w:ascii="Times New Roman" w:hAnsi="Times New Roman" w:cs="Times New Roman"/>
          <w:sz w:val="28"/>
          <w:szCs w:val="28"/>
          <w:lang w:val="en-US"/>
        </w:rPr>
        <w:t xml:space="preserve">. </w:t>
      </w:r>
      <w:proofErr w:type="spellStart"/>
      <w:r w:rsidRPr="0053175F">
        <w:rPr>
          <w:rFonts w:ascii="Times New Roman" w:hAnsi="Times New Roman" w:cs="Times New Roman"/>
          <w:smallCaps/>
          <w:sz w:val="28"/>
          <w:szCs w:val="28"/>
          <w:lang w:val="en-US"/>
        </w:rPr>
        <w:t>Zuboff</w:t>
      </w:r>
      <w:proofErr w:type="spellEnd"/>
      <w:r w:rsidRPr="0053175F">
        <w:rPr>
          <w:rFonts w:ascii="Times New Roman" w:hAnsi="Times New Roman" w:cs="Times New Roman"/>
          <w:smallCaps/>
          <w:sz w:val="28"/>
          <w:szCs w:val="28"/>
          <w:lang w:val="en-US"/>
        </w:rPr>
        <w:t>,</w:t>
      </w:r>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You Are the Object of a Secret Extraction Operation</w:t>
      </w:r>
      <w:r w:rsidRPr="0053175F">
        <w:rPr>
          <w:rFonts w:ascii="Times New Roman" w:hAnsi="Times New Roman" w:cs="Times New Roman"/>
          <w:sz w:val="28"/>
          <w:szCs w:val="28"/>
          <w:lang w:val="en-US"/>
        </w:rPr>
        <w:t xml:space="preserve">”, </w:t>
      </w:r>
      <w:r w:rsidRPr="0053175F">
        <w:rPr>
          <w:rFonts w:ascii="Times New Roman" w:hAnsi="Times New Roman" w:cs="Times New Roman"/>
          <w:i/>
          <w:iCs/>
          <w:sz w:val="28"/>
          <w:szCs w:val="28"/>
          <w:lang w:val="en-US"/>
        </w:rPr>
        <w:t xml:space="preserve">The New York Times, </w:t>
      </w:r>
      <w:r w:rsidRPr="0053175F">
        <w:rPr>
          <w:rFonts w:ascii="Times New Roman" w:hAnsi="Times New Roman" w:cs="Times New Roman"/>
          <w:sz w:val="28"/>
          <w:szCs w:val="28"/>
          <w:lang w:val="en-US"/>
        </w:rPr>
        <w:t>2021.</w:t>
      </w:r>
    </w:p>
    <w:p w14:paraId="38485380" w14:textId="77777777" w:rsidR="00265619" w:rsidRPr="00265619" w:rsidRDefault="00265619" w:rsidP="00F0692D">
      <w:pPr>
        <w:spacing w:after="0" w:line="240" w:lineRule="auto"/>
        <w:jc w:val="both"/>
        <w:rPr>
          <w:rFonts w:ascii="Times New Roman" w:eastAsia="Times New Roman" w:hAnsi="Times New Roman" w:cs="Times New Roman"/>
          <w:sz w:val="28"/>
          <w:szCs w:val="28"/>
          <w:lang w:val="en-US"/>
        </w:rPr>
      </w:pPr>
    </w:p>
    <w:sectPr w:rsidR="00265619" w:rsidRPr="0026561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71B7" w14:textId="77777777" w:rsidR="00B80237" w:rsidRDefault="00B80237" w:rsidP="00832C54">
      <w:pPr>
        <w:spacing w:after="0" w:line="240" w:lineRule="auto"/>
      </w:pPr>
      <w:r>
        <w:separator/>
      </w:r>
    </w:p>
  </w:endnote>
  <w:endnote w:type="continuationSeparator" w:id="0">
    <w:p w14:paraId="485D87E4" w14:textId="77777777" w:rsidR="00B80237" w:rsidRDefault="00B80237" w:rsidP="0083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88602825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4932649C" w14:textId="1D32157A" w:rsidR="000463A6" w:rsidRDefault="000463A6">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A46A92E" wp14:editId="0837A438">
                      <wp:simplePos x="0" y="0"/>
                      <wp:positionH relativeFrom="margin">
                        <wp:align>center</wp:align>
                      </wp:positionH>
                      <wp:positionV relativeFrom="bottomMargin">
                        <wp:align>center</wp:align>
                      </wp:positionV>
                      <wp:extent cx="626745" cy="626745"/>
                      <wp:effectExtent l="0" t="0" r="1905" b="190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D52186" w14:textId="77777777" w:rsidR="000463A6" w:rsidRDefault="000463A6">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46A92E"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" fillcolor="#40618b" stroked="f">
                      <v:textbox>
                        <w:txbxContent>
                          <w:p w14:paraId="73D52186" w14:textId="77777777" w:rsidR="000463A6" w:rsidRDefault="000463A6">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20161E53" w14:textId="77777777" w:rsidR="000463A6" w:rsidRDefault="000463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7784" w14:textId="77777777" w:rsidR="00B80237" w:rsidRDefault="00B80237" w:rsidP="00832C54">
      <w:pPr>
        <w:spacing w:after="0" w:line="240" w:lineRule="auto"/>
      </w:pPr>
      <w:r>
        <w:separator/>
      </w:r>
    </w:p>
  </w:footnote>
  <w:footnote w:type="continuationSeparator" w:id="0">
    <w:p w14:paraId="03089C90" w14:textId="77777777" w:rsidR="00B80237" w:rsidRDefault="00B80237" w:rsidP="00832C54">
      <w:pPr>
        <w:spacing w:after="0" w:line="240" w:lineRule="auto"/>
      </w:pPr>
      <w:r>
        <w:continuationSeparator/>
      </w:r>
    </w:p>
  </w:footnote>
  <w:footnote w:id="1">
    <w:p w14:paraId="1DD21E1F" w14:textId="78F56494" w:rsidR="000463A6" w:rsidRPr="00886975" w:rsidRDefault="000463A6" w:rsidP="00886975">
      <w:pPr>
        <w:pStyle w:val="Testonotaapidipagina"/>
        <w:jc w:val="both"/>
        <w:rPr>
          <w:rFonts w:ascii="Times New Roman" w:hAnsi="Times New Roman" w:cs="Times New Roman"/>
          <w:sz w:val="24"/>
          <w:szCs w:val="24"/>
        </w:rPr>
      </w:pPr>
      <w:r w:rsidRPr="0099593A">
        <w:rPr>
          <w:rStyle w:val="Rimandonotaapidipagina"/>
          <w:rFonts w:ascii="Times New Roman" w:hAnsi="Times New Roman" w:cs="Times New Roman"/>
          <w:sz w:val="24"/>
          <w:szCs w:val="24"/>
        </w:rPr>
        <w:footnoteRef/>
      </w:r>
      <w:r w:rsidRPr="0099593A">
        <w:rPr>
          <w:rFonts w:ascii="Times New Roman" w:hAnsi="Times New Roman" w:cs="Times New Roman"/>
          <w:sz w:val="24"/>
          <w:szCs w:val="24"/>
        </w:rPr>
        <w:t xml:space="preserve"> Il discorso è stato tenuto al Convegno del 28 gennaio 2021, a Roma, sul tema “</w:t>
      </w:r>
      <w:r w:rsidRPr="0099593A">
        <w:rPr>
          <w:rFonts w:ascii="Times New Roman" w:hAnsi="Times New Roman" w:cs="Times New Roman"/>
          <w:i/>
          <w:iCs/>
          <w:sz w:val="24"/>
          <w:szCs w:val="24"/>
        </w:rPr>
        <w:t xml:space="preserve">Giornata europea </w:t>
      </w:r>
      <w:r w:rsidRPr="00886975">
        <w:rPr>
          <w:rFonts w:ascii="Times New Roman" w:hAnsi="Times New Roman" w:cs="Times New Roman"/>
          <w:i/>
          <w:iCs/>
          <w:sz w:val="24"/>
          <w:szCs w:val="24"/>
        </w:rPr>
        <w:t xml:space="preserve">per privacy, </w:t>
      </w:r>
      <w:proofErr w:type="spellStart"/>
      <w:r w:rsidRPr="00886975">
        <w:rPr>
          <w:rFonts w:ascii="Times New Roman" w:hAnsi="Times New Roman" w:cs="Times New Roman"/>
          <w:i/>
          <w:iCs/>
          <w:sz w:val="24"/>
          <w:szCs w:val="24"/>
        </w:rPr>
        <w:t>neurodiritti</w:t>
      </w:r>
      <w:proofErr w:type="spellEnd"/>
      <w:r w:rsidRPr="00886975">
        <w:rPr>
          <w:rFonts w:ascii="Times New Roman" w:hAnsi="Times New Roman" w:cs="Times New Roman"/>
          <w:i/>
          <w:iCs/>
          <w:sz w:val="24"/>
          <w:szCs w:val="24"/>
        </w:rPr>
        <w:t xml:space="preserve"> e neuroscienze</w:t>
      </w:r>
      <w:r w:rsidRPr="00886975">
        <w:rPr>
          <w:rFonts w:ascii="Times New Roman" w:hAnsi="Times New Roman" w:cs="Times New Roman"/>
          <w:sz w:val="24"/>
          <w:szCs w:val="24"/>
        </w:rPr>
        <w:t>”, in occasione dei 40 anni della Convenzione Europea per la protezione dei dati personali firmata a Strasburgo il 28 gennaio 1981.</w:t>
      </w:r>
    </w:p>
  </w:footnote>
  <w:footnote w:id="2">
    <w:p w14:paraId="55D2BB0B" w14:textId="3706F209" w:rsidR="000463A6" w:rsidRPr="00886975" w:rsidRDefault="000463A6" w:rsidP="00886975">
      <w:pPr>
        <w:pStyle w:val="Testonotaapidipagina"/>
        <w:jc w:val="both"/>
        <w:rPr>
          <w:rFonts w:ascii="Times New Roman" w:hAnsi="Times New Roman" w:cs="Times New Roman"/>
          <w:sz w:val="24"/>
          <w:szCs w:val="24"/>
          <w:lang w:val="en-US"/>
        </w:rPr>
      </w:pPr>
      <w:r w:rsidRPr="00886975">
        <w:rPr>
          <w:rStyle w:val="Rimandonotaapidipagina"/>
          <w:rFonts w:ascii="Times New Roman" w:hAnsi="Times New Roman" w:cs="Times New Roman"/>
          <w:sz w:val="24"/>
          <w:szCs w:val="24"/>
        </w:rPr>
        <w:footnoteRef/>
      </w:r>
      <w:r w:rsidRPr="00886975">
        <w:rPr>
          <w:rFonts w:ascii="Times New Roman" w:hAnsi="Times New Roman" w:cs="Times New Roman"/>
          <w:sz w:val="24"/>
          <w:szCs w:val="24"/>
          <w:lang w:val="en-US"/>
        </w:rPr>
        <w:t xml:space="preserve"> </w:t>
      </w:r>
      <w:r w:rsidRPr="00886975">
        <w:rPr>
          <w:rFonts w:ascii="Times New Roman" w:hAnsi="Times New Roman" w:cs="Times New Roman"/>
          <w:smallCaps/>
          <w:sz w:val="24"/>
          <w:szCs w:val="24"/>
          <w:lang w:val="en-US"/>
        </w:rPr>
        <w:t>L. Winner,</w:t>
      </w:r>
      <w:r w:rsidRPr="00886975">
        <w:rPr>
          <w:rFonts w:ascii="Times New Roman" w:hAnsi="Times New Roman" w:cs="Times New Roman"/>
          <w:sz w:val="24"/>
          <w:szCs w:val="24"/>
          <w:lang w:val="en-US"/>
        </w:rPr>
        <w:t xml:space="preserve"> “</w:t>
      </w:r>
      <w:r w:rsidRPr="00886975">
        <w:rPr>
          <w:rFonts w:ascii="Times New Roman" w:hAnsi="Times New Roman" w:cs="Times New Roman"/>
          <w:i/>
          <w:iCs/>
          <w:sz w:val="24"/>
          <w:szCs w:val="24"/>
          <w:lang w:val="en-US"/>
        </w:rPr>
        <w:t>Autonomous technology</w:t>
      </w:r>
      <w:r w:rsidRPr="00886975">
        <w:rPr>
          <w:rFonts w:ascii="Times New Roman" w:hAnsi="Times New Roman" w:cs="Times New Roman"/>
          <w:sz w:val="24"/>
          <w:szCs w:val="24"/>
          <w:lang w:val="en-US"/>
        </w:rPr>
        <w:t>”, Cambridge, Mass., 1977.</w:t>
      </w:r>
    </w:p>
  </w:footnote>
  <w:footnote w:id="3">
    <w:p w14:paraId="619C8025" w14:textId="036DBD8E" w:rsidR="000463A6" w:rsidRPr="00886975" w:rsidRDefault="000463A6" w:rsidP="00886975">
      <w:pPr>
        <w:pStyle w:val="Testonotaapidipagina"/>
        <w:jc w:val="both"/>
        <w:rPr>
          <w:rFonts w:ascii="Times New Roman" w:hAnsi="Times New Roman" w:cs="Times New Roman"/>
          <w:sz w:val="24"/>
          <w:szCs w:val="24"/>
          <w:lang w:val="en-US"/>
        </w:rPr>
      </w:pPr>
      <w:r w:rsidRPr="00886975">
        <w:rPr>
          <w:rStyle w:val="Rimandonotaapidipagina"/>
          <w:rFonts w:ascii="Times New Roman" w:hAnsi="Times New Roman" w:cs="Times New Roman"/>
          <w:sz w:val="24"/>
          <w:szCs w:val="24"/>
        </w:rPr>
        <w:footnoteRef/>
      </w:r>
      <w:r w:rsidRPr="00886975">
        <w:rPr>
          <w:rFonts w:ascii="Times New Roman" w:hAnsi="Times New Roman" w:cs="Times New Roman"/>
          <w:sz w:val="24"/>
          <w:szCs w:val="24"/>
          <w:lang w:val="en-US"/>
        </w:rPr>
        <w:t xml:space="preserve"> </w:t>
      </w:r>
      <w:r w:rsidRPr="00886975">
        <w:rPr>
          <w:rFonts w:ascii="Times New Roman" w:hAnsi="Times New Roman" w:cs="Times New Roman"/>
          <w:smallCaps/>
          <w:sz w:val="24"/>
          <w:szCs w:val="24"/>
          <w:lang w:val="en-US"/>
        </w:rPr>
        <w:t>L. Mumford</w:t>
      </w:r>
      <w:r w:rsidRPr="00886975">
        <w:rPr>
          <w:rFonts w:ascii="Times New Roman" w:hAnsi="Times New Roman" w:cs="Times New Roman"/>
          <w:sz w:val="24"/>
          <w:szCs w:val="24"/>
          <w:lang w:val="en-US"/>
        </w:rPr>
        <w:t>, “</w:t>
      </w:r>
      <w:r w:rsidRPr="00886975">
        <w:rPr>
          <w:rFonts w:ascii="Times New Roman" w:hAnsi="Times New Roman" w:cs="Times New Roman"/>
          <w:i/>
          <w:iCs/>
          <w:sz w:val="24"/>
          <w:szCs w:val="24"/>
          <w:lang w:val="en-US"/>
        </w:rPr>
        <w:t>Technics and Civilization</w:t>
      </w:r>
      <w:r w:rsidRPr="00886975">
        <w:rPr>
          <w:rFonts w:ascii="Times New Roman" w:hAnsi="Times New Roman" w:cs="Times New Roman"/>
          <w:sz w:val="24"/>
          <w:szCs w:val="24"/>
          <w:lang w:val="en-US"/>
        </w:rPr>
        <w:t>”, 1961.</w:t>
      </w:r>
    </w:p>
  </w:footnote>
  <w:footnote w:id="4">
    <w:p w14:paraId="643E0E6F" w14:textId="4D49B827" w:rsidR="000463A6" w:rsidRPr="00AE7393" w:rsidRDefault="000463A6" w:rsidP="00D2051A">
      <w:pPr>
        <w:pStyle w:val="Testonotaapidipagina"/>
        <w:jc w:val="both"/>
        <w:rPr>
          <w:rFonts w:ascii="Times New Roman" w:hAnsi="Times New Roman" w:cs="Times New Roman"/>
          <w:sz w:val="24"/>
          <w:szCs w:val="24"/>
        </w:rPr>
      </w:pPr>
      <w:r w:rsidRPr="00D2051A">
        <w:rPr>
          <w:rStyle w:val="Rimandonotaapidipagina"/>
          <w:rFonts w:ascii="Times New Roman" w:hAnsi="Times New Roman" w:cs="Times New Roman"/>
          <w:sz w:val="24"/>
          <w:szCs w:val="24"/>
        </w:rPr>
        <w:footnoteRef/>
      </w:r>
      <w:r w:rsidRPr="00D2051A">
        <w:rPr>
          <w:rFonts w:ascii="Times New Roman" w:hAnsi="Times New Roman" w:cs="Times New Roman"/>
          <w:sz w:val="24"/>
          <w:szCs w:val="24"/>
        </w:rPr>
        <w:t xml:space="preserve"> Interessante sul tema l’articolo del fisico </w:t>
      </w:r>
      <w:r w:rsidRPr="00D2051A">
        <w:rPr>
          <w:rFonts w:ascii="Times New Roman" w:hAnsi="Times New Roman" w:cs="Times New Roman"/>
          <w:smallCaps/>
          <w:sz w:val="24"/>
          <w:szCs w:val="24"/>
        </w:rPr>
        <w:t>I. Licata</w:t>
      </w:r>
      <w:r w:rsidRPr="00D2051A">
        <w:rPr>
          <w:rFonts w:ascii="Times New Roman" w:hAnsi="Times New Roman" w:cs="Times New Roman"/>
          <w:sz w:val="24"/>
          <w:szCs w:val="24"/>
        </w:rPr>
        <w:t>, “</w:t>
      </w:r>
      <w:r w:rsidRPr="00D2051A">
        <w:rPr>
          <w:rFonts w:ascii="Times New Roman" w:hAnsi="Times New Roman" w:cs="Times New Roman"/>
          <w:i/>
          <w:iCs/>
          <w:sz w:val="24"/>
          <w:szCs w:val="24"/>
        </w:rPr>
        <w:t>I teoremi di Gödel e l’intelligenza artificiale</w:t>
      </w:r>
      <w:r w:rsidRPr="00D2051A">
        <w:rPr>
          <w:rFonts w:ascii="Times New Roman" w:hAnsi="Times New Roman" w:cs="Times New Roman"/>
          <w:sz w:val="24"/>
          <w:szCs w:val="24"/>
        </w:rPr>
        <w:t xml:space="preserve">”, su </w:t>
      </w:r>
      <w:hyperlink r:id="rId1" w:history="1">
        <w:r w:rsidRPr="005422B4">
          <w:rPr>
            <w:rStyle w:val="Collegamentoipertestuale"/>
            <w:rFonts w:ascii="Times New Roman" w:hAnsi="Times New Roman" w:cs="Times New Roman"/>
            <w:sz w:val="24"/>
            <w:szCs w:val="24"/>
          </w:rPr>
          <w:t>https://www.indiscreto.org/i-teoremi-di-godel-e-lintelligenza-artificiale/</w:t>
        </w:r>
      </w:hyperlink>
      <w:r>
        <w:rPr>
          <w:rFonts w:ascii="Times New Roman" w:hAnsi="Times New Roman" w:cs="Times New Roman"/>
          <w:sz w:val="24"/>
          <w:szCs w:val="24"/>
        </w:rPr>
        <w:t>.</w:t>
      </w:r>
      <w:r w:rsidRPr="00D2051A">
        <w:rPr>
          <w:rFonts w:ascii="Times New Roman" w:hAnsi="Times New Roman" w:cs="Times New Roman"/>
          <w:sz w:val="24"/>
          <w:szCs w:val="24"/>
        </w:rPr>
        <w:t xml:space="preserve"> Nella visione collettiva, i risultati dell’opera del matematico </w:t>
      </w:r>
      <w:r w:rsidRPr="00D2051A">
        <w:rPr>
          <w:rFonts w:ascii="Times New Roman" w:hAnsi="Times New Roman" w:cs="Times New Roman"/>
          <w:i/>
          <w:iCs/>
          <w:sz w:val="24"/>
          <w:szCs w:val="24"/>
        </w:rPr>
        <w:t>Kurt Gödel</w:t>
      </w:r>
      <w:r w:rsidRPr="00D2051A">
        <w:rPr>
          <w:rFonts w:ascii="Times New Roman" w:hAnsi="Times New Roman" w:cs="Times New Roman"/>
          <w:sz w:val="24"/>
          <w:szCs w:val="24"/>
        </w:rPr>
        <w:t xml:space="preserve"> fissano dei “limiti” alle capacità razionali della mente umana. Si tratta della famosa teoria sulla indecidibilità, che oggi si riflette sulle teorie sull’I.A. I teoremi di Gödel (1931) fissano dei limiti molto precisi alla matematica e al metodo assiomatico del ‘900, riconducibile a </w:t>
      </w:r>
      <w:proofErr w:type="spellStart"/>
      <w:r w:rsidRPr="00D2051A">
        <w:rPr>
          <w:rFonts w:ascii="Times New Roman" w:hAnsi="Times New Roman" w:cs="Times New Roman"/>
          <w:i/>
          <w:iCs/>
          <w:sz w:val="24"/>
          <w:szCs w:val="24"/>
        </w:rPr>
        <w:t>Hilbert</w:t>
      </w:r>
      <w:proofErr w:type="spellEnd"/>
      <w:r w:rsidRPr="00D2051A">
        <w:rPr>
          <w:rFonts w:ascii="Times New Roman" w:hAnsi="Times New Roman" w:cs="Times New Roman"/>
          <w:sz w:val="24"/>
          <w:szCs w:val="24"/>
        </w:rPr>
        <w:t xml:space="preserve">. Secondo il primo teorema di Gödel, ogni sistema sufficientemente potente, coerente ed assiomatizzabile è sintatticamente incompleto, per cui è sempre possibile produrre una proposizione P indecidibile, ossia della quale è impossibile stabilire, con gli strumenti del sistema, la verità o la falsità. Il secondo teorema di Gödel, ancora più drastico, prevede che ogni sistema sufficientemente potente, coerente e assiomatizzabile è incapace di dimostrare una proposizione che esprima in modo canonico la coerenza dello stesso sistema. Si veda </w:t>
      </w:r>
      <w:r w:rsidRPr="00D2051A">
        <w:rPr>
          <w:rFonts w:ascii="Times New Roman" w:hAnsi="Times New Roman" w:cs="Times New Roman"/>
          <w:smallCaps/>
          <w:sz w:val="24"/>
          <w:szCs w:val="24"/>
        </w:rPr>
        <w:t>K. Gödel</w:t>
      </w:r>
      <w:r w:rsidRPr="00D2051A">
        <w:rPr>
          <w:rFonts w:ascii="Times New Roman" w:hAnsi="Times New Roman" w:cs="Times New Roman"/>
          <w:sz w:val="24"/>
          <w:szCs w:val="24"/>
        </w:rPr>
        <w:t>, “</w:t>
      </w:r>
      <w:r w:rsidRPr="00D2051A">
        <w:rPr>
          <w:rFonts w:ascii="Times New Roman" w:hAnsi="Times New Roman" w:cs="Times New Roman"/>
          <w:i/>
          <w:iCs/>
          <w:sz w:val="24"/>
          <w:szCs w:val="24"/>
        </w:rPr>
        <w:t xml:space="preserve">Sulle proposizioni formalmente indecidibili dei Principia </w:t>
      </w:r>
      <w:proofErr w:type="spellStart"/>
      <w:r w:rsidRPr="00D2051A">
        <w:rPr>
          <w:rFonts w:ascii="Times New Roman" w:hAnsi="Times New Roman" w:cs="Times New Roman"/>
          <w:i/>
          <w:iCs/>
          <w:sz w:val="24"/>
          <w:szCs w:val="24"/>
        </w:rPr>
        <w:t>Mathematica</w:t>
      </w:r>
      <w:proofErr w:type="spellEnd"/>
      <w:r w:rsidRPr="00D2051A">
        <w:rPr>
          <w:rFonts w:ascii="Times New Roman" w:hAnsi="Times New Roman" w:cs="Times New Roman"/>
          <w:i/>
          <w:iCs/>
          <w:sz w:val="24"/>
          <w:szCs w:val="24"/>
        </w:rPr>
        <w:t xml:space="preserve"> e di sistemi affini</w:t>
      </w:r>
      <w:r w:rsidRPr="00D2051A">
        <w:rPr>
          <w:rFonts w:ascii="Times New Roman" w:hAnsi="Times New Roman" w:cs="Times New Roman"/>
          <w:sz w:val="24"/>
          <w:szCs w:val="24"/>
        </w:rPr>
        <w:t xml:space="preserve">”, in </w:t>
      </w:r>
      <w:r w:rsidRPr="00D2051A">
        <w:rPr>
          <w:rFonts w:ascii="Times New Roman" w:hAnsi="Times New Roman" w:cs="Times New Roman"/>
          <w:smallCaps/>
          <w:sz w:val="24"/>
          <w:szCs w:val="24"/>
        </w:rPr>
        <w:t xml:space="preserve">S. G. </w:t>
      </w:r>
      <w:proofErr w:type="spellStart"/>
      <w:r w:rsidRPr="00D2051A">
        <w:rPr>
          <w:rFonts w:ascii="Times New Roman" w:hAnsi="Times New Roman" w:cs="Times New Roman"/>
          <w:smallCaps/>
          <w:sz w:val="24"/>
          <w:szCs w:val="24"/>
        </w:rPr>
        <w:t>Shanker</w:t>
      </w:r>
      <w:proofErr w:type="spellEnd"/>
      <w:r w:rsidRPr="00D2051A">
        <w:rPr>
          <w:rFonts w:ascii="Times New Roman" w:hAnsi="Times New Roman" w:cs="Times New Roman"/>
          <w:sz w:val="24"/>
          <w:szCs w:val="24"/>
        </w:rPr>
        <w:t xml:space="preserve"> (a cura di), “</w:t>
      </w:r>
      <w:r w:rsidRPr="00D2051A">
        <w:rPr>
          <w:rFonts w:ascii="Times New Roman" w:hAnsi="Times New Roman" w:cs="Times New Roman"/>
          <w:i/>
          <w:iCs/>
          <w:sz w:val="24"/>
          <w:szCs w:val="24"/>
        </w:rPr>
        <w:t>Il teorema di Gödel</w:t>
      </w:r>
      <w:r w:rsidRPr="00D2051A">
        <w:rPr>
          <w:rFonts w:ascii="Times New Roman" w:hAnsi="Times New Roman" w:cs="Times New Roman"/>
          <w:sz w:val="24"/>
          <w:szCs w:val="24"/>
        </w:rPr>
        <w:t xml:space="preserve">”, </w:t>
      </w:r>
      <w:proofErr w:type="spellStart"/>
      <w:r w:rsidRPr="00D2051A">
        <w:rPr>
          <w:rFonts w:ascii="Times New Roman" w:hAnsi="Times New Roman" w:cs="Times New Roman"/>
          <w:sz w:val="24"/>
          <w:szCs w:val="24"/>
        </w:rPr>
        <w:t>trad</w:t>
      </w:r>
      <w:proofErr w:type="spellEnd"/>
      <w:r w:rsidRPr="00D2051A">
        <w:rPr>
          <w:rFonts w:ascii="Times New Roman" w:hAnsi="Times New Roman" w:cs="Times New Roman"/>
          <w:sz w:val="24"/>
          <w:szCs w:val="24"/>
        </w:rPr>
        <w:t xml:space="preserve">. </w:t>
      </w:r>
      <w:proofErr w:type="spellStart"/>
      <w:r w:rsidRPr="00D2051A">
        <w:rPr>
          <w:rFonts w:ascii="Times New Roman" w:hAnsi="Times New Roman" w:cs="Times New Roman"/>
          <w:sz w:val="24"/>
          <w:szCs w:val="24"/>
        </w:rPr>
        <w:t>it</w:t>
      </w:r>
      <w:proofErr w:type="spellEnd"/>
      <w:r w:rsidRPr="00D2051A">
        <w:rPr>
          <w:rFonts w:ascii="Times New Roman" w:hAnsi="Times New Roman" w:cs="Times New Roman"/>
          <w:sz w:val="24"/>
          <w:szCs w:val="24"/>
        </w:rPr>
        <w:t>. di P</w:t>
      </w:r>
      <w:r w:rsidRPr="00D2051A">
        <w:rPr>
          <w:rFonts w:ascii="Times New Roman" w:hAnsi="Times New Roman" w:cs="Times New Roman"/>
          <w:smallCaps/>
          <w:sz w:val="24"/>
          <w:szCs w:val="24"/>
        </w:rPr>
        <w:t xml:space="preserve">. </w:t>
      </w:r>
      <w:proofErr w:type="spellStart"/>
      <w:r w:rsidRPr="00D2051A">
        <w:rPr>
          <w:rFonts w:ascii="Times New Roman" w:hAnsi="Times New Roman" w:cs="Times New Roman"/>
          <w:smallCaps/>
          <w:sz w:val="24"/>
          <w:szCs w:val="24"/>
        </w:rPr>
        <w:t>Pagli</w:t>
      </w:r>
      <w:proofErr w:type="spellEnd"/>
      <w:r w:rsidRPr="00D2051A">
        <w:rPr>
          <w:rFonts w:ascii="Times New Roman" w:hAnsi="Times New Roman" w:cs="Times New Roman"/>
          <w:sz w:val="24"/>
          <w:szCs w:val="24"/>
        </w:rPr>
        <w:t xml:space="preserve">, Franco </w:t>
      </w:r>
      <w:proofErr w:type="spellStart"/>
      <w:r w:rsidRPr="00D2051A">
        <w:rPr>
          <w:rFonts w:ascii="Times New Roman" w:hAnsi="Times New Roman" w:cs="Times New Roman"/>
          <w:sz w:val="24"/>
          <w:szCs w:val="24"/>
        </w:rPr>
        <w:t>Muzzio</w:t>
      </w:r>
      <w:proofErr w:type="spellEnd"/>
      <w:r w:rsidRPr="00D2051A">
        <w:rPr>
          <w:rFonts w:ascii="Times New Roman" w:hAnsi="Times New Roman" w:cs="Times New Roman"/>
          <w:sz w:val="24"/>
          <w:szCs w:val="24"/>
        </w:rPr>
        <w:t xml:space="preserve"> Editore, Padova, 1991, che a pp. 23</w:t>
      </w:r>
      <w:r>
        <w:rPr>
          <w:rFonts w:ascii="Times New Roman" w:hAnsi="Times New Roman" w:cs="Times New Roman"/>
          <w:sz w:val="24"/>
          <w:szCs w:val="24"/>
        </w:rPr>
        <w:t>-</w:t>
      </w:r>
      <w:r w:rsidRPr="00D2051A">
        <w:rPr>
          <w:rFonts w:ascii="Times New Roman" w:hAnsi="Times New Roman" w:cs="Times New Roman"/>
          <w:sz w:val="24"/>
          <w:szCs w:val="24"/>
        </w:rPr>
        <w:t>25 scrive: «</w:t>
      </w:r>
      <w:r w:rsidRPr="00D2051A">
        <w:rPr>
          <w:rFonts w:ascii="Times New Roman" w:hAnsi="Times New Roman" w:cs="Times New Roman"/>
          <w:i/>
          <w:iCs/>
          <w:sz w:val="24"/>
          <w:szCs w:val="24"/>
        </w:rPr>
        <w:t xml:space="preserve">La tendenza della matematica verso un sempre maggiore rigore ha portato, come è ben noto, alla formalizzazione di suoi ampi settori, così che al loro interno è possibile dimostrare un teorema usando solo poche regole meccaniche. I sistemi formali più ampi elaborati sino a questo momento sono quello dei Principia </w:t>
      </w:r>
      <w:proofErr w:type="spellStart"/>
      <w:r w:rsidRPr="00D2051A">
        <w:rPr>
          <w:rFonts w:ascii="Times New Roman" w:hAnsi="Times New Roman" w:cs="Times New Roman"/>
          <w:i/>
          <w:iCs/>
          <w:sz w:val="24"/>
          <w:szCs w:val="24"/>
        </w:rPr>
        <w:t>Mathematica</w:t>
      </w:r>
      <w:proofErr w:type="spellEnd"/>
      <w:r w:rsidRPr="00D2051A">
        <w:rPr>
          <w:rFonts w:ascii="Times New Roman" w:hAnsi="Times New Roman" w:cs="Times New Roman"/>
          <w:i/>
          <w:iCs/>
          <w:sz w:val="24"/>
          <w:szCs w:val="24"/>
        </w:rPr>
        <w:t xml:space="preserve"> (PM), e il sistema di assiomi di </w:t>
      </w:r>
      <w:proofErr w:type="spellStart"/>
      <w:r w:rsidRPr="00D2051A">
        <w:rPr>
          <w:rFonts w:ascii="Times New Roman" w:hAnsi="Times New Roman" w:cs="Times New Roman"/>
          <w:i/>
          <w:iCs/>
          <w:sz w:val="24"/>
          <w:szCs w:val="24"/>
        </w:rPr>
        <w:t>Zermelo-Fraenkel</w:t>
      </w:r>
      <w:proofErr w:type="spellEnd"/>
      <w:r w:rsidRPr="00D2051A">
        <w:rPr>
          <w:rFonts w:ascii="Times New Roman" w:hAnsi="Times New Roman" w:cs="Times New Roman"/>
          <w:i/>
          <w:iCs/>
          <w:sz w:val="24"/>
          <w:szCs w:val="24"/>
        </w:rPr>
        <w:t xml:space="preserve"> per la teoria degli insiemi (con i successivi sviluppi di J. Von </w:t>
      </w:r>
      <w:proofErr w:type="spellStart"/>
      <w:r w:rsidRPr="00D2051A">
        <w:rPr>
          <w:rFonts w:ascii="Times New Roman" w:hAnsi="Times New Roman" w:cs="Times New Roman"/>
          <w:i/>
          <w:iCs/>
          <w:sz w:val="24"/>
          <w:szCs w:val="24"/>
        </w:rPr>
        <w:t>Neumann</w:t>
      </w:r>
      <w:proofErr w:type="spellEnd"/>
      <w:r w:rsidRPr="00D2051A">
        <w:rPr>
          <w:rFonts w:ascii="Times New Roman" w:hAnsi="Times New Roman" w:cs="Times New Roman"/>
          <w:i/>
          <w:iCs/>
          <w:sz w:val="24"/>
          <w:szCs w:val="24"/>
        </w:rPr>
        <w:t>). Questi due sistemi sono talmente generali che tutti i metodi dimostrativi attualmente impiegati in matematica sono stati formalizzati al loro interno, cioè ridotti a pochi assiomi e alcune regole di inferenza. Si potrebbe quindi supporre che questi assiomi e queste regole siano sufficienti a decidere ogni quesito matematico formalmente esprimibile in essi. Si dimostrerà più avanti che non è così, e che al contrario esistono nei due sistemi citati problemi relativamente semplici riguardanti la teoria dei numeri naturali che non possono venire decisi sulla base degli assiomi</w:t>
      </w:r>
      <w:r w:rsidRPr="00D2051A">
        <w:rPr>
          <w:rFonts w:ascii="Times New Roman" w:hAnsi="Times New Roman" w:cs="Times New Roman"/>
          <w:sz w:val="24"/>
          <w:szCs w:val="24"/>
        </w:rPr>
        <w:t xml:space="preserve">». Dagli studi di Gödel, per cui la matematica non è che un sistema aperto, in grado di generare sempre nuovi problemi, deriva la teoria generale dei sistemi complessi </w:t>
      </w:r>
      <w:r w:rsidRPr="00AE7393">
        <w:rPr>
          <w:rFonts w:ascii="Times New Roman" w:hAnsi="Times New Roman" w:cs="Times New Roman"/>
          <w:sz w:val="24"/>
          <w:szCs w:val="24"/>
        </w:rPr>
        <w:t xml:space="preserve">logicamente aperti. </w:t>
      </w:r>
      <w:r>
        <w:rPr>
          <w:rFonts w:ascii="Times New Roman" w:hAnsi="Times New Roman" w:cs="Times New Roman"/>
          <w:sz w:val="24"/>
          <w:szCs w:val="24"/>
        </w:rPr>
        <w:t xml:space="preserve">I risultati di </w:t>
      </w:r>
      <w:r w:rsidRPr="00AE7393">
        <w:rPr>
          <w:rFonts w:ascii="Times New Roman" w:hAnsi="Times New Roman" w:cs="Times New Roman"/>
          <w:sz w:val="24"/>
          <w:szCs w:val="24"/>
        </w:rPr>
        <w:t>Gödel</w:t>
      </w:r>
      <w:r>
        <w:rPr>
          <w:rFonts w:ascii="Times New Roman" w:hAnsi="Times New Roman" w:cs="Times New Roman"/>
          <w:sz w:val="24"/>
          <w:szCs w:val="24"/>
        </w:rPr>
        <w:t xml:space="preserve"> producono effetti </w:t>
      </w:r>
      <w:r w:rsidRPr="00AE7393">
        <w:rPr>
          <w:rFonts w:ascii="Times New Roman" w:hAnsi="Times New Roman" w:cs="Times New Roman"/>
          <w:sz w:val="24"/>
          <w:szCs w:val="24"/>
        </w:rPr>
        <w:t>sulle teorie dell’IA: se consideriamo un sistema di IA “forte”, basato sulla</w:t>
      </w:r>
      <w:r w:rsidRPr="00903195">
        <w:rPr>
          <w:rFonts w:ascii="Times New Roman" w:hAnsi="Times New Roman" w:cs="Times New Roman"/>
          <w:sz w:val="24"/>
          <w:szCs w:val="24"/>
        </w:rPr>
        <w:t xml:space="preserve"> manipolazione simbolica e implementato tramite funzioni </w:t>
      </w:r>
      <w:proofErr w:type="spellStart"/>
      <w:r w:rsidRPr="00903195">
        <w:rPr>
          <w:rFonts w:ascii="Times New Roman" w:hAnsi="Times New Roman" w:cs="Times New Roman"/>
          <w:sz w:val="24"/>
          <w:szCs w:val="24"/>
        </w:rPr>
        <w:t>Turing</w:t>
      </w:r>
      <w:proofErr w:type="spellEnd"/>
      <w:r w:rsidRPr="00903195">
        <w:rPr>
          <w:rFonts w:ascii="Times New Roman" w:hAnsi="Times New Roman" w:cs="Times New Roman"/>
          <w:sz w:val="24"/>
          <w:szCs w:val="24"/>
        </w:rPr>
        <w:t xml:space="preserve">-computabili, </w:t>
      </w:r>
      <w:r>
        <w:rPr>
          <w:rFonts w:ascii="Times New Roman" w:hAnsi="Times New Roman" w:cs="Times New Roman"/>
          <w:sz w:val="24"/>
          <w:szCs w:val="24"/>
        </w:rPr>
        <w:t>si tratta di un</w:t>
      </w:r>
      <w:r w:rsidRPr="00903195">
        <w:rPr>
          <w:rFonts w:ascii="Times New Roman" w:hAnsi="Times New Roman" w:cs="Times New Roman"/>
          <w:sz w:val="24"/>
          <w:szCs w:val="24"/>
        </w:rPr>
        <w:t xml:space="preserve"> sistema formale, </w:t>
      </w:r>
      <w:r>
        <w:rPr>
          <w:rFonts w:ascii="Times New Roman" w:hAnsi="Times New Roman" w:cs="Times New Roman"/>
          <w:sz w:val="24"/>
          <w:szCs w:val="24"/>
        </w:rPr>
        <w:t>per cui potremmo considerare i</w:t>
      </w:r>
      <w:r w:rsidRPr="00903195">
        <w:rPr>
          <w:rFonts w:ascii="Times New Roman" w:hAnsi="Times New Roman" w:cs="Times New Roman"/>
          <w:sz w:val="24"/>
          <w:szCs w:val="24"/>
        </w:rPr>
        <w:t xml:space="preserve"> teoremi di indecidibilità</w:t>
      </w:r>
      <w:r>
        <w:rPr>
          <w:rFonts w:ascii="Times New Roman" w:hAnsi="Times New Roman" w:cs="Times New Roman"/>
          <w:sz w:val="24"/>
          <w:szCs w:val="24"/>
        </w:rPr>
        <w:t xml:space="preserve"> anche in questo caso</w:t>
      </w:r>
      <w:r w:rsidRPr="00903195">
        <w:rPr>
          <w:rFonts w:ascii="Times New Roman" w:hAnsi="Times New Roman" w:cs="Times New Roman"/>
          <w:sz w:val="24"/>
          <w:szCs w:val="24"/>
        </w:rPr>
        <w:t xml:space="preserve">. Gödel </w:t>
      </w:r>
      <w:r>
        <w:rPr>
          <w:rFonts w:ascii="Times New Roman" w:hAnsi="Times New Roman" w:cs="Times New Roman"/>
          <w:sz w:val="24"/>
          <w:szCs w:val="24"/>
        </w:rPr>
        <w:t>ne parlò nella</w:t>
      </w:r>
      <w:r w:rsidRPr="00903195">
        <w:rPr>
          <w:rFonts w:ascii="Times New Roman" w:hAnsi="Times New Roman" w:cs="Times New Roman"/>
          <w:sz w:val="24"/>
          <w:szCs w:val="24"/>
        </w:rPr>
        <w:t xml:space="preserve"> “Conferenza </w:t>
      </w:r>
      <w:proofErr w:type="spellStart"/>
      <w:r w:rsidRPr="00903195">
        <w:rPr>
          <w:rFonts w:ascii="Times New Roman" w:hAnsi="Times New Roman" w:cs="Times New Roman"/>
          <w:sz w:val="24"/>
          <w:szCs w:val="24"/>
        </w:rPr>
        <w:t>Gibbs</w:t>
      </w:r>
      <w:proofErr w:type="spellEnd"/>
      <w:r>
        <w:rPr>
          <w:rFonts w:ascii="Times New Roman" w:hAnsi="Times New Roman" w:cs="Times New Roman"/>
          <w:sz w:val="24"/>
          <w:szCs w:val="24"/>
        </w:rPr>
        <w:t>” del</w:t>
      </w:r>
      <w:r w:rsidRPr="00903195">
        <w:rPr>
          <w:rFonts w:ascii="Times New Roman" w:hAnsi="Times New Roman" w:cs="Times New Roman"/>
          <w:sz w:val="24"/>
          <w:szCs w:val="24"/>
        </w:rPr>
        <w:t xml:space="preserve"> 26 dicembre 1951</w:t>
      </w:r>
      <w:r>
        <w:rPr>
          <w:rFonts w:ascii="Times New Roman" w:hAnsi="Times New Roman" w:cs="Times New Roman"/>
          <w:sz w:val="24"/>
          <w:szCs w:val="24"/>
        </w:rPr>
        <w:t>, quando il tema dell</w:t>
      </w:r>
      <w:r w:rsidRPr="00903195">
        <w:rPr>
          <w:rFonts w:ascii="Times New Roman" w:hAnsi="Times New Roman" w:cs="Times New Roman"/>
          <w:sz w:val="24"/>
          <w:szCs w:val="24"/>
        </w:rPr>
        <w:t xml:space="preserve">’IA era già nell’aria: </w:t>
      </w:r>
      <w:proofErr w:type="spellStart"/>
      <w:r w:rsidRPr="00903195">
        <w:rPr>
          <w:rFonts w:ascii="Times New Roman" w:hAnsi="Times New Roman" w:cs="Times New Roman"/>
          <w:sz w:val="24"/>
          <w:szCs w:val="24"/>
        </w:rPr>
        <w:t>Turing</w:t>
      </w:r>
      <w:proofErr w:type="spellEnd"/>
      <w:r w:rsidRPr="00903195">
        <w:rPr>
          <w:rFonts w:ascii="Times New Roman" w:hAnsi="Times New Roman" w:cs="Times New Roman"/>
          <w:sz w:val="24"/>
          <w:szCs w:val="24"/>
        </w:rPr>
        <w:t xml:space="preserve"> </w:t>
      </w:r>
      <w:r>
        <w:rPr>
          <w:rFonts w:ascii="Times New Roman" w:hAnsi="Times New Roman" w:cs="Times New Roman"/>
          <w:sz w:val="24"/>
          <w:szCs w:val="24"/>
        </w:rPr>
        <w:t xml:space="preserve">nel 1950 </w:t>
      </w:r>
      <w:r w:rsidRPr="00903195">
        <w:rPr>
          <w:rFonts w:ascii="Times New Roman" w:hAnsi="Times New Roman" w:cs="Times New Roman"/>
          <w:sz w:val="24"/>
          <w:szCs w:val="24"/>
        </w:rPr>
        <w:t>aveva pubblicato</w:t>
      </w:r>
      <w:r>
        <w:rPr>
          <w:rFonts w:ascii="Times New Roman" w:hAnsi="Times New Roman" w:cs="Times New Roman"/>
          <w:sz w:val="24"/>
          <w:szCs w:val="24"/>
        </w:rPr>
        <w:t xml:space="preserve"> </w:t>
      </w:r>
      <w:r w:rsidRPr="00903195">
        <w:rPr>
          <w:rFonts w:ascii="Times New Roman" w:hAnsi="Times New Roman" w:cs="Times New Roman"/>
          <w:sz w:val="24"/>
          <w:szCs w:val="24"/>
        </w:rPr>
        <w:t>“</w:t>
      </w:r>
      <w:r w:rsidRPr="00E245FF">
        <w:rPr>
          <w:rFonts w:ascii="Times New Roman" w:hAnsi="Times New Roman" w:cs="Times New Roman"/>
          <w:i/>
          <w:iCs/>
          <w:sz w:val="24"/>
          <w:szCs w:val="24"/>
        </w:rPr>
        <w:t xml:space="preserve">Computing </w:t>
      </w:r>
      <w:proofErr w:type="spellStart"/>
      <w:r w:rsidRPr="00E245FF">
        <w:rPr>
          <w:rFonts w:ascii="Times New Roman" w:hAnsi="Times New Roman" w:cs="Times New Roman"/>
          <w:i/>
          <w:iCs/>
          <w:sz w:val="24"/>
          <w:szCs w:val="24"/>
        </w:rPr>
        <w:t>Machinery</w:t>
      </w:r>
      <w:proofErr w:type="spellEnd"/>
      <w:r w:rsidRPr="00E245FF">
        <w:rPr>
          <w:rFonts w:ascii="Times New Roman" w:hAnsi="Times New Roman" w:cs="Times New Roman"/>
          <w:i/>
          <w:iCs/>
          <w:sz w:val="24"/>
          <w:szCs w:val="24"/>
        </w:rPr>
        <w:t xml:space="preserve"> and Intelligence</w:t>
      </w:r>
      <w:r w:rsidRPr="00903195">
        <w:rPr>
          <w:rFonts w:ascii="Times New Roman" w:hAnsi="Times New Roman" w:cs="Times New Roman"/>
          <w:sz w:val="24"/>
          <w:szCs w:val="24"/>
        </w:rPr>
        <w:t>”</w:t>
      </w:r>
      <w:r>
        <w:rPr>
          <w:rFonts w:ascii="Times New Roman" w:hAnsi="Times New Roman" w:cs="Times New Roman"/>
          <w:sz w:val="24"/>
          <w:szCs w:val="24"/>
        </w:rPr>
        <w:t xml:space="preserve">, e già </w:t>
      </w:r>
      <w:r w:rsidRPr="00903195">
        <w:rPr>
          <w:rFonts w:ascii="Times New Roman" w:hAnsi="Times New Roman" w:cs="Times New Roman"/>
          <w:sz w:val="24"/>
          <w:szCs w:val="24"/>
        </w:rPr>
        <w:t>nel</w:t>
      </w:r>
      <w:r>
        <w:rPr>
          <w:rFonts w:ascii="Times New Roman" w:hAnsi="Times New Roman" w:cs="Times New Roman"/>
          <w:sz w:val="24"/>
          <w:szCs w:val="24"/>
        </w:rPr>
        <w:t xml:space="preserve"> </w:t>
      </w:r>
      <w:r w:rsidRPr="00903195">
        <w:rPr>
          <w:rFonts w:ascii="Times New Roman" w:hAnsi="Times New Roman" w:cs="Times New Roman"/>
          <w:sz w:val="24"/>
          <w:szCs w:val="24"/>
        </w:rPr>
        <w:t xml:space="preserve">1937 aveva </w:t>
      </w:r>
      <w:r>
        <w:rPr>
          <w:rFonts w:ascii="Times New Roman" w:hAnsi="Times New Roman" w:cs="Times New Roman"/>
          <w:sz w:val="24"/>
          <w:szCs w:val="24"/>
        </w:rPr>
        <w:t>teorizzato la</w:t>
      </w:r>
      <w:r w:rsidRPr="00903195">
        <w:rPr>
          <w:rFonts w:ascii="Times New Roman" w:hAnsi="Times New Roman" w:cs="Times New Roman"/>
          <w:sz w:val="24"/>
          <w:szCs w:val="24"/>
        </w:rPr>
        <w:t xml:space="preserve"> definizione di “numeri calcolabili”</w:t>
      </w:r>
      <w:r>
        <w:rPr>
          <w:rFonts w:ascii="Times New Roman" w:hAnsi="Times New Roman" w:cs="Times New Roman"/>
          <w:sz w:val="24"/>
          <w:szCs w:val="24"/>
        </w:rPr>
        <w:t xml:space="preserve">. Nella </w:t>
      </w:r>
      <w:r w:rsidRPr="00903195">
        <w:rPr>
          <w:rFonts w:ascii="Times New Roman" w:hAnsi="Times New Roman" w:cs="Times New Roman"/>
          <w:sz w:val="24"/>
          <w:szCs w:val="24"/>
        </w:rPr>
        <w:t xml:space="preserve">conferenza </w:t>
      </w:r>
      <w:r>
        <w:rPr>
          <w:rFonts w:ascii="Times New Roman" w:hAnsi="Times New Roman" w:cs="Times New Roman"/>
          <w:sz w:val="24"/>
          <w:szCs w:val="24"/>
        </w:rPr>
        <w:t xml:space="preserve">si parlò della </w:t>
      </w:r>
      <w:r w:rsidRPr="00903195">
        <w:rPr>
          <w:rFonts w:ascii="Times New Roman" w:hAnsi="Times New Roman" w:cs="Times New Roman"/>
          <w:sz w:val="24"/>
          <w:szCs w:val="24"/>
        </w:rPr>
        <w:t xml:space="preserve">connessione tra i risultati </w:t>
      </w:r>
      <w:r>
        <w:rPr>
          <w:rFonts w:ascii="Times New Roman" w:hAnsi="Times New Roman" w:cs="Times New Roman"/>
          <w:sz w:val="24"/>
          <w:szCs w:val="24"/>
        </w:rPr>
        <w:t xml:space="preserve">di Gödel </w:t>
      </w:r>
      <w:r w:rsidRPr="00903195">
        <w:rPr>
          <w:rFonts w:ascii="Times New Roman" w:hAnsi="Times New Roman" w:cs="Times New Roman"/>
          <w:sz w:val="24"/>
          <w:szCs w:val="24"/>
        </w:rPr>
        <w:t xml:space="preserve">e quelli di </w:t>
      </w:r>
      <w:proofErr w:type="spellStart"/>
      <w:r w:rsidRPr="00903195">
        <w:rPr>
          <w:rFonts w:ascii="Times New Roman" w:hAnsi="Times New Roman" w:cs="Times New Roman"/>
          <w:sz w:val="24"/>
          <w:szCs w:val="24"/>
        </w:rPr>
        <w:t>Turing</w:t>
      </w:r>
      <w:proofErr w:type="spellEnd"/>
      <w:r>
        <w:rPr>
          <w:rFonts w:ascii="Times New Roman" w:hAnsi="Times New Roman" w:cs="Times New Roman"/>
          <w:sz w:val="24"/>
          <w:szCs w:val="24"/>
        </w:rPr>
        <w:t xml:space="preserve">, contributi che portavano </w:t>
      </w:r>
      <w:r w:rsidRPr="00903195">
        <w:rPr>
          <w:rFonts w:ascii="Times New Roman" w:hAnsi="Times New Roman" w:cs="Times New Roman"/>
          <w:sz w:val="24"/>
          <w:szCs w:val="24"/>
        </w:rPr>
        <w:t>una limitazione precisa dei sistemi formali.</w:t>
      </w:r>
      <w:r>
        <w:rPr>
          <w:rFonts w:ascii="Times New Roman" w:hAnsi="Times New Roman" w:cs="Times New Roman"/>
          <w:sz w:val="24"/>
          <w:szCs w:val="24"/>
        </w:rPr>
        <w:t xml:space="preserve"> Gödel </w:t>
      </w:r>
      <w:r w:rsidRPr="00903195">
        <w:rPr>
          <w:rFonts w:ascii="Times New Roman" w:hAnsi="Times New Roman" w:cs="Times New Roman"/>
          <w:sz w:val="24"/>
          <w:szCs w:val="24"/>
        </w:rPr>
        <w:t xml:space="preserve">introdusse </w:t>
      </w:r>
      <w:r>
        <w:rPr>
          <w:rFonts w:ascii="Times New Roman" w:hAnsi="Times New Roman" w:cs="Times New Roman"/>
          <w:sz w:val="24"/>
          <w:szCs w:val="24"/>
        </w:rPr>
        <w:t>la</w:t>
      </w:r>
      <w:r w:rsidRPr="00903195">
        <w:rPr>
          <w:rFonts w:ascii="Times New Roman" w:hAnsi="Times New Roman" w:cs="Times New Roman"/>
          <w:sz w:val="24"/>
          <w:szCs w:val="24"/>
        </w:rPr>
        <w:t xml:space="preserve"> distinzione tra proposizioni matematiche obiettivamente vere e proposizioni vere in relazione ad un sistema formale</w:t>
      </w:r>
      <w:r>
        <w:rPr>
          <w:rFonts w:ascii="Times New Roman" w:hAnsi="Times New Roman" w:cs="Times New Roman"/>
          <w:sz w:val="24"/>
          <w:szCs w:val="24"/>
        </w:rPr>
        <w:t xml:space="preserve"> e sostenne</w:t>
      </w:r>
      <w:r w:rsidRPr="00903195">
        <w:rPr>
          <w:rFonts w:ascii="Times New Roman" w:hAnsi="Times New Roman" w:cs="Times New Roman"/>
          <w:sz w:val="24"/>
          <w:szCs w:val="24"/>
        </w:rPr>
        <w:t xml:space="preserve"> che l</w:t>
      </w:r>
      <w:r>
        <w:rPr>
          <w:rFonts w:ascii="Times New Roman" w:hAnsi="Times New Roman" w:cs="Times New Roman"/>
          <w:sz w:val="24"/>
          <w:szCs w:val="24"/>
        </w:rPr>
        <w:t>a</w:t>
      </w:r>
      <w:r w:rsidRPr="00903195">
        <w:rPr>
          <w:rFonts w:ascii="Times New Roman" w:hAnsi="Times New Roman" w:cs="Times New Roman"/>
          <w:sz w:val="24"/>
          <w:szCs w:val="24"/>
        </w:rPr>
        <w:t xml:space="preserve"> capacità della mente umana di gestire le prime non era limitata dai teoremi relativi al secondo tipo di proposizioni. </w:t>
      </w:r>
      <w:r>
        <w:rPr>
          <w:rFonts w:ascii="Times New Roman" w:hAnsi="Times New Roman" w:cs="Times New Roman"/>
          <w:sz w:val="24"/>
          <w:szCs w:val="24"/>
        </w:rPr>
        <w:t xml:space="preserve">Sostenne </w:t>
      </w:r>
      <w:r w:rsidRPr="00903195">
        <w:rPr>
          <w:rFonts w:ascii="Times New Roman" w:hAnsi="Times New Roman" w:cs="Times New Roman"/>
          <w:sz w:val="24"/>
          <w:szCs w:val="24"/>
        </w:rPr>
        <w:t xml:space="preserve">la possibilità di </w:t>
      </w:r>
      <w:r>
        <w:rPr>
          <w:rFonts w:ascii="Times New Roman" w:hAnsi="Times New Roman" w:cs="Times New Roman"/>
          <w:sz w:val="24"/>
          <w:szCs w:val="24"/>
        </w:rPr>
        <w:t xml:space="preserve">considerare </w:t>
      </w:r>
      <w:r w:rsidRPr="00903195">
        <w:rPr>
          <w:rFonts w:ascii="Times New Roman" w:hAnsi="Times New Roman" w:cs="Times New Roman"/>
          <w:sz w:val="24"/>
          <w:szCs w:val="24"/>
        </w:rPr>
        <w:t>una “macchina intelligente”</w:t>
      </w:r>
      <w:r>
        <w:rPr>
          <w:rFonts w:ascii="Times New Roman" w:hAnsi="Times New Roman" w:cs="Times New Roman"/>
          <w:sz w:val="24"/>
          <w:szCs w:val="24"/>
        </w:rPr>
        <w:t xml:space="preserve"> </w:t>
      </w:r>
      <w:r w:rsidRPr="00903195">
        <w:rPr>
          <w:rFonts w:ascii="Times New Roman" w:hAnsi="Times New Roman" w:cs="Times New Roman"/>
          <w:sz w:val="24"/>
          <w:szCs w:val="24"/>
        </w:rPr>
        <w:t xml:space="preserve">e </w:t>
      </w:r>
      <w:r>
        <w:rPr>
          <w:rFonts w:ascii="Times New Roman" w:hAnsi="Times New Roman" w:cs="Times New Roman"/>
          <w:sz w:val="24"/>
          <w:szCs w:val="24"/>
        </w:rPr>
        <w:t xml:space="preserve">la possibilità di </w:t>
      </w:r>
      <w:r w:rsidRPr="00903195">
        <w:rPr>
          <w:rFonts w:ascii="Times New Roman" w:hAnsi="Times New Roman" w:cs="Times New Roman"/>
          <w:sz w:val="24"/>
          <w:szCs w:val="24"/>
        </w:rPr>
        <w:t xml:space="preserve">trovare una somiglianza tra il cervello e un automa finito, </w:t>
      </w:r>
      <w:r>
        <w:rPr>
          <w:rFonts w:ascii="Times New Roman" w:hAnsi="Times New Roman" w:cs="Times New Roman"/>
          <w:sz w:val="24"/>
          <w:szCs w:val="24"/>
        </w:rPr>
        <w:t>che, secondo Gödel, potrebbe andare</w:t>
      </w:r>
      <w:r w:rsidRPr="00903195">
        <w:rPr>
          <w:rFonts w:ascii="Times New Roman" w:hAnsi="Times New Roman" w:cs="Times New Roman"/>
          <w:sz w:val="24"/>
          <w:szCs w:val="24"/>
        </w:rPr>
        <w:t xml:space="preserve"> incontro a questioni indecidibili, </w:t>
      </w:r>
      <w:r>
        <w:rPr>
          <w:rFonts w:ascii="Times New Roman" w:hAnsi="Times New Roman" w:cs="Times New Roman"/>
          <w:sz w:val="24"/>
          <w:szCs w:val="24"/>
        </w:rPr>
        <w:t>così come</w:t>
      </w:r>
      <w:r w:rsidRPr="00903195">
        <w:rPr>
          <w:rFonts w:ascii="Times New Roman" w:hAnsi="Times New Roman" w:cs="Times New Roman"/>
          <w:sz w:val="24"/>
          <w:szCs w:val="24"/>
        </w:rPr>
        <w:t xml:space="preserve"> la mente uman</w:t>
      </w:r>
      <w:r>
        <w:rPr>
          <w:rFonts w:ascii="Times New Roman" w:hAnsi="Times New Roman" w:cs="Times New Roman"/>
          <w:sz w:val="24"/>
          <w:szCs w:val="24"/>
        </w:rPr>
        <w:t xml:space="preserve">a, con la </w:t>
      </w:r>
      <w:r w:rsidRPr="00903195">
        <w:rPr>
          <w:rFonts w:ascii="Times New Roman" w:hAnsi="Times New Roman" w:cs="Times New Roman"/>
          <w:sz w:val="24"/>
          <w:szCs w:val="24"/>
        </w:rPr>
        <w:t>differenza</w:t>
      </w:r>
      <w:r>
        <w:rPr>
          <w:rFonts w:ascii="Times New Roman" w:hAnsi="Times New Roman" w:cs="Times New Roman"/>
          <w:sz w:val="24"/>
          <w:szCs w:val="24"/>
        </w:rPr>
        <w:t xml:space="preserve"> </w:t>
      </w:r>
      <w:r w:rsidRPr="00903195">
        <w:rPr>
          <w:rFonts w:ascii="Times New Roman" w:hAnsi="Times New Roman" w:cs="Times New Roman"/>
          <w:sz w:val="24"/>
          <w:szCs w:val="24"/>
        </w:rPr>
        <w:t xml:space="preserve">che </w:t>
      </w:r>
      <w:r>
        <w:rPr>
          <w:rFonts w:ascii="Times New Roman" w:hAnsi="Times New Roman" w:cs="Times New Roman"/>
          <w:sz w:val="24"/>
          <w:szCs w:val="24"/>
        </w:rPr>
        <w:t>quest’ultima</w:t>
      </w:r>
      <w:r w:rsidRPr="00903195">
        <w:rPr>
          <w:rFonts w:ascii="Times New Roman" w:hAnsi="Times New Roman" w:cs="Times New Roman"/>
          <w:sz w:val="24"/>
          <w:szCs w:val="24"/>
        </w:rPr>
        <w:t xml:space="preserve"> può sempre escogitare strategie per superare </w:t>
      </w:r>
      <w:r>
        <w:rPr>
          <w:rFonts w:ascii="Times New Roman" w:hAnsi="Times New Roman" w:cs="Times New Roman"/>
          <w:sz w:val="24"/>
          <w:szCs w:val="24"/>
        </w:rPr>
        <w:t>gli ostacoli e le</w:t>
      </w:r>
      <w:r w:rsidRPr="00903195">
        <w:rPr>
          <w:rFonts w:ascii="Times New Roman" w:hAnsi="Times New Roman" w:cs="Times New Roman"/>
          <w:sz w:val="24"/>
          <w:szCs w:val="24"/>
        </w:rPr>
        <w:t xml:space="preserve"> difficoltà</w:t>
      </w:r>
      <w:r>
        <w:rPr>
          <w:rFonts w:ascii="Times New Roman" w:hAnsi="Times New Roman" w:cs="Times New Roman"/>
          <w:sz w:val="24"/>
          <w:szCs w:val="24"/>
        </w:rPr>
        <w:t xml:space="preserve">. </w:t>
      </w:r>
      <w:r w:rsidRPr="00D2051A">
        <w:rPr>
          <w:rFonts w:ascii="Times New Roman" w:hAnsi="Times New Roman" w:cs="Times New Roman"/>
          <w:sz w:val="24"/>
          <w:szCs w:val="24"/>
        </w:rPr>
        <w:t>Sull’argomento c’è una bibliografia molto vasta</w:t>
      </w:r>
      <w:r>
        <w:rPr>
          <w:rFonts w:ascii="Times New Roman" w:hAnsi="Times New Roman" w:cs="Times New Roman"/>
          <w:sz w:val="24"/>
          <w:szCs w:val="24"/>
        </w:rPr>
        <w:t>:</w:t>
      </w:r>
      <w:r w:rsidRPr="00D2051A">
        <w:rPr>
          <w:rFonts w:ascii="Times New Roman" w:hAnsi="Times New Roman" w:cs="Times New Roman"/>
          <w:sz w:val="24"/>
          <w:szCs w:val="24"/>
        </w:rPr>
        <w:t xml:space="preserve"> si vedano, ad esempio, </w:t>
      </w:r>
      <w:r w:rsidRPr="00962ABF">
        <w:rPr>
          <w:rFonts w:ascii="Times New Roman" w:hAnsi="Times New Roman" w:cs="Times New Roman"/>
          <w:smallCaps/>
          <w:sz w:val="24"/>
          <w:szCs w:val="24"/>
        </w:rPr>
        <w:t>J. W. Dawson Jr</w:t>
      </w:r>
      <w:r w:rsidRPr="00D2051A">
        <w:rPr>
          <w:rFonts w:ascii="Times New Roman" w:hAnsi="Times New Roman" w:cs="Times New Roman"/>
          <w:sz w:val="24"/>
          <w:szCs w:val="24"/>
        </w:rPr>
        <w:t>., “</w:t>
      </w:r>
      <w:r w:rsidRPr="00962ABF">
        <w:rPr>
          <w:rFonts w:ascii="Times New Roman" w:hAnsi="Times New Roman" w:cs="Times New Roman"/>
          <w:i/>
          <w:iCs/>
          <w:sz w:val="24"/>
          <w:szCs w:val="24"/>
        </w:rPr>
        <w:t>Dilemmi logici. La vita e l’opera di Kurt Gödel</w:t>
      </w:r>
      <w:r w:rsidRPr="00D2051A">
        <w:rPr>
          <w:rFonts w:ascii="Times New Roman" w:hAnsi="Times New Roman" w:cs="Times New Roman"/>
          <w:sz w:val="24"/>
          <w:szCs w:val="24"/>
        </w:rPr>
        <w:t xml:space="preserve">”, Bollati </w:t>
      </w:r>
      <w:proofErr w:type="spellStart"/>
      <w:r w:rsidRPr="00D2051A">
        <w:rPr>
          <w:rFonts w:ascii="Times New Roman" w:hAnsi="Times New Roman" w:cs="Times New Roman"/>
          <w:sz w:val="24"/>
          <w:szCs w:val="24"/>
        </w:rPr>
        <w:t>Boringhieri</w:t>
      </w:r>
      <w:proofErr w:type="spellEnd"/>
      <w:r w:rsidRPr="00D2051A">
        <w:rPr>
          <w:rFonts w:ascii="Times New Roman" w:hAnsi="Times New Roman" w:cs="Times New Roman"/>
          <w:sz w:val="24"/>
          <w:szCs w:val="24"/>
        </w:rPr>
        <w:t xml:space="preserve">, Torino, 2001; </w:t>
      </w:r>
      <w:r w:rsidRPr="00962ABF">
        <w:rPr>
          <w:rFonts w:ascii="Times New Roman" w:hAnsi="Times New Roman" w:cs="Times New Roman"/>
          <w:smallCaps/>
          <w:sz w:val="24"/>
          <w:szCs w:val="24"/>
        </w:rPr>
        <w:t xml:space="preserve">R. </w:t>
      </w:r>
      <w:proofErr w:type="spellStart"/>
      <w:r w:rsidRPr="00962ABF">
        <w:rPr>
          <w:rFonts w:ascii="Times New Roman" w:hAnsi="Times New Roman" w:cs="Times New Roman"/>
          <w:smallCaps/>
          <w:sz w:val="24"/>
          <w:szCs w:val="24"/>
        </w:rPr>
        <w:t>Goldstein</w:t>
      </w:r>
      <w:proofErr w:type="spellEnd"/>
      <w:r w:rsidRPr="00D2051A">
        <w:rPr>
          <w:rFonts w:ascii="Times New Roman" w:hAnsi="Times New Roman" w:cs="Times New Roman"/>
          <w:sz w:val="24"/>
          <w:szCs w:val="24"/>
        </w:rPr>
        <w:t>, “</w:t>
      </w:r>
      <w:r w:rsidRPr="00962ABF">
        <w:rPr>
          <w:rFonts w:ascii="Times New Roman" w:hAnsi="Times New Roman" w:cs="Times New Roman"/>
          <w:i/>
          <w:iCs/>
          <w:sz w:val="24"/>
          <w:szCs w:val="24"/>
        </w:rPr>
        <w:t>Incompletezza. La dimostrazione e il paradosso di Kurt Gödel</w:t>
      </w:r>
      <w:r w:rsidRPr="00D2051A">
        <w:rPr>
          <w:rFonts w:ascii="Times New Roman" w:hAnsi="Times New Roman" w:cs="Times New Roman"/>
          <w:sz w:val="24"/>
          <w:szCs w:val="24"/>
        </w:rPr>
        <w:t xml:space="preserve">”, Codice Edizioni, Torino, 2006; J. </w:t>
      </w:r>
      <w:r w:rsidRPr="00962ABF">
        <w:rPr>
          <w:rFonts w:ascii="Times New Roman" w:hAnsi="Times New Roman" w:cs="Times New Roman"/>
          <w:smallCaps/>
          <w:sz w:val="24"/>
          <w:szCs w:val="24"/>
        </w:rPr>
        <w:t>L. Casti, W. De Pauli</w:t>
      </w:r>
      <w:r w:rsidRPr="00D2051A">
        <w:rPr>
          <w:rFonts w:ascii="Times New Roman" w:hAnsi="Times New Roman" w:cs="Times New Roman"/>
          <w:sz w:val="24"/>
          <w:szCs w:val="24"/>
        </w:rPr>
        <w:t>, “</w:t>
      </w:r>
      <w:r w:rsidRPr="00962ABF">
        <w:rPr>
          <w:rFonts w:ascii="Times New Roman" w:hAnsi="Times New Roman" w:cs="Times New Roman"/>
          <w:i/>
          <w:iCs/>
          <w:sz w:val="24"/>
          <w:szCs w:val="24"/>
        </w:rPr>
        <w:t>Gödel. L’eccentrica vita di un genio</w:t>
      </w:r>
      <w:r w:rsidRPr="00D2051A">
        <w:rPr>
          <w:rFonts w:ascii="Times New Roman" w:hAnsi="Times New Roman" w:cs="Times New Roman"/>
          <w:sz w:val="24"/>
          <w:szCs w:val="24"/>
        </w:rPr>
        <w:t>”, Raffaello-Cortina Edizioni, Milano, 2001; A</w:t>
      </w:r>
      <w:r w:rsidRPr="00962ABF">
        <w:rPr>
          <w:rFonts w:ascii="Times New Roman" w:hAnsi="Times New Roman" w:cs="Times New Roman"/>
          <w:smallCaps/>
          <w:sz w:val="24"/>
          <w:szCs w:val="24"/>
        </w:rPr>
        <w:t xml:space="preserve">. </w:t>
      </w:r>
      <w:proofErr w:type="spellStart"/>
      <w:r w:rsidRPr="00962ABF">
        <w:rPr>
          <w:rFonts w:ascii="Times New Roman" w:hAnsi="Times New Roman" w:cs="Times New Roman"/>
          <w:smallCaps/>
          <w:sz w:val="24"/>
          <w:szCs w:val="24"/>
        </w:rPr>
        <w:t>Hodges</w:t>
      </w:r>
      <w:proofErr w:type="spellEnd"/>
      <w:r w:rsidRPr="00D2051A">
        <w:rPr>
          <w:rFonts w:ascii="Times New Roman" w:hAnsi="Times New Roman" w:cs="Times New Roman"/>
          <w:sz w:val="24"/>
          <w:szCs w:val="24"/>
        </w:rPr>
        <w:t>, “</w:t>
      </w:r>
      <w:r w:rsidRPr="00962ABF">
        <w:rPr>
          <w:rFonts w:ascii="Times New Roman" w:hAnsi="Times New Roman" w:cs="Times New Roman"/>
          <w:i/>
          <w:iCs/>
          <w:sz w:val="24"/>
          <w:szCs w:val="24"/>
        </w:rPr>
        <w:t xml:space="preserve">Storia di un enigma. Vita di Alan </w:t>
      </w:r>
      <w:proofErr w:type="spellStart"/>
      <w:r w:rsidRPr="00962ABF">
        <w:rPr>
          <w:rFonts w:ascii="Times New Roman" w:hAnsi="Times New Roman" w:cs="Times New Roman"/>
          <w:i/>
          <w:iCs/>
          <w:sz w:val="24"/>
          <w:szCs w:val="24"/>
        </w:rPr>
        <w:t>Turing</w:t>
      </w:r>
      <w:proofErr w:type="spellEnd"/>
      <w:r w:rsidRPr="00962ABF">
        <w:rPr>
          <w:rFonts w:ascii="Times New Roman" w:hAnsi="Times New Roman" w:cs="Times New Roman"/>
          <w:i/>
          <w:iCs/>
          <w:sz w:val="24"/>
          <w:szCs w:val="24"/>
        </w:rPr>
        <w:t xml:space="preserve"> 1912-1954</w:t>
      </w:r>
      <w:r w:rsidRPr="00D2051A">
        <w:rPr>
          <w:rFonts w:ascii="Times New Roman" w:hAnsi="Times New Roman" w:cs="Times New Roman"/>
          <w:sz w:val="24"/>
          <w:szCs w:val="24"/>
        </w:rPr>
        <w:t xml:space="preserve">”, Bollati </w:t>
      </w:r>
      <w:proofErr w:type="spellStart"/>
      <w:r w:rsidRPr="00D2051A">
        <w:rPr>
          <w:rFonts w:ascii="Times New Roman" w:hAnsi="Times New Roman" w:cs="Times New Roman"/>
          <w:sz w:val="24"/>
          <w:szCs w:val="24"/>
        </w:rPr>
        <w:t>Boringhieri</w:t>
      </w:r>
      <w:proofErr w:type="spellEnd"/>
      <w:r w:rsidRPr="00D2051A">
        <w:rPr>
          <w:rFonts w:ascii="Times New Roman" w:hAnsi="Times New Roman" w:cs="Times New Roman"/>
          <w:sz w:val="24"/>
          <w:szCs w:val="24"/>
        </w:rPr>
        <w:t xml:space="preserve">, Torino, 2004; </w:t>
      </w:r>
      <w:r w:rsidRPr="00962ABF">
        <w:rPr>
          <w:rFonts w:ascii="Times New Roman" w:hAnsi="Times New Roman" w:cs="Times New Roman"/>
          <w:smallCaps/>
          <w:sz w:val="24"/>
          <w:szCs w:val="24"/>
        </w:rPr>
        <w:t>D. Leavitt</w:t>
      </w:r>
      <w:r w:rsidRPr="00D2051A">
        <w:rPr>
          <w:rFonts w:ascii="Times New Roman" w:hAnsi="Times New Roman" w:cs="Times New Roman"/>
          <w:sz w:val="24"/>
          <w:szCs w:val="24"/>
        </w:rPr>
        <w:t>, “</w:t>
      </w:r>
      <w:r w:rsidRPr="00962ABF">
        <w:rPr>
          <w:rFonts w:ascii="Times New Roman" w:hAnsi="Times New Roman" w:cs="Times New Roman"/>
          <w:i/>
          <w:iCs/>
          <w:sz w:val="24"/>
          <w:szCs w:val="24"/>
        </w:rPr>
        <w:t xml:space="preserve">L’uomo che sapeva troppo. Alan </w:t>
      </w:r>
      <w:proofErr w:type="spellStart"/>
      <w:r w:rsidRPr="00962ABF">
        <w:rPr>
          <w:rFonts w:ascii="Times New Roman" w:hAnsi="Times New Roman" w:cs="Times New Roman"/>
          <w:i/>
          <w:iCs/>
          <w:sz w:val="24"/>
          <w:szCs w:val="24"/>
        </w:rPr>
        <w:t>Turing</w:t>
      </w:r>
      <w:proofErr w:type="spellEnd"/>
      <w:r w:rsidRPr="00962ABF">
        <w:rPr>
          <w:rFonts w:ascii="Times New Roman" w:hAnsi="Times New Roman" w:cs="Times New Roman"/>
          <w:i/>
          <w:iCs/>
          <w:sz w:val="24"/>
          <w:szCs w:val="24"/>
        </w:rPr>
        <w:t xml:space="preserve"> e l’invenzione del computer</w:t>
      </w:r>
      <w:r w:rsidRPr="00D2051A">
        <w:rPr>
          <w:rFonts w:ascii="Times New Roman" w:hAnsi="Times New Roman" w:cs="Times New Roman"/>
          <w:sz w:val="24"/>
          <w:szCs w:val="24"/>
        </w:rPr>
        <w:t xml:space="preserve">”, La Biblioteca delle Scienze, Milano, 2009; </w:t>
      </w:r>
      <w:r w:rsidRPr="00962ABF">
        <w:rPr>
          <w:rFonts w:ascii="Times New Roman" w:hAnsi="Times New Roman" w:cs="Times New Roman"/>
          <w:smallCaps/>
          <w:sz w:val="24"/>
          <w:szCs w:val="24"/>
        </w:rPr>
        <w:t>I. Licata</w:t>
      </w:r>
      <w:r w:rsidRPr="00D2051A">
        <w:rPr>
          <w:rFonts w:ascii="Times New Roman" w:hAnsi="Times New Roman" w:cs="Times New Roman"/>
          <w:sz w:val="24"/>
          <w:szCs w:val="24"/>
        </w:rPr>
        <w:t>, “</w:t>
      </w:r>
      <w:r w:rsidRPr="00962ABF">
        <w:rPr>
          <w:rFonts w:ascii="Times New Roman" w:hAnsi="Times New Roman" w:cs="Times New Roman"/>
          <w:i/>
          <w:iCs/>
          <w:sz w:val="24"/>
          <w:szCs w:val="24"/>
        </w:rPr>
        <w:t>La logica aperta della mente</w:t>
      </w:r>
      <w:r w:rsidRPr="00D2051A">
        <w:rPr>
          <w:rFonts w:ascii="Times New Roman" w:hAnsi="Times New Roman" w:cs="Times New Roman"/>
          <w:sz w:val="24"/>
          <w:szCs w:val="24"/>
        </w:rPr>
        <w:t>”, Codice Edizioni, Torino, 2008; “</w:t>
      </w:r>
      <w:r w:rsidRPr="00962ABF">
        <w:rPr>
          <w:rFonts w:ascii="Times New Roman" w:hAnsi="Times New Roman" w:cs="Times New Roman"/>
          <w:i/>
          <w:iCs/>
          <w:sz w:val="24"/>
          <w:szCs w:val="24"/>
        </w:rPr>
        <w:t>Piccole variazioni sulla scienza</w:t>
      </w:r>
      <w:r w:rsidRPr="00D2051A">
        <w:rPr>
          <w:rFonts w:ascii="Times New Roman" w:hAnsi="Times New Roman" w:cs="Times New Roman"/>
          <w:sz w:val="24"/>
          <w:szCs w:val="24"/>
        </w:rPr>
        <w:t>”, Dedalo, Bari, 2016; “</w:t>
      </w:r>
      <w:r w:rsidRPr="00962ABF">
        <w:rPr>
          <w:rFonts w:ascii="Times New Roman" w:hAnsi="Times New Roman" w:cs="Times New Roman"/>
          <w:i/>
          <w:iCs/>
          <w:sz w:val="24"/>
          <w:szCs w:val="24"/>
        </w:rPr>
        <w:t>Complessità. Un’introduzione semplice</w:t>
      </w:r>
      <w:r w:rsidRPr="00D2051A">
        <w:rPr>
          <w:rFonts w:ascii="Times New Roman" w:hAnsi="Times New Roman" w:cs="Times New Roman"/>
          <w:sz w:val="24"/>
          <w:szCs w:val="24"/>
        </w:rPr>
        <w:t xml:space="preserve">”, Di Renzo Editore, 2018; </w:t>
      </w:r>
      <w:r w:rsidRPr="00962ABF">
        <w:rPr>
          <w:rFonts w:ascii="Times New Roman" w:hAnsi="Times New Roman" w:cs="Times New Roman"/>
          <w:smallCaps/>
          <w:sz w:val="24"/>
          <w:szCs w:val="24"/>
        </w:rPr>
        <w:t xml:space="preserve">A. </w:t>
      </w:r>
      <w:proofErr w:type="spellStart"/>
      <w:r w:rsidRPr="00962ABF">
        <w:rPr>
          <w:rFonts w:ascii="Times New Roman" w:hAnsi="Times New Roman" w:cs="Times New Roman"/>
          <w:smallCaps/>
          <w:sz w:val="24"/>
          <w:szCs w:val="24"/>
        </w:rPr>
        <w:t>Turing</w:t>
      </w:r>
      <w:proofErr w:type="spellEnd"/>
      <w:r w:rsidRPr="00D2051A">
        <w:rPr>
          <w:rFonts w:ascii="Times New Roman" w:hAnsi="Times New Roman" w:cs="Times New Roman"/>
          <w:sz w:val="24"/>
          <w:szCs w:val="24"/>
        </w:rPr>
        <w:t>, “</w:t>
      </w:r>
      <w:r w:rsidRPr="00962ABF">
        <w:rPr>
          <w:rFonts w:ascii="Times New Roman" w:hAnsi="Times New Roman" w:cs="Times New Roman"/>
          <w:i/>
          <w:iCs/>
          <w:sz w:val="24"/>
          <w:szCs w:val="24"/>
        </w:rPr>
        <w:t>Le basi chimiche della morfogenesi</w:t>
      </w:r>
      <w:r w:rsidRPr="00D2051A">
        <w:rPr>
          <w:rFonts w:ascii="Times New Roman" w:hAnsi="Times New Roman" w:cs="Times New Roman"/>
          <w:sz w:val="24"/>
          <w:szCs w:val="24"/>
        </w:rPr>
        <w:t xml:space="preserve">”, </w:t>
      </w:r>
      <w:proofErr w:type="spellStart"/>
      <w:r w:rsidRPr="00D2051A">
        <w:rPr>
          <w:rFonts w:ascii="Times New Roman" w:hAnsi="Times New Roman" w:cs="Times New Roman"/>
          <w:sz w:val="24"/>
          <w:szCs w:val="24"/>
        </w:rPr>
        <w:t>Mimesis</w:t>
      </w:r>
      <w:proofErr w:type="spellEnd"/>
      <w:r w:rsidRPr="00D2051A">
        <w:rPr>
          <w:rFonts w:ascii="Times New Roman" w:hAnsi="Times New Roman" w:cs="Times New Roman"/>
          <w:sz w:val="24"/>
          <w:szCs w:val="24"/>
        </w:rPr>
        <w:t xml:space="preserve"> Edizioni, Sesto San Giovanni, 2021; </w:t>
      </w:r>
      <w:r w:rsidRPr="00962ABF">
        <w:rPr>
          <w:rFonts w:ascii="Times New Roman" w:hAnsi="Times New Roman" w:cs="Times New Roman"/>
          <w:smallCaps/>
          <w:sz w:val="24"/>
          <w:szCs w:val="24"/>
        </w:rPr>
        <w:t xml:space="preserve">S. </w:t>
      </w:r>
      <w:proofErr w:type="spellStart"/>
      <w:r w:rsidRPr="00962ABF">
        <w:rPr>
          <w:rFonts w:ascii="Times New Roman" w:hAnsi="Times New Roman" w:cs="Times New Roman"/>
          <w:smallCaps/>
          <w:sz w:val="24"/>
          <w:szCs w:val="24"/>
        </w:rPr>
        <w:t>Sterrett</w:t>
      </w:r>
      <w:proofErr w:type="spellEnd"/>
      <w:r w:rsidRPr="00D2051A">
        <w:rPr>
          <w:rFonts w:ascii="Times New Roman" w:hAnsi="Times New Roman" w:cs="Times New Roman"/>
          <w:sz w:val="24"/>
          <w:szCs w:val="24"/>
        </w:rPr>
        <w:t>, “</w:t>
      </w:r>
      <w:proofErr w:type="spellStart"/>
      <w:r w:rsidRPr="00962ABF">
        <w:rPr>
          <w:rFonts w:ascii="Times New Roman" w:hAnsi="Times New Roman" w:cs="Times New Roman"/>
          <w:i/>
          <w:iCs/>
          <w:sz w:val="24"/>
          <w:szCs w:val="24"/>
        </w:rPr>
        <w:t>Bringing</w:t>
      </w:r>
      <w:proofErr w:type="spellEnd"/>
      <w:r w:rsidRPr="00962ABF">
        <w:rPr>
          <w:rFonts w:ascii="Times New Roman" w:hAnsi="Times New Roman" w:cs="Times New Roman"/>
          <w:i/>
          <w:iCs/>
          <w:sz w:val="24"/>
          <w:szCs w:val="24"/>
        </w:rPr>
        <w:t xml:space="preserve"> up </w:t>
      </w:r>
      <w:proofErr w:type="spellStart"/>
      <w:r w:rsidRPr="00962ABF">
        <w:rPr>
          <w:rFonts w:ascii="Times New Roman" w:hAnsi="Times New Roman" w:cs="Times New Roman"/>
          <w:i/>
          <w:iCs/>
          <w:sz w:val="24"/>
          <w:szCs w:val="24"/>
        </w:rPr>
        <w:t>Turing’s</w:t>
      </w:r>
      <w:proofErr w:type="spellEnd"/>
      <w:r w:rsidRPr="00962ABF">
        <w:rPr>
          <w:rFonts w:ascii="Times New Roman" w:hAnsi="Times New Roman" w:cs="Times New Roman"/>
          <w:i/>
          <w:iCs/>
          <w:sz w:val="24"/>
          <w:szCs w:val="24"/>
        </w:rPr>
        <w:t xml:space="preserve"> “Child Machine</w:t>
      </w:r>
      <w:r w:rsidRPr="00D2051A">
        <w:rPr>
          <w:rFonts w:ascii="Times New Roman" w:hAnsi="Times New Roman" w:cs="Times New Roman"/>
          <w:sz w:val="24"/>
          <w:szCs w:val="24"/>
        </w:rPr>
        <w:t>”, in “</w:t>
      </w:r>
      <w:r w:rsidRPr="00962ABF">
        <w:rPr>
          <w:rFonts w:ascii="Times New Roman" w:hAnsi="Times New Roman" w:cs="Times New Roman"/>
          <w:i/>
          <w:iCs/>
          <w:sz w:val="24"/>
          <w:szCs w:val="24"/>
        </w:rPr>
        <w:t xml:space="preserve">How the world </w:t>
      </w:r>
      <w:proofErr w:type="spellStart"/>
      <w:r w:rsidRPr="00962ABF">
        <w:rPr>
          <w:rFonts w:ascii="Times New Roman" w:hAnsi="Times New Roman" w:cs="Times New Roman"/>
          <w:i/>
          <w:iCs/>
          <w:sz w:val="24"/>
          <w:szCs w:val="24"/>
        </w:rPr>
        <w:t>computes</w:t>
      </w:r>
      <w:proofErr w:type="spellEnd"/>
      <w:r w:rsidRPr="00D2051A">
        <w:rPr>
          <w:rFonts w:ascii="Times New Roman" w:hAnsi="Times New Roman" w:cs="Times New Roman"/>
          <w:sz w:val="24"/>
          <w:szCs w:val="24"/>
        </w:rPr>
        <w:t xml:space="preserve">” </w:t>
      </w:r>
      <w:proofErr w:type="spellStart"/>
      <w:r w:rsidRPr="00D2051A">
        <w:rPr>
          <w:rFonts w:ascii="Times New Roman" w:hAnsi="Times New Roman" w:cs="Times New Roman"/>
          <w:sz w:val="24"/>
          <w:szCs w:val="24"/>
        </w:rPr>
        <w:t>Turing</w:t>
      </w:r>
      <w:proofErr w:type="spellEnd"/>
      <w:r w:rsidRPr="00D2051A">
        <w:rPr>
          <w:rFonts w:ascii="Times New Roman" w:hAnsi="Times New Roman" w:cs="Times New Roman"/>
          <w:sz w:val="24"/>
          <w:szCs w:val="24"/>
        </w:rPr>
        <w:t xml:space="preserve"> </w:t>
      </w:r>
      <w:proofErr w:type="spellStart"/>
      <w:r w:rsidRPr="00D2051A">
        <w:rPr>
          <w:rFonts w:ascii="Times New Roman" w:hAnsi="Times New Roman" w:cs="Times New Roman"/>
          <w:sz w:val="24"/>
          <w:szCs w:val="24"/>
        </w:rPr>
        <w:t>Centenary</w:t>
      </w:r>
      <w:proofErr w:type="spellEnd"/>
      <w:r w:rsidRPr="00D2051A">
        <w:rPr>
          <w:rFonts w:ascii="Times New Roman" w:hAnsi="Times New Roman" w:cs="Times New Roman"/>
          <w:sz w:val="24"/>
          <w:szCs w:val="24"/>
        </w:rPr>
        <w:t xml:space="preserve"> Conference, </w:t>
      </w:r>
      <w:proofErr w:type="spellStart"/>
      <w:r w:rsidRPr="00D2051A">
        <w:rPr>
          <w:rFonts w:ascii="Times New Roman" w:hAnsi="Times New Roman" w:cs="Times New Roman"/>
          <w:sz w:val="24"/>
          <w:szCs w:val="24"/>
        </w:rPr>
        <w:t>Springer</w:t>
      </w:r>
      <w:proofErr w:type="spellEnd"/>
      <w:r w:rsidRPr="00D2051A">
        <w:rPr>
          <w:rFonts w:ascii="Times New Roman" w:hAnsi="Times New Roman" w:cs="Times New Roman"/>
          <w:sz w:val="24"/>
          <w:szCs w:val="24"/>
        </w:rPr>
        <w:t>, 2012.</w:t>
      </w:r>
    </w:p>
  </w:footnote>
  <w:footnote w:id="5">
    <w:p w14:paraId="2FB32220" w14:textId="337561D8" w:rsidR="000463A6" w:rsidRPr="00AB2092" w:rsidRDefault="000463A6" w:rsidP="00886975">
      <w:pPr>
        <w:pStyle w:val="Testonotaapidipagina"/>
        <w:jc w:val="both"/>
        <w:rPr>
          <w:rFonts w:ascii="Times New Roman" w:hAnsi="Times New Roman" w:cs="Times New Roman"/>
        </w:rPr>
      </w:pPr>
      <w:r w:rsidRPr="00886975">
        <w:rPr>
          <w:rStyle w:val="Rimandonotaapidipagina"/>
          <w:rFonts w:ascii="Times New Roman" w:hAnsi="Times New Roman" w:cs="Times New Roman"/>
          <w:sz w:val="24"/>
          <w:szCs w:val="24"/>
        </w:rPr>
        <w:footnoteRef/>
      </w:r>
      <w:r w:rsidRPr="00886975">
        <w:rPr>
          <w:rFonts w:ascii="Times New Roman" w:hAnsi="Times New Roman" w:cs="Times New Roman"/>
          <w:sz w:val="24"/>
          <w:szCs w:val="24"/>
        </w:rPr>
        <w:t xml:space="preserve"> Interessante, in proposito, è il recente studio dell’Università della California, che prevede che entro il 2052 l’intelligenza artificiale uguaglierà le funzioni del cervello umano, fino a superarle, così che non riusciremo più a superare il test di </w:t>
      </w:r>
      <w:proofErr w:type="spellStart"/>
      <w:r w:rsidRPr="00886975">
        <w:rPr>
          <w:rFonts w:ascii="Times New Roman" w:hAnsi="Times New Roman" w:cs="Times New Roman"/>
          <w:i/>
          <w:iCs/>
          <w:sz w:val="24"/>
          <w:szCs w:val="24"/>
        </w:rPr>
        <w:t>Turing</w:t>
      </w:r>
      <w:proofErr w:type="spellEnd"/>
      <w:r w:rsidRPr="00886975">
        <w:rPr>
          <w:rFonts w:ascii="Times New Roman" w:hAnsi="Times New Roman" w:cs="Times New Roman"/>
          <w:sz w:val="24"/>
          <w:szCs w:val="24"/>
        </w:rPr>
        <w:t>.</w:t>
      </w:r>
      <w:r w:rsidRPr="0099593A">
        <w:rPr>
          <w:rFonts w:ascii="Times New Roman" w:hAnsi="Times New Roman" w:cs="Times New Roman"/>
          <w:sz w:val="24"/>
          <w:szCs w:val="24"/>
        </w:rPr>
        <w:t xml:space="preserve"> Questo perché gli algoritmi ci studiano, scelgono per noi, ci ricordano le nostre preferenze e i nostri impegni, scrivono per noi, completando i nostri discorsi digitali; v. </w:t>
      </w:r>
      <w:hyperlink r:id="rId2" w:history="1">
        <w:r w:rsidRPr="0099593A">
          <w:rPr>
            <w:rStyle w:val="Collegamentoipertestuale"/>
            <w:rFonts w:ascii="Times New Roman" w:hAnsi="Times New Roman" w:cs="Times New Roman"/>
            <w:sz w:val="24"/>
            <w:szCs w:val="24"/>
          </w:rPr>
          <w:t>https://www.ilfoglio.it/bandiera-bianca/2021/11/03/news/scommettiamo-che-tra-un-po-non-riusciremo-piu-a-superare-il-test-di-turing--3328633/</w:t>
        </w:r>
      </w:hyperlink>
      <w:r w:rsidRPr="0099593A">
        <w:rPr>
          <w:rFonts w:ascii="Times New Roman" w:hAnsi="Times New Roman" w:cs="Times New Roman"/>
          <w:sz w:val="24"/>
          <w:szCs w:val="24"/>
        </w:rPr>
        <w:t>.</w:t>
      </w:r>
    </w:p>
  </w:footnote>
  <w:footnote w:id="6">
    <w:p w14:paraId="515BAAB0" w14:textId="4A70C7CB" w:rsidR="000463A6" w:rsidRDefault="000463A6" w:rsidP="0010691C">
      <w:pPr>
        <w:pStyle w:val="Testonotaapidipagina"/>
        <w:jc w:val="both"/>
        <w:rPr>
          <w:rFonts w:ascii="Times New Roman" w:hAnsi="Times New Roman" w:cs="Times New Roman"/>
          <w:sz w:val="24"/>
          <w:szCs w:val="24"/>
        </w:rPr>
      </w:pPr>
      <w:r>
        <w:rPr>
          <w:rStyle w:val="Rimandonotaapidipagina"/>
        </w:rPr>
        <w:footnoteRef/>
      </w:r>
      <w:r>
        <w:t xml:space="preserve"> </w:t>
      </w:r>
      <w:r>
        <w:rPr>
          <w:rFonts w:ascii="Times New Roman" w:hAnsi="Times New Roman" w:cs="Times New Roman"/>
          <w:sz w:val="24"/>
          <w:szCs w:val="24"/>
        </w:rPr>
        <w:t>N</w:t>
      </w:r>
      <w:r w:rsidRPr="00960AA3">
        <w:rPr>
          <w:rFonts w:ascii="Times New Roman" w:hAnsi="Times New Roman" w:cs="Times New Roman"/>
          <w:sz w:val="24"/>
          <w:szCs w:val="24"/>
        </w:rPr>
        <w:t xml:space="preserve">ell’elaborazione filosofica </w:t>
      </w:r>
      <w:r>
        <w:rPr>
          <w:rFonts w:ascii="Times New Roman" w:hAnsi="Times New Roman" w:cs="Times New Roman"/>
          <w:sz w:val="24"/>
          <w:szCs w:val="24"/>
        </w:rPr>
        <w:t>dell’IA</w:t>
      </w:r>
      <w:r w:rsidRPr="00960AA3">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960AA3">
        <w:rPr>
          <w:rFonts w:ascii="Times New Roman" w:hAnsi="Times New Roman" w:cs="Times New Roman"/>
          <w:sz w:val="24"/>
          <w:szCs w:val="24"/>
        </w:rPr>
        <w:t>del rapporto tra uomo e macchina</w:t>
      </w:r>
      <w:r>
        <w:rPr>
          <w:rFonts w:ascii="Times New Roman" w:hAnsi="Times New Roman" w:cs="Times New Roman"/>
          <w:sz w:val="24"/>
          <w:szCs w:val="24"/>
        </w:rPr>
        <w:t xml:space="preserve">, </w:t>
      </w:r>
      <w:r w:rsidRPr="00960AA3">
        <w:rPr>
          <w:rFonts w:ascii="Times New Roman" w:hAnsi="Times New Roman" w:cs="Times New Roman"/>
          <w:sz w:val="24"/>
          <w:szCs w:val="24"/>
        </w:rPr>
        <w:t>possiamo ricordare</w:t>
      </w:r>
      <w:r>
        <w:rPr>
          <w:rFonts w:ascii="Times New Roman" w:hAnsi="Times New Roman" w:cs="Times New Roman"/>
          <w:sz w:val="24"/>
          <w:szCs w:val="24"/>
        </w:rPr>
        <w:t xml:space="preserve"> le parole di Gödel, sopra richiamato, che nel</w:t>
      </w:r>
      <w:r w:rsidRPr="00903195">
        <w:rPr>
          <w:rFonts w:ascii="Times New Roman" w:hAnsi="Times New Roman" w:cs="Times New Roman"/>
          <w:sz w:val="24"/>
          <w:szCs w:val="24"/>
        </w:rPr>
        <w:t xml:space="preserve"> suo platonismo critico e moderato</w:t>
      </w:r>
      <w:r>
        <w:rPr>
          <w:rFonts w:ascii="Times New Roman" w:hAnsi="Times New Roman" w:cs="Times New Roman"/>
          <w:sz w:val="24"/>
          <w:szCs w:val="24"/>
        </w:rPr>
        <w:t xml:space="preserve"> dichiarò che «</w:t>
      </w:r>
      <w:r w:rsidRPr="0010691C">
        <w:rPr>
          <w:rFonts w:ascii="Times New Roman" w:hAnsi="Times New Roman" w:cs="Times New Roman"/>
          <w:i/>
          <w:iCs/>
          <w:sz w:val="24"/>
          <w:szCs w:val="24"/>
        </w:rPr>
        <w:t xml:space="preserve">o la mente umana oltrepassa infinitamente la potenza di ogni macchina finita, o altrimenti devono esistere problemi </w:t>
      </w:r>
      <w:proofErr w:type="spellStart"/>
      <w:r w:rsidRPr="0010691C">
        <w:rPr>
          <w:rFonts w:ascii="Times New Roman" w:hAnsi="Times New Roman" w:cs="Times New Roman"/>
          <w:i/>
          <w:iCs/>
          <w:sz w:val="24"/>
          <w:szCs w:val="24"/>
        </w:rPr>
        <w:t>diofantini</w:t>
      </w:r>
      <w:proofErr w:type="spellEnd"/>
      <w:r w:rsidRPr="0010691C">
        <w:rPr>
          <w:rFonts w:ascii="Times New Roman" w:hAnsi="Times New Roman" w:cs="Times New Roman"/>
          <w:i/>
          <w:iCs/>
          <w:sz w:val="24"/>
          <w:szCs w:val="24"/>
        </w:rPr>
        <w:t xml:space="preserve"> insolubili in modo assoluto</w:t>
      </w:r>
      <w:r>
        <w:rPr>
          <w:rFonts w:ascii="Times New Roman" w:hAnsi="Times New Roman" w:cs="Times New Roman"/>
          <w:sz w:val="24"/>
          <w:szCs w:val="24"/>
        </w:rPr>
        <w:t>»</w:t>
      </w:r>
      <w:r w:rsidRPr="00903195">
        <w:rPr>
          <w:rFonts w:ascii="Times New Roman" w:hAnsi="Times New Roman" w:cs="Times New Roman"/>
          <w:sz w:val="24"/>
          <w:szCs w:val="24"/>
        </w:rPr>
        <w:t xml:space="preserve">. </w:t>
      </w:r>
      <w:r>
        <w:rPr>
          <w:rFonts w:ascii="Times New Roman" w:hAnsi="Times New Roman" w:cs="Times New Roman"/>
          <w:sz w:val="24"/>
          <w:szCs w:val="24"/>
        </w:rPr>
        <w:t>Per Gödel le</w:t>
      </w:r>
      <w:r w:rsidRPr="00903195">
        <w:rPr>
          <w:rFonts w:ascii="Times New Roman" w:hAnsi="Times New Roman" w:cs="Times New Roman"/>
          <w:sz w:val="24"/>
          <w:szCs w:val="24"/>
        </w:rPr>
        <w:t xml:space="preserve"> </w:t>
      </w:r>
      <w:r>
        <w:rPr>
          <w:rFonts w:ascii="Times New Roman" w:hAnsi="Times New Roman" w:cs="Times New Roman"/>
          <w:sz w:val="24"/>
          <w:szCs w:val="24"/>
        </w:rPr>
        <w:t>teorie</w:t>
      </w:r>
      <w:r w:rsidRPr="00903195">
        <w:rPr>
          <w:rFonts w:ascii="Times New Roman" w:hAnsi="Times New Roman" w:cs="Times New Roman"/>
          <w:sz w:val="24"/>
          <w:szCs w:val="24"/>
        </w:rPr>
        <w:t xml:space="preserve"> </w:t>
      </w:r>
      <w:r>
        <w:rPr>
          <w:rFonts w:ascii="Times New Roman" w:hAnsi="Times New Roman" w:cs="Times New Roman"/>
          <w:sz w:val="24"/>
          <w:szCs w:val="24"/>
        </w:rPr>
        <w:t>su</w:t>
      </w:r>
      <w:r w:rsidRPr="00903195">
        <w:rPr>
          <w:rFonts w:ascii="Times New Roman" w:hAnsi="Times New Roman" w:cs="Times New Roman"/>
          <w:sz w:val="24"/>
          <w:szCs w:val="24"/>
        </w:rPr>
        <w:t xml:space="preserve">ll’IA, come </w:t>
      </w:r>
      <w:r>
        <w:rPr>
          <w:rFonts w:ascii="Times New Roman" w:hAnsi="Times New Roman" w:cs="Times New Roman"/>
          <w:sz w:val="24"/>
          <w:szCs w:val="24"/>
        </w:rPr>
        <w:t xml:space="preserve">la </w:t>
      </w:r>
      <w:r w:rsidRPr="00903195">
        <w:rPr>
          <w:rFonts w:ascii="Times New Roman" w:hAnsi="Times New Roman" w:cs="Times New Roman"/>
          <w:sz w:val="24"/>
          <w:szCs w:val="24"/>
        </w:rPr>
        <w:t>tesi di Church-</w:t>
      </w:r>
      <w:proofErr w:type="spellStart"/>
      <w:r w:rsidRPr="00903195">
        <w:rPr>
          <w:rFonts w:ascii="Times New Roman" w:hAnsi="Times New Roman" w:cs="Times New Roman"/>
          <w:sz w:val="24"/>
          <w:szCs w:val="24"/>
        </w:rPr>
        <w:t>Turing</w:t>
      </w:r>
      <w:proofErr w:type="spellEnd"/>
      <w:r w:rsidRPr="00903195">
        <w:rPr>
          <w:rFonts w:ascii="Times New Roman" w:hAnsi="Times New Roman" w:cs="Times New Roman"/>
          <w:sz w:val="24"/>
          <w:szCs w:val="24"/>
        </w:rPr>
        <w:t xml:space="preserve"> che sostiene </w:t>
      </w:r>
      <w:r>
        <w:rPr>
          <w:rFonts w:ascii="Times New Roman" w:hAnsi="Times New Roman" w:cs="Times New Roman"/>
          <w:sz w:val="24"/>
          <w:szCs w:val="24"/>
        </w:rPr>
        <w:t>sia possibile</w:t>
      </w:r>
      <w:r w:rsidRPr="00903195">
        <w:rPr>
          <w:rFonts w:ascii="Times New Roman" w:hAnsi="Times New Roman" w:cs="Times New Roman"/>
          <w:sz w:val="24"/>
          <w:szCs w:val="24"/>
        </w:rPr>
        <w:t xml:space="preserve"> simulare qualunque processo mentale tramite funzioni </w:t>
      </w:r>
      <w:proofErr w:type="spellStart"/>
      <w:r w:rsidRPr="00903195">
        <w:rPr>
          <w:rFonts w:ascii="Times New Roman" w:hAnsi="Times New Roman" w:cs="Times New Roman"/>
          <w:sz w:val="24"/>
          <w:szCs w:val="24"/>
        </w:rPr>
        <w:t>Turing</w:t>
      </w:r>
      <w:proofErr w:type="spellEnd"/>
      <w:r w:rsidRPr="00903195">
        <w:rPr>
          <w:rFonts w:ascii="Times New Roman" w:hAnsi="Times New Roman" w:cs="Times New Roman"/>
          <w:sz w:val="24"/>
          <w:szCs w:val="24"/>
        </w:rPr>
        <w:t xml:space="preserve">-computabili, </w:t>
      </w:r>
      <w:r>
        <w:rPr>
          <w:rFonts w:ascii="Times New Roman" w:hAnsi="Times New Roman" w:cs="Times New Roman"/>
          <w:sz w:val="24"/>
          <w:szCs w:val="24"/>
        </w:rPr>
        <w:t>erano</w:t>
      </w:r>
      <w:r w:rsidRPr="00903195">
        <w:rPr>
          <w:rFonts w:ascii="Times New Roman" w:hAnsi="Times New Roman" w:cs="Times New Roman"/>
          <w:sz w:val="24"/>
          <w:szCs w:val="24"/>
        </w:rPr>
        <w:t xml:space="preserve"> ingenue</w:t>
      </w:r>
      <w:r>
        <w:rPr>
          <w:rFonts w:ascii="Times New Roman" w:hAnsi="Times New Roman" w:cs="Times New Roman"/>
          <w:sz w:val="24"/>
          <w:szCs w:val="24"/>
        </w:rPr>
        <w:t xml:space="preserve">; tuttavia, </w:t>
      </w:r>
      <w:r w:rsidRPr="00903195">
        <w:rPr>
          <w:rFonts w:ascii="Times New Roman" w:hAnsi="Times New Roman" w:cs="Times New Roman"/>
          <w:sz w:val="24"/>
          <w:szCs w:val="24"/>
        </w:rPr>
        <w:t>i suoi argomenti non erano ancora abbastanza forti.</w:t>
      </w:r>
      <w:r>
        <w:rPr>
          <w:rFonts w:ascii="Times New Roman" w:hAnsi="Times New Roman" w:cs="Times New Roman"/>
          <w:sz w:val="24"/>
          <w:szCs w:val="24"/>
        </w:rPr>
        <w:t xml:space="preserve"> Quando fu pubblicato </w:t>
      </w:r>
      <w:r w:rsidRPr="00903195">
        <w:rPr>
          <w:rFonts w:ascii="Times New Roman" w:hAnsi="Times New Roman" w:cs="Times New Roman"/>
          <w:sz w:val="24"/>
          <w:szCs w:val="24"/>
        </w:rPr>
        <w:t>l’articolo “anti IA” del filosofo J</w:t>
      </w:r>
      <w:r w:rsidRPr="00B357FF">
        <w:rPr>
          <w:rFonts w:ascii="Times New Roman" w:hAnsi="Times New Roman" w:cs="Times New Roman"/>
          <w:smallCaps/>
          <w:sz w:val="24"/>
          <w:szCs w:val="24"/>
        </w:rPr>
        <w:t>. R. Lucas</w:t>
      </w:r>
      <w:r>
        <w:rPr>
          <w:rFonts w:ascii="Times New Roman" w:hAnsi="Times New Roman" w:cs="Times New Roman"/>
          <w:sz w:val="24"/>
          <w:szCs w:val="24"/>
        </w:rPr>
        <w:t>,</w:t>
      </w:r>
      <w:r w:rsidRPr="00903195">
        <w:rPr>
          <w:rFonts w:ascii="Times New Roman" w:hAnsi="Times New Roman" w:cs="Times New Roman"/>
          <w:sz w:val="24"/>
          <w:szCs w:val="24"/>
        </w:rPr>
        <w:t xml:space="preserve"> “</w:t>
      </w:r>
      <w:proofErr w:type="spellStart"/>
      <w:r w:rsidRPr="00B357FF">
        <w:rPr>
          <w:rFonts w:ascii="Times New Roman" w:hAnsi="Times New Roman" w:cs="Times New Roman"/>
          <w:i/>
          <w:iCs/>
          <w:sz w:val="24"/>
          <w:szCs w:val="24"/>
        </w:rPr>
        <w:t>Mind</w:t>
      </w:r>
      <w:proofErr w:type="spellEnd"/>
      <w:r w:rsidRPr="00B357FF">
        <w:rPr>
          <w:rFonts w:ascii="Times New Roman" w:hAnsi="Times New Roman" w:cs="Times New Roman"/>
          <w:i/>
          <w:iCs/>
          <w:sz w:val="24"/>
          <w:szCs w:val="24"/>
        </w:rPr>
        <w:t xml:space="preserve">, </w:t>
      </w:r>
      <w:proofErr w:type="spellStart"/>
      <w:r w:rsidRPr="00B357FF">
        <w:rPr>
          <w:rFonts w:ascii="Times New Roman" w:hAnsi="Times New Roman" w:cs="Times New Roman"/>
          <w:i/>
          <w:iCs/>
          <w:sz w:val="24"/>
          <w:szCs w:val="24"/>
        </w:rPr>
        <w:t>Machines</w:t>
      </w:r>
      <w:proofErr w:type="spellEnd"/>
      <w:r w:rsidRPr="00B357FF">
        <w:rPr>
          <w:rFonts w:ascii="Times New Roman" w:hAnsi="Times New Roman" w:cs="Times New Roman"/>
          <w:i/>
          <w:iCs/>
          <w:sz w:val="24"/>
          <w:szCs w:val="24"/>
        </w:rPr>
        <w:t xml:space="preserve"> and Gödel</w:t>
      </w:r>
      <w:r w:rsidRPr="00903195">
        <w:rPr>
          <w:rFonts w:ascii="Times New Roman" w:hAnsi="Times New Roman" w:cs="Times New Roman"/>
          <w:sz w:val="24"/>
          <w:szCs w:val="24"/>
        </w:rPr>
        <w:t>”</w:t>
      </w:r>
      <w:r>
        <w:rPr>
          <w:rFonts w:ascii="Times New Roman" w:hAnsi="Times New Roman" w:cs="Times New Roman"/>
          <w:sz w:val="24"/>
          <w:szCs w:val="24"/>
        </w:rPr>
        <w:t xml:space="preserve">, </w:t>
      </w:r>
      <w:r w:rsidRPr="00903195">
        <w:rPr>
          <w:rFonts w:ascii="Times New Roman" w:hAnsi="Times New Roman" w:cs="Times New Roman"/>
          <w:sz w:val="24"/>
          <w:szCs w:val="24"/>
        </w:rPr>
        <w:t xml:space="preserve">in </w:t>
      </w:r>
      <w:proofErr w:type="spellStart"/>
      <w:r w:rsidRPr="00B357FF">
        <w:rPr>
          <w:rFonts w:ascii="Times New Roman" w:hAnsi="Times New Roman" w:cs="Times New Roman"/>
          <w:i/>
          <w:iCs/>
          <w:sz w:val="24"/>
          <w:szCs w:val="24"/>
        </w:rPr>
        <w:t>Philosophy</w:t>
      </w:r>
      <w:proofErr w:type="spellEnd"/>
      <w:r w:rsidRPr="00903195">
        <w:rPr>
          <w:rFonts w:ascii="Times New Roman" w:hAnsi="Times New Roman" w:cs="Times New Roman"/>
          <w:sz w:val="24"/>
          <w:szCs w:val="24"/>
        </w:rPr>
        <w:t xml:space="preserve">, 36, </w:t>
      </w:r>
      <w:r>
        <w:rPr>
          <w:rFonts w:ascii="Times New Roman" w:hAnsi="Times New Roman" w:cs="Times New Roman"/>
          <w:sz w:val="24"/>
          <w:szCs w:val="24"/>
        </w:rPr>
        <w:t xml:space="preserve">nel </w:t>
      </w:r>
      <w:r w:rsidRPr="00903195">
        <w:rPr>
          <w:rFonts w:ascii="Times New Roman" w:hAnsi="Times New Roman" w:cs="Times New Roman"/>
          <w:sz w:val="24"/>
          <w:szCs w:val="24"/>
        </w:rPr>
        <w:t>1961</w:t>
      </w:r>
      <w:r>
        <w:rPr>
          <w:rFonts w:ascii="Times New Roman" w:hAnsi="Times New Roman" w:cs="Times New Roman"/>
          <w:sz w:val="24"/>
          <w:szCs w:val="24"/>
        </w:rPr>
        <w:t>, incentrato</w:t>
      </w:r>
      <w:r w:rsidRPr="00903195">
        <w:rPr>
          <w:rFonts w:ascii="Times New Roman" w:hAnsi="Times New Roman" w:cs="Times New Roman"/>
          <w:sz w:val="24"/>
          <w:szCs w:val="24"/>
        </w:rPr>
        <w:t xml:space="preserve"> sulla possibilità </w:t>
      </w:r>
      <w:r>
        <w:rPr>
          <w:rFonts w:ascii="Times New Roman" w:hAnsi="Times New Roman" w:cs="Times New Roman"/>
          <w:sz w:val="24"/>
          <w:szCs w:val="24"/>
        </w:rPr>
        <w:t>per</w:t>
      </w:r>
      <w:r w:rsidRPr="00903195">
        <w:rPr>
          <w:rFonts w:ascii="Times New Roman" w:hAnsi="Times New Roman" w:cs="Times New Roman"/>
          <w:sz w:val="24"/>
          <w:szCs w:val="24"/>
        </w:rPr>
        <w:t xml:space="preserve"> un sistema logico-formale di “restare in scacco” davanti a una proposizione indecidibile ottenuta con la procedura di Gödel</w:t>
      </w:r>
      <w:r>
        <w:rPr>
          <w:rFonts w:ascii="Times New Roman" w:hAnsi="Times New Roman" w:cs="Times New Roman"/>
          <w:sz w:val="24"/>
          <w:szCs w:val="24"/>
        </w:rPr>
        <w:t>, quest’ultimo non si oppose criticamente</w:t>
      </w:r>
      <w:r w:rsidRPr="00903195">
        <w:rPr>
          <w:rFonts w:ascii="Times New Roman" w:hAnsi="Times New Roman" w:cs="Times New Roman"/>
          <w:sz w:val="24"/>
          <w:szCs w:val="24"/>
        </w:rPr>
        <w:t xml:space="preserve">. </w:t>
      </w:r>
      <w:r>
        <w:rPr>
          <w:rFonts w:ascii="Times New Roman" w:hAnsi="Times New Roman" w:cs="Times New Roman"/>
          <w:sz w:val="24"/>
          <w:szCs w:val="24"/>
        </w:rPr>
        <w:t>Tra l’altro questa</w:t>
      </w:r>
      <w:r w:rsidRPr="00903195">
        <w:rPr>
          <w:rFonts w:ascii="Times New Roman" w:hAnsi="Times New Roman" w:cs="Times New Roman"/>
          <w:sz w:val="24"/>
          <w:szCs w:val="24"/>
        </w:rPr>
        <w:t xml:space="preserve"> tesi è stata ripresa </w:t>
      </w:r>
      <w:r>
        <w:rPr>
          <w:rFonts w:ascii="Times New Roman" w:hAnsi="Times New Roman" w:cs="Times New Roman"/>
          <w:sz w:val="24"/>
          <w:szCs w:val="24"/>
        </w:rPr>
        <w:t xml:space="preserve">nel libro di </w:t>
      </w:r>
      <w:r w:rsidRPr="00B357FF">
        <w:rPr>
          <w:rFonts w:ascii="Times New Roman" w:hAnsi="Times New Roman" w:cs="Times New Roman"/>
          <w:smallCaps/>
          <w:sz w:val="24"/>
          <w:szCs w:val="24"/>
        </w:rPr>
        <w:t>R.</w:t>
      </w:r>
      <w:r>
        <w:rPr>
          <w:rFonts w:ascii="Times New Roman" w:hAnsi="Times New Roman" w:cs="Times New Roman"/>
          <w:smallCaps/>
          <w:sz w:val="24"/>
          <w:szCs w:val="24"/>
        </w:rPr>
        <w:t xml:space="preserve"> </w:t>
      </w:r>
      <w:proofErr w:type="spellStart"/>
      <w:r w:rsidRPr="00B357FF">
        <w:rPr>
          <w:rFonts w:ascii="Times New Roman" w:hAnsi="Times New Roman" w:cs="Times New Roman"/>
          <w:smallCaps/>
          <w:sz w:val="24"/>
          <w:szCs w:val="24"/>
        </w:rPr>
        <w:t>Penrose</w:t>
      </w:r>
      <w:proofErr w:type="spellEnd"/>
      <w:r w:rsidRPr="00903195">
        <w:rPr>
          <w:rFonts w:ascii="Times New Roman" w:hAnsi="Times New Roman" w:cs="Times New Roman"/>
          <w:sz w:val="24"/>
          <w:szCs w:val="24"/>
        </w:rPr>
        <w:t>, “</w:t>
      </w:r>
      <w:r w:rsidRPr="00B357FF">
        <w:rPr>
          <w:rFonts w:ascii="Times New Roman" w:hAnsi="Times New Roman" w:cs="Times New Roman"/>
          <w:i/>
          <w:iCs/>
          <w:sz w:val="24"/>
          <w:szCs w:val="24"/>
        </w:rPr>
        <w:t>La Mente Nuova dell’Imperatore</w:t>
      </w:r>
      <w:r w:rsidRPr="00903195">
        <w:rPr>
          <w:rFonts w:ascii="Times New Roman" w:hAnsi="Times New Roman" w:cs="Times New Roman"/>
          <w:sz w:val="24"/>
          <w:szCs w:val="24"/>
        </w:rPr>
        <w:t>”</w:t>
      </w:r>
      <w:r>
        <w:rPr>
          <w:rFonts w:ascii="Times New Roman" w:hAnsi="Times New Roman" w:cs="Times New Roman"/>
          <w:sz w:val="24"/>
          <w:szCs w:val="24"/>
        </w:rPr>
        <w:t xml:space="preserve">, nel </w:t>
      </w:r>
      <w:r w:rsidRPr="00903195">
        <w:rPr>
          <w:rFonts w:ascii="Times New Roman" w:hAnsi="Times New Roman" w:cs="Times New Roman"/>
          <w:sz w:val="24"/>
          <w:szCs w:val="24"/>
        </w:rPr>
        <w:t>1992</w:t>
      </w:r>
      <w:r>
        <w:rPr>
          <w:rFonts w:ascii="Times New Roman" w:hAnsi="Times New Roman" w:cs="Times New Roman"/>
          <w:sz w:val="24"/>
          <w:szCs w:val="24"/>
        </w:rPr>
        <w:t>. Se secondo</w:t>
      </w:r>
      <w:r w:rsidRPr="00903195">
        <w:rPr>
          <w:rFonts w:ascii="Times New Roman" w:hAnsi="Times New Roman" w:cs="Times New Roman"/>
          <w:sz w:val="24"/>
          <w:szCs w:val="24"/>
        </w:rPr>
        <w:t xml:space="preserve"> </w:t>
      </w:r>
      <w:proofErr w:type="spellStart"/>
      <w:r w:rsidRPr="00903195">
        <w:rPr>
          <w:rFonts w:ascii="Times New Roman" w:hAnsi="Times New Roman" w:cs="Times New Roman"/>
          <w:sz w:val="24"/>
          <w:szCs w:val="24"/>
        </w:rPr>
        <w:t>Turing</w:t>
      </w:r>
      <w:proofErr w:type="spellEnd"/>
      <w:r>
        <w:rPr>
          <w:rFonts w:ascii="Times New Roman" w:hAnsi="Times New Roman" w:cs="Times New Roman"/>
          <w:sz w:val="24"/>
          <w:szCs w:val="24"/>
        </w:rPr>
        <w:t xml:space="preserve"> «</w:t>
      </w:r>
      <w:r w:rsidRPr="00B357FF">
        <w:rPr>
          <w:rFonts w:ascii="Times New Roman" w:hAnsi="Times New Roman" w:cs="Times New Roman"/>
          <w:i/>
          <w:iCs/>
          <w:sz w:val="24"/>
          <w:szCs w:val="24"/>
        </w:rPr>
        <w:t>la memoria umana è necessariamente limitata</w:t>
      </w:r>
      <w:r>
        <w:rPr>
          <w:rFonts w:ascii="Times New Roman" w:hAnsi="Times New Roman" w:cs="Times New Roman"/>
          <w:sz w:val="24"/>
          <w:szCs w:val="24"/>
        </w:rPr>
        <w:t>», s</w:t>
      </w:r>
      <w:r w:rsidRPr="00903195">
        <w:rPr>
          <w:rFonts w:ascii="Times New Roman" w:hAnsi="Times New Roman" w:cs="Times New Roman"/>
          <w:sz w:val="24"/>
          <w:szCs w:val="24"/>
        </w:rPr>
        <w:t>econdo Gödel</w:t>
      </w:r>
      <w:r>
        <w:rPr>
          <w:rFonts w:ascii="Times New Roman" w:hAnsi="Times New Roman" w:cs="Times New Roman"/>
          <w:sz w:val="24"/>
          <w:szCs w:val="24"/>
        </w:rPr>
        <w:t>, invece, «</w:t>
      </w:r>
      <w:r w:rsidRPr="00B357FF">
        <w:rPr>
          <w:rFonts w:ascii="Times New Roman" w:hAnsi="Times New Roman" w:cs="Times New Roman"/>
          <w:i/>
          <w:iCs/>
          <w:sz w:val="24"/>
          <w:szCs w:val="24"/>
        </w:rPr>
        <w:t>la mente nel suo uso, non è statica, ma si sviluppa costantemente (…) Quindi, benché a ogni stadio del suo sviluppo il numero dei suoi stati possibili discernibili sia finito, non c’è motivo per cui questo numero non possa divergere all’infinito nel corso di questo sviluppo</w:t>
      </w:r>
      <w:r>
        <w:rPr>
          <w:rFonts w:ascii="Times New Roman" w:hAnsi="Times New Roman" w:cs="Times New Roman"/>
          <w:sz w:val="24"/>
          <w:szCs w:val="24"/>
        </w:rPr>
        <w:t>».</w:t>
      </w:r>
      <w:r w:rsidRPr="00903195">
        <w:rPr>
          <w:rFonts w:ascii="Times New Roman" w:hAnsi="Times New Roman" w:cs="Times New Roman"/>
          <w:sz w:val="24"/>
          <w:szCs w:val="24"/>
        </w:rPr>
        <w:t xml:space="preserve"> </w:t>
      </w:r>
    </w:p>
    <w:p w14:paraId="44B00A16" w14:textId="77777777" w:rsidR="000463A6" w:rsidRDefault="000463A6" w:rsidP="0010691C">
      <w:pPr>
        <w:pStyle w:val="Testonotaapidipagina"/>
        <w:jc w:val="both"/>
        <w:rPr>
          <w:rFonts w:ascii="Times New Roman" w:hAnsi="Times New Roman" w:cs="Times New Roman"/>
          <w:sz w:val="24"/>
          <w:szCs w:val="24"/>
        </w:rPr>
      </w:pPr>
      <w:r>
        <w:rPr>
          <w:rFonts w:ascii="Times New Roman" w:hAnsi="Times New Roman" w:cs="Times New Roman"/>
          <w:sz w:val="24"/>
          <w:szCs w:val="24"/>
        </w:rPr>
        <w:t>L</w:t>
      </w:r>
      <w:r w:rsidRPr="00903195">
        <w:rPr>
          <w:rFonts w:ascii="Times New Roman" w:hAnsi="Times New Roman" w:cs="Times New Roman"/>
          <w:sz w:val="24"/>
          <w:szCs w:val="24"/>
        </w:rPr>
        <w:t xml:space="preserve">’idea di Gödel era </w:t>
      </w:r>
      <w:r>
        <w:rPr>
          <w:rFonts w:ascii="Times New Roman" w:hAnsi="Times New Roman" w:cs="Times New Roman"/>
          <w:sz w:val="24"/>
          <w:szCs w:val="24"/>
        </w:rPr>
        <w:t>la seguente: si può</w:t>
      </w:r>
      <w:r w:rsidRPr="00903195">
        <w:rPr>
          <w:rFonts w:ascii="Times New Roman" w:hAnsi="Times New Roman" w:cs="Times New Roman"/>
          <w:sz w:val="24"/>
          <w:szCs w:val="24"/>
        </w:rPr>
        <w:t xml:space="preserve"> costruire una macchina </w:t>
      </w:r>
      <w:r>
        <w:rPr>
          <w:rFonts w:ascii="Times New Roman" w:hAnsi="Times New Roman" w:cs="Times New Roman"/>
          <w:sz w:val="24"/>
          <w:szCs w:val="24"/>
        </w:rPr>
        <w:t>intelligente</w:t>
      </w:r>
      <w:r w:rsidRPr="00903195">
        <w:rPr>
          <w:rFonts w:ascii="Times New Roman" w:hAnsi="Times New Roman" w:cs="Times New Roman"/>
          <w:sz w:val="24"/>
          <w:szCs w:val="24"/>
        </w:rPr>
        <w:t xml:space="preserve"> </w:t>
      </w:r>
      <w:r>
        <w:rPr>
          <w:rFonts w:ascii="Times New Roman" w:hAnsi="Times New Roman" w:cs="Times New Roman"/>
          <w:sz w:val="24"/>
          <w:szCs w:val="24"/>
        </w:rPr>
        <w:t>fondata</w:t>
      </w:r>
      <w:r w:rsidRPr="00903195">
        <w:rPr>
          <w:rFonts w:ascii="Times New Roman" w:hAnsi="Times New Roman" w:cs="Times New Roman"/>
          <w:sz w:val="24"/>
          <w:szCs w:val="24"/>
        </w:rPr>
        <w:t xml:space="preserve"> su un gruppo di assiomi di partenza, ma durante l’interazione con l’ambiente, </w:t>
      </w:r>
      <w:r>
        <w:rPr>
          <w:rFonts w:ascii="Times New Roman" w:hAnsi="Times New Roman" w:cs="Times New Roman"/>
          <w:sz w:val="24"/>
          <w:szCs w:val="24"/>
        </w:rPr>
        <w:t>a causa</w:t>
      </w:r>
      <w:r w:rsidRPr="00903195">
        <w:rPr>
          <w:rFonts w:ascii="Times New Roman" w:hAnsi="Times New Roman" w:cs="Times New Roman"/>
          <w:sz w:val="24"/>
          <w:szCs w:val="24"/>
        </w:rPr>
        <w:t xml:space="preserve"> di elementi casuali, questa </w:t>
      </w:r>
      <w:r>
        <w:rPr>
          <w:rFonts w:ascii="Times New Roman" w:hAnsi="Times New Roman" w:cs="Times New Roman"/>
          <w:sz w:val="24"/>
          <w:szCs w:val="24"/>
        </w:rPr>
        <w:t>può</w:t>
      </w:r>
      <w:r w:rsidRPr="00903195">
        <w:rPr>
          <w:rFonts w:ascii="Times New Roman" w:hAnsi="Times New Roman" w:cs="Times New Roman"/>
          <w:sz w:val="24"/>
          <w:szCs w:val="24"/>
        </w:rPr>
        <w:t xml:space="preserve"> </w:t>
      </w:r>
      <w:r>
        <w:rPr>
          <w:rFonts w:ascii="Times New Roman" w:hAnsi="Times New Roman" w:cs="Times New Roman"/>
          <w:sz w:val="24"/>
          <w:szCs w:val="24"/>
        </w:rPr>
        <w:t>diventare via via più complessa, modificandosi strutturalmente in modo imprevisto, fino a</w:t>
      </w:r>
      <w:r w:rsidRPr="00903195">
        <w:rPr>
          <w:rFonts w:ascii="Times New Roman" w:hAnsi="Times New Roman" w:cs="Times New Roman"/>
          <w:sz w:val="24"/>
          <w:szCs w:val="24"/>
        </w:rPr>
        <w:t xml:space="preserve"> sfuggi</w:t>
      </w:r>
      <w:r>
        <w:rPr>
          <w:rFonts w:ascii="Times New Roman" w:hAnsi="Times New Roman" w:cs="Times New Roman"/>
          <w:sz w:val="24"/>
          <w:szCs w:val="24"/>
        </w:rPr>
        <w:t>rci.</w:t>
      </w:r>
    </w:p>
    <w:p w14:paraId="22B21E8E" w14:textId="5DBC1B83" w:rsidR="000463A6" w:rsidRPr="0010691C" w:rsidRDefault="000463A6" w:rsidP="0010691C">
      <w:pPr>
        <w:pStyle w:val="Testonotaapidipagina"/>
        <w:jc w:val="both"/>
        <w:rPr>
          <w:rFonts w:ascii="Times New Roman" w:hAnsi="Times New Roman" w:cs="Times New Roman"/>
          <w:sz w:val="24"/>
          <w:szCs w:val="24"/>
        </w:rPr>
      </w:pPr>
      <w:r>
        <w:rPr>
          <w:rFonts w:ascii="Times New Roman" w:hAnsi="Times New Roman" w:cs="Times New Roman"/>
          <w:sz w:val="24"/>
          <w:szCs w:val="24"/>
        </w:rPr>
        <w:t>Per</w:t>
      </w:r>
      <w:r w:rsidRPr="00903195">
        <w:rPr>
          <w:rFonts w:ascii="Times New Roman" w:hAnsi="Times New Roman" w:cs="Times New Roman"/>
          <w:sz w:val="24"/>
          <w:szCs w:val="24"/>
        </w:rPr>
        <w:t xml:space="preserve"> Gödel l</w:t>
      </w:r>
      <w:r>
        <w:rPr>
          <w:rFonts w:ascii="Times New Roman" w:hAnsi="Times New Roman" w:cs="Times New Roman"/>
          <w:sz w:val="24"/>
          <w:szCs w:val="24"/>
        </w:rPr>
        <w:t>e</w:t>
      </w:r>
      <w:r w:rsidRPr="00903195">
        <w:rPr>
          <w:rFonts w:ascii="Times New Roman" w:hAnsi="Times New Roman" w:cs="Times New Roman"/>
          <w:sz w:val="24"/>
          <w:szCs w:val="24"/>
        </w:rPr>
        <w:t xml:space="preserve"> capacità </w:t>
      </w:r>
      <w:r>
        <w:rPr>
          <w:rFonts w:ascii="Times New Roman" w:hAnsi="Times New Roman" w:cs="Times New Roman"/>
          <w:sz w:val="24"/>
          <w:szCs w:val="24"/>
        </w:rPr>
        <w:t xml:space="preserve">innovative, intuitive, strategiche della mente umana non hanno quasi nulla a che fare con </w:t>
      </w:r>
      <w:r w:rsidRPr="00903195">
        <w:rPr>
          <w:rFonts w:ascii="Times New Roman" w:hAnsi="Times New Roman" w:cs="Times New Roman"/>
          <w:sz w:val="24"/>
          <w:szCs w:val="24"/>
        </w:rPr>
        <w:t xml:space="preserve">le proposizioni indecidibili dei sistemi formali. </w:t>
      </w:r>
      <w:r>
        <w:rPr>
          <w:rFonts w:ascii="Times New Roman" w:hAnsi="Times New Roman" w:cs="Times New Roman"/>
          <w:sz w:val="24"/>
          <w:szCs w:val="24"/>
        </w:rPr>
        <w:t>Per quanto si possa</w:t>
      </w:r>
      <w:r w:rsidRPr="00903195">
        <w:rPr>
          <w:rFonts w:ascii="Times New Roman" w:hAnsi="Times New Roman" w:cs="Times New Roman"/>
          <w:sz w:val="24"/>
          <w:szCs w:val="24"/>
        </w:rPr>
        <w:t xml:space="preserve"> spiegare un comportamento umano </w:t>
      </w:r>
      <w:r>
        <w:rPr>
          <w:rFonts w:ascii="Times New Roman" w:hAnsi="Times New Roman" w:cs="Times New Roman"/>
          <w:sz w:val="24"/>
          <w:szCs w:val="24"/>
        </w:rPr>
        <w:t>con le</w:t>
      </w:r>
      <w:r w:rsidRPr="00903195">
        <w:rPr>
          <w:rFonts w:ascii="Times New Roman" w:hAnsi="Times New Roman" w:cs="Times New Roman"/>
          <w:sz w:val="24"/>
          <w:szCs w:val="24"/>
        </w:rPr>
        <w:t xml:space="preserve"> Macchine di </w:t>
      </w:r>
      <w:proofErr w:type="spellStart"/>
      <w:r w:rsidRPr="00903195">
        <w:rPr>
          <w:rFonts w:ascii="Times New Roman" w:hAnsi="Times New Roman" w:cs="Times New Roman"/>
          <w:sz w:val="24"/>
          <w:szCs w:val="24"/>
        </w:rPr>
        <w:t>Turing</w:t>
      </w:r>
      <w:proofErr w:type="spellEnd"/>
      <w:r w:rsidRPr="00903195">
        <w:rPr>
          <w:rFonts w:ascii="Times New Roman" w:hAnsi="Times New Roman" w:cs="Times New Roman"/>
          <w:sz w:val="24"/>
          <w:szCs w:val="24"/>
        </w:rPr>
        <w:t xml:space="preserve">, </w:t>
      </w:r>
      <w:r>
        <w:rPr>
          <w:rFonts w:ascii="Times New Roman" w:hAnsi="Times New Roman" w:cs="Times New Roman"/>
          <w:sz w:val="24"/>
          <w:szCs w:val="24"/>
        </w:rPr>
        <w:t>ciò</w:t>
      </w:r>
      <w:r w:rsidRPr="00903195">
        <w:rPr>
          <w:rFonts w:ascii="Times New Roman" w:hAnsi="Times New Roman" w:cs="Times New Roman"/>
          <w:sz w:val="24"/>
          <w:szCs w:val="24"/>
        </w:rPr>
        <w:t xml:space="preserve"> è </w:t>
      </w:r>
      <w:r>
        <w:rPr>
          <w:rFonts w:ascii="Times New Roman" w:hAnsi="Times New Roman" w:cs="Times New Roman"/>
          <w:sz w:val="24"/>
          <w:szCs w:val="24"/>
        </w:rPr>
        <w:t>diverso</w:t>
      </w:r>
      <w:r w:rsidRPr="00903195">
        <w:rPr>
          <w:rFonts w:ascii="Times New Roman" w:hAnsi="Times New Roman" w:cs="Times New Roman"/>
          <w:sz w:val="24"/>
          <w:szCs w:val="24"/>
        </w:rPr>
        <w:t xml:space="preserve"> dalla capacità di produrre quei comportamenti. </w:t>
      </w:r>
      <w:r>
        <w:rPr>
          <w:rFonts w:ascii="Times New Roman" w:hAnsi="Times New Roman" w:cs="Times New Roman"/>
          <w:sz w:val="24"/>
          <w:szCs w:val="24"/>
        </w:rPr>
        <w:t>Gödel aveva capito che la</w:t>
      </w:r>
      <w:r w:rsidRPr="00903195">
        <w:rPr>
          <w:rFonts w:ascii="Times New Roman" w:hAnsi="Times New Roman" w:cs="Times New Roman"/>
          <w:sz w:val="24"/>
          <w:szCs w:val="24"/>
        </w:rPr>
        <w:t xml:space="preserve"> mente </w:t>
      </w:r>
      <w:r>
        <w:rPr>
          <w:rFonts w:ascii="Times New Roman" w:hAnsi="Times New Roman" w:cs="Times New Roman"/>
          <w:sz w:val="24"/>
          <w:szCs w:val="24"/>
        </w:rPr>
        <w:t xml:space="preserve">umana </w:t>
      </w:r>
      <w:r w:rsidRPr="00903195">
        <w:rPr>
          <w:rFonts w:ascii="Times New Roman" w:hAnsi="Times New Roman" w:cs="Times New Roman"/>
          <w:sz w:val="24"/>
          <w:szCs w:val="24"/>
        </w:rPr>
        <w:t>è logicamente aperta ed in grado di produrre nuova informazione</w:t>
      </w:r>
      <w:r>
        <w:rPr>
          <w:rFonts w:ascii="Times New Roman" w:hAnsi="Times New Roman" w:cs="Times New Roman"/>
          <w:sz w:val="24"/>
          <w:szCs w:val="24"/>
        </w:rPr>
        <w:t>, potendo</w:t>
      </w:r>
      <w:r w:rsidRPr="00903195">
        <w:rPr>
          <w:rFonts w:ascii="Times New Roman" w:hAnsi="Times New Roman" w:cs="Times New Roman"/>
          <w:sz w:val="24"/>
          <w:szCs w:val="24"/>
        </w:rPr>
        <w:t xml:space="preserve"> cambiare continuamente le </w:t>
      </w:r>
      <w:r>
        <w:rPr>
          <w:rFonts w:ascii="Times New Roman" w:hAnsi="Times New Roman" w:cs="Times New Roman"/>
          <w:sz w:val="24"/>
          <w:szCs w:val="24"/>
        </w:rPr>
        <w:t>“</w:t>
      </w:r>
      <w:r w:rsidRPr="00903195">
        <w:rPr>
          <w:rFonts w:ascii="Times New Roman" w:hAnsi="Times New Roman" w:cs="Times New Roman"/>
          <w:sz w:val="24"/>
          <w:szCs w:val="24"/>
        </w:rPr>
        <w:t>regole del gioco</w:t>
      </w:r>
      <w:r>
        <w:rPr>
          <w:rFonts w:ascii="Times New Roman" w:hAnsi="Times New Roman" w:cs="Times New Roman"/>
          <w:sz w:val="24"/>
          <w:szCs w:val="24"/>
        </w:rPr>
        <w:t>”</w:t>
      </w:r>
      <w:r w:rsidRPr="00D830FF">
        <w:rPr>
          <w:rFonts w:ascii="Times New Roman" w:hAnsi="Times New Roman" w:cs="Times New Roman"/>
          <w:sz w:val="24"/>
          <w:szCs w:val="24"/>
        </w:rPr>
        <w:t xml:space="preserve"> </w:t>
      </w:r>
      <w:r>
        <w:rPr>
          <w:rFonts w:ascii="Times New Roman" w:hAnsi="Times New Roman" w:cs="Times New Roman"/>
          <w:sz w:val="24"/>
          <w:szCs w:val="24"/>
        </w:rPr>
        <w:t xml:space="preserve">(si pensi ai </w:t>
      </w:r>
      <w:r w:rsidRPr="00903195">
        <w:rPr>
          <w:rFonts w:ascii="Times New Roman" w:hAnsi="Times New Roman" w:cs="Times New Roman"/>
          <w:sz w:val="24"/>
          <w:szCs w:val="24"/>
        </w:rPr>
        <w:t xml:space="preserve">modelli distribuiti sub-simbolici </w:t>
      </w:r>
      <w:proofErr w:type="spellStart"/>
      <w:r w:rsidRPr="00903195">
        <w:rPr>
          <w:rFonts w:ascii="Times New Roman" w:hAnsi="Times New Roman" w:cs="Times New Roman"/>
          <w:sz w:val="24"/>
          <w:szCs w:val="24"/>
        </w:rPr>
        <w:t>connessionisti</w:t>
      </w:r>
      <w:proofErr w:type="spellEnd"/>
      <w:r w:rsidRPr="00903195">
        <w:rPr>
          <w:rFonts w:ascii="Times New Roman" w:hAnsi="Times New Roman" w:cs="Times New Roman"/>
          <w:sz w:val="24"/>
          <w:szCs w:val="24"/>
        </w:rPr>
        <w:t xml:space="preserve"> e </w:t>
      </w:r>
      <w:proofErr w:type="spellStart"/>
      <w:r w:rsidRPr="00903195">
        <w:rPr>
          <w:rFonts w:ascii="Times New Roman" w:hAnsi="Times New Roman" w:cs="Times New Roman"/>
          <w:sz w:val="24"/>
          <w:szCs w:val="24"/>
        </w:rPr>
        <w:t>bio</w:t>
      </w:r>
      <w:proofErr w:type="spellEnd"/>
      <w:r w:rsidRPr="00903195">
        <w:rPr>
          <w:rFonts w:ascii="Times New Roman" w:hAnsi="Times New Roman" w:cs="Times New Roman"/>
          <w:sz w:val="24"/>
          <w:szCs w:val="24"/>
        </w:rPr>
        <w:t>-morfi</w:t>
      </w:r>
      <w:r>
        <w:rPr>
          <w:rFonts w:ascii="Times New Roman" w:hAnsi="Times New Roman" w:cs="Times New Roman"/>
          <w:sz w:val="24"/>
          <w:szCs w:val="24"/>
        </w:rPr>
        <w:t xml:space="preserve">), mentre le </w:t>
      </w:r>
      <w:r w:rsidRPr="00903195">
        <w:rPr>
          <w:rFonts w:ascii="Times New Roman" w:hAnsi="Times New Roman" w:cs="Times New Roman"/>
          <w:sz w:val="24"/>
          <w:szCs w:val="24"/>
        </w:rPr>
        <w:t xml:space="preserve">architetture “classiche” dell’IA “forte” hanno </w:t>
      </w:r>
      <w:r>
        <w:rPr>
          <w:rFonts w:ascii="Times New Roman" w:hAnsi="Times New Roman" w:cs="Times New Roman"/>
          <w:sz w:val="24"/>
          <w:szCs w:val="24"/>
        </w:rPr>
        <w:t>di</w:t>
      </w:r>
      <w:r w:rsidRPr="00903195">
        <w:rPr>
          <w:rFonts w:ascii="Times New Roman" w:hAnsi="Times New Roman" w:cs="Times New Roman"/>
          <w:sz w:val="24"/>
          <w:szCs w:val="24"/>
        </w:rPr>
        <w:t xml:space="preserve">mostrato di essere logicamente chiuse, </w:t>
      </w:r>
      <w:r>
        <w:rPr>
          <w:rFonts w:ascii="Times New Roman" w:hAnsi="Times New Roman" w:cs="Times New Roman"/>
          <w:sz w:val="24"/>
          <w:szCs w:val="24"/>
        </w:rPr>
        <w:t>avendo</w:t>
      </w:r>
      <w:r w:rsidRPr="00903195">
        <w:rPr>
          <w:rFonts w:ascii="Times New Roman" w:hAnsi="Times New Roman" w:cs="Times New Roman"/>
          <w:sz w:val="24"/>
          <w:szCs w:val="24"/>
        </w:rPr>
        <w:t xml:space="preserve"> successo </w:t>
      </w:r>
      <w:r>
        <w:rPr>
          <w:rFonts w:ascii="Times New Roman" w:hAnsi="Times New Roman" w:cs="Times New Roman"/>
          <w:sz w:val="24"/>
          <w:szCs w:val="24"/>
        </w:rPr>
        <w:t>solo</w:t>
      </w:r>
      <w:r w:rsidRPr="00903195">
        <w:rPr>
          <w:rFonts w:ascii="Times New Roman" w:hAnsi="Times New Roman" w:cs="Times New Roman"/>
          <w:sz w:val="24"/>
          <w:szCs w:val="24"/>
        </w:rPr>
        <w:t xml:space="preserve"> </w:t>
      </w:r>
      <w:r>
        <w:rPr>
          <w:rFonts w:ascii="Times New Roman" w:hAnsi="Times New Roman" w:cs="Times New Roman"/>
          <w:sz w:val="24"/>
          <w:szCs w:val="24"/>
        </w:rPr>
        <w:t>nei</w:t>
      </w:r>
      <w:r w:rsidRPr="00903195">
        <w:rPr>
          <w:rFonts w:ascii="Times New Roman" w:hAnsi="Times New Roman" w:cs="Times New Roman"/>
          <w:sz w:val="24"/>
          <w:szCs w:val="24"/>
        </w:rPr>
        <w:t xml:space="preserve"> mondi limitati</w:t>
      </w:r>
      <w:r w:rsidRPr="00D830FF">
        <w:rPr>
          <w:rFonts w:ascii="Times New Roman" w:hAnsi="Times New Roman" w:cs="Times New Roman"/>
          <w:sz w:val="24"/>
          <w:szCs w:val="24"/>
        </w:rPr>
        <w:t xml:space="preserve"> </w:t>
      </w:r>
      <w:r w:rsidRPr="00903195">
        <w:rPr>
          <w:rFonts w:ascii="Times New Roman" w:hAnsi="Times New Roman" w:cs="Times New Roman"/>
          <w:sz w:val="24"/>
          <w:szCs w:val="24"/>
        </w:rPr>
        <w:t>semanticamente</w:t>
      </w:r>
      <w:r>
        <w:rPr>
          <w:rFonts w:ascii="Times New Roman" w:hAnsi="Times New Roman" w:cs="Times New Roman"/>
          <w:sz w:val="24"/>
          <w:szCs w:val="24"/>
        </w:rPr>
        <w:t>. Quanto detto ci porta a pensare che verosimilmente</w:t>
      </w:r>
      <w:r w:rsidRPr="00903195">
        <w:rPr>
          <w:rFonts w:ascii="Times New Roman" w:hAnsi="Times New Roman" w:cs="Times New Roman"/>
          <w:sz w:val="24"/>
          <w:szCs w:val="24"/>
        </w:rPr>
        <w:t xml:space="preserve"> la mente artificiale sarà meno “meccanica” di quanto si </w:t>
      </w:r>
      <w:r>
        <w:rPr>
          <w:rFonts w:ascii="Times New Roman" w:hAnsi="Times New Roman" w:cs="Times New Roman"/>
          <w:sz w:val="24"/>
          <w:szCs w:val="24"/>
        </w:rPr>
        <w:t xml:space="preserve">pensi </w:t>
      </w:r>
      <w:r w:rsidRPr="00903195">
        <w:rPr>
          <w:rFonts w:ascii="Times New Roman" w:hAnsi="Times New Roman" w:cs="Times New Roman"/>
          <w:sz w:val="24"/>
          <w:szCs w:val="24"/>
        </w:rPr>
        <w:t xml:space="preserve">e sarà basata su modelli </w:t>
      </w:r>
      <w:r>
        <w:rPr>
          <w:rFonts w:ascii="Times New Roman" w:hAnsi="Times New Roman" w:cs="Times New Roman"/>
          <w:sz w:val="24"/>
          <w:szCs w:val="24"/>
        </w:rPr>
        <w:t>capaci</w:t>
      </w:r>
      <w:r w:rsidRPr="00903195">
        <w:rPr>
          <w:rFonts w:ascii="Times New Roman" w:hAnsi="Times New Roman" w:cs="Times New Roman"/>
          <w:sz w:val="24"/>
          <w:szCs w:val="24"/>
        </w:rPr>
        <w:t xml:space="preserve"> di implementare un</w:t>
      </w:r>
      <w:r>
        <w:rPr>
          <w:rFonts w:ascii="Times New Roman" w:hAnsi="Times New Roman" w:cs="Times New Roman"/>
          <w:sz w:val="24"/>
          <w:szCs w:val="24"/>
        </w:rPr>
        <w:t>’</w:t>
      </w:r>
      <w:r w:rsidRPr="00903195">
        <w:rPr>
          <w:rFonts w:ascii="Times New Roman" w:hAnsi="Times New Roman" w:cs="Times New Roman"/>
          <w:sz w:val="24"/>
          <w:szCs w:val="24"/>
        </w:rPr>
        <w:t>apertura logica</w:t>
      </w:r>
      <w:r>
        <w:rPr>
          <w:rFonts w:ascii="Times New Roman" w:hAnsi="Times New Roman" w:cs="Times New Roman"/>
          <w:sz w:val="24"/>
          <w:szCs w:val="24"/>
        </w:rPr>
        <w:t>, e allora ci chiederemo (come un nuovo</w:t>
      </w:r>
      <w:r w:rsidRPr="00903195">
        <w:rPr>
          <w:rFonts w:ascii="Times New Roman" w:hAnsi="Times New Roman" w:cs="Times New Roman"/>
          <w:sz w:val="24"/>
          <w:szCs w:val="24"/>
        </w:rPr>
        <w:t xml:space="preserve"> test di </w:t>
      </w:r>
      <w:proofErr w:type="spellStart"/>
      <w:r w:rsidRPr="00903195">
        <w:rPr>
          <w:rFonts w:ascii="Times New Roman" w:hAnsi="Times New Roman" w:cs="Times New Roman"/>
          <w:sz w:val="24"/>
          <w:szCs w:val="24"/>
        </w:rPr>
        <w:t>Turing</w:t>
      </w:r>
      <w:proofErr w:type="spellEnd"/>
      <w:r>
        <w:rPr>
          <w:rFonts w:ascii="Times New Roman" w:hAnsi="Times New Roman" w:cs="Times New Roman"/>
          <w:sz w:val="24"/>
          <w:szCs w:val="24"/>
        </w:rPr>
        <w:t xml:space="preserve">): </w:t>
      </w:r>
      <w:r w:rsidRPr="00903195">
        <w:rPr>
          <w:rFonts w:ascii="Times New Roman" w:hAnsi="Times New Roman" w:cs="Times New Roman"/>
          <w:sz w:val="24"/>
          <w:szCs w:val="24"/>
        </w:rPr>
        <w:t xml:space="preserve">le macchine </w:t>
      </w:r>
      <w:r>
        <w:rPr>
          <w:rFonts w:ascii="Times New Roman" w:hAnsi="Times New Roman" w:cs="Times New Roman"/>
          <w:sz w:val="24"/>
          <w:szCs w:val="24"/>
        </w:rPr>
        <w:t>intelligenti avranno la capacità</w:t>
      </w:r>
      <w:r w:rsidRPr="00903195">
        <w:rPr>
          <w:rFonts w:ascii="Times New Roman" w:hAnsi="Times New Roman" w:cs="Times New Roman"/>
          <w:sz w:val="24"/>
          <w:szCs w:val="24"/>
        </w:rPr>
        <w:t xml:space="preserve"> di gestire </w:t>
      </w:r>
      <w:r>
        <w:rPr>
          <w:rFonts w:ascii="Times New Roman" w:hAnsi="Times New Roman" w:cs="Times New Roman"/>
          <w:sz w:val="24"/>
          <w:szCs w:val="24"/>
        </w:rPr>
        <w:t>l’</w:t>
      </w:r>
      <w:r w:rsidRPr="00903195">
        <w:rPr>
          <w:rFonts w:ascii="Times New Roman" w:hAnsi="Times New Roman" w:cs="Times New Roman"/>
          <w:sz w:val="24"/>
          <w:szCs w:val="24"/>
        </w:rPr>
        <w:t>incertezza e fare scommesse sul mondo</w:t>
      </w:r>
      <w:r>
        <w:rPr>
          <w:rFonts w:ascii="Times New Roman" w:hAnsi="Times New Roman" w:cs="Times New Roman"/>
          <w:sz w:val="24"/>
          <w:szCs w:val="24"/>
        </w:rPr>
        <w:t>?</w:t>
      </w:r>
    </w:p>
  </w:footnote>
  <w:footnote w:id="7">
    <w:p w14:paraId="50EA9265" w14:textId="5C597FAD" w:rsidR="000463A6" w:rsidRPr="0099593A" w:rsidRDefault="000463A6" w:rsidP="00D0534B">
      <w:pPr>
        <w:pStyle w:val="Testonotaapidipagina"/>
        <w:jc w:val="both"/>
        <w:rPr>
          <w:rFonts w:ascii="Times New Roman" w:hAnsi="Times New Roman" w:cs="Times New Roman"/>
          <w:sz w:val="24"/>
          <w:szCs w:val="24"/>
        </w:rPr>
      </w:pPr>
      <w:r w:rsidRPr="0099593A">
        <w:rPr>
          <w:rStyle w:val="Rimandonotaapidipagina"/>
          <w:rFonts w:ascii="Times New Roman" w:hAnsi="Times New Roman" w:cs="Times New Roman"/>
          <w:sz w:val="24"/>
          <w:szCs w:val="24"/>
        </w:rPr>
        <w:footnoteRef/>
      </w:r>
      <w:r w:rsidRPr="0099593A">
        <w:rPr>
          <w:rFonts w:ascii="Times New Roman" w:hAnsi="Times New Roman" w:cs="Times New Roman"/>
          <w:sz w:val="24"/>
          <w:szCs w:val="24"/>
        </w:rPr>
        <w:t xml:space="preserve"> Le macchine hanno cominciato a fare calcoli semplici e oggi, dopo “appena” 200 anni, un’intelligenza artificiale ha formulato, per la prima volta, congetture matematiche. È un risultato di uno studio condotto dai ricercatori di </w:t>
      </w:r>
      <w:proofErr w:type="spellStart"/>
      <w:r w:rsidRPr="0099593A">
        <w:rPr>
          <w:rFonts w:ascii="Times New Roman" w:hAnsi="Times New Roman" w:cs="Times New Roman"/>
          <w:i/>
          <w:iCs/>
          <w:sz w:val="24"/>
          <w:szCs w:val="24"/>
        </w:rPr>
        <w:t>DeepMind</w:t>
      </w:r>
      <w:proofErr w:type="spellEnd"/>
      <w:r w:rsidRPr="0099593A">
        <w:rPr>
          <w:rFonts w:ascii="Times New Roman" w:hAnsi="Times New Roman" w:cs="Times New Roman"/>
          <w:sz w:val="24"/>
          <w:szCs w:val="24"/>
        </w:rPr>
        <w:t xml:space="preserve"> e dell’Università di Oxford, pubblicato sulla rivista scientifica </w:t>
      </w:r>
      <w:r w:rsidRPr="0099593A">
        <w:rPr>
          <w:rFonts w:ascii="Times New Roman" w:hAnsi="Times New Roman" w:cs="Times New Roman"/>
          <w:i/>
          <w:iCs/>
          <w:sz w:val="24"/>
          <w:szCs w:val="24"/>
        </w:rPr>
        <w:t>Nature</w:t>
      </w:r>
      <w:r>
        <w:rPr>
          <w:rFonts w:ascii="Times New Roman" w:hAnsi="Times New Roman" w:cs="Times New Roman"/>
          <w:sz w:val="24"/>
          <w:szCs w:val="24"/>
        </w:rPr>
        <w:t>: si è</w:t>
      </w:r>
      <w:r w:rsidRPr="0099593A">
        <w:rPr>
          <w:rFonts w:ascii="Times New Roman" w:hAnsi="Times New Roman" w:cs="Times New Roman"/>
          <w:sz w:val="24"/>
          <w:szCs w:val="24"/>
        </w:rPr>
        <w:t xml:space="preserve"> scoperto che i moderni computer, che da molti anni ci aiutano nella soluzione di problemi di matematica, grazie all’apprendimento automatico sono riusciti a rilevare connessioni matematiche altrimenti invisibili agli esseri umani. Si tratta di un grande passo avanti e sono auspicabili applicazioni in altri campi, coma la biologia e l’economia, v. </w:t>
      </w:r>
      <w:hyperlink r:id="rId3" w:history="1">
        <w:r w:rsidRPr="0099593A">
          <w:rPr>
            <w:rStyle w:val="Collegamentoipertestuale"/>
            <w:rFonts w:ascii="Times New Roman" w:hAnsi="Times New Roman" w:cs="Times New Roman"/>
            <w:sz w:val="24"/>
            <w:szCs w:val="24"/>
          </w:rPr>
          <w:t>https://www.wired.it/article/intelligenza-artificiale-deepmind-matematica-nodi/</w:t>
        </w:r>
      </w:hyperlink>
      <w:r w:rsidRPr="0099593A">
        <w:rPr>
          <w:rFonts w:ascii="Times New Roman" w:hAnsi="Times New Roman" w:cs="Times New Roman"/>
          <w:sz w:val="24"/>
          <w:szCs w:val="24"/>
        </w:rPr>
        <w:t>.</w:t>
      </w:r>
    </w:p>
  </w:footnote>
  <w:footnote w:id="8">
    <w:p w14:paraId="1E21C877" w14:textId="1BA74766" w:rsidR="000463A6" w:rsidRPr="0099593A" w:rsidRDefault="000463A6" w:rsidP="00E00049">
      <w:pPr>
        <w:pStyle w:val="Testonotaapidipagina"/>
        <w:jc w:val="both"/>
        <w:rPr>
          <w:rFonts w:ascii="Times New Roman" w:hAnsi="Times New Roman" w:cs="Times New Roman"/>
          <w:sz w:val="24"/>
          <w:szCs w:val="24"/>
        </w:rPr>
      </w:pPr>
      <w:r w:rsidRPr="0099593A">
        <w:rPr>
          <w:rStyle w:val="Rimandonotaapidipagina"/>
          <w:rFonts w:ascii="Times New Roman" w:hAnsi="Times New Roman" w:cs="Times New Roman"/>
          <w:sz w:val="24"/>
          <w:szCs w:val="24"/>
        </w:rPr>
        <w:footnoteRef/>
      </w:r>
      <w:r w:rsidRPr="0099593A">
        <w:rPr>
          <w:rFonts w:ascii="Times New Roman" w:hAnsi="Times New Roman" w:cs="Times New Roman"/>
          <w:sz w:val="24"/>
          <w:szCs w:val="24"/>
        </w:rPr>
        <w:t xml:space="preserve"> Interessante anche l’analisi del suo nuovo libro, “</w:t>
      </w:r>
      <w:r w:rsidRPr="0099593A">
        <w:rPr>
          <w:rFonts w:ascii="Times New Roman" w:hAnsi="Times New Roman" w:cs="Times New Roman"/>
          <w:i/>
          <w:iCs/>
          <w:sz w:val="24"/>
          <w:szCs w:val="24"/>
        </w:rPr>
        <w:t>Intelligenza Artificiale. L’uso delle nuove macchine</w:t>
      </w:r>
      <w:r w:rsidRPr="0099593A">
        <w:rPr>
          <w:rFonts w:ascii="Times New Roman" w:hAnsi="Times New Roman" w:cs="Times New Roman"/>
          <w:sz w:val="24"/>
          <w:szCs w:val="24"/>
        </w:rPr>
        <w:t>”, Bompiani, 2021. Nella sua intervista su “</w:t>
      </w:r>
      <w:r w:rsidRPr="0099593A">
        <w:rPr>
          <w:rFonts w:ascii="Times New Roman" w:hAnsi="Times New Roman" w:cs="Times New Roman"/>
          <w:i/>
          <w:iCs/>
          <w:sz w:val="24"/>
          <w:szCs w:val="24"/>
        </w:rPr>
        <w:t xml:space="preserve">Il </w:t>
      </w:r>
      <w:r w:rsidRPr="00273B8E">
        <w:rPr>
          <w:rFonts w:ascii="Times New Roman" w:hAnsi="Times New Roman" w:cs="Times New Roman"/>
          <w:i/>
          <w:iCs/>
          <w:sz w:val="24"/>
          <w:szCs w:val="24"/>
        </w:rPr>
        <w:t>Foglio</w:t>
      </w:r>
      <w:r w:rsidRPr="0099593A">
        <w:rPr>
          <w:rFonts w:ascii="Times New Roman" w:hAnsi="Times New Roman" w:cs="Times New Roman"/>
          <w:sz w:val="24"/>
          <w:szCs w:val="24"/>
        </w:rPr>
        <w:t xml:space="preserve">”, di </w:t>
      </w:r>
      <w:r w:rsidRPr="0099593A">
        <w:rPr>
          <w:rFonts w:ascii="Times New Roman" w:hAnsi="Times New Roman" w:cs="Times New Roman"/>
          <w:smallCaps/>
          <w:sz w:val="24"/>
          <w:szCs w:val="24"/>
        </w:rPr>
        <w:t>G. Leganza</w:t>
      </w:r>
      <w:r w:rsidRPr="0099593A">
        <w:rPr>
          <w:rFonts w:ascii="Times New Roman" w:hAnsi="Times New Roman" w:cs="Times New Roman"/>
          <w:sz w:val="24"/>
          <w:szCs w:val="24"/>
        </w:rPr>
        <w:t>, “</w:t>
      </w:r>
      <w:r w:rsidRPr="0099593A">
        <w:rPr>
          <w:rFonts w:ascii="Times New Roman" w:hAnsi="Times New Roman" w:cs="Times New Roman"/>
          <w:i/>
          <w:iCs/>
          <w:sz w:val="24"/>
          <w:szCs w:val="24"/>
        </w:rPr>
        <w:t>Luciano Floridi ci spiega cosa c’è di antico nell’intelligenza artificiale</w:t>
      </w:r>
      <w:r w:rsidRPr="0099593A">
        <w:rPr>
          <w:rFonts w:ascii="Times New Roman" w:hAnsi="Times New Roman" w:cs="Times New Roman"/>
          <w:sz w:val="24"/>
          <w:szCs w:val="24"/>
        </w:rPr>
        <w:t>”, l’autore spiega che “</w:t>
      </w:r>
      <w:r w:rsidRPr="0099593A">
        <w:rPr>
          <w:rFonts w:ascii="Times New Roman" w:hAnsi="Times New Roman" w:cs="Times New Roman"/>
          <w:i/>
          <w:iCs/>
          <w:sz w:val="24"/>
          <w:szCs w:val="24"/>
        </w:rPr>
        <w:t>siamo noi che adattiamo il mondo alle macchine, non viceversa. Nell’AI è presente la tradizione filosofica greca. La differenza con l’intelligenza umana? I computer sono più bravi, ma noi sappiamo adattarci meglio</w:t>
      </w:r>
      <w:r w:rsidRPr="0099593A">
        <w:rPr>
          <w:rFonts w:ascii="Times New Roman" w:hAnsi="Times New Roman" w:cs="Times New Roman"/>
          <w:sz w:val="24"/>
          <w:szCs w:val="24"/>
        </w:rPr>
        <w:t xml:space="preserve">”, su </w:t>
      </w:r>
      <w:hyperlink r:id="rId4" w:history="1">
        <w:r w:rsidRPr="0099593A">
          <w:rPr>
            <w:rStyle w:val="Collegamentoipertestuale"/>
            <w:rFonts w:ascii="Times New Roman" w:hAnsi="Times New Roman" w:cs="Times New Roman"/>
            <w:sz w:val="24"/>
            <w:szCs w:val="24"/>
          </w:rPr>
          <w:t>https://www.ilfoglio.it/cultura/2021/12/04/news/luciano-floridi-ci-spiega-cosa-c-e-di-antico-nell-intelligenza-artificiale-3426829/</w:t>
        </w:r>
      </w:hyperlink>
      <w:r w:rsidRPr="0099593A">
        <w:rPr>
          <w:rFonts w:ascii="Times New Roman" w:hAnsi="Times New Roman" w:cs="Times New Roman"/>
          <w:sz w:val="24"/>
          <w:szCs w:val="24"/>
        </w:rPr>
        <w:t>.</w:t>
      </w:r>
    </w:p>
  </w:footnote>
  <w:footnote w:id="9">
    <w:p w14:paraId="698FA8E9" w14:textId="41617380" w:rsidR="000463A6" w:rsidRPr="00212D99" w:rsidRDefault="000463A6" w:rsidP="0075340E">
      <w:pPr>
        <w:pStyle w:val="Testonotaapidipagina"/>
        <w:jc w:val="both"/>
        <w:rPr>
          <w:rFonts w:ascii="Times New Roman" w:hAnsi="Times New Roman" w:cs="Times New Roman"/>
          <w:sz w:val="24"/>
          <w:szCs w:val="24"/>
          <w:lang w:val="en-US"/>
        </w:rPr>
      </w:pPr>
      <w:r w:rsidRPr="0075340E">
        <w:rPr>
          <w:rStyle w:val="Rimandonotaapidipagina"/>
          <w:rFonts w:ascii="Times New Roman" w:hAnsi="Times New Roman" w:cs="Times New Roman"/>
          <w:sz w:val="24"/>
          <w:szCs w:val="24"/>
        </w:rPr>
        <w:footnoteRef/>
      </w:r>
      <w:r w:rsidRPr="0075340E">
        <w:rPr>
          <w:rFonts w:ascii="Times New Roman" w:hAnsi="Times New Roman" w:cs="Times New Roman"/>
          <w:sz w:val="24"/>
          <w:szCs w:val="24"/>
        </w:rPr>
        <w:t xml:space="preserve"> </w:t>
      </w:r>
      <w:r w:rsidRPr="0075340E">
        <w:rPr>
          <w:rFonts w:ascii="Times New Roman" w:hAnsi="Times New Roman" w:cs="Times New Roman"/>
          <w:smallCaps/>
          <w:sz w:val="24"/>
          <w:szCs w:val="24"/>
        </w:rPr>
        <w:t>L. Alexandre</w:t>
      </w:r>
      <w:r w:rsidRPr="0075340E">
        <w:rPr>
          <w:rFonts w:ascii="Times New Roman" w:hAnsi="Times New Roman" w:cs="Times New Roman"/>
          <w:sz w:val="24"/>
          <w:szCs w:val="24"/>
        </w:rPr>
        <w:t>, “</w:t>
      </w:r>
      <w:r w:rsidRPr="0075340E">
        <w:rPr>
          <w:rFonts w:ascii="Times New Roman" w:hAnsi="Times New Roman" w:cs="Times New Roman"/>
          <w:i/>
          <w:iCs/>
          <w:sz w:val="24"/>
          <w:szCs w:val="24"/>
        </w:rPr>
        <w:t>La guerra delle intelligenze, intelligenza artificiale contro intelligenza umana</w:t>
      </w:r>
      <w:r w:rsidRPr="0075340E">
        <w:rPr>
          <w:rFonts w:ascii="Times New Roman" w:hAnsi="Times New Roman" w:cs="Times New Roman"/>
          <w:sz w:val="24"/>
          <w:szCs w:val="24"/>
        </w:rPr>
        <w:t xml:space="preserve">”, pag. 75, ed. </w:t>
      </w:r>
      <w:r w:rsidRPr="0075340E">
        <w:rPr>
          <w:rFonts w:ascii="Times New Roman" w:hAnsi="Times New Roman" w:cs="Times New Roman"/>
          <w:sz w:val="24"/>
          <w:szCs w:val="24"/>
          <w:lang w:val="en-US"/>
        </w:rPr>
        <w:t>Torino, 2017.</w:t>
      </w:r>
    </w:p>
  </w:footnote>
  <w:footnote w:id="10">
    <w:p w14:paraId="71B055B3" w14:textId="0923023A" w:rsidR="000463A6" w:rsidRPr="002E3E82" w:rsidRDefault="000463A6" w:rsidP="002E3E82">
      <w:pPr>
        <w:pStyle w:val="Testonotaapidipagina"/>
        <w:jc w:val="both"/>
        <w:rPr>
          <w:rFonts w:ascii="Times New Roman" w:hAnsi="Times New Roman" w:cs="Times New Roman"/>
          <w:sz w:val="24"/>
          <w:szCs w:val="24"/>
          <w:lang w:val="en-US"/>
        </w:rPr>
      </w:pPr>
      <w:r w:rsidRPr="002E3E82">
        <w:rPr>
          <w:rStyle w:val="Rimandonotaapidipagina"/>
          <w:rFonts w:ascii="Times New Roman" w:hAnsi="Times New Roman" w:cs="Times New Roman"/>
          <w:sz w:val="24"/>
          <w:szCs w:val="24"/>
        </w:rPr>
        <w:footnoteRef/>
      </w:r>
      <w:r w:rsidRPr="002E3E82">
        <w:rPr>
          <w:rFonts w:ascii="Times New Roman" w:hAnsi="Times New Roman" w:cs="Times New Roman"/>
          <w:sz w:val="24"/>
          <w:szCs w:val="24"/>
          <w:lang w:val="en-US"/>
        </w:rPr>
        <w:t xml:space="preserve"> </w:t>
      </w:r>
      <w:r w:rsidRPr="002E3E82">
        <w:rPr>
          <w:rFonts w:ascii="Times New Roman" w:hAnsi="Times New Roman" w:cs="Times New Roman"/>
          <w:smallCaps/>
          <w:sz w:val="24"/>
          <w:szCs w:val="24"/>
          <w:lang w:val="en-US"/>
        </w:rPr>
        <w:t>F. Pasquale,</w:t>
      </w:r>
      <w:r w:rsidRPr="002E3E82">
        <w:rPr>
          <w:rFonts w:ascii="Times New Roman" w:hAnsi="Times New Roman" w:cs="Times New Roman"/>
          <w:sz w:val="24"/>
          <w:szCs w:val="24"/>
          <w:lang w:val="en-US"/>
        </w:rPr>
        <w:t xml:space="preserve"> “</w:t>
      </w:r>
      <w:r w:rsidRPr="002E3E82">
        <w:rPr>
          <w:rFonts w:ascii="Times New Roman" w:hAnsi="Times New Roman" w:cs="Times New Roman"/>
          <w:i/>
          <w:iCs/>
          <w:sz w:val="24"/>
          <w:szCs w:val="24"/>
          <w:lang w:val="en-US"/>
        </w:rPr>
        <w:t>The Black Box Society. The secret Algorithms that Control Money and Information</w:t>
      </w:r>
      <w:r w:rsidRPr="002E3E82">
        <w:rPr>
          <w:rFonts w:ascii="Times New Roman" w:hAnsi="Times New Roman" w:cs="Times New Roman"/>
          <w:sz w:val="24"/>
          <w:szCs w:val="24"/>
          <w:lang w:val="en-US"/>
        </w:rPr>
        <w:t>”, Cambridge – Ma 2015.</w:t>
      </w:r>
    </w:p>
  </w:footnote>
  <w:footnote w:id="11">
    <w:p w14:paraId="6EECA9FC" w14:textId="2991FDE9" w:rsidR="000463A6" w:rsidRPr="002E3E82" w:rsidRDefault="000463A6" w:rsidP="002E3E82">
      <w:pPr>
        <w:pStyle w:val="Testonotaapidipagina"/>
        <w:jc w:val="both"/>
        <w:rPr>
          <w:rFonts w:ascii="Times New Roman" w:hAnsi="Times New Roman" w:cs="Times New Roman"/>
          <w:sz w:val="24"/>
          <w:szCs w:val="24"/>
          <w:lang w:val="en-US"/>
        </w:rPr>
      </w:pPr>
      <w:r w:rsidRPr="002E3E82">
        <w:rPr>
          <w:rStyle w:val="Rimandonotaapidipagina"/>
          <w:rFonts w:ascii="Times New Roman" w:hAnsi="Times New Roman" w:cs="Times New Roman"/>
          <w:sz w:val="24"/>
          <w:szCs w:val="24"/>
        </w:rPr>
        <w:footnoteRef/>
      </w:r>
      <w:r w:rsidRPr="002E3E82">
        <w:rPr>
          <w:rFonts w:ascii="Times New Roman" w:hAnsi="Times New Roman" w:cs="Times New Roman"/>
          <w:sz w:val="24"/>
          <w:szCs w:val="24"/>
          <w:lang w:val="en-US"/>
        </w:rPr>
        <w:t xml:space="preserve"> </w:t>
      </w:r>
      <w:r w:rsidRPr="002E3E82">
        <w:rPr>
          <w:rFonts w:ascii="Times New Roman" w:hAnsi="Times New Roman" w:cs="Times New Roman"/>
          <w:smallCaps/>
          <w:sz w:val="24"/>
          <w:szCs w:val="24"/>
          <w:lang w:val="en-US"/>
        </w:rPr>
        <w:t xml:space="preserve">S. </w:t>
      </w:r>
      <w:proofErr w:type="spellStart"/>
      <w:r w:rsidRPr="002E3E82">
        <w:rPr>
          <w:rFonts w:ascii="Times New Roman" w:hAnsi="Times New Roman" w:cs="Times New Roman"/>
          <w:smallCaps/>
          <w:sz w:val="24"/>
          <w:szCs w:val="24"/>
          <w:lang w:val="en-US"/>
        </w:rPr>
        <w:t>Zuboff</w:t>
      </w:r>
      <w:proofErr w:type="spellEnd"/>
      <w:r w:rsidRPr="002E3E82">
        <w:rPr>
          <w:rFonts w:ascii="Times New Roman" w:hAnsi="Times New Roman" w:cs="Times New Roman"/>
          <w:sz w:val="24"/>
          <w:szCs w:val="24"/>
          <w:lang w:val="en-US"/>
        </w:rPr>
        <w:t>, “</w:t>
      </w:r>
      <w:r w:rsidRPr="002E3E82">
        <w:rPr>
          <w:rFonts w:ascii="Times New Roman" w:hAnsi="Times New Roman" w:cs="Times New Roman"/>
          <w:i/>
          <w:iCs/>
          <w:sz w:val="24"/>
          <w:szCs w:val="24"/>
          <w:lang w:val="en-US"/>
        </w:rPr>
        <w:t>Big other: surveillance capitalism and the prospects of an information civilization</w:t>
      </w:r>
      <w:r w:rsidRPr="002E3E82">
        <w:rPr>
          <w:rFonts w:ascii="Times New Roman" w:hAnsi="Times New Roman" w:cs="Times New Roman"/>
          <w:sz w:val="24"/>
          <w:szCs w:val="24"/>
          <w:lang w:val="en-US"/>
        </w:rPr>
        <w:t>”, “</w:t>
      </w:r>
      <w:r w:rsidRPr="002E3E82">
        <w:rPr>
          <w:rFonts w:ascii="Times New Roman" w:hAnsi="Times New Roman" w:cs="Times New Roman"/>
          <w:i/>
          <w:iCs/>
          <w:sz w:val="24"/>
          <w:szCs w:val="24"/>
          <w:lang w:val="en-US"/>
        </w:rPr>
        <w:t>Journal of Information Technology”</w:t>
      </w:r>
      <w:r w:rsidRPr="002E3E82">
        <w:rPr>
          <w:rFonts w:ascii="Times New Roman" w:hAnsi="Times New Roman" w:cs="Times New Roman"/>
          <w:sz w:val="24"/>
          <w:szCs w:val="24"/>
          <w:lang w:val="en-US"/>
        </w:rPr>
        <w:t xml:space="preserve"> (2015) 30, 75-89; </w:t>
      </w:r>
      <w:r w:rsidRPr="002E3E82">
        <w:rPr>
          <w:rFonts w:ascii="Times New Roman" w:hAnsi="Times New Roman" w:cs="Times New Roman"/>
          <w:smallCaps/>
          <w:sz w:val="24"/>
          <w:szCs w:val="24"/>
          <w:lang w:val="en-US"/>
        </w:rPr>
        <w:t>Id</w:t>
      </w:r>
      <w:r w:rsidRPr="002E3E82">
        <w:rPr>
          <w:rFonts w:ascii="Times New Roman" w:hAnsi="Times New Roman" w:cs="Times New Roman"/>
          <w:sz w:val="24"/>
          <w:szCs w:val="24"/>
          <w:lang w:val="en-US"/>
        </w:rPr>
        <w:t>., “T</w:t>
      </w:r>
      <w:r w:rsidRPr="002E3E82">
        <w:rPr>
          <w:rFonts w:ascii="Times New Roman" w:hAnsi="Times New Roman" w:cs="Times New Roman"/>
          <w:i/>
          <w:iCs/>
          <w:sz w:val="24"/>
          <w:szCs w:val="24"/>
          <w:lang w:val="en-US"/>
        </w:rPr>
        <w:t>he Age of Surveillance Capitalism. The Fight for a Human Future at the New Frontier of Power</w:t>
      </w:r>
      <w:r w:rsidRPr="002E3E82">
        <w:rPr>
          <w:rFonts w:ascii="Times New Roman" w:hAnsi="Times New Roman" w:cs="Times New Roman"/>
          <w:sz w:val="24"/>
          <w:szCs w:val="24"/>
          <w:lang w:val="en-US"/>
        </w:rPr>
        <w:t>”, London, 2019.</w:t>
      </w:r>
    </w:p>
  </w:footnote>
  <w:footnote w:id="12">
    <w:p w14:paraId="5B747A51" w14:textId="7CE5CC0A" w:rsidR="000463A6" w:rsidRPr="002E3E82" w:rsidRDefault="000463A6" w:rsidP="002E3E82">
      <w:pPr>
        <w:pStyle w:val="Testonotaapidipagina"/>
        <w:jc w:val="both"/>
        <w:rPr>
          <w:rFonts w:ascii="Times New Roman" w:hAnsi="Times New Roman" w:cs="Times New Roman"/>
          <w:sz w:val="24"/>
          <w:szCs w:val="24"/>
        </w:rPr>
      </w:pPr>
      <w:r w:rsidRPr="002E3E82">
        <w:rPr>
          <w:rStyle w:val="Rimandonotaapidipagina"/>
          <w:rFonts w:ascii="Times New Roman" w:hAnsi="Times New Roman" w:cs="Times New Roman"/>
          <w:sz w:val="24"/>
          <w:szCs w:val="24"/>
        </w:rPr>
        <w:footnoteRef/>
      </w:r>
      <w:r w:rsidRPr="002E3E82">
        <w:rPr>
          <w:rFonts w:ascii="Times New Roman" w:hAnsi="Times New Roman" w:cs="Times New Roman"/>
          <w:sz w:val="24"/>
          <w:szCs w:val="24"/>
        </w:rPr>
        <w:t xml:space="preserve"> Per quanto concerne il problema relativo al tipo di legislazione che deve regolare l’IA, ad oggi abbiamo due fondamentali esempi di approccio globale all’IA da parte delle legislazioni dei vari paesi nel mondo. Da un lato, abbiamo </w:t>
      </w:r>
      <w:r>
        <w:rPr>
          <w:rFonts w:ascii="Times New Roman" w:hAnsi="Times New Roman" w:cs="Times New Roman"/>
          <w:sz w:val="24"/>
          <w:szCs w:val="24"/>
        </w:rPr>
        <w:t>l’esempio de</w:t>
      </w:r>
      <w:r w:rsidRPr="002E3E82">
        <w:rPr>
          <w:rFonts w:ascii="Times New Roman" w:hAnsi="Times New Roman" w:cs="Times New Roman"/>
          <w:sz w:val="24"/>
          <w:szCs w:val="24"/>
        </w:rPr>
        <w:t>l Rapporto dell’Alto Commissario delle Nazioni Unite per i diritti umani sul “</w:t>
      </w:r>
      <w:r w:rsidRPr="002E3E82">
        <w:rPr>
          <w:rFonts w:ascii="Times New Roman" w:hAnsi="Times New Roman" w:cs="Times New Roman"/>
          <w:i/>
          <w:iCs/>
          <w:sz w:val="24"/>
          <w:szCs w:val="24"/>
        </w:rPr>
        <w:t>Diritto alla Privacy nell’era digitale</w:t>
      </w:r>
      <w:r w:rsidRPr="002E3E82">
        <w:rPr>
          <w:rFonts w:ascii="Times New Roman" w:hAnsi="Times New Roman" w:cs="Times New Roman"/>
          <w:sz w:val="24"/>
          <w:szCs w:val="24"/>
        </w:rPr>
        <w:t xml:space="preserve">”, commissionato dal Consiglio per i diritti umani nella sua risoluzione 42/15, in cui si analizza come l’uso diffuso da parte degli Stati e delle imprese dell’I.A., tra cui rientrano la </w:t>
      </w:r>
      <w:proofErr w:type="spellStart"/>
      <w:r w:rsidRPr="002E3E82">
        <w:rPr>
          <w:rFonts w:ascii="Times New Roman" w:hAnsi="Times New Roman" w:cs="Times New Roman"/>
          <w:sz w:val="24"/>
          <w:szCs w:val="24"/>
        </w:rPr>
        <w:t>profilazione</w:t>
      </w:r>
      <w:proofErr w:type="spellEnd"/>
      <w:r w:rsidRPr="002E3E82">
        <w:rPr>
          <w:rFonts w:ascii="Times New Roman" w:hAnsi="Times New Roman" w:cs="Times New Roman"/>
          <w:sz w:val="24"/>
          <w:szCs w:val="24"/>
        </w:rPr>
        <w:t xml:space="preserve">, il processo decisionale automatizzato e le tecnologie di apprendimento automatico, influenzi il godimento del diritto alla privacy e dei diritti connessi, fornendo alcune raccomandazioni agli Stati e alle imprese in merito alla progettazione e all’attuazione di salvaguardie per prevenire e minimizzare i risultati dannosi. Dall’altro lato, c’è il primo accordo mondiale sull’etica dell’I.A. stipulato recentemente dall’Unesco, </w:t>
      </w:r>
      <w:r>
        <w:rPr>
          <w:rFonts w:ascii="Times New Roman" w:hAnsi="Times New Roman" w:cs="Times New Roman"/>
          <w:sz w:val="24"/>
          <w:szCs w:val="24"/>
        </w:rPr>
        <w:t xml:space="preserve">approvato il 25 novembre 2021, </w:t>
      </w:r>
      <w:r w:rsidRPr="002E3E82">
        <w:rPr>
          <w:rFonts w:ascii="Times New Roman" w:hAnsi="Times New Roman" w:cs="Times New Roman"/>
          <w:sz w:val="24"/>
          <w:szCs w:val="24"/>
        </w:rPr>
        <w:t xml:space="preserve">che </w:t>
      </w:r>
      <w:r>
        <w:rPr>
          <w:rFonts w:ascii="Times New Roman" w:hAnsi="Times New Roman" w:cs="Times New Roman"/>
          <w:sz w:val="24"/>
          <w:szCs w:val="24"/>
        </w:rPr>
        <w:t>prende</w:t>
      </w:r>
      <w:r w:rsidRPr="002E3E82">
        <w:rPr>
          <w:rFonts w:ascii="Times New Roman" w:hAnsi="Times New Roman" w:cs="Times New Roman"/>
          <w:sz w:val="24"/>
          <w:szCs w:val="24"/>
        </w:rPr>
        <w:t xml:space="preserve"> atto che l’I.A. pone importanti quesiti e problemi etici, che necessitano un intervento sovranazionale.</w:t>
      </w:r>
      <w:r>
        <w:rPr>
          <w:rFonts w:ascii="Times New Roman" w:hAnsi="Times New Roman" w:cs="Times New Roman"/>
          <w:sz w:val="24"/>
          <w:szCs w:val="24"/>
        </w:rPr>
        <w:t xml:space="preserve"> Il</w:t>
      </w:r>
      <w:r w:rsidRPr="002E3E82">
        <w:rPr>
          <w:rFonts w:ascii="Times New Roman" w:hAnsi="Times New Roman" w:cs="Times New Roman"/>
          <w:sz w:val="24"/>
          <w:szCs w:val="24"/>
        </w:rPr>
        <w:t xml:space="preserve"> direttore generale dell’Unesco, </w:t>
      </w:r>
      <w:r w:rsidRPr="002E3E82">
        <w:rPr>
          <w:rFonts w:ascii="Times New Roman" w:hAnsi="Times New Roman" w:cs="Times New Roman"/>
          <w:i/>
          <w:iCs/>
          <w:sz w:val="24"/>
          <w:szCs w:val="24"/>
        </w:rPr>
        <w:t xml:space="preserve">Audrey </w:t>
      </w:r>
      <w:proofErr w:type="spellStart"/>
      <w:r w:rsidRPr="002E3E82">
        <w:rPr>
          <w:rFonts w:ascii="Times New Roman" w:hAnsi="Times New Roman" w:cs="Times New Roman"/>
          <w:i/>
          <w:iCs/>
          <w:sz w:val="24"/>
          <w:szCs w:val="24"/>
        </w:rPr>
        <w:t>Azoulay</w:t>
      </w:r>
      <w:proofErr w:type="spellEnd"/>
      <w:r w:rsidRPr="002E3E82">
        <w:rPr>
          <w:rFonts w:ascii="Times New Roman" w:hAnsi="Times New Roman" w:cs="Times New Roman"/>
          <w:sz w:val="24"/>
          <w:szCs w:val="24"/>
        </w:rPr>
        <w:t>, ha presentato una “</w:t>
      </w:r>
      <w:r>
        <w:rPr>
          <w:rFonts w:ascii="Times New Roman" w:hAnsi="Times New Roman" w:cs="Times New Roman"/>
          <w:sz w:val="24"/>
          <w:szCs w:val="24"/>
        </w:rPr>
        <w:t>R</w:t>
      </w:r>
      <w:r w:rsidRPr="002E3E82">
        <w:rPr>
          <w:rFonts w:ascii="Times New Roman" w:hAnsi="Times New Roman" w:cs="Times New Roman"/>
          <w:sz w:val="24"/>
          <w:szCs w:val="24"/>
        </w:rPr>
        <w:t xml:space="preserve">accomandazione” di 28 pagine, ratificata dai 193 stati membri, tra cui anche la Cina. A fronte di un cospicuo aumento dei pregiudizi di genere ed etnici e di minacce significative alla privacy, alla dignità e ad altri diritti, si vuole, infatti, rispondere con un testo che assicuri la massima trasparenza e intelligibilità sul funzionamento degli algoritmi, dato che si influisce sui diritti dell’uomo e </w:t>
      </w:r>
      <w:r>
        <w:rPr>
          <w:rFonts w:ascii="Times New Roman" w:hAnsi="Times New Roman" w:cs="Times New Roman"/>
          <w:sz w:val="24"/>
          <w:szCs w:val="24"/>
        </w:rPr>
        <w:t>sul</w:t>
      </w:r>
      <w:r w:rsidRPr="002E3E82">
        <w:rPr>
          <w:rFonts w:ascii="Times New Roman" w:hAnsi="Times New Roman" w:cs="Times New Roman"/>
          <w:sz w:val="24"/>
          <w:szCs w:val="24"/>
        </w:rPr>
        <w:t>le libertà fondamentali. I valori e i principi comuni che devono guidare la costruzione delle macchine che impiegano l’Intelligenza Artificiale sono elencati dal secondo articolo della Raccomandazione e sono i seguenti: equità e non discriminazione, sostenibilità, privacy, sicurezza e protezione, trasparenza e “</w:t>
      </w:r>
      <w:proofErr w:type="spellStart"/>
      <w:r w:rsidRPr="002E3E82">
        <w:rPr>
          <w:rFonts w:ascii="Times New Roman" w:hAnsi="Times New Roman" w:cs="Times New Roman"/>
          <w:sz w:val="24"/>
          <w:szCs w:val="24"/>
        </w:rPr>
        <w:t>spiegabilità</w:t>
      </w:r>
      <w:proofErr w:type="spellEnd"/>
      <w:r w:rsidRPr="002E3E82">
        <w:rPr>
          <w:rFonts w:ascii="Times New Roman" w:hAnsi="Times New Roman" w:cs="Times New Roman"/>
          <w:sz w:val="24"/>
          <w:szCs w:val="24"/>
        </w:rPr>
        <w:t xml:space="preserve">”, responsabilità e </w:t>
      </w:r>
      <w:proofErr w:type="spellStart"/>
      <w:r w:rsidRPr="00CD2CEF">
        <w:rPr>
          <w:rFonts w:ascii="Times New Roman" w:hAnsi="Times New Roman" w:cs="Times New Roman"/>
          <w:i/>
          <w:iCs/>
          <w:sz w:val="24"/>
          <w:szCs w:val="24"/>
        </w:rPr>
        <w:t>accountability</w:t>
      </w:r>
      <w:proofErr w:type="spellEnd"/>
      <w:r w:rsidRPr="002E3E82">
        <w:rPr>
          <w:rFonts w:ascii="Times New Roman" w:hAnsi="Times New Roman" w:cs="Times New Roman"/>
          <w:sz w:val="24"/>
          <w:szCs w:val="24"/>
        </w:rPr>
        <w:t xml:space="preserve">, consapevolezza e alfabetizzazione. Per un approfondimento sul tema di veda </w:t>
      </w:r>
      <w:r w:rsidRPr="00CD2CEF">
        <w:rPr>
          <w:rFonts w:ascii="Times New Roman" w:hAnsi="Times New Roman" w:cs="Times New Roman"/>
          <w:smallCaps/>
          <w:sz w:val="24"/>
          <w:szCs w:val="24"/>
        </w:rPr>
        <w:t xml:space="preserve">L. </w:t>
      </w:r>
      <w:proofErr w:type="spellStart"/>
      <w:r w:rsidRPr="00CD2CEF">
        <w:rPr>
          <w:rFonts w:ascii="Times New Roman" w:hAnsi="Times New Roman" w:cs="Times New Roman"/>
          <w:smallCaps/>
          <w:sz w:val="24"/>
          <w:szCs w:val="24"/>
        </w:rPr>
        <w:t>Mischitelli</w:t>
      </w:r>
      <w:proofErr w:type="spellEnd"/>
      <w:r w:rsidRPr="002E3E82">
        <w:rPr>
          <w:rFonts w:ascii="Times New Roman" w:hAnsi="Times New Roman" w:cs="Times New Roman"/>
          <w:sz w:val="24"/>
          <w:szCs w:val="24"/>
        </w:rPr>
        <w:t>, “</w:t>
      </w:r>
      <w:r w:rsidRPr="00CD2CEF">
        <w:rPr>
          <w:rFonts w:ascii="Times New Roman" w:hAnsi="Times New Roman" w:cs="Times New Roman"/>
          <w:i/>
          <w:iCs/>
          <w:sz w:val="24"/>
          <w:szCs w:val="24"/>
        </w:rPr>
        <w:t>Intelligenza artificiale etica: ecco l’approccio “globale” Unesco (approvato anche dalla Cina)</w:t>
      </w:r>
      <w:r w:rsidRPr="002E3E82">
        <w:rPr>
          <w:rFonts w:ascii="Times New Roman" w:hAnsi="Times New Roman" w:cs="Times New Roman"/>
          <w:sz w:val="24"/>
          <w:szCs w:val="24"/>
        </w:rPr>
        <w:t xml:space="preserve">”, su </w:t>
      </w:r>
      <w:r w:rsidRPr="00CD2CEF">
        <w:rPr>
          <w:rFonts w:ascii="Times New Roman" w:hAnsi="Times New Roman" w:cs="Times New Roman"/>
          <w:i/>
          <w:iCs/>
          <w:sz w:val="24"/>
          <w:szCs w:val="24"/>
        </w:rPr>
        <w:t>agendadigitale.eu</w:t>
      </w:r>
      <w:r w:rsidRPr="002E3E82">
        <w:rPr>
          <w:rFonts w:ascii="Times New Roman" w:hAnsi="Times New Roman" w:cs="Times New Roman"/>
          <w:sz w:val="24"/>
          <w:szCs w:val="24"/>
        </w:rPr>
        <w:t>.</w:t>
      </w:r>
    </w:p>
  </w:footnote>
  <w:footnote w:id="13">
    <w:p w14:paraId="67A21D58" w14:textId="5405E3F0" w:rsidR="000463A6" w:rsidRPr="00117862" w:rsidRDefault="000463A6" w:rsidP="002E3E82">
      <w:pPr>
        <w:spacing w:after="0" w:line="240" w:lineRule="auto"/>
        <w:jc w:val="both"/>
        <w:rPr>
          <w:rFonts w:ascii="Times New Roman" w:hAnsi="Times New Roman" w:cs="Times New Roman"/>
          <w:sz w:val="24"/>
          <w:szCs w:val="24"/>
        </w:rPr>
      </w:pPr>
      <w:r w:rsidRPr="002E3E82">
        <w:rPr>
          <w:rStyle w:val="Rimandonotaapidipagina"/>
          <w:rFonts w:ascii="Times New Roman" w:hAnsi="Times New Roman" w:cs="Times New Roman"/>
          <w:sz w:val="24"/>
          <w:szCs w:val="24"/>
        </w:rPr>
        <w:footnoteRef/>
      </w:r>
      <w:r w:rsidRPr="002E3E82">
        <w:rPr>
          <w:rFonts w:ascii="Times New Roman" w:hAnsi="Times New Roman" w:cs="Times New Roman"/>
          <w:sz w:val="24"/>
          <w:szCs w:val="24"/>
        </w:rPr>
        <w:t xml:space="preserve"> Il mercato digitale è in continua espansione. Sul nuovo fenomeno dell’acquisto di terreni virtuali vedi </w:t>
      </w:r>
      <w:r w:rsidRPr="002E3E82">
        <w:rPr>
          <w:rFonts w:ascii="Times New Roman" w:hAnsi="Times New Roman" w:cs="Times New Roman"/>
          <w:smallCaps/>
          <w:sz w:val="24"/>
          <w:szCs w:val="24"/>
        </w:rPr>
        <w:t>W. Ferri</w:t>
      </w:r>
      <w:r w:rsidRPr="002E3E82">
        <w:rPr>
          <w:rFonts w:ascii="Times New Roman" w:hAnsi="Times New Roman" w:cs="Times New Roman"/>
          <w:sz w:val="24"/>
          <w:szCs w:val="24"/>
        </w:rPr>
        <w:t>, “</w:t>
      </w:r>
      <w:r w:rsidRPr="002E3E82">
        <w:rPr>
          <w:rFonts w:ascii="Times New Roman" w:hAnsi="Times New Roman" w:cs="Times New Roman"/>
          <w:i/>
          <w:iCs/>
          <w:sz w:val="24"/>
          <w:szCs w:val="24"/>
        </w:rPr>
        <w:t xml:space="preserve">2,4 milioni per 500mq di cyber spazio: il </w:t>
      </w:r>
      <w:proofErr w:type="spellStart"/>
      <w:r w:rsidRPr="002E3E82">
        <w:rPr>
          <w:rFonts w:ascii="Times New Roman" w:hAnsi="Times New Roman" w:cs="Times New Roman"/>
          <w:i/>
          <w:iCs/>
          <w:sz w:val="24"/>
          <w:szCs w:val="24"/>
        </w:rPr>
        <w:t>Metaverso</w:t>
      </w:r>
      <w:proofErr w:type="spellEnd"/>
      <w:r w:rsidRPr="002E3E82">
        <w:rPr>
          <w:rFonts w:ascii="Times New Roman" w:hAnsi="Times New Roman" w:cs="Times New Roman"/>
          <w:i/>
          <w:iCs/>
          <w:sz w:val="24"/>
          <w:szCs w:val="24"/>
        </w:rPr>
        <w:t xml:space="preserve"> e la corsa all’oro digitale</w:t>
      </w:r>
      <w:r w:rsidRPr="002E3E82">
        <w:rPr>
          <w:rFonts w:ascii="Times New Roman" w:hAnsi="Times New Roman" w:cs="Times New Roman"/>
          <w:sz w:val="24"/>
          <w:szCs w:val="24"/>
        </w:rPr>
        <w:t xml:space="preserve">”, su </w:t>
      </w:r>
      <w:r w:rsidRPr="002E3E82">
        <w:rPr>
          <w:rFonts w:ascii="Times New Roman" w:hAnsi="Times New Roman" w:cs="Times New Roman"/>
          <w:i/>
          <w:iCs/>
          <w:sz w:val="24"/>
          <w:szCs w:val="24"/>
        </w:rPr>
        <w:t>lindipendenteonline.it</w:t>
      </w:r>
      <w:r w:rsidRPr="002E3E82">
        <w:rPr>
          <w:rFonts w:ascii="Times New Roman" w:hAnsi="Times New Roman" w:cs="Times New Roman"/>
          <w:sz w:val="24"/>
          <w:szCs w:val="24"/>
        </w:rPr>
        <w:t>, che spiega bene questa “</w:t>
      </w:r>
      <w:r w:rsidRPr="002E3E82">
        <w:rPr>
          <w:rFonts w:ascii="Times New Roman" w:hAnsi="Times New Roman" w:cs="Times New Roman"/>
          <w:i/>
          <w:iCs/>
          <w:sz w:val="24"/>
          <w:szCs w:val="24"/>
        </w:rPr>
        <w:t>corsa all’oro in salsa digitale</w:t>
      </w:r>
      <w:r w:rsidRPr="002E3E82">
        <w:rPr>
          <w:rFonts w:ascii="Times New Roman" w:hAnsi="Times New Roman" w:cs="Times New Roman"/>
          <w:sz w:val="24"/>
          <w:szCs w:val="24"/>
        </w:rPr>
        <w:t xml:space="preserve">”: gli investitori accorrono oggi alle risorse offerte da </w:t>
      </w:r>
      <w:proofErr w:type="spellStart"/>
      <w:r w:rsidRPr="002E3E82">
        <w:rPr>
          <w:rFonts w:ascii="Times New Roman" w:hAnsi="Times New Roman" w:cs="Times New Roman"/>
          <w:i/>
          <w:iCs/>
          <w:sz w:val="24"/>
          <w:szCs w:val="24"/>
        </w:rPr>
        <w:t>Metaverso</w:t>
      </w:r>
      <w:proofErr w:type="spellEnd"/>
      <w:r w:rsidRPr="002E3E82">
        <w:rPr>
          <w:rFonts w:ascii="Times New Roman" w:hAnsi="Times New Roman" w:cs="Times New Roman"/>
          <w:sz w:val="24"/>
          <w:szCs w:val="24"/>
        </w:rPr>
        <w:t xml:space="preserve"> per ottenere (in futuro) grandi ritorni economici. Non è una novità, ma la portata del fenomeno cresce quanto più si ingigantisce “</w:t>
      </w:r>
      <w:r w:rsidRPr="002E3E82">
        <w:rPr>
          <w:rFonts w:ascii="Times New Roman" w:hAnsi="Times New Roman" w:cs="Times New Roman"/>
          <w:i/>
          <w:iCs/>
          <w:sz w:val="24"/>
          <w:szCs w:val="24"/>
        </w:rPr>
        <w:t>la febbre per il digitale</w:t>
      </w:r>
      <w:r w:rsidRPr="002E3E82">
        <w:rPr>
          <w:rFonts w:ascii="Times New Roman" w:hAnsi="Times New Roman" w:cs="Times New Roman"/>
          <w:sz w:val="24"/>
          <w:szCs w:val="24"/>
        </w:rPr>
        <w:t xml:space="preserve">”. Lo dimostrerebbero i dati pubblicati da </w:t>
      </w:r>
      <w:proofErr w:type="spellStart"/>
      <w:r w:rsidRPr="002E3E82">
        <w:rPr>
          <w:rFonts w:ascii="Times New Roman" w:hAnsi="Times New Roman" w:cs="Times New Roman"/>
          <w:i/>
          <w:iCs/>
          <w:sz w:val="24"/>
          <w:szCs w:val="24"/>
        </w:rPr>
        <w:t>DappRadar</w:t>
      </w:r>
      <w:proofErr w:type="spellEnd"/>
      <w:r w:rsidRPr="002E3E82">
        <w:rPr>
          <w:rFonts w:ascii="Times New Roman" w:hAnsi="Times New Roman" w:cs="Times New Roman"/>
          <w:sz w:val="24"/>
          <w:szCs w:val="24"/>
        </w:rPr>
        <w:t xml:space="preserve">, portale secondo cui il mercato dei terreni virtuali ha smosso circa </w:t>
      </w:r>
      <w:proofErr w:type="gramStart"/>
      <w:r w:rsidRPr="002E3E82">
        <w:rPr>
          <w:rFonts w:ascii="Times New Roman" w:hAnsi="Times New Roman" w:cs="Times New Roman"/>
          <w:sz w:val="24"/>
          <w:szCs w:val="24"/>
        </w:rPr>
        <w:t>100</w:t>
      </w:r>
      <w:proofErr w:type="gramEnd"/>
      <w:r w:rsidRPr="002E3E82">
        <w:rPr>
          <w:rFonts w:ascii="Times New Roman" w:hAnsi="Times New Roman" w:cs="Times New Roman"/>
          <w:sz w:val="24"/>
          <w:szCs w:val="24"/>
        </w:rPr>
        <w:t xml:space="preserve"> milioni di dollari sui soli </w:t>
      </w:r>
      <w:r w:rsidRPr="002E3E82">
        <w:rPr>
          <w:rFonts w:ascii="Times New Roman" w:hAnsi="Times New Roman" w:cs="Times New Roman"/>
          <w:i/>
          <w:iCs/>
          <w:sz w:val="24"/>
          <w:szCs w:val="24"/>
        </w:rPr>
        <w:t xml:space="preserve">The </w:t>
      </w:r>
      <w:proofErr w:type="spellStart"/>
      <w:r w:rsidRPr="002E3E82">
        <w:rPr>
          <w:rFonts w:ascii="Times New Roman" w:hAnsi="Times New Roman" w:cs="Times New Roman"/>
          <w:i/>
          <w:iCs/>
          <w:sz w:val="24"/>
          <w:szCs w:val="24"/>
        </w:rPr>
        <w:t>Sandbox</w:t>
      </w:r>
      <w:proofErr w:type="spellEnd"/>
      <w:r w:rsidRPr="002E3E82">
        <w:rPr>
          <w:rFonts w:ascii="Times New Roman" w:hAnsi="Times New Roman" w:cs="Times New Roman"/>
          <w:i/>
          <w:iCs/>
          <w:sz w:val="24"/>
          <w:szCs w:val="24"/>
        </w:rPr>
        <w:t xml:space="preserve">, </w:t>
      </w:r>
      <w:proofErr w:type="spellStart"/>
      <w:r w:rsidRPr="002E3E82">
        <w:rPr>
          <w:rFonts w:ascii="Times New Roman" w:hAnsi="Times New Roman" w:cs="Times New Roman"/>
          <w:i/>
          <w:iCs/>
          <w:sz w:val="24"/>
          <w:szCs w:val="24"/>
        </w:rPr>
        <w:t>Decentraland</w:t>
      </w:r>
      <w:proofErr w:type="spellEnd"/>
      <w:r w:rsidRPr="002E3E82">
        <w:rPr>
          <w:rFonts w:ascii="Times New Roman" w:hAnsi="Times New Roman" w:cs="Times New Roman"/>
          <w:i/>
          <w:iCs/>
          <w:sz w:val="24"/>
          <w:szCs w:val="24"/>
        </w:rPr>
        <w:t xml:space="preserve">, </w:t>
      </w:r>
      <w:proofErr w:type="spellStart"/>
      <w:r w:rsidRPr="002E3E82">
        <w:rPr>
          <w:rFonts w:ascii="Times New Roman" w:hAnsi="Times New Roman" w:cs="Times New Roman"/>
          <w:i/>
          <w:iCs/>
          <w:sz w:val="24"/>
          <w:szCs w:val="24"/>
        </w:rPr>
        <w:t>CryptoVoxels</w:t>
      </w:r>
      <w:proofErr w:type="spellEnd"/>
      <w:r w:rsidRPr="002E3E82">
        <w:rPr>
          <w:rFonts w:ascii="Times New Roman" w:hAnsi="Times New Roman" w:cs="Times New Roman"/>
          <w:i/>
          <w:iCs/>
          <w:sz w:val="24"/>
          <w:szCs w:val="24"/>
        </w:rPr>
        <w:t xml:space="preserve"> e </w:t>
      </w:r>
      <w:proofErr w:type="spellStart"/>
      <w:r w:rsidRPr="002E3E82">
        <w:rPr>
          <w:rFonts w:ascii="Times New Roman" w:hAnsi="Times New Roman" w:cs="Times New Roman"/>
          <w:i/>
          <w:iCs/>
          <w:sz w:val="24"/>
          <w:szCs w:val="24"/>
        </w:rPr>
        <w:t>Somnium</w:t>
      </w:r>
      <w:proofErr w:type="spellEnd"/>
      <w:r w:rsidRPr="002E3E82">
        <w:rPr>
          <w:rFonts w:ascii="Times New Roman" w:hAnsi="Times New Roman" w:cs="Times New Roman"/>
          <w:i/>
          <w:iCs/>
          <w:sz w:val="24"/>
          <w:szCs w:val="24"/>
        </w:rPr>
        <w:t xml:space="preserve"> Space.</w:t>
      </w:r>
      <w:r w:rsidRPr="002E3E82">
        <w:rPr>
          <w:rFonts w:ascii="Times New Roman" w:hAnsi="Times New Roman" w:cs="Times New Roman"/>
          <w:sz w:val="24"/>
          <w:szCs w:val="24"/>
        </w:rPr>
        <w:t xml:space="preserve"> Non sarebbero solo piccoli investitori in ricerca di facili guadagni. Si parla anche di agenzie immobiliari virtuali, che comprano grandi lotti per scommettere su un loro aumento di valore nel prossimo futuro. </w:t>
      </w:r>
      <w:r w:rsidRPr="002E3E82">
        <w:rPr>
          <w:rFonts w:ascii="Times New Roman" w:hAnsi="Times New Roman" w:cs="Times New Roman"/>
          <w:i/>
          <w:iCs/>
          <w:sz w:val="24"/>
          <w:szCs w:val="24"/>
        </w:rPr>
        <w:t xml:space="preserve">The </w:t>
      </w:r>
      <w:proofErr w:type="spellStart"/>
      <w:r w:rsidRPr="002E3E82">
        <w:rPr>
          <w:rFonts w:ascii="Times New Roman" w:hAnsi="Times New Roman" w:cs="Times New Roman"/>
          <w:i/>
          <w:iCs/>
          <w:sz w:val="24"/>
          <w:szCs w:val="24"/>
        </w:rPr>
        <w:t>Metaverse</w:t>
      </w:r>
      <w:proofErr w:type="spellEnd"/>
      <w:r w:rsidRPr="002E3E82">
        <w:rPr>
          <w:rFonts w:ascii="Times New Roman" w:hAnsi="Times New Roman" w:cs="Times New Roman"/>
          <w:i/>
          <w:iCs/>
          <w:sz w:val="24"/>
          <w:szCs w:val="24"/>
        </w:rPr>
        <w:t xml:space="preserve"> Group</w:t>
      </w:r>
      <w:r w:rsidRPr="002E3E82">
        <w:rPr>
          <w:rFonts w:ascii="Times New Roman" w:hAnsi="Times New Roman" w:cs="Times New Roman"/>
          <w:sz w:val="24"/>
          <w:szCs w:val="24"/>
        </w:rPr>
        <w:t xml:space="preserve">, nell’ultimo periodo, ha riscattato 500 metri quadrati digitali sulla piattaforma virtuale </w:t>
      </w:r>
      <w:proofErr w:type="spellStart"/>
      <w:r w:rsidRPr="002E3E82">
        <w:rPr>
          <w:rFonts w:ascii="Times New Roman" w:hAnsi="Times New Roman" w:cs="Times New Roman"/>
          <w:sz w:val="24"/>
          <w:szCs w:val="24"/>
        </w:rPr>
        <w:t>Decentraland</w:t>
      </w:r>
      <w:proofErr w:type="spellEnd"/>
      <w:r w:rsidRPr="002E3E82">
        <w:rPr>
          <w:rFonts w:ascii="Times New Roman" w:hAnsi="Times New Roman" w:cs="Times New Roman"/>
          <w:sz w:val="24"/>
          <w:szCs w:val="24"/>
        </w:rPr>
        <w:t xml:space="preserve">: la transazione ha mosso 2,43 milioni di dollari. È il fenomeno dei latifondisti 4.0, letteralmente in espansione; v. </w:t>
      </w:r>
      <w:hyperlink r:id="rId5" w:history="1">
        <w:r w:rsidRPr="002E3E82">
          <w:rPr>
            <w:rStyle w:val="Collegamentoipertestuale"/>
            <w:rFonts w:ascii="Times New Roman" w:hAnsi="Times New Roman" w:cs="Times New Roman"/>
            <w:sz w:val="24"/>
            <w:szCs w:val="24"/>
          </w:rPr>
          <w:t>https://www.lindipendente.online/2021/12/04/24-milioni-per-500mq-di-cyber-spazio-il-metaverso-e-la-corsa-alloro-digitale/</w:t>
        </w:r>
      </w:hyperlink>
      <w:r w:rsidRPr="002E3E82">
        <w:rPr>
          <w:rFonts w:ascii="Times New Roman" w:hAnsi="Times New Roman" w:cs="Times New Roman"/>
          <w:sz w:val="24"/>
          <w:szCs w:val="24"/>
        </w:rPr>
        <w:t xml:space="preserve">. Interessante anche il tema dell’acquisto del mattone virtuale, v. </w:t>
      </w:r>
      <w:r w:rsidRPr="002E3E82">
        <w:rPr>
          <w:rFonts w:ascii="Times New Roman" w:hAnsi="Times New Roman" w:cs="Times New Roman"/>
          <w:smallCaps/>
          <w:sz w:val="24"/>
          <w:szCs w:val="24"/>
        </w:rPr>
        <w:t>A. Greco</w:t>
      </w:r>
      <w:r w:rsidRPr="002E3E82">
        <w:rPr>
          <w:rFonts w:ascii="Times New Roman" w:hAnsi="Times New Roman" w:cs="Times New Roman"/>
          <w:sz w:val="24"/>
          <w:szCs w:val="24"/>
        </w:rPr>
        <w:t>, “</w:t>
      </w:r>
      <w:r w:rsidRPr="002E3E82">
        <w:rPr>
          <w:rFonts w:ascii="Times New Roman" w:hAnsi="Times New Roman" w:cs="Times New Roman"/>
          <w:i/>
          <w:iCs/>
          <w:sz w:val="24"/>
          <w:szCs w:val="24"/>
        </w:rPr>
        <w:t xml:space="preserve">Il </w:t>
      </w:r>
      <w:proofErr w:type="spellStart"/>
      <w:r w:rsidRPr="002E3E82">
        <w:rPr>
          <w:rFonts w:ascii="Times New Roman" w:hAnsi="Times New Roman" w:cs="Times New Roman"/>
          <w:i/>
          <w:iCs/>
          <w:sz w:val="24"/>
          <w:szCs w:val="24"/>
        </w:rPr>
        <w:t>metaverso</w:t>
      </w:r>
      <w:proofErr w:type="spellEnd"/>
      <w:r w:rsidRPr="002E3E82">
        <w:rPr>
          <w:rFonts w:ascii="Times New Roman" w:hAnsi="Times New Roman" w:cs="Times New Roman"/>
          <w:i/>
          <w:iCs/>
          <w:sz w:val="24"/>
          <w:szCs w:val="24"/>
        </w:rPr>
        <w:t xml:space="preserve"> come il Monopoli: scatta la corsa al mattone virtuale</w:t>
      </w:r>
      <w:r w:rsidRPr="002E3E82">
        <w:rPr>
          <w:rFonts w:ascii="Times New Roman" w:hAnsi="Times New Roman" w:cs="Times New Roman"/>
          <w:sz w:val="24"/>
          <w:szCs w:val="24"/>
        </w:rPr>
        <w:t xml:space="preserve">”, su </w:t>
      </w:r>
      <w:r w:rsidRPr="002E3E82">
        <w:rPr>
          <w:rFonts w:ascii="Times New Roman" w:hAnsi="Times New Roman" w:cs="Times New Roman"/>
          <w:i/>
          <w:iCs/>
          <w:sz w:val="24"/>
          <w:szCs w:val="24"/>
        </w:rPr>
        <w:t>Repubblica.it</w:t>
      </w:r>
      <w:r w:rsidRPr="002E3E82">
        <w:rPr>
          <w:rFonts w:ascii="Times New Roman" w:hAnsi="Times New Roman" w:cs="Times New Roman"/>
          <w:sz w:val="24"/>
          <w:szCs w:val="24"/>
        </w:rPr>
        <w:t xml:space="preserve">; il fenomeno si sta sviluppando negli ultimi 5 mesi con </w:t>
      </w:r>
      <w:proofErr w:type="spellStart"/>
      <w:r w:rsidRPr="002E3E82">
        <w:rPr>
          <w:rFonts w:ascii="Times New Roman" w:hAnsi="Times New Roman" w:cs="Times New Roman"/>
          <w:i/>
          <w:iCs/>
          <w:sz w:val="24"/>
          <w:szCs w:val="24"/>
        </w:rPr>
        <w:t>Metaverso</w:t>
      </w:r>
      <w:proofErr w:type="spellEnd"/>
      <w:r w:rsidRPr="002E3E82">
        <w:rPr>
          <w:rFonts w:ascii="Times New Roman" w:hAnsi="Times New Roman" w:cs="Times New Roman"/>
          <w:sz w:val="24"/>
          <w:szCs w:val="24"/>
        </w:rPr>
        <w:t xml:space="preserve">, gli acquisti immobiliari con le </w:t>
      </w:r>
      <w:proofErr w:type="spellStart"/>
      <w:r w:rsidRPr="002E3E82">
        <w:rPr>
          <w:rFonts w:ascii="Times New Roman" w:hAnsi="Times New Roman" w:cs="Times New Roman"/>
          <w:sz w:val="24"/>
          <w:szCs w:val="24"/>
        </w:rPr>
        <w:t>criptovalute</w:t>
      </w:r>
      <w:proofErr w:type="spellEnd"/>
      <w:r w:rsidRPr="002E3E82">
        <w:rPr>
          <w:rFonts w:ascii="Times New Roman" w:hAnsi="Times New Roman" w:cs="Times New Roman"/>
          <w:sz w:val="24"/>
          <w:szCs w:val="24"/>
        </w:rPr>
        <w:t xml:space="preserve"> stanno diventando virtuali, v. </w:t>
      </w:r>
      <w:hyperlink r:id="rId6" w:history="1">
        <w:r w:rsidRPr="002E3E82">
          <w:rPr>
            <w:rStyle w:val="Collegamentoipertestuale"/>
            <w:rFonts w:ascii="Times New Roman" w:hAnsi="Times New Roman" w:cs="Times New Roman"/>
            <w:sz w:val="24"/>
            <w:szCs w:val="24"/>
          </w:rPr>
          <w:t>https://www.repubblica.it/cronaca/2021/12/06/news/il_metaverso_come_il_monopoli_scatta_la_corsa_al_mattone_virtuale-329215917/</w:t>
        </w:r>
      </w:hyperlink>
      <w:r w:rsidRPr="002E3E82">
        <w:rPr>
          <w:rFonts w:ascii="Times New Roman" w:hAnsi="Times New Roman" w:cs="Times New Roman"/>
          <w:sz w:val="24"/>
          <w:szCs w:val="24"/>
        </w:rPr>
        <w:t>.</w:t>
      </w:r>
    </w:p>
  </w:footnote>
  <w:footnote w:id="14">
    <w:p w14:paraId="0ED0743A" w14:textId="77ADAAFB" w:rsidR="000463A6" w:rsidRPr="00E937F4" w:rsidRDefault="000463A6" w:rsidP="00F3531B">
      <w:pPr>
        <w:pStyle w:val="Testonotaapidipagina"/>
        <w:jc w:val="both"/>
        <w:rPr>
          <w:rFonts w:ascii="Times New Roman" w:hAnsi="Times New Roman" w:cs="Times New Roman"/>
          <w:i/>
          <w:iCs/>
          <w:sz w:val="24"/>
          <w:szCs w:val="24"/>
        </w:rPr>
      </w:pPr>
      <w:r w:rsidRPr="00F3531B">
        <w:rPr>
          <w:rStyle w:val="Rimandonotaapidipagina"/>
          <w:rFonts w:ascii="Times New Roman" w:hAnsi="Times New Roman" w:cs="Times New Roman"/>
          <w:sz w:val="24"/>
          <w:szCs w:val="24"/>
        </w:rPr>
        <w:footnoteRef/>
      </w:r>
      <w:r w:rsidRPr="00F3531B">
        <w:rPr>
          <w:rFonts w:ascii="Times New Roman" w:hAnsi="Times New Roman" w:cs="Times New Roman"/>
          <w:sz w:val="24"/>
          <w:szCs w:val="24"/>
        </w:rPr>
        <w:t xml:space="preserve"> Come è noto, le </w:t>
      </w:r>
      <w:proofErr w:type="spellStart"/>
      <w:r w:rsidRPr="00F3531B">
        <w:rPr>
          <w:rFonts w:ascii="Times New Roman" w:hAnsi="Times New Roman" w:cs="Times New Roman"/>
          <w:i/>
          <w:iCs/>
          <w:sz w:val="24"/>
          <w:szCs w:val="24"/>
        </w:rPr>
        <w:t>app</w:t>
      </w:r>
      <w:proofErr w:type="spellEnd"/>
      <w:r w:rsidRPr="00F3531B">
        <w:rPr>
          <w:rFonts w:ascii="Times New Roman" w:hAnsi="Times New Roman" w:cs="Times New Roman"/>
          <w:sz w:val="24"/>
          <w:szCs w:val="24"/>
        </w:rPr>
        <w:t xml:space="preserve"> installate sui nostri </w:t>
      </w:r>
      <w:proofErr w:type="spellStart"/>
      <w:r w:rsidRPr="00F3531B">
        <w:rPr>
          <w:rFonts w:ascii="Times New Roman" w:hAnsi="Times New Roman" w:cs="Times New Roman"/>
          <w:i/>
          <w:iCs/>
          <w:sz w:val="24"/>
          <w:szCs w:val="24"/>
        </w:rPr>
        <w:t>smartphone</w:t>
      </w:r>
      <w:proofErr w:type="spellEnd"/>
      <w:r w:rsidRPr="00F3531B">
        <w:rPr>
          <w:rFonts w:ascii="Times New Roman" w:hAnsi="Times New Roman" w:cs="Times New Roman"/>
          <w:sz w:val="24"/>
          <w:szCs w:val="24"/>
        </w:rPr>
        <w:t xml:space="preserve"> “ci spiano” e vivono di dati sempre più numerosi sulle nostre abitudini, sui luoghi che frequentiamo; tuttavia, non tutti sanno che i dati raccolti sulla posizione non sono solo quelli che si ricavano dal GPS. Una definizione che non tutti conoscono è quella di “</w:t>
      </w:r>
      <w:r w:rsidRPr="00F3531B">
        <w:rPr>
          <w:rFonts w:ascii="Times New Roman" w:hAnsi="Times New Roman" w:cs="Times New Roman"/>
          <w:i/>
          <w:iCs/>
          <w:sz w:val="24"/>
          <w:szCs w:val="24"/>
        </w:rPr>
        <w:t xml:space="preserve">location </w:t>
      </w:r>
      <w:proofErr w:type="spellStart"/>
      <w:r w:rsidRPr="00F3531B">
        <w:rPr>
          <w:rFonts w:ascii="Times New Roman" w:hAnsi="Times New Roman" w:cs="Times New Roman"/>
          <w:i/>
          <w:iCs/>
          <w:sz w:val="24"/>
          <w:szCs w:val="24"/>
        </w:rPr>
        <w:t>tracking</w:t>
      </w:r>
      <w:proofErr w:type="spellEnd"/>
      <w:r w:rsidRPr="00F3531B">
        <w:rPr>
          <w:rFonts w:ascii="Times New Roman" w:hAnsi="Times New Roman" w:cs="Times New Roman"/>
          <w:sz w:val="24"/>
          <w:szCs w:val="24"/>
        </w:rPr>
        <w:t>”, dietro cui si cela una articolata serie di dati, tra cui rientrano la posizione (coordinate, indirizzo IP, posizione del Wi-Fi), la pressione barometrica, i dati del giroscopio e dell’accelerometro. Questi ultimi due strumenti permettono di tracciare il profilo di utilizzo del telefono, fungendo da “</w:t>
      </w:r>
      <w:proofErr w:type="spellStart"/>
      <w:r w:rsidRPr="00F3531B">
        <w:rPr>
          <w:rFonts w:ascii="Times New Roman" w:hAnsi="Times New Roman" w:cs="Times New Roman"/>
          <w:i/>
          <w:iCs/>
          <w:sz w:val="24"/>
          <w:szCs w:val="24"/>
        </w:rPr>
        <w:t>backdoor</w:t>
      </w:r>
      <w:proofErr w:type="spellEnd"/>
      <w:r w:rsidRPr="00F3531B">
        <w:rPr>
          <w:rFonts w:ascii="Times New Roman" w:hAnsi="Times New Roman" w:cs="Times New Roman"/>
          <w:sz w:val="24"/>
          <w:szCs w:val="24"/>
        </w:rPr>
        <w:t xml:space="preserve">” per la privacy, soprattutto su sistemi iOS. L’accelerometro, infatti, è molto sofisticato e arriva a captare le vibrazioni del luogo frequentato, i nostri stessi passi, la nostra voce, i rumori e le voci nel luogo in cui ci troviamo. Ciò avviene anche senza il nostro esplicito consenso e non solo sul telefonino (si pensi agli </w:t>
      </w:r>
      <w:proofErr w:type="spellStart"/>
      <w:r w:rsidRPr="00F3531B">
        <w:rPr>
          <w:rFonts w:ascii="Times New Roman" w:hAnsi="Times New Roman" w:cs="Times New Roman"/>
          <w:i/>
          <w:iCs/>
          <w:sz w:val="24"/>
          <w:szCs w:val="24"/>
        </w:rPr>
        <w:t>smartwatch</w:t>
      </w:r>
      <w:proofErr w:type="spellEnd"/>
      <w:r w:rsidRPr="00F3531B">
        <w:rPr>
          <w:rFonts w:ascii="Times New Roman" w:hAnsi="Times New Roman" w:cs="Times New Roman"/>
          <w:sz w:val="24"/>
          <w:szCs w:val="24"/>
        </w:rPr>
        <w:t xml:space="preserve">, ai braccialetti e ai </w:t>
      </w:r>
      <w:proofErr w:type="spellStart"/>
      <w:r w:rsidRPr="00F3531B">
        <w:rPr>
          <w:rFonts w:ascii="Times New Roman" w:hAnsi="Times New Roman" w:cs="Times New Roman"/>
          <w:i/>
          <w:iCs/>
          <w:sz w:val="24"/>
          <w:szCs w:val="24"/>
        </w:rPr>
        <w:t>trackers</w:t>
      </w:r>
      <w:proofErr w:type="spellEnd"/>
      <w:r w:rsidRPr="00F3531B">
        <w:rPr>
          <w:rFonts w:ascii="Times New Roman" w:hAnsi="Times New Roman" w:cs="Times New Roman"/>
          <w:sz w:val="24"/>
          <w:szCs w:val="24"/>
        </w:rPr>
        <w:t xml:space="preserve"> da polso, che usano gli sportivi). A volte è lo stesso sistema di un’</w:t>
      </w:r>
      <w:proofErr w:type="spellStart"/>
      <w:r w:rsidRPr="00F3531B">
        <w:rPr>
          <w:rFonts w:ascii="Times New Roman" w:hAnsi="Times New Roman" w:cs="Times New Roman"/>
          <w:i/>
          <w:iCs/>
          <w:sz w:val="24"/>
          <w:szCs w:val="24"/>
        </w:rPr>
        <w:t>app</w:t>
      </w:r>
      <w:proofErr w:type="spellEnd"/>
      <w:r w:rsidRPr="00F3531B">
        <w:rPr>
          <w:rFonts w:ascii="Times New Roman" w:hAnsi="Times New Roman" w:cs="Times New Roman"/>
          <w:i/>
          <w:iCs/>
          <w:sz w:val="24"/>
          <w:szCs w:val="24"/>
        </w:rPr>
        <w:t xml:space="preserve"> </w:t>
      </w:r>
      <w:r w:rsidRPr="00F3531B">
        <w:rPr>
          <w:rFonts w:ascii="Times New Roman" w:hAnsi="Times New Roman" w:cs="Times New Roman"/>
          <w:sz w:val="24"/>
          <w:szCs w:val="24"/>
        </w:rPr>
        <w:t xml:space="preserve">ad essere progettato per raccogliere dati da molti sensori, spesso necessari per far sì che il sistema stesso funzioni. Il problema è che le </w:t>
      </w:r>
      <w:proofErr w:type="spellStart"/>
      <w:r w:rsidRPr="00F3531B">
        <w:rPr>
          <w:rFonts w:ascii="Times New Roman" w:hAnsi="Times New Roman" w:cs="Times New Roman"/>
          <w:i/>
          <w:iCs/>
          <w:sz w:val="24"/>
          <w:szCs w:val="24"/>
        </w:rPr>
        <w:t>app</w:t>
      </w:r>
      <w:proofErr w:type="spellEnd"/>
      <w:r w:rsidRPr="00F3531B">
        <w:rPr>
          <w:rFonts w:ascii="Times New Roman" w:hAnsi="Times New Roman" w:cs="Times New Roman"/>
          <w:sz w:val="24"/>
          <w:szCs w:val="24"/>
        </w:rPr>
        <w:t xml:space="preserve"> possono arrivare a rintracciare quello che facciamo con il nostro telefono, su quali siti navighiamo, come ci muoviamo sul </w:t>
      </w:r>
      <w:proofErr w:type="spellStart"/>
      <w:r w:rsidRPr="00F3531B">
        <w:rPr>
          <w:rFonts w:ascii="Times New Roman" w:hAnsi="Times New Roman" w:cs="Times New Roman"/>
          <w:i/>
          <w:iCs/>
          <w:sz w:val="24"/>
          <w:szCs w:val="24"/>
        </w:rPr>
        <w:t>touchscreen</w:t>
      </w:r>
      <w:proofErr w:type="spellEnd"/>
      <w:r w:rsidRPr="00F3531B">
        <w:rPr>
          <w:rFonts w:ascii="Times New Roman" w:hAnsi="Times New Roman" w:cs="Times New Roman"/>
          <w:sz w:val="24"/>
          <w:szCs w:val="24"/>
        </w:rPr>
        <w:t xml:space="preserve">, quanto tempo passiamo su una pagina internet, ecc. I produttori dei sistemi operativi come </w:t>
      </w:r>
      <w:r w:rsidRPr="00F3531B">
        <w:rPr>
          <w:rFonts w:ascii="Times New Roman" w:hAnsi="Times New Roman" w:cs="Times New Roman"/>
          <w:i/>
          <w:iCs/>
          <w:sz w:val="24"/>
          <w:szCs w:val="24"/>
        </w:rPr>
        <w:t>Apple</w:t>
      </w:r>
      <w:r w:rsidRPr="00F3531B">
        <w:rPr>
          <w:rFonts w:ascii="Times New Roman" w:hAnsi="Times New Roman" w:cs="Times New Roman"/>
          <w:sz w:val="24"/>
          <w:szCs w:val="24"/>
        </w:rPr>
        <w:t xml:space="preserve"> ed </w:t>
      </w:r>
      <w:proofErr w:type="spellStart"/>
      <w:r w:rsidRPr="00F3531B">
        <w:rPr>
          <w:rFonts w:ascii="Times New Roman" w:hAnsi="Times New Roman" w:cs="Times New Roman"/>
          <w:i/>
          <w:iCs/>
          <w:sz w:val="24"/>
          <w:szCs w:val="24"/>
        </w:rPr>
        <w:t>Android</w:t>
      </w:r>
      <w:proofErr w:type="spellEnd"/>
      <w:r w:rsidRPr="00F3531B">
        <w:rPr>
          <w:rFonts w:ascii="Times New Roman" w:hAnsi="Times New Roman" w:cs="Times New Roman"/>
          <w:sz w:val="24"/>
          <w:szCs w:val="24"/>
        </w:rPr>
        <w:t xml:space="preserve">, prima di concedere le autorizzazioni alle </w:t>
      </w:r>
      <w:proofErr w:type="spellStart"/>
      <w:r w:rsidRPr="00F3531B">
        <w:rPr>
          <w:rFonts w:ascii="Times New Roman" w:hAnsi="Times New Roman" w:cs="Times New Roman"/>
          <w:i/>
          <w:iCs/>
          <w:sz w:val="24"/>
          <w:szCs w:val="24"/>
        </w:rPr>
        <w:t>app</w:t>
      </w:r>
      <w:proofErr w:type="spellEnd"/>
      <w:r w:rsidRPr="00F3531B">
        <w:rPr>
          <w:rFonts w:ascii="Times New Roman" w:hAnsi="Times New Roman" w:cs="Times New Roman"/>
          <w:sz w:val="24"/>
          <w:szCs w:val="24"/>
        </w:rPr>
        <w:t>, dovrebbero potenziare il controllo sulla privacy</w:t>
      </w:r>
      <w:r>
        <w:rPr>
          <w:rFonts w:ascii="Times New Roman" w:hAnsi="Times New Roman" w:cs="Times New Roman"/>
          <w:sz w:val="24"/>
          <w:szCs w:val="24"/>
        </w:rPr>
        <w:t>, evitando</w:t>
      </w:r>
      <w:r w:rsidRPr="00F3531B">
        <w:rPr>
          <w:rFonts w:ascii="Times New Roman" w:hAnsi="Times New Roman" w:cs="Times New Roman"/>
          <w:sz w:val="24"/>
          <w:szCs w:val="24"/>
        </w:rPr>
        <w:t xml:space="preserve"> il raggiro di blocchi espliciti. Si veda l’articolo di </w:t>
      </w:r>
      <w:r w:rsidRPr="00AE70CB">
        <w:rPr>
          <w:rFonts w:ascii="Times New Roman" w:hAnsi="Times New Roman" w:cs="Times New Roman"/>
          <w:smallCaps/>
          <w:sz w:val="24"/>
          <w:szCs w:val="24"/>
        </w:rPr>
        <w:t>N. Ruggiero</w:t>
      </w:r>
      <w:r w:rsidRPr="00F3531B">
        <w:rPr>
          <w:rFonts w:ascii="Times New Roman" w:hAnsi="Times New Roman" w:cs="Times New Roman"/>
          <w:sz w:val="24"/>
          <w:szCs w:val="24"/>
        </w:rPr>
        <w:t>, “</w:t>
      </w:r>
      <w:r w:rsidRPr="00AE70CB">
        <w:rPr>
          <w:rFonts w:ascii="Times New Roman" w:hAnsi="Times New Roman" w:cs="Times New Roman"/>
          <w:i/>
          <w:iCs/>
          <w:sz w:val="24"/>
          <w:szCs w:val="24"/>
        </w:rPr>
        <w:t xml:space="preserve">Quanto (e come) ci spia lo </w:t>
      </w:r>
      <w:proofErr w:type="spellStart"/>
      <w:r w:rsidRPr="00AE70CB">
        <w:rPr>
          <w:rFonts w:ascii="Times New Roman" w:hAnsi="Times New Roman" w:cs="Times New Roman"/>
          <w:i/>
          <w:iCs/>
          <w:sz w:val="24"/>
          <w:szCs w:val="24"/>
        </w:rPr>
        <w:t>smartphone</w:t>
      </w:r>
      <w:proofErr w:type="spellEnd"/>
      <w:r w:rsidRPr="00AE70CB">
        <w:rPr>
          <w:rFonts w:ascii="Times New Roman" w:hAnsi="Times New Roman" w:cs="Times New Roman"/>
          <w:i/>
          <w:iCs/>
          <w:sz w:val="24"/>
          <w:szCs w:val="24"/>
        </w:rPr>
        <w:t xml:space="preserve">? </w:t>
      </w:r>
      <w:r w:rsidRPr="00E937F4">
        <w:rPr>
          <w:rFonts w:ascii="Times New Roman" w:hAnsi="Times New Roman" w:cs="Times New Roman"/>
          <w:i/>
          <w:iCs/>
          <w:sz w:val="24"/>
          <w:szCs w:val="24"/>
        </w:rPr>
        <w:t>Tutte le trappole che ignoriamo</w:t>
      </w:r>
      <w:r w:rsidRPr="00E937F4">
        <w:rPr>
          <w:rFonts w:ascii="Times New Roman" w:hAnsi="Times New Roman" w:cs="Times New Roman"/>
          <w:sz w:val="24"/>
          <w:szCs w:val="24"/>
        </w:rPr>
        <w:t xml:space="preserve">”, su </w:t>
      </w:r>
      <w:r w:rsidRPr="00E937F4">
        <w:rPr>
          <w:rFonts w:ascii="Times New Roman" w:hAnsi="Times New Roman" w:cs="Times New Roman"/>
          <w:i/>
          <w:iCs/>
          <w:sz w:val="24"/>
          <w:szCs w:val="24"/>
        </w:rPr>
        <w:t>agendadigitale.eu.</w:t>
      </w:r>
    </w:p>
  </w:footnote>
  <w:footnote w:id="15">
    <w:p w14:paraId="634E83E1" w14:textId="22D1A16E" w:rsidR="000463A6" w:rsidRPr="00331DD0" w:rsidRDefault="000463A6" w:rsidP="00765F6B">
      <w:pPr>
        <w:pStyle w:val="Testonotaapidipagina"/>
        <w:jc w:val="both"/>
        <w:rPr>
          <w:rFonts w:ascii="Times New Roman" w:hAnsi="Times New Roman" w:cs="Times New Roman"/>
          <w:sz w:val="24"/>
          <w:szCs w:val="24"/>
        </w:rPr>
      </w:pPr>
      <w:r w:rsidRPr="003B3D6F">
        <w:rPr>
          <w:rStyle w:val="Rimandonotaapidipagina"/>
          <w:rFonts w:ascii="Times New Roman" w:hAnsi="Times New Roman" w:cs="Times New Roman"/>
          <w:sz w:val="24"/>
          <w:szCs w:val="24"/>
        </w:rPr>
        <w:footnoteRef/>
      </w:r>
      <w:r w:rsidRPr="00351783">
        <w:rPr>
          <w:rFonts w:ascii="Times New Roman" w:hAnsi="Times New Roman" w:cs="Times New Roman"/>
          <w:sz w:val="24"/>
          <w:szCs w:val="24"/>
        </w:rPr>
        <w:t xml:space="preserve"> V. l’opera di </w:t>
      </w:r>
      <w:r w:rsidRPr="00351783">
        <w:rPr>
          <w:rFonts w:ascii="Times New Roman" w:hAnsi="Times New Roman" w:cs="Times New Roman"/>
          <w:smallCaps/>
          <w:sz w:val="24"/>
          <w:szCs w:val="24"/>
        </w:rPr>
        <w:t xml:space="preserve">R. A. </w:t>
      </w:r>
      <w:proofErr w:type="spellStart"/>
      <w:r w:rsidRPr="00351783">
        <w:rPr>
          <w:rFonts w:ascii="Times New Roman" w:hAnsi="Times New Roman" w:cs="Times New Roman"/>
          <w:smallCaps/>
          <w:sz w:val="24"/>
          <w:szCs w:val="24"/>
        </w:rPr>
        <w:t>Posner</w:t>
      </w:r>
      <w:proofErr w:type="spellEnd"/>
      <w:r w:rsidRPr="00351783">
        <w:rPr>
          <w:rFonts w:ascii="Times New Roman" w:hAnsi="Times New Roman" w:cs="Times New Roman"/>
          <w:sz w:val="24"/>
          <w:szCs w:val="24"/>
        </w:rPr>
        <w:t>, “</w:t>
      </w:r>
      <w:r w:rsidRPr="00351783">
        <w:rPr>
          <w:rFonts w:ascii="Times New Roman" w:hAnsi="Times New Roman" w:cs="Times New Roman"/>
          <w:i/>
          <w:iCs/>
          <w:sz w:val="24"/>
          <w:szCs w:val="24"/>
        </w:rPr>
        <w:t>The Right of Privacy</w:t>
      </w:r>
      <w:r w:rsidRPr="00351783">
        <w:rPr>
          <w:rFonts w:ascii="Times New Roman" w:hAnsi="Times New Roman" w:cs="Times New Roman"/>
          <w:sz w:val="24"/>
          <w:szCs w:val="24"/>
        </w:rPr>
        <w:t xml:space="preserve">”, 12 </w:t>
      </w:r>
      <w:r w:rsidRPr="00351783">
        <w:rPr>
          <w:rFonts w:ascii="Times New Roman" w:hAnsi="Times New Roman" w:cs="Times New Roman"/>
          <w:i/>
          <w:iCs/>
          <w:sz w:val="24"/>
          <w:szCs w:val="24"/>
        </w:rPr>
        <w:t xml:space="preserve">Georgia Law </w:t>
      </w:r>
      <w:proofErr w:type="spellStart"/>
      <w:r w:rsidRPr="00351783">
        <w:rPr>
          <w:rFonts w:ascii="Times New Roman" w:hAnsi="Times New Roman" w:cs="Times New Roman"/>
          <w:i/>
          <w:iCs/>
          <w:sz w:val="24"/>
          <w:szCs w:val="24"/>
        </w:rPr>
        <w:t>Review</w:t>
      </w:r>
      <w:proofErr w:type="spellEnd"/>
      <w:r w:rsidRPr="00351783">
        <w:rPr>
          <w:rFonts w:ascii="Times New Roman" w:hAnsi="Times New Roman" w:cs="Times New Roman"/>
          <w:sz w:val="24"/>
          <w:szCs w:val="24"/>
        </w:rPr>
        <w:t xml:space="preserve"> 393, 1977. </w:t>
      </w:r>
      <w:r w:rsidRPr="00765F6B">
        <w:rPr>
          <w:rFonts w:ascii="Times New Roman" w:hAnsi="Times New Roman" w:cs="Times New Roman"/>
          <w:sz w:val="24"/>
          <w:szCs w:val="24"/>
        </w:rPr>
        <w:t>La patria della privacy viene indicata negli USA. “</w:t>
      </w:r>
      <w:r w:rsidRPr="00765F6B">
        <w:rPr>
          <w:rFonts w:ascii="Times New Roman" w:hAnsi="Times New Roman" w:cs="Times New Roman"/>
          <w:i/>
          <w:iCs/>
          <w:sz w:val="24"/>
          <w:szCs w:val="24"/>
        </w:rPr>
        <w:t xml:space="preserve">The </w:t>
      </w:r>
      <w:proofErr w:type="spellStart"/>
      <w:r w:rsidRPr="00765F6B">
        <w:rPr>
          <w:rFonts w:ascii="Times New Roman" w:hAnsi="Times New Roman" w:cs="Times New Roman"/>
          <w:i/>
          <w:iCs/>
          <w:sz w:val="24"/>
          <w:szCs w:val="24"/>
        </w:rPr>
        <w:t>concept</w:t>
      </w:r>
      <w:proofErr w:type="spellEnd"/>
      <w:r w:rsidRPr="00765F6B">
        <w:rPr>
          <w:rFonts w:ascii="Times New Roman" w:hAnsi="Times New Roman" w:cs="Times New Roman"/>
          <w:i/>
          <w:iCs/>
          <w:sz w:val="24"/>
          <w:szCs w:val="24"/>
        </w:rPr>
        <w:t xml:space="preserve"> of privacy </w:t>
      </w:r>
      <w:proofErr w:type="spellStart"/>
      <w:r w:rsidRPr="00765F6B">
        <w:rPr>
          <w:rFonts w:ascii="Times New Roman" w:hAnsi="Times New Roman" w:cs="Times New Roman"/>
          <w:i/>
          <w:iCs/>
          <w:sz w:val="24"/>
          <w:szCs w:val="24"/>
        </w:rPr>
        <w:t>is</w:t>
      </w:r>
      <w:proofErr w:type="spellEnd"/>
      <w:r w:rsidRPr="00765F6B">
        <w:rPr>
          <w:rFonts w:ascii="Times New Roman" w:hAnsi="Times New Roman" w:cs="Times New Roman"/>
          <w:i/>
          <w:iCs/>
          <w:sz w:val="24"/>
          <w:szCs w:val="24"/>
        </w:rPr>
        <w:t xml:space="preserve"> elusive and </w:t>
      </w:r>
      <w:proofErr w:type="spellStart"/>
      <w:r w:rsidRPr="00765F6B">
        <w:rPr>
          <w:rFonts w:ascii="Times New Roman" w:hAnsi="Times New Roman" w:cs="Times New Roman"/>
          <w:i/>
          <w:iCs/>
          <w:sz w:val="24"/>
          <w:szCs w:val="24"/>
        </w:rPr>
        <w:t>ill</w:t>
      </w:r>
      <w:proofErr w:type="spellEnd"/>
      <w:r w:rsidRPr="00765F6B">
        <w:rPr>
          <w:rFonts w:ascii="Times New Roman" w:hAnsi="Times New Roman" w:cs="Times New Roman"/>
          <w:i/>
          <w:iCs/>
          <w:sz w:val="24"/>
          <w:szCs w:val="24"/>
        </w:rPr>
        <w:t xml:space="preserve"> </w:t>
      </w:r>
      <w:proofErr w:type="spellStart"/>
      <w:r w:rsidRPr="00765F6B">
        <w:rPr>
          <w:rFonts w:ascii="Times New Roman" w:hAnsi="Times New Roman" w:cs="Times New Roman"/>
          <w:i/>
          <w:iCs/>
          <w:sz w:val="24"/>
          <w:szCs w:val="24"/>
        </w:rPr>
        <w:t>defined</w:t>
      </w:r>
      <w:proofErr w:type="spellEnd"/>
      <w:r w:rsidRPr="00765F6B">
        <w:rPr>
          <w:rFonts w:ascii="Times New Roman" w:hAnsi="Times New Roman" w:cs="Times New Roman"/>
          <w:sz w:val="24"/>
          <w:szCs w:val="24"/>
        </w:rPr>
        <w:t xml:space="preserve">” scriveva Richard </w:t>
      </w:r>
      <w:proofErr w:type="spellStart"/>
      <w:r w:rsidRPr="00765F6B">
        <w:rPr>
          <w:rFonts w:ascii="Times New Roman" w:hAnsi="Times New Roman" w:cs="Times New Roman"/>
          <w:sz w:val="24"/>
          <w:szCs w:val="24"/>
        </w:rPr>
        <w:t>Posner</w:t>
      </w:r>
      <w:proofErr w:type="spellEnd"/>
      <w:r w:rsidRPr="00765F6B">
        <w:rPr>
          <w:rFonts w:ascii="Times New Roman" w:hAnsi="Times New Roman" w:cs="Times New Roman"/>
          <w:sz w:val="24"/>
          <w:szCs w:val="24"/>
        </w:rPr>
        <w:t xml:space="preserve"> nel suo saggio del 1977. </w:t>
      </w:r>
      <w:r w:rsidRPr="00765F6B">
        <w:rPr>
          <w:rFonts w:ascii="Times New Roman" w:hAnsi="Times New Roman" w:cs="Times New Roman"/>
          <w:sz w:val="24"/>
          <w:szCs w:val="24"/>
          <w:lang w:val="en-US"/>
        </w:rPr>
        <w:t xml:space="preserve">Sul </w:t>
      </w:r>
      <w:proofErr w:type="spellStart"/>
      <w:r w:rsidRPr="00765F6B">
        <w:rPr>
          <w:rFonts w:ascii="Times New Roman" w:hAnsi="Times New Roman" w:cs="Times New Roman"/>
          <w:sz w:val="24"/>
          <w:szCs w:val="24"/>
          <w:lang w:val="en-US"/>
        </w:rPr>
        <w:t>finire</w:t>
      </w:r>
      <w:proofErr w:type="spellEnd"/>
      <w:r w:rsidRPr="00765F6B">
        <w:rPr>
          <w:rFonts w:ascii="Times New Roman" w:hAnsi="Times New Roman" w:cs="Times New Roman"/>
          <w:sz w:val="24"/>
          <w:szCs w:val="24"/>
          <w:lang w:val="en-US"/>
        </w:rPr>
        <w:t xml:space="preserve"> dell’800, </w:t>
      </w:r>
      <w:proofErr w:type="spellStart"/>
      <w:r w:rsidRPr="00765F6B">
        <w:rPr>
          <w:rFonts w:ascii="Times New Roman" w:hAnsi="Times New Roman" w:cs="Times New Roman"/>
          <w:sz w:val="24"/>
          <w:szCs w:val="24"/>
          <w:lang w:val="en-US"/>
        </w:rPr>
        <w:t>soprattutto</w:t>
      </w:r>
      <w:proofErr w:type="spellEnd"/>
      <w:r w:rsidRPr="00765F6B">
        <w:rPr>
          <w:rFonts w:ascii="Times New Roman" w:hAnsi="Times New Roman" w:cs="Times New Roman"/>
          <w:sz w:val="24"/>
          <w:szCs w:val="24"/>
          <w:lang w:val="en-US"/>
        </w:rPr>
        <w:t xml:space="preserve"> a </w:t>
      </w:r>
      <w:proofErr w:type="spellStart"/>
      <w:r w:rsidRPr="00765F6B">
        <w:rPr>
          <w:rFonts w:ascii="Times New Roman" w:hAnsi="Times New Roman" w:cs="Times New Roman"/>
          <w:sz w:val="24"/>
          <w:szCs w:val="24"/>
          <w:lang w:val="en-US"/>
        </w:rPr>
        <w:t>partire</w:t>
      </w:r>
      <w:proofErr w:type="spellEnd"/>
      <w:r w:rsidRPr="00765F6B">
        <w:rPr>
          <w:rFonts w:ascii="Times New Roman" w:hAnsi="Times New Roman" w:cs="Times New Roman"/>
          <w:sz w:val="24"/>
          <w:szCs w:val="24"/>
          <w:lang w:val="en-US"/>
        </w:rPr>
        <w:t xml:space="preserve"> </w:t>
      </w:r>
      <w:proofErr w:type="spellStart"/>
      <w:r w:rsidRPr="00765F6B">
        <w:rPr>
          <w:rFonts w:ascii="Times New Roman" w:hAnsi="Times New Roman" w:cs="Times New Roman"/>
          <w:sz w:val="24"/>
          <w:szCs w:val="24"/>
          <w:lang w:val="en-US"/>
        </w:rPr>
        <w:t>dalla</w:t>
      </w:r>
      <w:proofErr w:type="spellEnd"/>
      <w:r w:rsidRPr="00765F6B">
        <w:rPr>
          <w:rFonts w:ascii="Times New Roman" w:hAnsi="Times New Roman" w:cs="Times New Roman"/>
          <w:sz w:val="24"/>
          <w:szCs w:val="24"/>
          <w:lang w:val="en-US"/>
        </w:rPr>
        <w:t xml:space="preserve"> </w:t>
      </w:r>
      <w:proofErr w:type="spellStart"/>
      <w:r w:rsidRPr="00765F6B">
        <w:rPr>
          <w:rFonts w:ascii="Times New Roman" w:hAnsi="Times New Roman" w:cs="Times New Roman"/>
          <w:sz w:val="24"/>
          <w:szCs w:val="24"/>
          <w:lang w:val="en-US"/>
        </w:rPr>
        <w:t>città</w:t>
      </w:r>
      <w:proofErr w:type="spellEnd"/>
      <w:r w:rsidRPr="00765F6B">
        <w:rPr>
          <w:rFonts w:ascii="Times New Roman" w:hAnsi="Times New Roman" w:cs="Times New Roman"/>
          <w:sz w:val="24"/>
          <w:szCs w:val="24"/>
          <w:lang w:val="en-US"/>
        </w:rPr>
        <w:t xml:space="preserve"> di Boston, </w:t>
      </w:r>
      <w:proofErr w:type="spellStart"/>
      <w:r w:rsidRPr="00765F6B">
        <w:rPr>
          <w:rFonts w:ascii="Times New Roman" w:hAnsi="Times New Roman" w:cs="Times New Roman"/>
          <w:sz w:val="24"/>
          <w:szCs w:val="24"/>
          <w:lang w:val="en-US"/>
        </w:rPr>
        <w:t>si</w:t>
      </w:r>
      <w:proofErr w:type="spellEnd"/>
      <w:r w:rsidRPr="00765F6B">
        <w:rPr>
          <w:rFonts w:ascii="Times New Roman" w:hAnsi="Times New Roman" w:cs="Times New Roman"/>
          <w:sz w:val="24"/>
          <w:szCs w:val="24"/>
          <w:lang w:val="en-US"/>
        </w:rPr>
        <w:t xml:space="preserve"> </w:t>
      </w:r>
      <w:proofErr w:type="spellStart"/>
      <w:r w:rsidRPr="00765F6B">
        <w:rPr>
          <w:rFonts w:ascii="Times New Roman" w:hAnsi="Times New Roman" w:cs="Times New Roman"/>
          <w:sz w:val="24"/>
          <w:szCs w:val="24"/>
          <w:lang w:val="en-US"/>
        </w:rPr>
        <w:t>delinea</w:t>
      </w:r>
      <w:proofErr w:type="spellEnd"/>
      <w:r w:rsidRPr="00765F6B">
        <w:rPr>
          <w:rFonts w:ascii="Times New Roman" w:hAnsi="Times New Roman" w:cs="Times New Roman"/>
          <w:sz w:val="24"/>
          <w:szCs w:val="24"/>
          <w:lang w:val="en-US"/>
        </w:rPr>
        <w:t xml:space="preserve"> “</w:t>
      </w:r>
      <w:r w:rsidRPr="00765F6B">
        <w:rPr>
          <w:rFonts w:ascii="Times New Roman" w:hAnsi="Times New Roman" w:cs="Times New Roman"/>
          <w:i/>
          <w:iCs/>
          <w:sz w:val="24"/>
          <w:szCs w:val="24"/>
          <w:lang w:val="en-US"/>
        </w:rPr>
        <w:t>the right to be let alone</w:t>
      </w:r>
      <w:r w:rsidRPr="00765F6B">
        <w:rPr>
          <w:rFonts w:ascii="Times New Roman" w:hAnsi="Times New Roman" w:cs="Times New Roman"/>
          <w:sz w:val="24"/>
          <w:szCs w:val="24"/>
          <w:lang w:val="en-US"/>
        </w:rPr>
        <w:t>”, lo “</w:t>
      </w:r>
      <w:r w:rsidRPr="00765F6B">
        <w:rPr>
          <w:rFonts w:ascii="Times New Roman" w:hAnsi="Times New Roman" w:cs="Times New Roman"/>
          <w:i/>
          <w:iCs/>
          <w:sz w:val="24"/>
          <w:szCs w:val="24"/>
          <w:lang w:val="en-US"/>
        </w:rPr>
        <w:t xml:space="preserve">jus </w:t>
      </w:r>
      <w:proofErr w:type="spellStart"/>
      <w:r w:rsidRPr="00765F6B">
        <w:rPr>
          <w:rFonts w:ascii="Times New Roman" w:hAnsi="Times New Roman" w:cs="Times New Roman"/>
          <w:i/>
          <w:iCs/>
          <w:sz w:val="24"/>
          <w:szCs w:val="24"/>
          <w:lang w:val="en-US"/>
        </w:rPr>
        <w:t>solitudinis</w:t>
      </w:r>
      <w:proofErr w:type="spellEnd"/>
      <w:r w:rsidRPr="00765F6B">
        <w:rPr>
          <w:rFonts w:ascii="Times New Roman" w:hAnsi="Times New Roman" w:cs="Times New Roman"/>
          <w:sz w:val="24"/>
          <w:szCs w:val="24"/>
          <w:lang w:val="en-US"/>
        </w:rPr>
        <w:t>”</w:t>
      </w:r>
      <w:r>
        <w:rPr>
          <w:rFonts w:ascii="Times New Roman" w:hAnsi="Times New Roman" w:cs="Times New Roman"/>
          <w:sz w:val="24"/>
          <w:szCs w:val="24"/>
          <w:lang w:val="en-US"/>
        </w:rPr>
        <w:t>,</w:t>
      </w:r>
      <w:r w:rsidRPr="00765F6B">
        <w:rPr>
          <w:rFonts w:ascii="Times New Roman" w:hAnsi="Times New Roman" w:cs="Times New Roman"/>
          <w:sz w:val="24"/>
          <w:szCs w:val="24"/>
          <w:lang w:val="en-US"/>
        </w:rPr>
        <w:t xml:space="preserve"> da </w:t>
      </w:r>
      <w:proofErr w:type="spellStart"/>
      <w:r w:rsidRPr="00765F6B">
        <w:rPr>
          <w:rFonts w:ascii="Times New Roman" w:hAnsi="Times New Roman" w:cs="Times New Roman"/>
          <w:sz w:val="24"/>
          <w:szCs w:val="24"/>
          <w:lang w:val="en-US"/>
        </w:rPr>
        <w:t>parte</w:t>
      </w:r>
      <w:proofErr w:type="spellEnd"/>
      <w:r w:rsidRPr="00765F6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 </w:t>
      </w:r>
      <w:r w:rsidRPr="00765F6B">
        <w:rPr>
          <w:rFonts w:ascii="Times New Roman" w:hAnsi="Times New Roman" w:cs="Times New Roman"/>
          <w:smallCaps/>
          <w:sz w:val="24"/>
          <w:szCs w:val="24"/>
          <w:lang w:val="en-US"/>
        </w:rPr>
        <w:t>S. D. Warren</w:t>
      </w:r>
      <w:r w:rsidRPr="00765F6B">
        <w:rPr>
          <w:rFonts w:ascii="Times New Roman" w:hAnsi="Times New Roman" w:cs="Times New Roman"/>
          <w:sz w:val="24"/>
          <w:szCs w:val="24"/>
          <w:lang w:val="en-US"/>
        </w:rPr>
        <w:t xml:space="preserve"> e </w:t>
      </w:r>
      <w:r w:rsidRPr="00765F6B">
        <w:rPr>
          <w:rFonts w:ascii="Times New Roman" w:hAnsi="Times New Roman" w:cs="Times New Roman"/>
          <w:smallCaps/>
          <w:sz w:val="24"/>
          <w:szCs w:val="24"/>
          <w:lang w:val="en-US"/>
        </w:rPr>
        <w:t>L. D. Brandeis</w:t>
      </w:r>
      <w:r w:rsidRPr="00765F6B">
        <w:rPr>
          <w:rFonts w:ascii="Times New Roman" w:hAnsi="Times New Roman" w:cs="Times New Roman"/>
          <w:sz w:val="24"/>
          <w:szCs w:val="24"/>
          <w:lang w:val="en-US"/>
        </w:rPr>
        <w:t>, “</w:t>
      </w:r>
      <w:r w:rsidRPr="00765F6B">
        <w:rPr>
          <w:rFonts w:ascii="Times New Roman" w:hAnsi="Times New Roman" w:cs="Times New Roman"/>
          <w:i/>
          <w:iCs/>
          <w:sz w:val="24"/>
          <w:szCs w:val="24"/>
          <w:lang w:val="en-US"/>
        </w:rPr>
        <w:t>The Right to privacy</w:t>
      </w:r>
      <w:r w:rsidRPr="00765F6B">
        <w:rPr>
          <w:rFonts w:ascii="Times New Roman" w:hAnsi="Times New Roman" w:cs="Times New Roman"/>
          <w:sz w:val="24"/>
          <w:szCs w:val="24"/>
          <w:lang w:val="en-US"/>
        </w:rPr>
        <w:t xml:space="preserve">”, </w:t>
      </w:r>
      <w:r w:rsidRPr="00765F6B">
        <w:rPr>
          <w:rFonts w:ascii="Times New Roman" w:hAnsi="Times New Roman" w:cs="Times New Roman"/>
          <w:i/>
          <w:iCs/>
          <w:sz w:val="24"/>
          <w:szCs w:val="24"/>
          <w:lang w:val="en-US"/>
        </w:rPr>
        <w:t>Harvard Law Review</w:t>
      </w:r>
      <w:r w:rsidRPr="00765F6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65F6B">
        <w:rPr>
          <w:rFonts w:ascii="Times New Roman" w:hAnsi="Times New Roman" w:cs="Times New Roman"/>
          <w:sz w:val="24"/>
          <w:szCs w:val="24"/>
          <w:lang w:val="en-US"/>
        </w:rPr>
        <w:t xml:space="preserve">1890; </w:t>
      </w:r>
      <w:proofErr w:type="spellStart"/>
      <w:r w:rsidRPr="00765F6B">
        <w:rPr>
          <w:rFonts w:ascii="Times New Roman" w:hAnsi="Times New Roman" w:cs="Times New Roman"/>
          <w:sz w:val="24"/>
          <w:szCs w:val="24"/>
          <w:lang w:val="en-US"/>
        </w:rPr>
        <w:t>nell’ambito</w:t>
      </w:r>
      <w:proofErr w:type="spellEnd"/>
      <w:r w:rsidRPr="00765F6B">
        <w:rPr>
          <w:rFonts w:ascii="Times New Roman" w:hAnsi="Times New Roman" w:cs="Times New Roman"/>
          <w:sz w:val="24"/>
          <w:szCs w:val="24"/>
          <w:lang w:val="en-US"/>
        </w:rPr>
        <w:t xml:space="preserve"> </w:t>
      </w:r>
      <w:proofErr w:type="spellStart"/>
      <w:r w:rsidRPr="00765F6B">
        <w:rPr>
          <w:rFonts w:ascii="Times New Roman" w:hAnsi="Times New Roman" w:cs="Times New Roman"/>
          <w:sz w:val="24"/>
          <w:szCs w:val="24"/>
          <w:lang w:val="en-US"/>
        </w:rPr>
        <w:t>della</w:t>
      </w:r>
      <w:proofErr w:type="spellEnd"/>
      <w:r w:rsidRPr="00765F6B">
        <w:rPr>
          <w:rFonts w:ascii="Times New Roman" w:hAnsi="Times New Roman" w:cs="Times New Roman"/>
          <w:sz w:val="24"/>
          <w:szCs w:val="24"/>
          <w:lang w:val="en-US"/>
        </w:rPr>
        <w:t xml:space="preserve"> </w:t>
      </w:r>
      <w:r w:rsidRPr="00765F6B">
        <w:rPr>
          <w:rFonts w:ascii="Times New Roman" w:hAnsi="Times New Roman" w:cs="Times New Roman"/>
          <w:i/>
          <w:iCs/>
          <w:sz w:val="24"/>
          <w:szCs w:val="24"/>
          <w:lang w:val="en-US"/>
        </w:rPr>
        <w:t>law of torts</w:t>
      </w:r>
      <w:r w:rsidRPr="00765F6B">
        <w:rPr>
          <w:rFonts w:ascii="Times New Roman" w:hAnsi="Times New Roman" w:cs="Times New Roman"/>
          <w:sz w:val="24"/>
          <w:szCs w:val="24"/>
          <w:lang w:val="en-US"/>
        </w:rPr>
        <w:t xml:space="preserve">, </w:t>
      </w:r>
      <w:proofErr w:type="spellStart"/>
      <w:r w:rsidRPr="00765F6B">
        <w:rPr>
          <w:rFonts w:ascii="Times New Roman" w:hAnsi="Times New Roman" w:cs="Times New Roman"/>
          <w:sz w:val="24"/>
          <w:szCs w:val="24"/>
          <w:lang w:val="en-US"/>
        </w:rPr>
        <w:t>si</w:t>
      </w:r>
      <w:proofErr w:type="spellEnd"/>
      <w:r w:rsidRPr="00765F6B">
        <w:rPr>
          <w:rFonts w:ascii="Times New Roman" w:hAnsi="Times New Roman" w:cs="Times New Roman"/>
          <w:sz w:val="24"/>
          <w:szCs w:val="24"/>
          <w:lang w:val="en-US"/>
        </w:rPr>
        <w:t xml:space="preserve"> </w:t>
      </w:r>
      <w:proofErr w:type="spellStart"/>
      <w:r w:rsidRPr="00765F6B">
        <w:rPr>
          <w:rFonts w:ascii="Times New Roman" w:hAnsi="Times New Roman" w:cs="Times New Roman"/>
          <w:sz w:val="24"/>
          <w:szCs w:val="24"/>
          <w:lang w:val="en-US"/>
        </w:rPr>
        <w:t>veda</w:t>
      </w:r>
      <w:proofErr w:type="spellEnd"/>
      <w:r w:rsidRPr="00765F6B">
        <w:rPr>
          <w:rFonts w:ascii="Times New Roman" w:hAnsi="Times New Roman" w:cs="Times New Roman"/>
          <w:sz w:val="24"/>
          <w:szCs w:val="24"/>
          <w:lang w:val="en-US"/>
        </w:rPr>
        <w:t xml:space="preserve"> </w:t>
      </w:r>
      <w:proofErr w:type="spellStart"/>
      <w:r w:rsidRPr="00765F6B">
        <w:rPr>
          <w:rFonts w:ascii="Times New Roman" w:hAnsi="Times New Roman" w:cs="Times New Roman"/>
          <w:sz w:val="24"/>
          <w:szCs w:val="24"/>
          <w:lang w:val="en-US"/>
        </w:rPr>
        <w:t>anche</w:t>
      </w:r>
      <w:proofErr w:type="spellEnd"/>
      <w:r w:rsidRPr="00765F6B">
        <w:rPr>
          <w:rFonts w:ascii="Times New Roman" w:hAnsi="Times New Roman" w:cs="Times New Roman"/>
          <w:sz w:val="24"/>
          <w:szCs w:val="24"/>
          <w:lang w:val="en-US"/>
        </w:rPr>
        <w:t xml:space="preserve"> </w:t>
      </w:r>
      <w:proofErr w:type="spellStart"/>
      <w:r w:rsidRPr="00765F6B">
        <w:rPr>
          <w:rFonts w:ascii="Times New Roman" w:hAnsi="Times New Roman" w:cs="Times New Roman"/>
          <w:sz w:val="24"/>
          <w:szCs w:val="24"/>
          <w:lang w:val="en-US"/>
        </w:rPr>
        <w:t>l’opera</w:t>
      </w:r>
      <w:proofErr w:type="spellEnd"/>
      <w:r w:rsidRPr="00765F6B">
        <w:rPr>
          <w:rFonts w:ascii="Times New Roman" w:hAnsi="Times New Roman" w:cs="Times New Roman"/>
          <w:sz w:val="24"/>
          <w:szCs w:val="24"/>
          <w:lang w:val="en-US"/>
        </w:rPr>
        <w:t xml:space="preserve"> di T</w:t>
      </w:r>
      <w:r w:rsidRPr="00765F6B">
        <w:rPr>
          <w:rFonts w:ascii="Times New Roman" w:hAnsi="Times New Roman" w:cs="Times New Roman"/>
          <w:smallCaps/>
          <w:sz w:val="24"/>
          <w:szCs w:val="24"/>
          <w:lang w:val="en-US"/>
        </w:rPr>
        <w:t>. M. Cooley</w:t>
      </w:r>
      <w:r w:rsidRPr="00765F6B">
        <w:rPr>
          <w:rFonts w:ascii="Times New Roman" w:hAnsi="Times New Roman" w:cs="Times New Roman"/>
          <w:sz w:val="24"/>
          <w:szCs w:val="24"/>
          <w:lang w:val="en-US"/>
        </w:rPr>
        <w:t>, “</w:t>
      </w:r>
      <w:r w:rsidRPr="00765F6B">
        <w:rPr>
          <w:rFonts w:ascii="Times New Roman" w:hAnsi="Times New Roman" w:cs="Times New Roman"/>
          <w:i/>
          <w:iCs/>
          <w:sz w:val="24"/>
          <w:szCs w:val="24"/>
          <w:lang w:val="en-US"/>
        </w:rPr>
        <w:t>A Treatise on the Law of Torts or the Wrongs Which Arise Independent of Contract</w:t>
      </w:r>
      <w:r w:rsidRPr="00765F6B">
        <w:rPr>
          <w:rFonts w:ascii="Times New Roman" w:hAnsi="Times New Roman" w:cs="Times New Roman"/>
          <w:sz w:val="24"/>
          <w:szCs w:val="24"/>
          <w:lang w:val="en-US"/>
        </w:rPr>
        <w:t>”, Chicago, 1888.</w:t>
      </w:r>
      <w:r>
        <w:rPr>
          <w:rFonts w:ascii="Times New Roman" w:hAnsi="Times New Roman" w:cs="Times New Roman"/>
          <w:sz w:val="24"/>
          <w:szCs w:val="24"/>
          <w:lang w:val="en-US"/>
        </w:rPr>
        <w:t xml:space="preserve"> </w:t>
      </w:r>
      <w:r w:rsidRPr="000463A6">
        <w:rPr>
          <w:rFonts w:ascii="Times New Roman" w:hAnsi="Times New Roman" w:cs="Times New Roman"/>
          <w:sz w:val="24"/>
          <w:szCs w:val="24"/>
          <w:lang w:val="en-GB"/>
        </w:rPr>
        <w:t xml:space="preserve"> </w:t>
      </w:r>
      <w:r>
        <w:rPr>
          <w:rFonts w:ascii="Times New Roman" w:hAnsi="Times New Roman" w:cs="Times New Roman"/>
          <w:sz w:val="24"/>
          <w:szCs w:val="24"/>
        </w:rPr>
        <w:t xml:space="preserve">Riguardo al </w:t>
      </w:r>
      <w:r w:rsidRPr="00765F6B">
        <w:rPr>
          <w:rFonts w:ascii="Times New Roman" w:hAnsi="Times New Roman" w:cs="Times New Roman"/>
          <w:sz w:val="24"/>
          <w:szCs w:val="24"/>
        </w:rPr>
        <w:t>“</w:t>
      </w:r>
      <w:r w:rsidRPr="00765F6B">
        <w:rPr>
          <w:rFonts w:ascii="Times New Roman" w:hAnsi="Times New Roman" w:cs="Times New Roman"/>
          <w:i/>
          <w:iCs/>
          <w:sz w:val="24"/>
          <w:szCs w:val="24"/>
        </w:rPr>
        <w:t xml:space="preserve">the right to be </w:t>
      </w:r>
      <w:proofErr w:type="spellStart"/>
      <w:r w:rsidRPr="00765F6B">
        <w:rPr>
          <w:rFonts w:ascii="Times New Roman" w:hAnsi="Times New Roman" w:cs="Times New Roman"/>
          <w:i/>
          <w:iCs/>
          <w:sz w:val="24"/>
          <w:szCs w:val="24"/>
        </w:rPr>
        <w:t>forgotten</w:t>
      </w:r>
      <w:proofErr w:type="spellEnd"/>
      <w:r w:rsidRPr="00765F6B">
        <w:rPr>
          <w:rFonts w:ascii="Times New Roman" w:hAnsi="Times New Roman" w:cs="Times New Roman"/>
          <w:sz w:val="24"/>
          <w:szCs w:val="24"/>
        </w:rPr>
        <w:t>”</w:t>
      </w:r>
      <w:r>
        <w:rPr>
          <w:rFonts w:ascii="Times New Roman" w:hAnsi="Times New Roman" w:cs="Times New Roman"/>
          <w:sz w:val="24"/>
          <w:szCs w:val="24"/>
        </w:rPr>
        <w:t xml:space="preserve"> il</w:t>
      </w:r>
      <w:r w:rsidRPr="00765F6B">
        <w:rPr>
          <w:rFonts w:ascii="Times New Roman" w:hAnsi="Times New Roman" w:cs="Times New Roman"/>
          <w:sz w:val="24"/>
          <w:szCs w:val="24"/>
        </w:rPr>
        <w:t xml:space="preserve"> caso noto è quello </w:t>
      </w:r>
      <w:proofErr w:type="spellStart"/>
      <w:r w:rsidRPr="00765F6B">
        <w:rPr>
          <w:rFonts w:ascii="Times New Roman" w:hAnsi="Times New Roman" w:cs="Times New Roman"/>
          <w:i/>
          <w:iCs/>
          <w:sz w:val="24"/>
          <w:szCs w:val="24"/>
        </w:rPr>
        <w:t>Melvin</w:t>
      </w:r>
      <w:proofErr w:type="spellEnd"/>
      <w:r w:rsidRPr="00765F6B">
        <w:rPr>
          <w:rFonts w:ascii="Times New Roman" w:hAnsi="Times New Roman" w:cs="Times New Roman"/>
          <w:sz w:val="24"/>
          <w:szCs w:val="24"/>
        </w:rPr>
        <w:t xml:space="preserve"> contro </w:t>
      </w:r>
      <w:proofErr w:type="spellStart"/>
      <w:r w:rsidRPr="00765F6B">
        <w:rPr>
          <w:rFonts w:ascii="Times New Roman" w:hAnsi="Times New Roman" w:cs="Times New Roman"/>
          <w:i/>
          <w:iCs/>
          <w:sz w:val="24"/>
          <w:szCs w:val="24"/>
        </w:rPr>
        <w:t>Reid</w:t>
      </w:r>
      <w:proofErr w:type="spellEnd"/>
      <w:r w:rsidRPr="00765F6B">
        <w:rPr>
          <w:rFonts w:ascii="Times New Roman" w:hAnsi="Times New Roman" w:cs="Times New Roman"/>
          <w:sz w:val="24"/>
          <w:szCs w:val="24"/>
        </w:rPr>
        <w:t>, definito nel 1931, originato dall’utilizzo di dati personali all’interno di una pellicola cinematografica. La Corte d’Appello della California si era occupata delle doglianze formulate da un’ex prostituta, accusata di omicidio</w:t>
      </w:r>
      <w:r>
        <w:rPr>
          <w:rFonts w:ascii="Times New Roman" w:hAnsi="Times New Roman" w:cs="Times New Roman"/>
          <w:sz w:val="24"/>
          <w:szCs w:val="24"/>
        </w:rPr>
        <w:t xml:space="preserve"> e</w:t>
      </w:r>
      <w:r w:rsidRPr="00765F6B">
        <w:rPr>
          <w:rFonts w:ascii="Times New Roman" w:hAnsi="Times New Roman" w:cs="Times New Roman"/>
          <w:sz w:val="24"/>
          <w:szCs w:val="24"/>
        </w:rPr>
        <w:t xml:space="preserve"> poi assolta. La signora aveva cercato di “lasciarsi alle spalle” il caso di cronaca che l’aveva vista coinvolta, un tentativo (in parte riuscito) di rifarsi una vita “normale”. Tuttavia, il film “</w:t>
      </w:r>
      <w:r w:rsidRPr="00765F6B">
        <w:rPr>
          <w:rFonts w:ascii="Times New Roman" w:hAnsi="Times New Roman" w:cs="Times New Roman"/>
          <w:i/>
          <w:iCs/>
          <w:sz w:val="24"/>
          <w:szCs w:val="24"/>
        </w:rPr>
        <w:t xml:space="preserve">The </w:t>
      </w:r>
      <w:proofErr w:type="spellStart"/>
      <w:r w:rsidRPr="00765F6B">
        <w:rPr>
          <w:rFonts w:ascii="Times New Roman" w:hAnsi="Times New Roman" w:cs="Times New Roman"/>
          <w:i/>
          <w:iCs/>
          <w:sz w:val="24"/>
          <w:szCs w:val="24"/>
        </w:rPr>
        <w:t>Red</w:t>
      </w:r>
      <w:proofErr w:type="spellEnd"/>
      <w:r w:rsidRPr="00765F6B">
        <w:rPr>
          <w:rFonts w:ascii="Times New Roman" w:hAnsi="Times New Roman" w:cs="Times New Roman"/>
          <w:i/>
          <w:iCs/>
          <w:sz w:val="24"/>
          <w:szCs w:val="24"/>
        </w:rPr>
        <w:t xml:space="preserve"> Kimono</w:t>
      </w:r>
      <w:r w:rsidRPr="00765F6B">
        <w:rPr>
          <w:rFonts w:ascii="Times New Roman" w:hAnsi="Times New Roman" w:cs="Times New Roman"/>
          <w:sz w:val="24"/>
          <w:szCs w:val="24"/>
        </w:rPr>
        <w:t>” rivelava la storia della prostituta, andando a ripercorrere i gravi fatti di cui la signora era stata accusata. La Corte accolse le richieste dell’istante, affermando che «</w:t>
      </w:r>
      <w:r w:rsidRPr="00765F6B">
        <w:rPr>
          <w:rFonts w:ascii="Times New Roman" w:hAnsi="Times New Roman" w:cs="Times New Roman"/>
          <w:i/>
          <w:iCs/>
          <w:sz w:val="24"/>
          <w:szCs w:val="24"/>
        </w:rPr>
        <w:t>a qualsiasi persona condannata ma poi assolta va riconosciuto il diritto alla felicità, che include il diritto di difendersi da attacchi inutili alla propria sfera personale, alla condizione sociale e alla reputazione</w:t>
      </w:r>
      <w:r w:rsidRPr="00765F6B">
        <w:rPr>
          <w:rFonts w:ascii="Times New Roman" w:hAnsi="Times New Roman" w:cs="Times New Roman"/>
          <w:sz w:val="24"/>
          <w:szCs w:val="24"/>
        </w:rPr>
        <w:t>»</w:t>
      </w:r>
      <w:r>
        <w:rPr>
          <w:rFonts w:ascii="Times New Roman" w:hAnsi="Times New Roman" w:cs="Times New Roman"/>
          <w:sz w:val="24"/>
          <w:szCs w:val="24"/>
        </w:rPr>
        <w:t>.</w:t>
      </w:r>
    </w:p>
  </w:footnote>
  <w:footnote w:id="16">
    <w:p w14:paraId="727A2DC5" w14:textId="494FBBFE" w:rsidR="000463A6" w:rsidRPr="00B7458A" w:rsidRDefault="000463A6" w:rsidP="00B7458A">
      <w:pPr>
        <w:pStyle w:val="Testonotaapidipagina"/>
        <w:jc w:val="both"/>
        <w:rPr>
          <w:rFonts w:ascii="Times New Roman" w:hAnsi="Times New Roman" w:cs="Times New Roman"/>
          <w:sz w:val="24"/>
          <w:szCs w:val="24"/>
        </w:rPr>
      </w:pPr>
      <w:r w:rsidRPr="00B7458A">
        <w:rPr>
          <w:rStyle w:val="Rimandonotaapidipagina"/>
          <w:rFonts w:ascii="Times New Roman" w:hAnsi="Times New Roman" w:cs="Times New Roman"/>
          <w:sz w:val="24"/>
          <w:szCs w:val="24"/>
        </w:rPr>
        <w:footnoteRef/>
      </w:r>
      <w:r w:rsidRPr="00B7458A">
        <w:rPr>
          <w:rFonts w:ascii="Times New Roman" w:hAnsi="Times New Roman" w:cs="Times New Roman"/>
          <w:sz w:val="24"/>
          <w:szCs w:val="24"/>
        </w:rPr>
        <w:t xml:space="preserve"> </w:t>
      </w:r>
      <w:r w:rsidRPr="00B7458A">
        <w:rPr>
          <w:rFonts w:ascii="Times New Roman" w:hAnsi="Times New Roman" w:cs="Times New Roman"/>
          <w:smallCaps/>
          <w:sz w:val="24"/>
          <w:szCs w:val="24"/>
        </w:rPr>
        <w:t xml:space="preserve">A. </w:t>
      </w:r>
      <w:proofErr w:type="spellStart"/>
      <w:r w:rsidRPr="00B7458A">
        <w:rPr>
          <w:rFonts w:ascii="Times New Roman" w:hAnsi="Times New Roman" w:cs="Times New Roman"/>
          <w:smallCaps/>
          <w:sz w:val="24"/>
          <w:szCs w:val="24"/>
        </w:rPr>
        <w:t>Simoncini</w:t>
      </w:r>
      <w:proofErr w:type="spellEnd"/>
      <w:r w:rsidRPr="00B7458A">
        <w:rPr>
          <w:rFonts w:ascii="Times New Roman" w:hAnsi="Times New Roman" w:cs="Times New Roman"/>
          <w:sz w:val="24"/>
          <w:szCs w:val="24"/>
        </w:rPr>
        <w:t>, “</w:t>
      </w:r>
      <w:r w:rsidRPr="00B7458A">
        <w:rPr>
          <w:rFonts w:ascii="Times New Roman" w:hAnsi="Times New Roman" w:cs="Times New Roman"/>
          <w:i/>
          <w:iCs/>
          <w:sz w:val="24"/>
          <w:szCs w:val="24"/>
        </w:rPr>
        <w:t>L’algoritmo incostituzionale: intelligenza artificiale e il futuro delle libertà</w:t>
      </w:r>
      <w:r w:rsidRPr="00B7458A">
        <w:rPr>
          <w:rFonts w:ascii="Times New Roman" w:hAnsi="Times New Roman" w:cs="Times New Roman"/>
          <w:sz w:val="24"/>
          <w:szCs w:val="24"/>
        </w:rPr>
        <w:t>”, 2019.</w:t>
      </w:r>
    </w:p>
  </w:footnote>
  <w:footnote w:id="17">
    <w:p w14:paraId="4A99D7AB" w14:textId="06BE3BAE" w:rsidR="000463A6" w:rsidRPr="00746388" w:rsidRDefault="000463A6" w:rsidP="00746388">
      <w:pPr>
        <w:pStyle w:val="Testonotaapidipagina"/>
        <w:jc w:val="both"/>
        <w:rPr>
          <w:rFonts w:ascii="Times New Roman" w:hAnsi="Times New Roman" w:cs="Times New Roman"/>
          <w:sz w:val="24"/>
          <w:szCs w:val="24"/>
        </w:rPr>
      </w:pPr>
      <w:r w:rsidRPr="00746388">
        <w:rPr>
          <w:rStyle w:val="Rimandonotaapidipagina"/>
          <w:rFonts w:ascii="Times New Roman" w:hAnsi="Times New Roman" w:cs="Times New Roman"/>
          <w:sz w:val="24"/>
          <w:szCs w:val="24"/>
        </w:rPr>
        <w:footnoteRef/>
      </w:r>
      <w:r w:rsidRPr="00746388">
        <w:rPr>
          <w:rFonts w:ascii="Times New Roman" w:hAnsi="Times New Roman" w:cs="Times New Roman"/>
          <w:sz w:val="24"/>
          <w:szCs w:val="24"/>
        </w:rPr>
        <w:t xml:space="preserve"> </w:t>
      </w:r>
      <w:r w:rsidRPr="00746388">
        <w:rPr>
          <w:rFonts w:ascii="Times New Roman" w:hAnsi="Times New Roman" w:cs="Times New Roman"/>
          <w:smallCaps/>
          <w:sz w:val="24"/>
          <w:szCs w:val="24"/>
        </w:rPr>
        <w:t>M. D’</w:t>
      </w:r>
      <w:proofErr w:type="spellStart"/>
      <w:r w:rsidRPr="00746388">
        <w:rPr>
          <w:rFonts w:ascii="Times New Roman" w:hAnsi="Times New Roman" w:cs="Times New Roman"/>
          <w:smallCaps/>
          <w:sz w:val="24"/>
          <w:szCs w:val="24"/>
        </w:rPr>
        <w:t>Angelosante</w:t>
      </w:r>
      <w:proofErr w:type="spellEnd"/>
      <w:r w:rsidRPr="00746388">
        <w:rPr>
          <w:rFonts w:ascii="Times New Roman" w:hAnsi="Times New Roman" w:cs="Times New Roman"/>
          <w:sz w:val="24"/>
          <w:szCs w:val="24"/>
        </w:rPr>
        <w:t>, “</w:t>
      </w:r>
      <w:r w:rsidRPr="00746388">
        <w:rPr>
          <w:rFonts w:ascii="Times New Roman" w:hAnsi="Times New Roman" w:cs="Times New Roman"/>
          <w:i/>
          <w:iCs/>
          <w:sz w:val="24"/>
          <w:szCs w:val="24"/>
        </w:rPr>
        <w:t xml:space="preserve">La consistenza del modello dell’amministrazione invisibile nell’età della </w:t>
      </w:r>
      <w:proofErr w:type="spellStart"/>
      <w:r w:rsidRPr="00746388">
        <w:rPr>
          <w:rFonts w:ascii="Times New Roman" w:hAnsi="Times New Roman" w:cs="Times New Roman"/>
          <w:i/>
          <w:iCs/>
          <w:sz w:val="24"/>
          <w:szCs w:val="24"/>
        </w:rPr>
        <w:t>tecnificazione</w:t>
      </w:r>
      <w:proofErr w:type="spellEnd"/>
      <w:r w:rsidRPr="00746388">
        <w:rPr>
          <w:rFonts w:ascii="Times New Roman" w:hAnsi="Times New Roman" w:cs="Times New Roman"/>
          <w:i/>
          <w:iCs/>
          <w:sz w:val="24"/>
          <w:szCs w:val="24"/>
        </w:rPr>
        <w:t xml:space="preserve"> della formazione delle decisioni alla responsabilità per le decisioni</w:t>
      </w:r>
      <w:r w:rsidRPr="00746388">
        <w:rPr>
          <w:rFonts w:ascii="Times New Roman" w:hAnsi="Times New Roman" w:cs="Times New Roman"/>
          <w:sz w:val="24"/>
          <w:szCs w:val="24"/>
        </w:rPr>
        <w:t xml:space="preserve">”, in </w:t>
      </w:r>
      <w:r w:rsidRPr="00746388">
        <w:rPr>
          <w:rFonts w:ascii="Times New Roman" w:hAnsi="Times New Roman" w:cs="Times New Roman"/>
          <w:smallCaps/>
          <w:sz w:val="24"/>
          <w:szCs w:val="24"/>
        </w:rPr>
        <w:t>S. Civitarese Matteucci – L.</w:t>
      </w:r>
      <w:r>
        <w:rPr>
          <w:rFonts w:ascii="Times New Roman" w:hAnsi="Times New Roman" w:cs="Times New Roman"/>
          <w:smallCaps/>
          <w:sz w:val="24"/>
          <w:szCs w:val="24"/>
        </w:rPr>
        <w:t xml:space="preserve"> </w:t>
      </w:r>
      <w:r w:rsidRPr="00746388">
        <w:rPr>
          <w:rFonts w:ascii="Times New Roman" w:hAnsi="Times New Roman" w:cs="Times New Roman"/>
          <w:smallCaps/>
          <w:sz w:val="24"/>
          <w:szCs w:val="24"/>
        </w:rPr>
        <w:t>Torchia</w:t>
      </w:r>
      <w:r w:rsidRPr="00746388">
        <w:rPr>
          <w:rFonts w:ascii="Times New Roman" w:hAnsi="Times New Roman" w:cs="Times New Roman"/>
          <w:sz w:val="24"/>
          <w:szCs w:val="24"/>
        </w:rPr>
        <w:t xml:space="preserve"> (a cura di), “</w:t>
      </w:r>
      <w:r w:rsidRPr="00746388">
        <w:rPr>
          <w:rFonts w:ascii="Times New Roman" w:hAnsi="Times New Roman" w:cs="Times New Roman"/>
          <w:i/>
          <w:iCs/>
          <w:sz w:val="24"/>
          <w:szCs w:val="24"/>
        </w:rPr>
        <w:t xml:space="preserve">La </w:t>
      </w:r>
      <w:proofErr w:type="spellStart"/>
      <w:r w:rsidRPr="00746388">
        <w:rPr>
          <w:rFonts w:ascii="Times New Roman" w:hAnsi="Times New Roman" w:cs="Times New Roman"/>
          <w:i/>
          <w:iCs/>
          <w:sz w:val="24"/>
          <w:szCs w:val="24"/>
        </w:rPr>
        <w:t>tecnificazione</w:t>
      </w:r>
      <w:proofErr w:type="spellEnd"/>
      <w:r w:rsidRPr="00746388">
        <w:rPr>
          <w:rFonts w:ascii="Times New Roman" w:hAnsi="Times New Roman" w:cs="Times New Roman"/>
          <w:sz w:val="24"/>
          <w:szCs w:val="24"/>
        </w:rPr>
        <w:t>”, pag.165.</w:t>
      </w:r>
    </w:p>
  </w:footnote>
  <w:footnote w:id="18">
    <w:p w14:paraId="62A3C6F0" w14:textId="17E3FFF3" w:rsidR="000463A6" w:rsidRPr="00E3451C" w:rsidRDefault="000463A6" w:rsidP="00E3451C">
      <w:pPr>
        <w:pStyle w:val="Testonotaapidipagina"/>
        <w:jc w:val="both"/>
        <w:rPr>
          <w:rFonts w:ascii="Times New Roman" w:hAnsi="Times New Roman" w:cs="Times New Roman"/>
          <w:sz w:val="24"/>
          <w:szCs w:val="24"/>
        </w:rPr>
      </w:pPr>
      <w:r w:rsidRPr="00E3451C">
        <w:rPr>
          <w:rStyle w:val="Rimandonotaapidipagina"/>
          <w:rFonts w:ascii="Times New Roman" w:hAnsi="Times New Roman" w:cs="Times New Roman"/>
          <w:sz w:val="24"/>
          <w:szCs w:val="24"/>
        </w:rPr>
        <w:footnoteRef/>
      </w:r>
      <w:r w:rsidRPr="00E3451C">
        <w:rPr>
          <w:rFonts w:ascii="Times New Roman" w:hAnsi="Times New Roman" w:cs="Times New Roman"/>
          <w:sz w:val="24"/>
          <w:szCs w:val="24"/>
        </w:rPr>
        <w:t xml:space="preserve"> V</w:t>
      </w:r>
      <w:r>
        <w:rPr>
          <w:rFonts w:ascii="Times New Roman" w:hAnsi="Times New Roman" w:cs="Times New Roman"/>
          <w:sz w:val="24"/>
          <w:szCs w:val="24"/>
        </w:rPr>
        <w:t>edi</w:t>
      </w:r>
      <w:r w:rsidRPr="00E3451C">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E3451C">
        <w:rPr>
          <w:rFonts w:ascii="Times New Roman" w:hAnsi="Times New Roman" w:cs="Times New Roman"/>
          <w:sz w:val="24"/>
          <w:szCs w:val="24"/>
        </w:rPr>
        <w:t>en</w:t>
      </w:r>
      <w:r>
        <w:rPr>
          <w:rFonts w:ascii="Times New Roman" w:hAnsi="Times New Roman" w:cs="Times New Roman"/>
          <w:sz w:val="24"/>
          <w:szCs w:val="24"/>
        </w:rPr>
        <w:t>t</w:t>
      </w:r>
      <w:proofErr w:type="spellEnd"/>
      <w:r>
        <w:rPr>
          <w:rFonts w:ascii="Times New Roman" w:hAnsi="Times New Roman" w:cs="Times New Roman"/>
          <w:sz w:val="24"/>
          <w:szCs w:val="24"/>
        </w:rPr>
        <w:t>.</w:t>
      </w:r>
      <w:r w:rsidRPr="00E3451C">
        <w:rPr>
          <w:rFonts w:ascii="Times New Roman" w:hAnsi="Times New Roman" w:cs="Times New Roman"/>
          <w:sz w:val="24"/>
          <w:szCs w:val="24"/>
        </w:rPr>
        <w:t xml:space="preserve"> Tar Lazio, Roma, sez. III, 3 luglio 2018</w:t>
      </w:r>
      <w:r>
        <w:rPr>
          <w:rFonts w:ascii="Times New Roman" w:hAnsi="Times New Roman" w:cs="Times New Roman"/>
          <w:sz w:val="24"/>
          <w:szCs w:val="24"/>
        </w:rPr>
        <w:t>,</w:t>
      </w:r>
      <w:r w:rsidRPr="00E3451C">
        <w:rPr>
          <w:rFonts w:ascii="Times New Roman" w:hAnsi="Times New Roman" w:cs="Times New Roman"/>
          <w:sz w:val="24"/>
          <w:szCs w:val="24"/>
        </w:rPr>
        <w:t xml:space="preserve"> n. 7368</w:t>
      </w:r>
      <w:r>
        <w:rPr>
          <w:rFonts w:ascii="Times New Roman" w:hAnsi="Times New Roman" w:cs="Times New Roman"/>
          <w:sz w:val="24"/>
          <w:szCs w:val="24"/>
        </w:rPr>
        <w:t xml:space="preserve">; </w:t>
      </w:r>
      <w:proofErr w:type="spellStart"/>
      <w:r>
        <w:rPr>
          <w:rFonts w:ascii="Times New Roman" w:hAnsi="Times New Roman" w:cs="Times New Roman"/>
          <w:sz w:val="24"/>
          <w:szCs w:val="24"/>
        </w:rPr>
        <w:t>Sent</w:t>
      </w:r>
      <w:proofErr w:type="spellEnd"/>
      <w:r>
        <w:rPr>
          <w:rFonts w:ascii="Times New Roman" w:hAnsi="Times New Roman" w:cs="Times New Roman"/>
          <w:sz w:val="24"/>
          <w:szCs w:val="24"/>
        </w:rPr>
        <w:t>.</w:t>
      </w:r>
      <w:r w:rsidRPr="00E3451C">
        <w:rPr>
          <w:rFonts w:ascii="Times New Roman" w:hAnsi="Times New Roman" w:cs="Times New Roman"/>
          <w:sz w:val="24"/>
          <w:szCs w:val="24"/>
        </w:rPr>
        <w:t xml:space="preserve"> </w:t>
      </w:r>
      <w:proofErr w:type="spellStart"/>
      <w:r w:rsidRPr="00E3451C">
        <w:rPr>
          <w:rFonts w:ascii="Times New Roman" w:hAnsi="Times New Roman" w:cs="Times New Roman"/>
          <w:sz w:val="24"/>
          <w:szCs w:val="24"/>
        </w:rPr>
        <w:t>CdS</w:t>
      </w:r>
      <w:proofErr w:type="spellEnd"/>
      <w:r>
        <w:rPr>
          <w:rFonts w:ascii="Times New Roman" w:hAnsi="Times New Roman" w:cs="Times New Roman"/>
          <w:sz w:val="24"/>
          <w:szCs w:val="24"/>
        </w:rPr>
        <w:t>,</w:t>
      </w:r>
      <w:r w:rsidRPr="00E3451C">
        <w:rPr>
          <w:rFonts w:ascii="Times New Roman" w:hAnsi="Times New Roman" w:cs="Times New Roman"/>
          <w:sz w:val="24"/>
          <w:szCs w:val="24"/>
        </w:rPr>
        <w:t xml:space="preserve"> sez.</w:t>
      </w:r>
      <w:r>
        <w:rPr>
          <w:rFonts w:ascii="Times New Roman" w:hAnsi="Times New Roman" w:cs="Times New Roman"/>
          <w:sz w:val="24"/>
          <w:szCs w:val="24"/>
        </w:rPr>
        <w:t xml:space="preserve"> </w:t>
      </w:r>
      <w:r w:rsidRPr="00E3451C">
        <w:rPr>
          <w:rFonts w:ascii="Times New Roman" w:hAnsi="Times New Roman" w:cs="Times New Roman"/>
          <w:sz w:val="24"/>
          <w:szCs w:val="24"/>
        </w:rPr>
        <w:t>VI, 7 novembre 2017</w:t>
      </w:r>
      <w:r>
        <w:rPr>
          <w:rFonts w:ascii="Times New Roman" w:hAnsi="Times New Roman" w:cs="Times New Roman"/>
          <w:sz w:val="24"/>
          <w:szCs w:val="24"/>
        </w:rPr>
        <w:t>,</w:t>
      </w:r>
      <w:r w:rsidRPr="00E3451C">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E3451C">
        <w:rPr>
          <w:rFonts w:ascii="Times New Roman" w:hAnsi="Times New Roman" w:cs="Times New Roman"/>
          <w:sz w:val="24"/>
          <w:szCs w:val="24"/>
        </w:rPr>
        <w:t xml:space="preserve">5136, </w:t>
      </w:r>
      <w:proofErr w:type="spellStart"/>
      <w:r>
        <w:rPr>
          <w:rFonts w:ascii="Times New Roman" w:hAnsi="Times New Roman" w:cs="Times New Roman"/>
          <w:sz w:val="24"/>
          <w:szCs w:val="24"/>
        </w:rPr>
        <w:t>Sent</w:t>
      </w:r>
      <w:proofErr w:type="spellEnd"/>
      <w:r>
        <w:rPr>
          <w:rFonts w:ascii="Times New Roman" w:hAnsi="Times New Roman" w:cs="Times New Roman"/>
          <w:sz w:val="24"/>
          <w:szCs w:val="24"/>
        </w:rPr>
        <w:t xml:space="preserve">. </w:t>
      </w:r>
      <w:r w:rsidRPr="00E3451C">
        <w:rPr>
          <w:rFonts w:ascii="Times New Roman" w:hAnsi="Times New Roman" w:cs="Times New Roman"/>
          <w:sz w:val="24"/>
          <w:szCs w:val="24"/>
        </w:rPr>
        <w:t>Tar Trentino-Alto Adige,</w:t>
      </w:r>
      <w:r>
        <w:rPr>
          <w:rFonts w:ascii="Times New Roman" w:hAnsi="Times New Roman" w:cs="Times New Roman"/>
          <w:sz w:val="24"/>
          <w:szCs w:val="24"/>
        </w:rPr>
        <w:t xml:space="preserve"> </w:t>
      </w:r>
      <w:r w:rsidRPr="00E3451C">
        <w:rPr>
          <w:rFonts w:ascii="Times New Roman" w:hAnsi="Times New Roman" w:cs="Times New Roman"/>
          <w:sz w:val="24"/>
          <w:szCs w:val="24"/>
        </w:rPr>
        <w:t>sez</w:t>
      </w:r>
      <w:r>
        <w:rPr>
          <w:rFonts w:ascii="Times New Roman" w:hAnsi="Times New Roman" w:cs="Times New Roman"/>
          <w:sz w:val="24"/>
          <w:szCs w:val="24"/>
        </w:rPr>
        <w:t xml:space="preserve">. </w:t>
      </w:r>
      <w:r w:rsidRPr="00E3451C">
        <w:rPr>
          <w:rFonts w:ascii="Times New Roman" w:hAnsi="Times New Roman" w:cs="Times New Roman"/>
          <w:sz w:val="24"/>
          <w:szCs w:val="24"/>
        </w:rPr>
        <w:t>I, 15 aprile 2015</w:t>
      </w:r>
      <w:r>
        <w:rPr>
          <w:rFonts w:ascii="Times New Roman" w:hAnsi="Times New Roman" w:cs="Times New Roman"/>
          <w:sz w:val="24"/>
          <w:szCs w:val="24"/>
        </w:rPr>
        <w:t>,</w:t>
      </w:r>
      <w:r w:rsidRPr="00E3451C">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E3451C">
        <w:rPr>
          <w:rFonts w:ascii="Times New Roman" w:hAnsi="Times New Roman" w:cs="Times New Roman"/>
          <w:sz w:val="24"/>
          <w:szCs w:val="24"/>
        </w:rPr>
        <w:t>149.</w:t>
      </w:r>
    </w:p>
  </w:footnote>
  <w:footnote w:id="19">
    <w:p w14:paraId="017DE724" w14:textId="144580B8" w:rsidR="000463A6" w:rsidRPr="00C0262E" w:rsidRDefault="000463A6" w:rsidP="00C0262E">
      <w:pPr>
        <w:pStyle w:val="Testonotaapidipagina"/>
        <w:jc w:val="both"/>
        <w:rPr>
          <w:rFonts w:ascii="Times New Roman" w:hAnsi="Times New Roman" w:cs="Times New Roman"/>
          <w:sz w:val="24"/>
          <w:szCs w:val="24"/>
        </w:rPr>
      </w:pPr>
      <w:r w:rsidRPr="00C0262E">
        <w:rPr>
          <w:rStyle w:val="Rimandonotaapidipagina"/>
          <w:rFonts w:ascii="Times New Roman" w:hAnsi="Times New Roman" w:cs="Times New Roman"/>
          <w:sz w:val="24"/>
          <w:szCs w:val="24"/>
        </w:rPr>
        <w:footnoteRef/>
      </w:r>
      <w:r w:rsidRPr="00C0262E">
        <w:rPr>
          <w:rFonts w:ascii="Times New Roman" w:hAnsi="Times New Roman" w:cs="Times New Roman"/>
          <w:sz w:val="24"/>
          <w:szCs w:val="24"/>
        </w:rPr>
        <w:t xml:space="preserve"> </w:t>
      </w:r>
      <w:proofErr w:type="spellStart"/>
      <w:r w:rsidRPr="00C0262E">
        <w:rPr>
          <w:rFonts w:ascii="Times New Roman" w:hAnsi="Times New Roman" w:cs="Times New Roman"/>
          <w:sz w:val="24"/>
          <w:szCs w:val="24"/>
        </w:rPr>
        <w:t>Cass</w:t>
      </w:r>
      <w:proofErr w:type="spellEnd"/>
      <w:r w:rsidRPr="00C0262E">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C0262E">
        <w:rPr>
          <w:rFonts w:ascii="Times New Roman" w:hAnsi="Times New Roman" w:cs="Times New Roman"/>
          <w:sz w:val="24"/>
          <w:szCs w:val="24"/>
        </w:rPr>
        <w:t>iv</w:t>
      </w:r>
      <w:proofErr w:type="spellEnd"/>
      <w:r w:rsidRPr="00C0262E">
        <w:rPr>
          <w:rFonts w:ascii="Times New Roman" w:hAnsi="Times New Roman" w:cs="Times New Roman"/>
          <w:sz w:val="24"/>
          <w:szCs w:val="24"/>
        </w:rPr>
        <w:t>., sez. I, 28 dicembre 2000, n. 16204, secondo cui «</w:t>
      </w:r>
      <w:r w:rsidRPr="00C0262E">
        <w:rPr>
          <w:rFonts w:ascii="Times New Roman" w:hAnsi="Times New Roman" w:cs="Times New Roman"/>
          <w:i/>
          <w:iCs/>
          <w:sz w:val="24"/>
          <w:szCs w:val="24"/>
        </w:rPr>
        <w:t>sono atti amministrativi informatici in senso stretto quegli atti provenienti dalla p.a., direttamente ed automaticamente elaborati dal sistema informatico, in quanto non richiedono valutazioni discrezionali e motivazioni correlate alla particolarità del caso concreto»</w:t>
      </w:r>
      <w:r w:rsidRPr="00C0262E">
        <w:rPr>
          <w:rFonts w:ascii="Times New Roman" w:hAnsi="Times New Roman" w:cs="Times New Roman"/>
          <w:sz w:val="24"/>
          <w:szCs w:val="24"/>
        </w:rPr>
        <w:t xml:space="preserve">; </w:t>
      </w:r>
      <w:r w:rsidRPr="00C0262E">
        <w:rPr>
          <w:rFonts w:ascii="Times New Roman" w:hAnsi="Times New Roman" w:cs="Times New Roman"/>
          <w:smallCaps/>
          <w:sz w:val="24"/>
          <w:szCs w:val="24"/>
        </w:rPr>
        <w:t>M. D’</w:t>
      </w:r>
      <w:proofErr w:type="spellStart"/>
      <w:r w:rsidRPr="00C0262E">
        <w:rPr>
          <w:rFonts w:ascii="Times New Roman" w:hAnsi="Times New Roman" w:cs="Times New Roman"/>
          <w:smallCaps/>
          <w:sz w:val="24"/>
          <w:szCs w:val="24"/>
        </w:rPr>
        <w:t>Angelosante</w:t>
      </w:r>
      <w:proofErr w:type="spellEnd"/>
      <w:r w:rsidRPr="00C0262E">
        <w:rPr>
          <w:rFonts w:ascii="Times New Roman" w:hAnsi="Times New Roman" w:cs="Times New Roman"/>
          <w:sz w:val="24"/>
          <w:szCs w:val="24"/>
        </w:rPr>
        <w:t xml:space="preserve">, op. cit., p. 164; </w:t>
      </w:r>
      <w:r w:rsidRPr="00C0262E">
        <w:rPr>
          <w:rFonts w:ascii="Times New Roman" w:hAnsi="Times New Roman" w:cs="Times New Roman"/>
          <w:smallCaps/>
          <w:sz w:val="24"/>
          <w:szCs w:val="24"/>
        </w:rPr>
        <w:t>P. Otranto</w:t>
      </w:r>
      <w:r w:rsidRPr="00C0262E">
        <w:rPr>
          <w:rFonts w:ascii="Times New Roman" w:hAnsi="Times New Roman" w:cs="Times New Roman"/>
          <w:sz w:val="24"/>
          <w:szCs w:val="24"/>
        </w:rPr>
        <w:t>, “</w:t>
      </w:r>
      <w:r w:rsidRPr="00C0262E">
        <w:rPr>
          <w:rFonts w:ascii="Times New Roman" w:hAnsi="Times New Roman" w:cs="Times New Roman"/>
          <w:i/>
          <w:iCs/>
          <w:sz w:val="24"/>
          <w:szCs w:val="24"/>
        </w:rPr>
        <w:t>Decisione amministrativa e digitalizzazione della p.a.</w:t>
      </w:r>
      <w:r w:rsidRPr="00C0262E">
        <w:rPr>
          <w:rFonts w:ascii="Times New Roman" w:hAnsi="Times New Roman" w:cs="Times New Roman"/>
          <w:sz w:val="24"/>
          <w:szCs w:val="24"/>
        </w:rPr>
        <w:t>”</w:t>
      </w:r>
      <w:r w:rsidRPr="00C0262E">
        <w:rPr>
          <w:rFonts w:ascii="Times New Roman" w:hAnsi="Times New Roman" w:cs="Times New Roman"/>
          <w:i/>
          <w:iCs/>
          <w:sz w:val="24"/>
          <w:szCs w:val="24"/>
        </w:rPr>
        <w:t xml:space="preserve">, </w:t>
      </w:r>
      <w:r w:rsidRPr="00C0262E">
        <w:rPr>
          <w:rFonts w:ascii="Times New Roman" w:hAnsi="Times New Roman" w:cs="Times New Roman"/>
          <w:sz w:val="24"/>
          <w:szCs w:val="24"/>
        </w:rPr>
        <w:t>in</w:t>
      </w:r>
      <w:r w:rsidRPr="00C0262E">
        <w:rPr>
          <w:rFonts w:ascii="Times New Roman" w:hAnsi="Times New Roman" w:cs="Times New Roman"/>
          <w:i/>
          <w:iCs/>
          <w:sz w:val="24"/>
          <w:szCs w:val="24"/>
        </w:rPr>
        <w:t xml:space="preserve"> </w:t>
      </w:r>
      <w:r w:rsidRPr="00BA7DE3">
        <w:rPr>
          <w:rFonts w:ascii="Times New Roman" w:hAnsi="Times New Roman" w:cs="Times New Roman"/>
          <w:i/>
          <w:iCs/>
          <w:sz w:val="24"/>
          <w:szCs w:val="24"/>
        </w:rPr>
        <w:t>federalismi.it</w:t>
      </w:r>
      <w:r w:rsidRPr="00AA178E">
        <w:rPr>
          <w:rFonts w:ascii="Times New Roman" w:hAnsi="Times New Roman" w:cs="Times New Roman"/>
          <w:sz w:val="24"/>
          <w:szCs w:val="24"/>
        </w:rPr>
        <w:t>;</w:t>
      </w:r>
      <w:r w:rsidRPr="00C0262E">
        <w:rPr>
          <w:rFonts w:ascii="Times New Roman" w:hAnsi="Times New Roman" w:cs="Times New Roman"/>
          <w:i/>
          <w:iCs/>
          <w:sz w:val="24"/>
          <w:szCs w:val="24"/>
        </w:rPr>
        <w:t xml:space="preserve"> </w:t>
      </w:r>
      <w:r w:rsidRPr="00C0262E">
        <w:rPr>
          <w:rFonts w:ascii="Times New Roman" w:hAnsi="Times New Roman" w:cs="Times New Roman"/>
          <w:smallCaps/>
          <w:sz w:val="24"/>
          <w:szCs w:val="24"/>
        </w:rPr>
        <w:t>F. Patroni Griffi</w:t>
      </w:r>
      <w:r w:rsidRPr="00C0262E">
        <w:rPr>
          <w:rFonts w:ascii="Times New Roman" w:hAnsi="Times New Roman" w:cs="Times New Roman"/>
          <w:i/>
          <w:iCs/>
          <w:sz w:val="24"/>
          <w:szCs w:val="24"/>
        </w:rPr>
        <w:t>, “La decisione robotica e il giudice amministrativo</w:t>
      </w:r>
      <w:r w:rsidRPr="00C0262E">
        <w:rPr>
          <w:rFonts w:ascii="Times New Roman" w:hAnsi="Times New Roman" w:cs="Times New Roman"/>
          <w:sz w:val="24"/>
          <w:szCs w:val="24"/>
        </w:rPr>
        <w:t>”</w:t>
      </w:r>
      <w:r w:rsidRPr="00C0262E">
        <w:rPr>
          <w:rFonts w:ascii="Times New Roman" w:hAnsi="Times New Roman" w:cs="Times New Roman"/>
          <w:i/>
          <w:iCs/>
          <w:sz w:val="24"/>
          <w:szCs w:val="24"/>
        </w:rPr>
        <w:t xml:space="preserve">, </w:t>
      </w:r>
      <w:r w:rsidRPr="00C0262E">
        <w:rPr>
          <w:rFonts w:ascii="Times New Roman" w:hAnsi="Times New Roman" w:cs="Times New Roman"/>
          <w:sz w:val="24"/>
          <w:szCs w:val="24"/>
        </w:rPr>
        <w:t xml:space="preserve">in </w:t>
      </w:r>
      <w:r w:rsidRPr="00BA7DE3">
        <w:rPr>
          <w:rFonts w:ascii="Times New Roman" w:hAnsi="Times New Roman" w:cs="Times New Roman"/>
          <w:i/>
          <w:iCs/>
          <w:sz w:val="24"/>
          <w:szCs w:val="24"/>
        </w:rPr>
        <w:t>giustizia-amministrativa.it.</w:t>
      </w:r>
    </w:p>
  </w:footnote>
  <w:footnote w:id="20">
    <w:p w14:paraId="6B3012F0" w14:textId="62899388" w:rsidR="000463A6" w:rsidRDefault="000463A6" w:rsidP="00C0262E">
      <w:pPr>
        <w:pStyle w:val="Testonotaapidipagina"/>
        <w:jc w:val="both"/>
      </w:pPr>
      <w:r w:rsidRPr="00C0262E">
        <w:rPr>
          <w:rStyle w:val="Rimandonotaapidipagina"/>
          <w:rFonts w:ascii="Times New Roman" w:hAnsi="Times New Roman" w:cs="Times New Roman"/>
          <w:sz w:val="24"/>
          <w:szCs w:val="24"/>
        </w:rPr>
        <w:footnoteRef/>
      </w:r>
      <w:r w:rsidRPr="00C0262E">
        <w:rPr>
          <w:rFonts w:ascii="Times New Roman" w:hAnsi="Times New Roman" w:cs="Times New Roman"/>
          <w:sz w:val="24"/>
          <w:szCs w:val="24"/>
        </w:rPr>
        <w:t xml:space="preserve"> Su tali questioni, qui semplicemente evocate, si veda </w:t>
      </w:r>
      <w:r w:rsidRPr="00C0262E">
        <w:rPr>
          <w:rFonts w:ascii="Times New Roman" w:hAnsi="Times New Roman" w:cs="Times New Roman"/>
          <w:smallCaps/>
          <w:sz w:val="24"/>
          <w:szCs w:val="24"/>
        </w:rPr>
        <w:t>E.</w:t>
      </w:r>
      <w:r>
        <w:rPr>
          <w:rFonts w:ascii="Times New Roman" w:hAnsi="Times New Roman" w:cs="Times New Roman"/>
          <w:smallCaps/>
          <w:sz w:val="24"/>
          <w:szCs w:val="24"/>
        </w:rPr>
        <w:t xml:space="preserve"> </w:t>
      </w:r>
      <w:proofErr w:type="spellStart"/>
      <w:r w:rsidRPr="00C0262E">
        <w:rPr>
          <w:rFonts w:ascii="Times New Roman" w:hAnsi="Times New Roman" w:cs="Times New Roman"/>
          <w:smallCaps/>
          <w:sz w:val="24"/>
          <w:szCs w:val="24"/>
        </w:rPr>
        <w:t>Capaccioli</w:t>
      </w:r>
      <w:proofErr w:type="spellEnd"/>
      <w:r w:rsidRPr="00C0262E">
        <w:rPr>
          <w:rFonts w:ascii="Times New Roman" w:hAnsi="Times New Roman" w:cs="Times New Roman"/>
          <w:sz w:val="24"/>
          <w:szCs w:val="24"/>
        </w:rPr>
        <w:t xml:space="preserve">, </w:t>
      </w:r>
      <w:r>
        <w:rPr>
          <w:rFonts w:ascii="Times New Roman" w:hAnsi="Times New Roman" w:cs="Times New Roman"/>
          <w:sz w:val="24"/>
          <w:szCs w:val="24"/>
        </w:rPr>
        <w:t>“</w:t>
      </w:r>
      <w:r w:rsidRPr="00C0262E">
        <w:rPr>
          <w:rFonts w:ascii="Times New Roman" w:hAnsi="Times New Roman" w:cs="Times New Roman"/>
          <w:i/>
          <w:iCs/>
          <w:sz w:val="24"/>
          <w:szCs w:val="24"/>
        </w:rPr>
        <w:t>Manuale di diritto amministrativo</w:t>
      </w:r>
      <w:r>
        <w:rPr>
          <w:rFonts w:ascii="Times New Roman" w:hAnsi="Times New Roman" w:cs="Times New Roman"/>
          <w:i/>
          <w:iCs/>
          <w:sz w:val="24"/>
          <w:szCs w:val="24"/>
        </w:rPr>
        <w:t>”</w:t>
      </w:r>
      <w:r w:rsidRPr="00C0262E">
        <w:rPr>
          <w:rFonts w:ascii="Times New Roman" w:hAnsi="Times New Roman" w:cs="Times New Roman"/>
          <w:i/>
          <w:iCs/>
          <w:sz w:val="24"/>
          <w:szCs w:val="24"/>
        </w:rPr>
        <w:t xml:space="preserve">, </w:t>
      </w:r>
      <w:r w:rsidRPr="00C0262E">
        <w:rPr>
          <w:rFonts w:ascii="Times New Roman" w:hAnsi="Times New Roman" w:cs="Times New Roman"/>
          <w:sz w:val="24"/>
          <w:szCs w:val="24"/>
        </w:rPr>
        <w:t>Padova, 1983, p.</w:t>
      </w:r>
      <w:r>
        <w:rPr>
          <w:rFonts w:ascii="Times New Roman" w:hAnsi="Times New Roman" w:cs="Times New Roman"/>
          <w:sz w:val="24"/>
          <w:szCs w:val="24"/>
        </w:rPr>
        <w:t xml:space="preserve"> </w:t>
      </w:r>
      <w:r w:rsidRPr="00C0262E">
        <w:rPr>
          <w:rFonts w:ascii="Times New Roman" w:hAnsi="Times New Roman" w:cs="Times New Roman"/>
          <w:sz w:val="24"/>
          <w:szCs w:val="24"/>
        </w:rPr>
        <w:t xml:space="preserve">267; </w:t>
      </w:r>
      <w:r w:rsidRPr="00C0262E">
        <w:rPr>
          <w:rFonts w:ascii="Times New Roman" w:hAnsi="Times New Roman" w:cs="Times New Roman"/>
          <w:smallCaps/>
          <w:sz w:val="24"/>
          <w:szCs w:val="24"/>
        </w:rPr>
        <w:t>A. Proto Pisani</w:t>
      </w:r>
      <w:r w:rsidRPr="00C0262E">
        <w:rPr>
          <w:rFonts w:ascii="Times New Roman" w:hAnsi="Times New Roman" w:cs="Times New Roman"/>
          <w:sz w:val="24"/>
          <w:szCs w:val="24"/>
        </w:rPr>
        <w:t xml:space="preserve">, </w:t>
      </w:r>
      <w:r>
        <w:rPr>
          <w:rFonts w:ascii="Times New Roman" w:hAnsi="Times New Roman" w:cs="Times New Roman"/>
          <w:sz w:val="24"/>
          <w:szCs w:val="24"/>
        </w:rPr>
        <w:t>“</w:t>
      </w:r>
      <w:r w:rsidRPr="00C0262E">
        <w:rPr>
          <w:rFonts w:ascii="Times New Roman" w:hAnsi="Times New Roman" w:cs="Times New Roman"/>
          <w:i/>
          <w:iCs/>
          <w:sz w:val="24"/>
          <w:szCs w:val="24"/>
        </w:rPr>
        <w:t>Appunti sulla c</w:t>
      </w:r>
      <w:r>
        <w:rPr>
          <w:rFonts w:ascii="Times New Roman" w:hAnsi="Times New Roman" w:cs="Times New Roman"/>
          <w:i/>
          <w:iCs/>
          <w:sz w:val="24"/>
          <w:szCs w:val="24"/>
        </w:rPr>
        <w:t>.</w:t>
      </w:r>
      <w:r w:rsidRPr="00C0262E">
        <w:rPr>
          <w:rFonts w:ascii="Times New Roman" w:hAnsi="Times New Roman" w:cs="Times New Roman"/>
          <w:i/>
          <w:iCs/>
          <w:sz w:val="24"/>
          <w:szCs w:val="24"/>
        </w:rPr>
        <w:t>d</w:t>
      </w:r>
      <w:r>
        <w:rPr>
          <w:rFonts w:ascii="Times New Roman" w:hAnsi="Times New Roman" w:cs="Times New Roman"/>
          <w:i/>
          <w:iCs/>
          <w:sz w:val="24"/>
          <w:szCs w:val="24"/>
        </w:rPr>
        <w:t>.</w:t>
      </w:r>
      <w:r w:rsidRPr="00C0262E">
        <w:rPr>
          <w:rFonts w:ascii="Times New Roman" w:hAnsi="Times New Roman" w:cs="Times New Roman"/>
          <w:i/>
          <w:iCs/>
          <w:sz w:val="24"/>
          <w:szCs w:val="24"/>
        </w:rPr>
        <w:t xml:space="preserve"> tutela costitutiva e sulle tecniche di produzione degli effetti sostanziali</w:t>
      </w:r>
      <w:r>
        <w:rPr>
          <w:rFonts w:ascii="Times New Roman" w:hAnsi="Times New Roman" w:cs="Times New Roman"/>
          <w:i/>
          <w:iCs/>
          <w:sz w:val="24"/>
          <w:szCs w:val="24"/>
        </w:rPr>
        <w:t>”</w:t>
      </w:r>
      <w:r w:rsidRPr="00C0262E">
        <w:rPr>
          <w:rFonts w:ascii="Times New Roman" w:hAnsi="Times New Roman" w:cs="Times New Roman"/>
          <w:i/>
          <w:iCs/>
          <w:sz w:val="24"/>
          <w:szCs w:val="24"/>
        </w:rPr>
        <w:t xml:space="preserve">, </w:t>
      </w:r>
      <w:r w:rsidRPr="00C0262E">
        <w:rPr>
          <w:rFonts w:ascii="Times New Roman" w:hAnsi="Times New Roman" w:cs="Times New Roman"/>
          <w:sz w:val="24"/>
          <w:szCs w:val="24"/>
        </w:rPr>
        <w:t xml:space="preserve">in </w:t>
      </w:r>
      <w:proofErr w:type="spellStart"/>
      <w:r w:rsidRPr="003E0177">
        <w:rPr>
          <w:rFonts w:ascii="Times New Roman" w:hAnsi="Times New Roman" w:cs="Times New Roman"/>
          <w:i/>
          <w:iCs/>
          <w:sz w:val="24"/>
          <w:szCs w:val="24"/>
        </w:rPr>
        <w:t>Riv</w:t>
      </w:r>
      <w:proofErr w:type="spellEnd"/>
      <w:r w:rsidRPr="003E0177">
        <w:rPr>
          <w:rFonts w:ascii="Times New Roman" w:hAnsi="Times New Roman" w:cs="Times New Roman"/>
          <w:i/>
          <w:iCs/>
          <w:sz w:val="24"/>
          <w:szCs w:val="24"/>
        </w:rPr>
        <w:t>.</w:t>
      </w:r>
      <w:r>
        <w:rPr>
          <w:rFonts w:ascii="Times New Roman" w:hAnsi="Times New Roman" w:cs="Times New Roman"/>
          <w:i/>
          <w:iCs/>
          <w:sz w:val="24"/>
          <w:szCs w:val="24"/>
        </w:rPr>
        <w:t xml:space="preserve"> </w:t>
      </w:r>
      <w:r w:rsidRPr="003E0177">
        <w:rPr>
          <w:rFonts w:ascii="Times New Roman" w:hAnsi="Times New Roman" w:cs="Times New Roman"/>
          <w:i/>
          <w:iCs/>
          <w:sz w:val="24"/>
          <w:szCs w:val="24"/>
        </w:rPr>
        <w:t>dir.</w:t>
      </w:r>
      <w:r>
        <w:rPr>
          <w:rFonts w:ascii="Times New Roman" w:hAnsi="Times New Roman" w:cs="Times New Roman"/>
          <w:i/>
          <w:iCs/>
          <w:sz w:val="24"/>
          <w:szCs w:val="24"/>
        </w:rPr>
        <w:t xml:space="preserve"> </w:t>
      </w:r>
      <w:proofErr w:type="spellStart"/>
      <w:r w:rsidRPr="003E0177">
        <w:rPr>
          <w:rFonts w:ascii="Times New Roman" w:hAnsi="Times New Roman" w:cs="Times New Roman"/>
          <w:i/>
          <w:iCs/>
          <w:sz w:val="24"/>
          <w:szCs w:val="24"/>
        </w:rPr>
        <w:t>proc</w:t>
      </w:r>
      <w:proofErr w:type="spellEnd"/>
      <w:r w:rsidRPr="00C0262E">
        <w:rPr>
          <w:rFonts w:ascii="Times New Roman" w:hAnsi="Times New Roman" w:cs="Times New Roman"/>
          <w:sz w:val="24"/>
          <w:szCs w:val="24"/>
        </w:rPr>
        <w:t>.,</w:t>
      </w:r>
      <w:r>
        <w:rPr>
          <w:rFonts w:ascii="Times New Roman" w:hAnsi="Times New Roman" w:cs="Times New Roman"/>
          <w:sz w:val="24"/>
          <w:szCs w:val="24"/>
        </w:rPr>
        <w:t xml:space="preserve"> </w:t>
      </w:r>
      <w:r w:rsidRPr="00C0262E">
        <w:rPr>
          <w:rFonts w:ascii="Times New Roman" w:hAnsi="Times New Roman" w:cs="Times New Roman"/>
          <w:sz w:val="24"/>
          <w:szCs w:val="24"/>
        </w:rPr>
        <w:t>1991,</w:t>
      </w:r>
      <w:r>
        <w:rPr>
          <w:rFonts w:ascii="Times New Roman" w:hAnsi="Times New Roman" w:cs="Times New Roman"/>
          <w:sz w:val="24"/>
          <w:szCs w:val="24"/>
        </w:rPr>
        <w:t xml:space="preserve"> </w:t>
      </w:r>
      <w:r w:rsidRPr="00C0262E">
        <w:rPr>
          <w:rFonts w:ascii="Times New Roman" w:hAnsi="Times New Roman" w:cs="Times New Roman"/>
          <w:sz w:val="24"/>
          <w:szCs w:val="24"/>
        </w:rPr>
        <w:t xml:space="preserve">62 </w:t>
      </w:r>
      <w:proofErr w:type="spellStart"/>
      <w:r w:rsidRPr="00C0262E">
        <w:rPr>
          <w:rFonts w:ascii="Times New Roman" w:hAnsi="Times New Roman" w:cs="Times New Roman"/>
          <w:sz w:val="24"/>
          <w:szCs w:val="24"/>
        </w:rPr>
        <w:t>ss</w:t>
      </w:r>
      <w:proofErr w:type="spellEnd"/>
      <w:r w:rsidRPr="00C0262E">
        <w:rPr>
          <w:rFonts w:ascii="Times New Roman" w:hAnsi="Times New Roman" w:cs="Times New Roman"/>
          <w:sz w:val="24"/>
          <w:szCs w:val="24"/>
        </w:rPr>
        <w:t xml:space="preserve">; più in generale, </w:t>
      </w:r>
      <w:r w:rsidRPr="00C0262E">
        <w:rPr>
          <w:rFonts w:ascii="Times New Roman" w:hAnsi="Times New Roman" w:cs="Times New Roman"/>
          <w:smallCaps/>
          <w:sz w:val="24"/>
          <w:szCs w:val="24"/>
        </w:rPr>
        <w:t>N. Irti</w:t>
      </w:r>
      <w:r w:rsidRPr="00C0262E">
        <w:rPr>
          <w:rFonts w:ascii="Times New Roman" w:hAnsi="Times New Roman" w:cs="Times New Roman"/>
          <w:sz w:val="24"/>
          <w:szCs w:val="24"/>
        </w:rPr>
        <w:t xml:space="preserve">, </w:t>
      </w:r>
      <w:r>
        <w:rPr>
          <w:rFonts w:ascii="Times New Roman" w:hAnsi="Times New Roman" w:cs="Times New Roman"/>
          <w:sz w:val="24"/>
          <w:szCs w:val="24"/>
        </w:rPr>
        <w:t>“</w:t>
      </w:r>
      <w:r w:rsidRPr="00C0262E">
        <w:rPr>
          <w:rFonts w:ascii="Times New Roman" w:hAnsi="Times New Roman" w:cs="Times New Roman"/>
          <w:i/>
          <w:iCs/>
          <w:sz w:val="24"/>
          <w:szCs w:val="24"/>
        </w:rPr>
        <w:t>Norme e fatti. Saggi di teoria generale del diritto</w:t>
      </w:r>
      <w:r>
        <w:rPr>
          <w:rFonts w:ascii="Times New Roman" w:hAnsi="Times New Roman" w:cs="Times New Roman"/>
          <w:i/>
          <w:iCs/>
          <w:sz w:val="24"/>
          <w:szCs w:val="24"/>
        </w:rPr>
        <w:t>”</w:t>
      </w:r>
      <w:r w:rsidRPr="00C0262E">
        <w:rPr>
          <w:rFonts w:ascii="Times New Roman" w:hAnsi="Times New Roman" w:cs="Times New Roman"/>
          <w:i/>
          <w:iCs/>
          <w:sz w:val="24"/>
          <w:szCs w:val="24"/>
        </w:rPr>
        <w:t xml:space="preserve">, </w:t>
      </w:r>
      <w:r w:rsidRPr="00C0262E">
        <w:rPr>
          <w:rFonts w:ascii="Times New Roman" w:hAnsi="Times New Roman" w:cs="Times New Roman"/>
          <w:sz w:val="24"/>
          <w:szCs w:val="24"/>
        </w:rPr>
        <w:t>Milano 1984, p.</w:t>
      </w:r>
      <w:r>
        <w:rPr>
          <w:rFonts w:ascii="Times New Roman" w:hAnsi="Times New Roman" w:cs="Times New Roman"/>
          <w:sz w:val="24"/>
          <w:szCs w:val="24"/>
        </w:rPr>
        <w:t xml:space="preserve"> </w:t>
      </w:r>
      <w:r w:rsidRPr="00C0262E">
        <w:rPr>
          <w:rFonts w:ascii="Times New Roman" w:hAnsi="Times New Roman" w:cs="Times New Roman"/>
          <w:sz w:val="24"/>
          <w:szCs w:val="24"/>
        </w:rPr>
        <w:t xml:space="preserve">51 </w:t>
      </w:r>
      <w:proofErr w:type="spellStart"/>
      <w:r w:rsidRPr="00C0262E">
        <w:rPr>
          <w:rFonts w:ascii="Times New Roman" w:hAnsi="Times New Roman" w:cs="Times New Roman"/>
          <w:sz w:val="24"/>
          <w:szCs w:val="24"/>
        </w:rPr>
        <w:t>ss</w:t>
      </w:r>
      <w:proofErr w:type="spellEnd"/>
      <w:r w:rsidRPr="00C0262E">
        <w:rPr>
          <w:rFonts w:ascii="Times New Roman" w:hAnsi="Times New Roman" w:cs="Times New Roman"/>
          <w:sz w:val="24"/>
          <w:szCs w:val="24"/>
        </w:rPr>
        <w:t>; rimane centrale, in tema di efficacia giuridica</w:t>
      </w:r>
      <w:r w:rsidRPr="00C0262E">
        <w:rPr>
          <w:rFonts w:ascii="Times New Roman" w:hAnsi="Times New Roman" w:cs="Times New Roman"/>
          <w:smallCaps/>
          <w:sz w:val="24"/>
          <w:szCs w:val="24"/>
        </w:rPr>
        <w:t>, A. Falzea</w:t>
      </w:r>
      <w:r w:rsidRPr="00C0262E">
        <w:rPr>
          <w:rFonts w:ascii="Times New Roman" w:hAnsi="Times New Roman" w:cs="Times New Roman"/>
          <w:sz w:val="24"/>
          <w:szCs w:val="24"/>
        </w:rPr>
        <w:t xml:space="preserve">, </w:t>
      </w:r>
      <w:r>
        <w:rPr>
          <w:rFonts w:ascii="Times New Roman" w:hAnsi="Times New Roman" w:cs="Times New Roman"/>
          <w:sz w:val="24"/>
          <w:szCs w:val="24"/>
        </w:rPr>
        <w:t>“</w:t>
      </w:r>
      <w:r w:rsidRPr="00C0262E">
        <w:rPr>
          <w:rFonts w:ascii="Times New Roman" w:hAnsi="Times New Roman" w:cs="Times New Roman"/>
          <w:i/>
          <w:iCs/>
          <w:sz w:val="24"/>
          <w:szCs w:val="24"/>
        </w:rPr>
        <w:t>Teoria dell’efficacia giuridica</w:t>
      </w:r>
      <w:r>
        <w:rPr>
          <w:rFonts w:ascii="Times New Roman" w:hAnsi="Times New Roman" w:cs="Times New Roman"/>
          <w:i/>
          <w:iCs/>
          <w:sz w:val="24"/>
          <w:szCs w:val="24"/>
        </w:rPr>
        <w:t>”</w:t>
      </w:r>
      <w:r w:rsidRPr="00C0262E">
        <w:rPr>
          <w:rFonts w:ascii="Times New Roman" w:hAnsi="Times New Roman" w:cs="Times New Roman"/>
          <w:i/>
          <w:iCs/>
          <w:sz w:val="24"/>
          <w:szCs w:val="24"/>
        </w:rPr>
        <w:t>,</w:t>
      </w:r>
      <w:r>
        <w:rPr>
          <w:rFonts w:ascii="Times New Roman" w:hAnsi="Times New Roman" w:cs="Times New Roman"/>
          <w:i/>
          <w:iCs/>
          <w:sz w:val="24"/>
          <w:szCs w:val="24"/>
        </w:rPr>
        <w:t xml:space="preserve"> </w:t>
      </w:r>
      <w:r w:rsidRPr="00C0262E">
        <w:rPr>
          <w:rFonts w:ascii="Times New Roman" w:hAnsi="Times New Roman" w:cs="Times New Roman"/>
          <w:sz w:val="24"/>
          <w:szCs w:val="24"/>
        </w:rPr>
        <w:t xml:space="preserve">oggi in </w:t>
      </w:r>
      <w:r>
        <w:rPr>
          <w:rFonts w:ascii="Times New Roman" w:hAnsi="Times New Roman" w:cs="Times New Roman"/>
          <w:sz w:val="24"/>
          <w:szCs w:val="24"/>
        </w:rPr>
        <w:t>“</w:t>
      </w:r>
      <w:r w:rsidRPr="00C0262E">
        <w:rPr>
          <w:rFonts w:ascii="Times New Roman" w:hAnsi="Times New Roman" w:cs="Times New Roman"/>
          <w:i/>
          <w:iCs/>
          <w:sz w:val="24"/>
          <w:szCs w:val="24"/>
        </w:rPr>
        <w:t>Ricerche di teoria generale del diritto e di dogmatica giuridica</w:t>
      </w:r>
      <w:r>
        <w:rPr>
          <w:rFonts w:ascii="Times New Roman" w:hAnsi="Times New Roman" w:cs="Times New Roman"/>
          <w:i/>
          <w:iCs/>
          <w:sz w:val="24"/>
          <w:szCs w:val="24"/>
        </w:rPr>
        <w:t>”</w:t>
      </w:r>
      <w:r w:rsidRPr="00C0262E">
        <w:rPr>
          <w:rFonts w:ascii="Times New Roman" w:hAnsi="Times New Roman" w:cs="Times New Roman"/>
          <w:sz w:val="24"/>
          <w:szCs w:val="24"/>
        </w:rPr>
        <w:t>, vol.</w:t>
      </w:r>
      <w:r>
        <w:rPr>
          <w:rFonts w:ascii="Times New Roman" w:hAnsi="Times New Roman" w:cs="Times New Roman"/>
          <w:sz w:val="24"/>
          <w:szCs w:val="24"/>
        </w:rPr>
        <w:t xml:space="preserve"> </w:t>
      </w:r>
      <w:r w:rsidRPr="00C0262E">
        <w:rPr>
          <w:rFonts w:ascii="Times New Roman" w:hAnsi="Times New Roman" w:cs="Times New Roman"/>
          <w:sz w:val="24"/>
          <w:szCs w:val="24"/>
        </w:rPr>
        <w:t>I</w:t>
      </w:r>
      <w:r>
        <w:rPr>
          <w:rFonts w:ascii="Times New Roman" w:hAnsi="Times New Roman" w:cs="Times New Roman"/>
          <w:sz w:val="24"/>
          <w:szCs w:val="24"/>
        </w:rPr>
        <w:t xml:space="preserve">, </w:t>
      </w:r>
      <w:r w:rsidRPr="00C0262E">
        <w:rPr>
          <w:rFonts w:ascii="Times New Roman" w:hAnsi="Times New Roman" w:cs="Times New Roman"/>
          <w:sz w:val="24"/>
          <w:szCs w:val="24"/>
        </w:rPr>
        <w:t>Milano,</w:t>
      </w:r>
      <w:r>
        <w:rPr>
          <w:rFonts w:ascii="Times New Roman" w:hAnsi="Times New Roman" w:cs="Times New Roman"/>
          <w:sz w:val="24"/>
          <w:szCs w:val="24"/>
        </w:rPr>
        <w:t xml:space="preserve"> </w:t>
      </w:r>
      <w:r w:rsidRPr="00C0262E">
        <w:rPr>
          <w:rFonts w:ascii="Times New Roman" w:hAnsi="Times New Roman" w:cs="Times New Roman"/>
          <w:sz w:val="24"/>
          <w:szCs w:val="24"/>
        </w:rPr>
        <w:t>1999,</w:t>
      </w:r>
      <w:r>
        <w:rPr>
          <w:rFonts w:ascii="Times New Roman" w:hAnsi="Times New Roman" w:cs="Times New Roman"/>
          <w:sz w:val="24"/>
          <w:szCs w:val="24"/>
        </w:rPr>
        <w:t xml:space="preserve"> </w:t>
      </w:r>
      <w:r w:rsidRPr="00C0262E">
        <w:rPr>
          <w:rFonts w:ascii="Times New Roman" w:hAnsi="Times New Roman" w:cs="Times New Roman"/>
          <w:sz w:val="24"/>
          <w:szCs w:val="24"/>
        </w:rPr>
        <w:t>p.</w:t>
      </w:r>
      <w:r>
        <w:rPr>
          <w:rFonts w:ascii="Times New Roman" w:hAnsi="Times New Roman" w:cs="Times New Roman"/>
          <w:sz w:val="24"/>
          <w:szCs w:val="24"/>
        </w:rPr>
        <w:t xml:space="preserve"> </w:t>
      </w:r>
      <w:r w:rsidRPr="00C0262E">
        <w:rPr>
          <w:rFonts w:ascii="Times New Roman" w:hAnsi="Times New Roman" w:cs="Times New Roman"/>
          <w:sz w:val="24"/>
          <w:szCs w:val="24"/>
        </w:rPr>
        <w:t xml:space="preserve">45 </w:t>
      </w:r>
      <w:proofErr w:type="spellStart"/>
      <w:r w:rsidRPr="00C0262E">
        <w:rPr>
          <w:rFonts w:ascii="Times New Roman" w:hAnsi="Times New Roman" w:cs="Times New Roman"/>
          <w:sz w:val="24"/>
          <w:szCs w:val="24"/>
        </w:rPr>
        <w:t>ss</w:t>
      </w:r>
      <w:proofErr w:type="spellEnd"/>
      <w:r w:rsidRPr="00C0262E">
        <w:rPr>
          <w:rFonts w:ascii="Times New Roman" w:hAnsi="Times New Roman" w:cs="Times New Roman"/>
          <w:sz w:val="24"/>
          <w:szCs w:val="24"/>
        </w:rPr>
        <w:t xml:space="preserve">; in giurisprudenza si veda </w:t>
      </w:r>
      <w:proofErr w:type="spellStart"/>
      <w:r>
        <w:rPr>
          <w:rFonts w:ascii="Times New Roman" w:hAnsi="Times New Roman" w:cs="Times New Roman"/>
          <w:sz w:val="24"/>
          <w:szCs w:val="24"/>
        </w:rPr>
        <w:t>C</w:t>
      </w:r>
      <w:r w:rsidRPr="00C0262E">
        <w:rPr>
          <w:rFonts w:ascii="Times New Roman" w:hAnsi="Times New Roman" w:cs="Times New Roman"/>
          <w:sz w:val="24"/>
          <w:szCs w:val="24"/>
        </w:rPr>
        <w:t>ass</w:t>
      </w:r>
      <w:proofErr w:type="spellEnd"/>
      <w:r w:rsidRPr="00C0262E">
        <w:rPr>
          <w:rFonts w:ascii="Times New Roman" w:hAnsi="Times New Roman" w:cs="Times New Roman"/>
          <w:sz w:val="24"/>
          <w:szCs w:val="24"/>
        </w:rPr>
        <w:t>.</w:t>
      </w:r>
      <w:r>
        <w:rPr>
          <w:rFonts w:ascii="Times New Roman" w:hAnsi="Times New Roman" w:cs="Times New Roman"/>
          <w:sz w:val="24"/>
          <w:szCs w:val="24"/>
        </w:rPr>
        <w:t>, S</w:t>
      </w:r>
      <w:r w:rsidRPr="00C0262E">
        <w:rPr>
          <w:rFonts w:ascii="Times New Roman" w:hAnsi="Times New Roman" w:cs="Times New Roman"/>
          <w:sz w:val="24"/>
          <w:szCs w:val="24"/>
        </w:rPr>
        <w:t>ez.</w:t>
      </w:r>
      <w:r>
        <w:rPr>
          <w:rFonts w:ascii="Times New Roman" w:hAnsi="Times New Roman" w:cs="Times New Roman"/>
          <w:sz w:val="24"/>
          <w:szCs w:val="24"/>
        </w:rPr>
        <w:t xml:space="preserve"> U</w:t>
      </w:r>
      <w:r w:rsidRPr="00C0262E">
        <w:rPr>
          <w:rFonts w:ascii="Times New Roman" w:hAnsi="Times New Roman" w:cs="Times New Roman"/>
          <w:sz w:val="24"/>
          <w:szCs w:val="24"/>
        </w:rPr>
        <w:t>n.</w:t>
      </w:r>
      <w:r>
        <w:rPr>
          <w:rFonts w:ascii="Times New Roman" w:hAnsi="Times New Roman" w:cs="Times New Roman"/>
          <w:sz w:val="24"/>
          <w:szCs w:val="24"/>
        </w:rPr>
        <w:t xml:space="preserve">, </w:t>
      </w:r>
      <w:r w:rsidRPr="00C0262E">
        <w:rPr>
          <w:rFonts w:ascii="Times New Roman" w:hAnsi="Times New Roman" w:cs="Times New Roman"/>
          <w:sz w:val="24"/>
          <w:szCs w:val="24"/>
        </w:rPr>
        <w:t>4 maggio 2004</w:t>
      </w:r>
      <w:r>
        <w:rPr>
          <w:rFonts w:ascii="Times New Roman" w:hAnsi="Times New Roman" w:cs="Times New Roman"/>
          <w:sz w:val="24"/>
          <w:szCs w:val="24"/>
        </w:rPr>
        <w:t>,</w:t>
      </w:r>
      <w:r w:rsidRPr="00C0262E">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C0262E">
        <w:rPr>
          <w:rFonts w:ascii="Times New Roman" w:hAnsi="Times New Roman" w:cs="Times New Roman"/>
          <w:sz w:val="24"/>
          <w:szCs w:val="24"/>
        </w:rPr>
        <w:t>8430</w:t>
      </w:r>
      <w:r>
        <w:rPr>
          <w:rFonts w:ascii="Times New Roman" w:hAnsi="Times New Roman" w:cs="Times New Roman"/>
          <w:sz w:val="24"/>
          <w:szCs w:val="24"/>
        </w:rPr>
        <w:t>.</w:t>
      </w:r>
    </w:p>
  </w:footnote>
  <w:footnote w:id="21">
    <w:p w14:paraId="36CDB11E" w14:textId="27233658" w:rsidR="000463A6" w:rsidRPr="00F51693" w:rsidRDefault="000463A6" w:rsidP="00F51693">
      <w:pPr>
        <w:pStyle w:val="Testonotaapidipagina"/>
        <w:jc w:val="both"/>
        <w:rPr>
          <w:rFonts w:ascii="Times New Roman" w:hAnsi="Times New Roman" w:cs="Times New Roman"/>
          <w:sz w:val="24"/>
          <w:szCs w:val="24"/>
        </w:rPr>
      </w:pPr>
      <w:r w:rsidRPr="00F51693">
        <w:rPr>
          <w:rStyle w:val="Rimandonotaapidipagina"/>
          <w:rFonts w:ascii="Times New Roman" w:hAnsi="Times New Roman" w:cs="Times New Roman"/>
          <w:sz w:val="24"/>
          <w:szCs w:val="24"/>
        </w:rPr>
        <w:footnoteRef/>
      </w:r>
      <w:r w:rsidRPr="00F51693">
        <w:rPr>
          <w:rFonts w:ascii="Times New Roman" w:hAnsi="Times New Roman" w:cs="Times New Roman"/>
          <w:sz w:val="24"/>
          <w:szCs w:val="24"/>
        </w:rPr>
        <w:t xml:space="preserve"> </w:t>
      </w:r>
      <w:r w:rsidRPr="00F51693">
        <w:rPr>
          <w:rFonts w:ascii="Times New Roman" w:hAnsi="Times New Roman" w:cs="Times New Roman"/>
          <w:smallCaps/>
          <w:sz w:val="24"/>
          <w:szCs w:val="24"/>
        </w:rPr>
        <w:t xml:space="preserve">P. </w:t>
      </w:r>
      <w:proofErr w:type="spellStart"/>
      <w:r w:rsidRPr="00F51693">
        <w:rPr>
          <w:rFonts w:ascii="Times New Roman" w:hAnsi="Times New Roman" w:cs="Times New Roman"/>
          <w:smallCaps/>
          <w:sz w:val="24"/>
          <w:szCs w:val="24"/>
        </w:rPr>
        <w:t>Ferragina</w:t>
      </w:r>
      <w:proofErr w:type="spellEnd"/>
      <w:r w:rsidRPr="00F51693">
        <w:rPr>
          <w:rFonts w:ascii="Times New Roman" w:hAnsi="Times New Roman" w:cs="Times New Roman"/>
          <w:smallCaps/>
          <w:sz w:val="24"/>
          <w:szCs w:val="24"/>
        </w:rPr>
        <w:t xml:space="preserve"> – F. Luccio</w:t>
      </w:r>
      <w:r w:rsidRPr="00F51693">
        <w:rPr>
          <w:rFonts w:ascii="Times New Roman" w:hAnsi="Times New Roman" w:cs="Times New Roman"/>
          <w:sz w:val="24"/>
          <w:szCs w:val="24"/>
        </w:rPr>
        <w:t>, “</w:t>
      </w:r>
      <w:r w:rsidRPr="00F51693">
        <w:rPr>
          <w:rFonts w:ascii="Times New Roman" w:hAnsi="Times New Roman" w:cs="Times New Roman"/>
          <w:i/>
          <w:iCs/>
          <w:sz w:val="24"/>
          <w:szCs w:val="24"/>
        </w:rPr>
        <w:t>Il pensiero computazionale</w:t>
      </w:r>
      <w:r w:rsidRPr="00F51693">
        <w:rPr>
          <w:rFonts w:ascii="Times New Roman" w:hAnsi="Times New Roman" w:cs="Times New Roman"/>
          <w:sz w:val="24"/>
          <w:szCs w:val="24"/>
        </w:rPr>
        <w:t xml:space="preserve">. </w:t>
      </w:r>
      <w:r w:rsidRPr="00F51693">
        <w:rPr>
          <w:rFonts w:ascii="Times New Roman" w:hAnsi="Times New Roman" w:cs="Times New Roman"/>
          <w:i/>
          <w:iCs/>
          <w:sz w:val="24"/>
          <w:szCs w:val="24"/>
        </w:rPr>
        <w:t xml:space="preserve">Dagli algoritmi al </w:t>
      </w:r>
      <w:proofErr w:type="spellStart"/>
      <w:r w:rsidRPr="00F51693">
        <w:rPr>
          <w:rFonts w:ascii="Times New Roman" w:hAnsi="Times New Roman" w:cs="Times New Roman"/>
          <w:i/>
          <w:iCs/>
          <w:sz w:val="24"/>
          <w:szCs w:val="24"/>
        </w:rPr>
        <w:t>coding</w:t>
      </w:r>
      <w:proofErr w:type="spellEnd"/>
      <w:r w:rsidRPr="00C32353">
        <w:rPr>
          <w:rFonts w:ascii="Times New Roman" w:hAnsi="Times New Roman" w:cs="Times New Roman"/>
          <w:sz w:val="24"/>
          <w:szCs w:val="24"/>
        </w:rPr>
        <w:t>”,</w:t>
      </w:r>
      <w:r w:rsidRPr="00F51693">
        <w:rPr>
          <w:rFonts w:ascii="Times New Roman" w:hAnsi="Times New Roman" w:cs="Times New Roman"/>
          <w:i/>
          <w:iCs/>
          <w:sz w:val="24"/>
          <w:szCs w:val="24"/>
        </w:rPr>
        <w:t xml:space="preserve"> </w:t>
      </w:r>
      <w:r w:rsidRPr="00F51693">
        <w:rPr>
          <w:rFonts w:ascii="Times New Roman" w:hAnsi="Times New Roman" w:cs="Times New Roman"/>
          <w:sz w:val="24"/>
          <w:szCs w:val="24"/>
        </w:rPr>
        <w:t>Bologna, 2017.</w:t>
      </w:r>
    </w:p>
  </w:footnote>
  <w:footnote w:id="22">
    <w:p w14:paraId="6077A014" w14:textId="4E1E62B7" w:rsidR="000463A6" w:rsidRPr="00F51693" w:rsidRDefault="000463A6" w:rsidP="00F51693">
      <w:pPr>
        <w:pStyle w:val="Testonotaapidipagina"/>
        <w:jc w:val="both"/>
        <w:rPr>
          <w:rFonts w:ascii="Times New Roman" w:hAnsi="Times New Roman" w:cs="Times New Roman"/>
          <w:sz w:val="24"/>
          <w:szCs w:val="24"/>
        </w:rPr>
      </w:pPr>
      <w:r w:rsidRPr="00F51693">
        <w:rPr>
          <w:rStyle w:val="Rimandonotaapidipagina"/>
          <w:rFonts w:ascii="Times New Roman" w:hAnsi="Times New Roman" w:cs="Times New Roman"/>
          <w:sz w:val="24"/>
          <w:szCs w:val="24"/>
        </w:rPr>
        <w:footnoteRef/>
      </w:r>
      <w:r w:rsidRPr="00F51693">
        <w:rPr>
          <w:rFonts w:ascii="Times New Roman" w:hAnsi="Times New Roman" w:cs="Times New Roman"/>
          <w:sz w:val="24"/>
          <w:szCs w:val="24"/>
        </w:rPr>
        <w:t xml:space="preserve"> </w:t>
      </w:r>
      <w:r w:rsidRPr="00F51693">
        <w:rPr>
          <w:rFonts w:ascii="Times New Roman" w:hAnsi="Times New Roman" w:cs="Times New Roman"/>
          <w:smallCaps/>
          <w:sz w:val="24"/>
          <w:szCs w:val="24"/>
        </w:rPr>
        <w:t xml:space="preserve">F. </w:t>
      </w:r>
      <w:proofErr w:type="spellStart"/>
      <w:r w:rsidRPr="00F51693">
        <w:rPr>
          <w:rFonts w:ascii="Times New Roman" w:hAnsi="Times New Roman" w:cs="Times New Roman"/>
          <w:smallCaps/>
          <w:sz w:val="24"/>
          <w:szCs w:val="24"/>
        </w:rPr>
        <w:t>Saitta</w:t>
      </w:r>
      <w:proofErr w:type="spellEnd"/>
      <w:r w:rsidRPr="00F51693">
        <w:rPr>
          <w:rFonts w:ascii="Times New Roman" w:hAnsi="Times New Roman" w:cs="Times New Roman"/>
          <w:sz w:val="24"/>
          <w:szCs w:val="24"/>
        </w:rPr>
        <w:t>, “</w:t>
      </w:r>
      <w:r w:rsidRPr="00F51693">
        <w:rPr>
          <w:rFonts w:ascii="Times New Roman" w:hAnsi="Times New Roman" w:cs="Times New Roman"/>
          <w:i/>
          <w:iCs/>
          <w:sz w:val="24"/>
          <w:szCs w:val="24"/>
        </w:rPr>
        <w:t>Le patologie dell’atto amministrativo elettronico e il sindacato del giudice amministrativo</w:t>
      </w:r>
      <w:r w:rsidRPr="00F51693">
        <w:rPr>
          <w:rFonts w:ascii="Times New Roman" w:hAnsi="Times New Roman" w:cs="Times New Roman"/>
          <w:sz w:val="24"/>
          <w:szCs w:val="24"/>
        </w:rPr>
        <w:t xml:space="preserve">”, in </w:t>
      </w:r>
      <w:proofErr w:type="spellStart"/>
      <w:r w:rsidRPr="00F51693">
        <w:rPr>
          <w:rFonts w:ascii="Times New Roman" w:hAnsi="Times New Roman" w:cs="Times New Roman"/>
          <w:i/>
          <w:iCs/>
          <w:sz w:val="24"/>
          <w:szCs w:val="24"/>
        </w:rPr>
        <w:t>Riv.dir.amm.elettronico</w:t>
      </w:r>
      <w:proofErr w:type="spellEnd"/>
      <w:r w:rsidRPr="00F51693">
        <w:rPr>
          <w:rFonts w:ascii="Times New Roman" w:hAnsi="Times New Roman" w:cs="Times New Roman"/>
          <w:sz w:val="24"/>
          <w:szCs w:val="24"/>
        </w:rPr>
        <w:t xml:space="preserve">, disponibile </w:t>
      </w:r>
      <w:r w:rsidRPr="00F51693">
        <w:rPr>
          <w:rFonts w:ascii="Times New Roman" w:hAnsi="Times New Roman" w:cs="Times New Roman"/>
          <w:i/>
          <w:iCs/>
          <w:sz w:val="24"/>
          <w:szCs w:val="24"/>
        </w:rPr>
        <w:t>on line</w:t>
      </w:r>
      <w:r w:rsidRPr="00F51693">
        <w:rPr>
          <w:rFonts w:ascii="Times New Roman" w:hAnsi="Times New Roman" w:cs="Times New Roman"/>
          <w:sz w:val="24"/>
          <w:szCs w:val="24"/>
        </w:rPr>
        <w:t>, 2003, 10.</w:t>
      </w:r>
    </w:p>
  </w:footnote>
  <w:footnote w:id="23">
    <w:p w14:paraId="126CF5EC" w14:textId="04DF19DE" w:rsidR="000463A6" w:rsidRDefault="000463A6" w:rsidP="00F51693">
      <w:pPr>
        <w:pStyle w:val="Testonotaapidipagina"/>
        <w:jc w:val="both"/>
      </w:pPr>
      <w:r w:rsidRPr="00F51693">
        <w:rPr>
          <w:rStyle w:val="Rimandonotaapidipagina"/>
          <w:rFonts w:ascii="Times New Roman" w:hAnsi="Times New Roman" w:cs="Times New Roman"/>
          <w:sz w:val="24"/>
          <w:szCs w:val="24"/>
        </w:rPr>
        <w:footnoteRef/>
      </w:r>
      <w:r w:rsidRPr="00F51693">
        <w:rPr>
          <w:rFonts w:ascii="Times New Roman" w:hAnsi="Times New Roman" w:cs="Times New Roman"/>
          <w:sz w:val="24"/>
          <w:szCs w:val="24"/>
        </w:rPr>
        <w:t xml:space="preserve"> Tar Lazio, sez. III bis, 14 febbraio 2017, n. 3769.</w:t>
      </w:r>
    </w:p>
  </w:footnote>
  <w:footnote w:id="24">
    <w:p w14:paraId="5C475C78" w14:textId="692B5A03" w:rsidR="000463A6" w:rsidRPr="00F51693" w:rsidRDefault="000463A6" w:rsidP="00F51693">
      <w:pPr>
        <w:pStyle w:val="Testonotaapidipagina"/>
        <w:jc w:val="both"/>
        <w:rPr>
          <w:rFonts w:ascii="Times New Roman" w:hAnsi="Times New Roman" w:cs="Times New Roman"/>
          <w:sz w:val="24"/>
          <w:szCs w:val="24"/>
        </w:rPr>
      </w:pPr>
      <w:r w:rsidRPr="00F51693">
        <w:rPr>
          <w:rStyle w:val="Rimandonotaapidipagina"/>
          <w:rFonts w:ascii="Times New Roman" w:hAnsi="Times New Roman" w:cs="Times New Roman"/>
          <w:sz w:val="24"/>
          <w:szCs w:val="24"/>
        </w:rPr>
        <w:footnoteRef/>
      </w:r>
      <w:r w:rsidRPr="00F51693">
        <w:rPr>
          <w:rFonts w:ascii="Times New Roman" w:hAnsi="Times New Roman" w:cs="Times New Roman"/>
          <w:sz w:val="24"/>
          <w:szCs w:val="24"/>
        </w:rPr>
        <w:t xml:space="preserve"> Tar Lazio, Roma, sez. III bis, 11 luglio 2018, n. 9230.</w:t>
      </w:r>
    </w:p>
  </w:footnote>
  <w:footnote w:id="25">
    <w:p w14:paraId="71F82976" w14:textId="213CEC20" w:rsidR="000463A6" w:rsidRPr="00F3537E" w:rsidRDefault="000463A6" w:rsidP="00F3537E">
      <w:pPr>
        <w:pStyle w:val="Testonotaapidipagina"/>
        <w:jc w:val="both"/>
        <w:rPr>
          <w:rFonts w:ascii="Times New Roman" w:hAnsi="Times New Roman" w:cs="Times New Roman"/>
          <w:sz w:val="24"/>
          <w:szCs w:val="24"/>
        </w:rPr>
      </w:pPr>
      <w:r w:rsidRPr="00657E09">
        <w:rPr>
          <w:rStyle w:val="Rimandonotaapidipagina"/>
          <w:rFonts w:ascii="Times New Roman" w:hAnsi="Times New Roman" w:cs="Times New Roman"/>
          <w:sz w:val="24"/>
          <w:szCs w:val="24"/>
        </w:rPr>
        <w:footnoteRef/>
      </w:r>
      <w:r w:rsidRPr="00657E09">
        <w:rPr>
          <w:rFonts w:ascii="Times New Roman" w:hAnsi="Times New Roman" w:cs="Times New Roman"/>
          <w:sz w:val="24"/>
          <w:szCs w:val="24"/>
        </w:rPr>
        <w:t xml:space="preserve"> Sull’autonomia concettuale della tecnica rispetto all’esercizio del potere discrezionale </w:t>
      </w:r>
      <w:r>
        <w:rPr>
          <w:rFonts w:ascii="Times New Roman" w:hAnsi="Times New Roman" w:cs="Times New Roman"/>
          <w:sz w:val="24"/>
          <w:szCs w:val="24"/>
        </w:rPr>
        <w:t xml:space="preserve">vedi </w:t>
      </w:r>
      <w:r w:rsidRPr="00657E09">
        <w:rPr>
          <w:rFonts w:ascii="Times New Roman" w:hAnsi="Times New Roman" w:cs="Times New Roman"/>
          <w:smallCaps/>
          <w:sz w:val="24"/>
          <w:szCs w:val="24"/>
        </w:rPr>
        <w:t>M. S. Giannini</w:t>
      </w:r>
      <w:r>
        <w:rPr>
          <w:rFonts w:ascii="Times New Roman" w:hAnsi="Times New Roman" w:cs="Times New Roman"/>
          <w:sz w:val="24"/>
          <w:szCs w:val="24"/>
        </w:rPr>
        <w:t>,</w:t>
      </w:r>
      <w:r w:rsidRPr="00657E09">
        <w:rPr>
          <w:rFonts w:ascii="Times New Roman" w:hAnsi="Times New Roman" w:cs="Times New Roman"/>
          <w:sz w:val="24"/>
          <w:szCs w:val="24"/>
        </w:rPr>
        <w:t xml:space="preserve"> “</w:t>
      </w:r>
      <w:r w:rsidRPr="00657E09">
        <w:rPr>
          <w:rFonts w:ascii="Times New Roman" w:hAnsi="Times New Roman" w:cs="Times New Roman"/>
          <w:i/>
          <w:iCs/>
          <w:sz w:val="24"/>
          <w:szCs w:val="24"/>
        </w:rPr>
        <w:t>Il potere discrezionale della pubblica amministrazione. Concetto e problemi</w:t>
      </w:r>
      <w:r w:rsidRPr="002248A0">
        <w:rPr>
          <w:rFonts w:ascii="Times New Roman" w:hAnsi="Times New Roman" w:cs="Times New Roman"/>
          <w:sz w:val="24"/>
          <w:szCs w:val="24"/>
        </w:rPr>
        <w:t>”,</w:t>
      </w:r>
      <w:r w:rsidRPr="00657E09">
        <w:rPr>
          <w:rFonts w:ascii="Times New Roman" w:hAnsi="Times New Roman" w:cs="Times New Roman"/>
          <w:i/>
          <w:iCs/>
          <w:sz w:val="24"/>
          <w:szCs w:val="24"/>
        </w:rPr>
        <w:t xml:space="preserve"> </w:t>
      </w:r>
      <w:r w:rsidRPr="00657E09">
        <w:rPr>
          <w:rFonts w:ascii="Times New Roman" w:hAnsi="Times New Roman" w:cs="Times New Roman"/>
          <w:sz w:val="24"/>
          <w:szCs w:val="24"/>
        </w:rPr>
        <w:t>Milano</w:t>
      </w:r>
      <w:r>
        <w:rPr>
          <w:rFonts w:ascii="Times New Roman" w:hAnsi="Times New Roman" w:cs="Times New Roman"/>
          <w:sz w:val="24"/>
          <w:szCs w:val="24"/>
        </w:rPr>
        <w:t>,</w:t>
      </w:r>
      <w:r w:rsidRPr="00657E09">
        <w:rPr>
          <w:rFonts w:ascii="Times New Roman" w:hAnsi="Times New Roman" w:cs="Times New Roman"/>
          <w:sz w:val="24"/>
          <w:szCs w:val="24"/>
        </w:rPr>
        <w:t xml:space="preserve"> 1939</w:t>
      </w:r>
      <w:r w:rsidRPr="00600C0F">
        <w:rPr>
          <w:rFonts w:ascii="Times New Roman" w:hAnsi="Times New Roman" w:cs="Times New Roman"/>
          <w:sz w:val="24"/>
          <w:szCs w:val="24"/>
        </w:rPr>
        <w:t>;</w:t>
      </w:r>
      <w:r w:rsidRPr="00657E09">
        <w:rPr>
          <w:rFonts w:ascii="Times New Roman" w:hAnsi="Times New Roman" w:cs="Times New Roman"/>
          <w:i/>
          <w:iCs/>
          <w:sz w:val="24"/>
          <w:szCs w:val="24"/>
        </w:rPr>
        <w:t xml:space="preserve"> </w:t>
      </w:r>
      <w:r w:rsidRPr="00657E09">
        <w:rPr>
          <w:rFonts w:ascii="Times New Roman" w:hAnsi="Times New Roman" w:cs="Times New Roman"/>
          <w:smallCaps/>
          <w:sz w:val="24"/>
          <w:szCs w:val="24"/>
        </w:rPr>
        <w:t>V</w:t>
      </w:r>
      <w:r w:rsidRPr="00657E09">
        <w:rPr>
          <w:rFonts w:ascii="Times New Roman" w:hAnsi="Times New Roman" w:cs="Times New Roman"/>
          <w:i/>
          <w:iCs/>
          <w:smallCaps/>
          <w:sz w:val="24"/>
          <w:szCs w:val="24"/>
        </w:rPr>
        <w:t xml:space="preserve">. </w:t>
      </w:r>
      <w:r w:rsidRPr="00657E09">
        <w:rPr>
          <w:rFonts w:ascii="Times New Roman" w:hAnsi="Times New Roman" w:cs="Times New Roman"/>
          <w:smallCaps/>
          <w:sz w:val="24"/>
          <w:szCs w:val="24"/>
        </w:rPr>
        <w:t>Bachelet</w:t>
      </w:r>
      <w:r>
        <w:rPr>
          <w:rFonts w:ascii="Times New Roman" w:hAnsi="Times New Roman" w:cs="Times New Roman"/>
          <w:sz w:val="24"/>
          <w:szCs w:val="24"/>
        </w:rPr>
        <w:t>,</w:t>
      </w:r>
      <w:r w:rsidRPr="00657E09">
        <w:rPr>
          <w:rFonts w:ascii="Times New Roman" w:hAnsi="Times New Roman" w:cs="Times New Roman"/>
          <w:sz w:val="24"/>
          <w:szCs w:val="24"/>
        </w:rPr>
        <w:t xml:space="preserve"> “</w:t>
      </w:r>
      <w:r w:rsidRPr="00657E09">
        <w:rPr>
          <w:rFonts w:ascii="Times New Roman" w:hAnsi="Times New Roman" w:cs="Times New Roman"/>
          <w:i/>
          <w:iCs/>
          <w:sz w:val="24"/>
          <w:szCs w:val="24"/>
        </w:rPr>
        <w:t>L’attività tecnica della pubblica amministrazione</w:t>
      </w:r>
      <w:r w:rsidRPr="002248A0">
        <w:rPr>
          <w:rFonts w:ascii="Times New Roman" w:hAnsi="Times New Roman" w:cs="Times New Roman"/>
          <w:sz w:val="24"/>
          <w:szCs w:val="24"/>
        </w:rPr>
        <w:t>”</w:t>
      </w:r>
      <w:r w:rsidRPr="00657E09">
        <w:rPr>
          <w:rFonts w:ascii="Times New Roman" w:hAnsi="Times New Roman" w:cs="Times New Roman"/>
          <w:i/>
          <w:iCs/>
          <w:sz w:val="24"/>
          <w:szCs w:val="24"/>
        </w:rPr>
        <w:t>,</w:t>
      </w:r>
      <w:r w:rsidRPr="00657E09">
        <w:rPr>
          <w:rFonts w:ascii="Times New Roman" w:hAnsi="Times New Roman" w:cs="Times New Roman"/>
          <w:sz w:val="24"/>
          <w:szCs w:val="24"/>
        </w:rPr>
        <w:t xml:space="preserve">1967; </w:t>
      </w:r>
      <w:r w:rsidRPr="00657E09">
        <w:rPr>
          <w:rFonts w:ascii="Times New Roman" w:hAnsi="Times New Roman" w:cs="Times New Roman"/>
          <w:smallCaps/>
          <w:sz w:val="24"/>
          <w:szCs w:val="24"/>
        </w:rPr>
        <w:t>F. Ledda</w:t>
      </w:r>
      <w:r>
        <w:rPr>
          <w:rFonts w:ascii="Times New Roman" w:hAnsi="Times New Roman" w:cs="Times New Roman"/>
          <w:sz w:val="24"/>
          <w:szCs w:val="24"/>
        </w:rPr>
        <w:t>, “</w:t>
      </w:r>
      <w:r w:rsidRPr="00657E09">
        <w:rPr>
          <w:rFonts w:ascii="Times New Roman" w:hAnsi="Times New Roman" w:cs="Times New Roman"/>
          <w:i/>
          <w:iCs/>
          <w:sz w:val="24"/>
          <w:szCs w:val="24"/>
        </w:rPr>
        <w:t xml:space="preserve">Potere, </w:t>
      </w:r>
      <w:r w:rsidRPr="00F3537E">
        <w:rPr>
          <w:rFonts w:ascii="Times New Roman" w:hAnsi="Times New Roman" w:cs="Times New Roman"/>
          <w:i/>
          <w:iCs/>
          <w:sz w:val="24"/>
          <w:szCs w:val="24"/>
        </w:rPr>
        <w:t>tecnica e sindacato giudiziario</w:t>
      </w:r>
      <w:r w:rsidRPr="00600C0F">
        <w:rPr>
          <w:rFonts w:ascii="Times New Roman" w:hAnsi="Times New Roman" w:cs="Times New Roman"/>
          <w:sz w:val="24"/>
          <w:szCs w:val="24"/>
        </w:rPr>
        <w:t>”, in</w:t>
      </w:r>
      <w:r w:rsidRPr="00F3537E">
        <w:rPr>
          <w:rFonts w:ascii="Times New Roman" w:hAnsi="Times New Roman" w:cs="Times New Roman"/>
          <w:i/>
          <w:iCs/>
          <w:sz w:val="24"/>
          <w:szCs w:val="24"/>
        </w:rPr>
        <w:t xml:space="preserve"> “Studi in memoria di V. Bachelet</w:t>
      </w:r>
      <w:r w:rsidRPr="00600C0F">
        <w:rPr>
          <w:rFonts w:ascii="Times New Roman" w:hAnsi="Times New Roman" w:cs="Times New Roman"/>
          <w:sz w:val="24"/>
          <w:szCs w:val="24"/>
        </w:rPr>
        <w:t xml:space="preserve">”, </w:t>
      </w:r>
      <w:r w:rsidRPr="00F3537E">
        <w:rPr>
          <w:rFonts w:ascii="Times New Roman" w:hAnsi="Times New Roman" w:cs="Times New Roman"/>
          <w:sz w:val="24"/>
          <w:szCs w:val="24"/>
        </w:rPr>
        <w:t>Milano, 1987, p. 247.</w:t>
      </w:r>
    </w:p>
  </w:footnote>
  <w:footnote w:id="26">
    <w:p w14:paraId="3A3B0DC1" w14:textId="13D630C8" w:rsidR="000463A6" w:rsidRDefault="000463A6" w:rsidP="00F3537E">
      <w:pPr>
        <w:pStyle w:val="Testonotaapidipagina"/>
        <w:jc w:val="both"/>
      </w:pPr>
      <w:r w:rsidRPr="00F3537E">
        <w:rPr>
          <w:rStyle w:val="Rimandonotaapidipagina"/>
          <w:rFonts w:ascii="Times New Roman" w:hAnsi="Times New Roman" w:cs="Times New Roman"/>
          <w:sz w:val="24"/>
          <w:szCs w:val="24"/>
        </w:rPr>
        <w:footnoteRef/>
      </w:r>
      <w:r w:rsidRPr="00F3537E">
        <w:rPr>
          <w:rFonts w:ascii="Times New Roman" w:hAnsi="Times New Roman" w:cs="Times New Roman"/>
          <w:sz w:val="24"/>
          <w:szCs w:val="24"/>
        </w:rPr>
        <w:t xml:space="preserve"> </w:t>
      </w:r>
      <w:r>
        <w:rPr>
          <w:rFonts w:ascii="Times New Roman" w:hAnsi="Times New Roman" w:cs="Times New Roman"/>
          <w:sz w:val="24"/>
          <w:szCs w:val="24"/>
        </w:rPr>
        <w:t xml:space="preserve">Si veda </w:t>
      </w:r>
      <w:r w:rsidRPr="00F3537E">
        <w:rPr>
          <w:rFonts w:ascii="Times New Roman" w:hAnsi="Times New Roman" w:cs="Times New Roman"/>
          <w:smallCaps/>
          <w:sz w:val="24"/>
          <w:szCs w:val="24"/>
        </w:rPr>
        <w:t>F. Volpe</w:t>
      </w:r>
      <w:r w:rsidRPr="00F3537E">
        <w:rPr>
          <w:rFonts w:ascii="Times New Roman" w:hAnsi="Times New Roman" w:cs="Times New Roman"/>
          <w:sz w:val="24"/>
          <w:szCs w:val="24"/>
        </w:rPr>
        <w:t xml:space="preserve">, </w:t>
      </w:r>
      <w:r>
        <w:rPr>
          <w:rFonts w:ascii="Times New Roman" w:hAnsi="Times New Roman" w:cs="Times New Roman"/>
          <w:sz w:val="24"/>
          <w:szCs w:val="24"/>
        </w:rPr>
        <w:t>“</w:t>
      </w:r>
      <w:r w:rsidRPr="00F3537E">
        <w:rPr>
          <w:rFonts w:ascii="Times New Roman" w:hAnsi="Times New Roman" w:cs="Times New Roman"/>
          <w:i/>
          <w:iCs/>
          <w:sz w:val="24"/>
          <w:szCs w:val="24"/>
        </w:rPr>
        <w:t>Discrezionalità tecnica e presupposti dell’atto amministrativo</w:t>
      </w:r>
      <w:r w:rsidRPr="00600C0F">
        <w:rPr>
          <w:rFonts w:ascii="Times New Roman" w:hAnsi="Times New Roman" w:cs="Times New Roman"/>
          <w:sz w:val="24"/>
          <w:szCs w:val="24"/>
        </w:rPr>
        <w:t>”, in</w:t>
      </w:r>
      <w:r w:rsidRPr="00F3537E">
        <w:rPr>
          <w:rFonts w:ascii="Times New Roman" w:hAnsi="Times New Roman" w:cs="Times New Roman"/>
          <w:i/>
          <w:iCs/>
          <w:sz w:val="24"/>
          <w:szCs w:val="24"/>
        </w:rPr>
        <w:t xml:space="preserve"> Dir.</w:t>
      </w:r>
      <w:r>
        <w:rPr>
          <w:rFonts w:ascii="Times New Roman" w:hAnsi="Times New Roman" w:cs="Times New Roman"/>
          <w:i/>
          <w:iCs/>
          <w:sz w:val="24"/>
          <w:szCs w:val="24"/>
        </w:rPr>
        <w:t xml:space="preserve"> </w:t>
      </w:r>
      <w:proofErr w:type="spellStart"/>
      <w:r w:rsidRPr="00F3537E">
        <w:rPr>
          <w:rFonts w:ascii="Times New Roman" w:hAnsi="Times New Roman" w:cs="Times New Roman"/>
          <w:i/>
          <w:iCs/>
          <w:sz w:val="24"/>
          <w:szCs w:val="24"/>
        </w:rPr>
        <w:t>Amm</w:t>
      </w:r>
      <w:proofErr w:type="spellEnd"/>
      <w:r w:rsidRPr="00F3537E">
        <w:rPr>
          <w:rFonts w:ascii="Times New Roman" w:hAnsi="Times New Roman" w:cs="Times New Roman"/>
          <w:i/>
          <w:iCs/>
          <w:sz w:val="24"/>
          <w:szCs w:val="24"/>
        </w:rPr>
        <w:t>.</w:t>
      </w:r>
      <w:r>
        <w:rPr>
          <w:rFonts w:ascii="Times New Roman" w:hAnsi="Times New Roman" w:cs="Times New Roman"/>
          <w:i/>
          <w:iCs/>
          <w:sz w:val="24"/>
          <w:szCs w:val="24"/>
        </w:rPr>
        <w:t xml:space="preserve">, </w:t>
      </w:r>
      <w:r w:rsidRPr="00F3537E">
        <w:rPr>
          <w:rFonts w:ascii="Times New Roman" w:hAnsi="Times New Roman" w:cs="Times New Roman"/>
          <w:sz w:val="24"/>
          <w:szCs w:val="24"/>
        </w:rPr>
        <w:t>2008, 791.</w:t>
      </w:r>
    </w:p>
  </w:footnote>
  <w:footnote w:id="27">
    <w:p w14:paraId="08B42ABA" w14:textId="24C609EA" w:rsidR="000463A6" w:rsidRPr="006968A1" w:rsidRDefault="000463A6" w:rsidP="006968A1">
      <w:pPr>
        <w:pStyle w:val="Testonotaapidipagina"/>
        <w:jc w:val="both"/>
        <w:rPr>
          <w:rFonts w:ascii="Times New Roman" w:hAnsi="Times New Roman" w:cs="Times New Roman"/>
          <w:sz w:val="24"/>
          <w:szCs w:val="24"/>
          <w:lang w:val="en-US"/>
        </w:rPr>
      </w:pPr>
      <w:r w:rsidRPr="006968A1">
        <w:rPr>
          <w:rStyle w:val="Rimandonotaapidipagina"/>
          <w:rFonts w:ascii="Times New Roman" w:hAnsi="Times New Roman" w:cs="Times New Roman"/>
          <w:sz w:val="24"/>
          <w:szCs w:val="24"/>
        </w:rPr>
        <w:footnoteRef/>
      </w:r>
      <w:r w:rsidRPr="006968A1">
        <w:rPr>
          <w:rFonts w:ascii="Times New Roman" w:hAnsi="Times New Roman" w:cs="Times New Roman"/>
          <w:sz w:val="24"/>
          <w:szCs w:val="24"/>
        </w:rPr>
        <w:t xml:space="preserve"> </w:t>
      </w:r>
      <w:r w:rsidRPr="006968A1">
        <w:rPr>
          <w:rFonts w:ascii="Times New Roman" w:hAnsi="Times New Roman" w:cs="Times New Roman"/>
          <w:smallCaps/>
          <w:sz w:val="24"/>
          <w:szCs w:val="24"/>
        </w:rPr>
        <w:t>A. Moretti</w:t>
      </w:r>
      <w:r>
        <w:rPr>
          <w:rFonts w:ascii="Times New Roman" w:hAnsi="Times New Roman" w:cs="Times New Roman"/>
          <w:sz w:val="24"/>
          <w:szCs w:val="24"/>
        </w:rPr>
        <w:t>,</w:t>
      </w:r>
      <w:r w:rsidRPr="006968A1">
        <w:rPr>
          <w:rFonts w:ascii="Times New Roman" w:hAnsi="Times New Roman" w:cs="Times New Roman"/>
          <w:sz w:val="24"/>
          <w:szCs w:val="24"/>
        </w:rPr>
        <w:t xml:space="preserve"> “</w:t>
      </w:r>
      <w:r w:rsidRPr="006968A1">
        <w:rPr>
          <w:rFonts w:ascii="Times New Roman" w:hAnsi="Times New Roman" w:cs="Times New Roman"/>
          <w:i/>
          <w:iCs/>
          <w:sz w:val="24"/>
          <w:szCs w:val="24"/>
        </w:rPr>
        <w:t xml:space="preserve">Algoritmi e diritti fondamentali della persona. </w:t>
      </w:r>
      <w:r w:rsidRPr="006968A1">
        <w:rPr>
          <w:rFonts w:ascii="Times New Roman" w:hAnsi="Times New Roman" w:cs="Times New Roman"/>
          <w:i/>
          <w:iCs/>
          <w:sz w:val="24"/>
          <w:szCs w:val="24"/>
          <w:lang w:val="en-US"/>
        </w:rPr>
        <w:t xml:space="preserve">Il </w:t>
      </w:r>
      <w:proofErr w:type="spellStart"/>
      <w:r w:rsidRPr="006968A1">
        <w:rPr>
          <w:rFonts w:ascii="Times New Roman" w:hAnsi="Times New Roman" w:cs="Times New Roman"/>
          <w:i/>
          <w:iCs/>
          <w:sz w:val="24"/>
          <w:szCs w:val="24"/>
          <w:lang w:val="en-US"/>
        </w:rPr>
        <w:t>contributo</w:t>
      </w:r>
      <w:proofErr w:type="spellEnd"/>
      <w:r w:rsidRPr="006968A1">
        <w:rPr>
          <w:rFonts w:ascii="Times New Roman" w:hAnsi="Times New Roman" w:cs="Times New Roman"/>
          <w:i/>
          <w:iCs/>
          <w:sz w:val="24"/>
          <w:szCs w:val="24"/>
          <w:lang w:val="en-US"/>
        </w:rPr>
        <w:t xml:space="preserve"> del </w:t>
      </w:r>
      <w:proofErr w:type="spellStart"/>
      <w:r w:rsidRPr="006968A1">
        <w:rPr>
          <w:rFonts w:ascii="Times New Roman" w:hAnsi="Times New Roman" w:cs="Times New Roman"/>
          <w:i/>
          <w:iCs/>
          <w:sz w:val="24"/>
          <w:szCs w:val="24"/>
          <w:lang w:val="en-US"/>
        </w:rPr>
        <w:t>Regolamento</w:t>
      </w:r>
      <w:proofErr w:type="spellEnd"/>
      <w:r w:rsidRPr="006968A1">
        <w:rPr>
          <w:rFonts w:ascii="Times New Roman" w:hAnsi="Times New Roman" w:cs="Times New Roman"/>
          <w:i/>
          <w:iCs/>
          <w:sz w:val="24"/>
          <w:szCs w:val="24"/>
          <w:lang w:val="en-US"/>
        </w:rPr>
        <w:t xml:space="preserve"> UE 2016/679</w:t>
      </w:r>
      <w:r w:rsidRPr="00EF2914">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r w:rsidRPr="006968A1">
        <w:rPr>
          <w:rFonts w:ascii="Times New Roman" w:hAnsi="Times New Roman" w:cs="Times New Roman"/>
          <w:sz w:val="24"/>
          <w:szCs w:val="24"/>
          <w:lang w:val="en-US"/>
        </w:rPr>
        <w:t xml:space="preserve">in </w:t>
      </w:r>
      <w:r>
        <w:rPr>
          <w:rFonts w:ascii="Times New Roman" w:hAnsi="Times New Roman" w:cs="Times New Roman"/>
          <w:sz w:val="24"/>
          <w:szCs w:val="24"/>
          <w:lang w:val="en-US"/>
        </w:rPr>
        <w:t>“</w:t>
      </w:r>
      <w:proofErr w:type="spellStart"/>
      <w:r w:rsidRPr="009952D0">
        <w:rPr>
          <w:rFonts w:ascii="Times New Roman" w:hAnsi="Times New Roman" w:cs="Times New Roman"/>
          <w:i/>
          <w:iCs/>
          <w:sz w:val="24"/>
          <w:szCs w:val="24"/>
          <w:lang w:val="en-US"/>
        </w:rPr>
        <w:t>Diritto</w:t>
      </w:r>
      <w:proofErr w:type="spellEnd"/>
      <w:r w:rsidRPr="009952D0">
        <w:rPr>
          <w:rFonts w:ascii="Times New Roman" w:hAnsi="Times New Roman" w:cs="Times New Roman"/>
          <w:i/>
          <w:iCs/>
          <w:sz w:val="24"/>
          <w:szCs w:val="24"/>
          <w:lang w:val="en-US"/>
        </w:rPr>
        <w:t xml:space="preserve"> </w:t>
      </w:r>
      <w:proofErr w:type="spellStart"/>
      <w:r w:rsidRPr="009952D0">
        <w:rPr>
          <w:rFonts w:ascii="Times New Roman" w:hAnsi="Times New Roman" w:cs="Times New Roman"/>
          <w:i/>
          <w:iCs/>
          <w:sz w:val="24"/>
          <w:szCs w:val="24"/>
          <w:lang w:val="en-US"/>
        </w:rPr>
        <w:t>dell’informazione</w:t>
      </w:r>
      <w:proofErr w:type="spellEnd"/>
      <w:r w:rsidRPr="009952D0">
        <w:rPr>
          <w:rFonts w:ascii="Times New Roman" w:hAnsi="Times New Roman" w:cs="Times New Roman"/>
          <w:i/>
          <w:iCs/>
          <w:sz w:val="24"/>
          <w:szCs w:val="24"/>
          <w:lang w:val="en-US"/>
        </w:rPr>
        <w:t xml:space="preserve"> e </w:t>
      </w:r>
      <w:proofErr w:type="spellStart"/>
      <w:r w:rsidRPr="009952D0">
        <w:rPr>
          <w:rFonts w:ascii="Times New Roman" w:hAnsi="Times New Roman" w:cs="Times New Roman"/>
          <w:i/>
          <w:iCs/>
          <w:sz w:val="24"/>
          <w:szCs w:val="24"/>
          <w:lang w:val="en-US"/>
        </w:rPr>
        <w:t>dell’Informatica</w:t>
      </w:r>
      <w:proofErr w:type="spellEnd"/>
      <w:r w:rsidRPr="00EF291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968A1">
        <w:rPr>
          <w:rFonts w:ascii="Times New Roman" w:hAnsi="Times New Roman" w:cs="Times New Roman"/>
          <w:sz w:val="24"/>
          <w:szCs w:val="24"/>
          <w:lang w:val="en-US"/>
        </w:rPr>
        <w:t>2018,</w:t>
      </w:r>
      <w:r>
        <w:rPr>
          <w:rFonts w:ascii="Times New Roman" w:hAnsi="Times New Roman" w:cs="Times New Roman"/>
          <w:sz w:val="24"/>
          <w:szCs w:val="24"/>
          <w:lang w:val="en-US"/>
        </w:rPr>
        <w:t xml:space="preserve"> </w:t>
      </w:r>
      <w:r w:rsidRPr="006968A1">
        <w:rPr>
          <w:rFonts w:ascii="Times New Roman" w:hAnsi="Times New Roman" w:cs="Times New Roman"/>
          <w:sz w:val="24"/>
          <w:szCs w:val="24"/>
          <w:lang w:val="en-US"/>
        </w:rPr>
        <w:t xml:space="preserve">799; </w:t>
      </w:r>
      <w:r w:rsidRPr="006968A1">
        <w:rPr>
          <w:rFonts w:ascii="Times New Roman" w:hAnsi="Times New Roman" w:cs="Times New Roman"/>
          <w:smallCaps/>
          <w:sz w:val="24"/>
          <w:szCs w:val="24"/>
          <w:lang w:val="en-US"/>
        </w:rPr>
        <w:t>D</w:t>
      </w:r>
      <w:r>
        <w:rPr>
          <w:rFonts w:ascii="Times New Roman" w:hAnsi="Times New Roman" w:cs="Times New Roman"/>
          <w:smallCaps/>
          <w:sz w:val="24"/>
          <w:szCs w:val="24"/>
          <w:lang w:val="en-US"/>
        </w:rPr>
        <w:t>.</w:t>
      </w:r>
      <w:r w:rsidRPr="006968A1">
        <w:rPr>
          <w:rFonts w:ascii="Times New Roman" w:hAnsi="Times New Roman" w:cs="Times New Roman"/>
          <w:smallCaps/>
          <w:sz w:val="24"/>
          <w:szCs w:val="24"/>
          <w:lang w:val="en-US"/>
        </w:rPr>
        <w:t xml:space="preserve"> Keats Citron</w:t>
      </w:r>
      <w:r w:rsidRPr="006968A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968A1">
        <w:rPr>
          <w:rFonts w:ascii="Times New Roman" w:hAnsi="Times New Roman" w:cs="Times New Roman"/>
          <w:i/>
          <w:iCs/>
          <w:sz w:val="24"/>
          <w:szCs w:val="24"/>
          <w:lang w:val="en-US"/>
        </w:rPr>
        <w:t>Technological Due Process</w:t>
      </w:r>
      <w:r w:rsidRPr="00EF2914">
        <w:rPr>
          <w:rFonts w:ascii="Times New Roman" w:hAnsi="Times New Roman" w:cs="Times New Roman"/>
          <w:sz w:val="24"/>
          <w:szCs w:val="24"/>
          <w:lang w:val="en-US"/>
        </w:rPr>
        <w:t xml:space="preserve">”, </w:t>
      </w:r>
      <w:r w:rsidRPr="006968A1">
        <w:rPr>
          <w:rFonts w:ascii="Times New Roman" w:hAnsi="Times New Roman" w:cs="Times New Roman"/>
          <w:sz w:val="24"/>
          <w:szCs w:val="24"/>
          <w:lang w:val="en-US"/>
        </w:rPr>
        <w:t xml:space="preserve">85, Wash. Un.L.Rev.1249; </w:t>
      </w:r>
      <w:r w:rsidRPr="006968A1">
        <w:rPr>
          <w:rFonts w:ascii="Times New Roman" w:hAnsi="Times New Roman" w:cs="Times New Roman"/>
          <w:smallCaps/>
          <w:sz w:val="24"/>
          <w:szCs w:val="24"/>
          <w:lang w:val="en-US"/>
        </w:rPr>
        <w:t>D</w:t>
      </w:r>
      <w:r>
        <w:rPr>
          <w:rFonts w:ascii="Times New Roman" w:hAnsi="Times New Roman" w:cs="Times New Roman"/>
          <w:smallCaps/>
          <w:sz w:val="24"/>
          <w:szCs w:val="24"/>
          <w:lang w:val="en-US"/>
        </w:rPr>
        <w:t>.</w:t>
      </w:r>
      <w:r w:rsidRPr="006968A1">
        <w:rPr>
          <w:rFonts w:ascii="Times New Roman" w:hAnsi="Times New Roman" w:cs="Times New Roman"/>
          <w:smallCaps/>
          <w:sz w:val="24"/>
          <w:szCs w:val="24"/>
          <w:lang w:val="en-US"/>
        </w:rPr>
        <w:t xml:space="preserve"> Keats Citron &amp; F</w:t>
      </w:r>
      <w:r>
        <w:rPr>
          <w:rFonts w:ascii="Times New Roman" w:hAnsi="Times New Roman" w:cs="Times New Roman"/>
          <w:smallCaps/>
          <w:sz w:val="24"/>
          <w:szCs w:val="24"/>
          <w:lang w:val="en-US"/>
        </w:rPr>
        <w:t>.</w:t>
      </w:r>
      <w:r w:rsidRPr="006968A1">
        <w:rPr>
          <w:rFonts w:ascii="Times New Roman" w:hAnsi="Times New Roman" w:cs="Times New Roman"/>
          <w:smallCaps/>
          <w:sz w:val="24"/>
          <w:szCs w:val="24"/>
          <w:lang w:val="en-US"/>
        </w:rPr>
        <w:t xml:space="preserve"> Pasquale</w:t>
      </w:r>
      <w:r w:rsidRPr="006968A1">
        <w:rPr>
          <w:rFonts w:ascii="Times New Roman" w:hAnsi="Times New Roman" w:cs="Times New Roman"/>
          <w:sz w:val="24"/>
          <w:szCs w:val="24"/>
          <w:lang w:val="en-US"/>
        </w:rPr>
        <w:t>, “</w:t>
      </w:r>
      <w:r w:rsidRPr="006968A1">
        <w:rPr>
          <w:rFonts w:ascii="Times New Roman" w:hAnsi="Times New Roman" w:cs="Times New Roman"/>
          <w:i/>
          <w:iCs/>
          <w:sz w:val="24"/>
          <w:szCs w:val="24"/>
          <w:lang w:val="en-US"/>
        </w:rPr>
        <w:t>The Scored Society: Due Process for Automated Predictions</w:t>
      </w:r>
      <w:r w:rsidRPr="00EF2914">
        <w:rPr>
          <w:rFonts w:ascii="Times New Roman" w:hAnsi="Times New Roman" w:cs="Times New Roman"/>
          <w:sz w:val="24"/>
          <w:szCs w:val="24"/>
          <w:lang w:val="en-US"/>
        </w:rPr>
        <w:t>”,</w:t>
      </w:r>
      <w:r w:rsidRPr="006968A1">
        <w:rPr>
          <w:rFonts w:ascii="Times New Roman" w:hAnsi="Times New Roman" w:cs="Times New Roman"/>
          <w:i/>
          <w:iCs/>
          <w:sz w:val="24"/>
          <w:szCs w:val="24"/>
          <w:lang w:val="en-US"/>
        </w:rPr>
        <w:t xml:space="preserve"> </w:t>
      </w:r>
      <w:r w:rsidRPr="006968A1">
        <w:rPr>
          <w:rFonts w:ascii="Times New Roman" w:hAnsi="Times New Roman" w:cs="Times New Roman"/>
          <w:sz w:val="24"/>
          <w:szCs w:val="24"/>
          <w:lang w:val="en-US"/>
        </w:rPr>
        <w:t xml:space="preserve">89 WASH.L.REV. 1 (2014); </w:t>
      </w:r>
      <w:r w:rsidRPr="006968A1">
        <w:rPr>
          <w:rFonts w:ascii="Times New Roman" w:hAnsi="Times New Roman" w:cs="Times New Roman"/>
          <w:smallCaps/>
          <w:sz w:val="24"/>
          <w:szCs w:val="24"/>
          <w:lang w:val="en-US"/>
        </w:rPr>
        <w:t>K</w:t>
      </w:r>
      <w:r>
        <w:rPr>
          <w:rFonts w:ascii="Times New Roman" w:hAnsi="Times New Roman" w:cs="Times New Roman"/>
          <w:smallCaps/>
          <w:sz w:val="24"/>
          <w:szCs w:val="24"/>
          <w:lang w:val="en-US"/>
        </w:rPr>
        <w:t>.</w:t>
      </w:r>
      <w:r w:rsidRPr="006968A1">
        <w:rPr>
          <w:rFonts w:ascii="Times New Roman" w:hAnsi="Times New Roman" w:cs="Times New Roman"/>
          <w:smallCaps/>
          <w:sz w:val="24"/>
          <w:szCs w:val="24"/>
          <w:lang w:val="en-US"/>
        </w:rPr>
        <w:t xml:space="preserve"> Crawford &amp; J</w:t>
      </w:r>
      <w:r>
        <w:rPr>
          <w:rFonts w:ascii="Times New Roman" w:hAnsi="Times New Roman" w:cs="Times New Roman"/>
          <w:smallCaps/>
          <w:sz w:val="24"/>
          <w:szCs w:val="24"/>
          <w:lang w:val="en-US"/>
        </w:rPr>
        <w:t>.</w:t>
      </w:r>
      <w:r w:rsidRPr="006968A1">
        <w:rPr>
          <w:rFonts w:ascii="Times New Roman" w:hAnsi="Times New Roman" w:cs="Times New Roman"/>
          <w:smallCaps/>
          <w:sz w:val="24"/>
          <w:szCs w:val="24"/>
          <w:lang w:val="en-US"/>
        </w:rPr>
        <w:t xml:space="preserve"> Schultz</w:t>
      </w:r>
      <w:r w:rsidRPr="006968A1">
        <w:rPr>
          <w:rFonts w:ascii="Times New Roman" w:hAnsi="Times New Roman" w:cs="Times New Roman"/>
          <w:sz w:val="24"/>
          <w:szCs w:val="24"/>
          <w:lang w:val="en-US"/>
        </w:rPr>
        <w:t>, “</w:t>
      </w:r>
      <w:r w:rsidRPr="006968A1">
        <w:rPr>
          <w:rFonts w:ascii="Times New Roman" w:hAnsi="Times New Roman" w:cs="Times New Roman"/>
          <w:i/>
          <w:iCs/>
          <w:sz w:val="24"/>
          <w:szCs w:val="24"/>
          <w:lang w:val="en-US"/>
        </w:rPr>
        <w:t>Big Data and Due Process: toward a Framework to Redress Predictive Privacy Harms</w:t>
      </w:r>
      <w:r w:rsidRPr="00EF2914">
        <w:rPr>
          <w:rFonts w:ascii="Times New Roman" w:hAnsi="Times New Roman" w:cs="Times New Roman"/>
          <w:sz w:val="24"/>
          <w:szCs w:val="24"/>
          <w:lang w:val="en-US"/>
        </w:rPr>
        <w:t>”</w:t>
      </w:r>
      <w:r w:rsidRPr="006968A1">
        <w:rPr>
          <w:rFonts w:ascii="Times New Roman" w:hAnsi="Times New Roman" w:cs="Times New Roman"/>
          <w:i/>
          <w:iCs/>
          <w:sz w:val="24"/>
          <w:szCs w:val="24"/>
          <w:lang w:val="en-US"/>
        </w:rPr>
        <w:t xml:space="preserve">, </w:t>
      </w:r>
      <w:r w:rsidRPr="006968A1">
        <w:rPr>
          <w:rFonts w:ascii="Times New Roman" w:hAnsi="Times New Roman" w:cs="Times New Roman"/>
          <w:sz w:val="24"/>
          <w:szCs w:val="24"/>
          <w:lang w:val="en-US"/>
        </w:rPr>
        <w:t>55 B.C.L. REV.93 (2014).</w:t>
      </w:r>
    </w:p>
  </w:footnote>
  <w:footnote w:id="28">
    <w:p w14:paraId="7FE2E976" w14:textId="5B11967C" w:rsidR="000463A6" w:rsidRPr="006968A1" w:rsidRDefault="000463A6" w:rsidP="006968A1">
      <w:pPr>
        <w:pStyle w:val="Testonotaapidipagina"/>
        <w:jc w:val="both"/>
        <w:rPr>
          <w:lang w:val="en-US"/>
        </w:rPr>
      </w:pPr>
      <w:r w:rsidRPr="006968A1">
        <w:rPr>
          <w:rStyle w:val="Rimandonotaapidipagina"/>
          <w:rFonts w:ascii="Times New Roman" w:hAnsi="Times New Roman" w:cs="Times New Roman"/>
          <w:sz w:val="24"/>
          <w:szCs w:val="24"/>
        </w:rPr>
        <w:footnoteRef/>
      </w:r>
      <w:r w:rsidRPr="006968A1">
        <w:rPr>
          <w:rFonts w:ascii="Times New Roman" w:hAnsi="Times New Roman" w:cs="Times New Roman"/>
          <w:sz w:val="24"/>
          <w:szCs w:val="24"/>
          <w:lang w:val="en-US"/>
        </w:rPr>
        <w:t xml:space="preserve"> </w:t>
      </w:r>
      <w:proofErr w:type="spellStart"/>
      <w:r w:rsidRPr="006968A1">
        <w:rPr>
          <w:rFonts w:ascii="Times New Roman" w:hAnsi="Times New Roman" w:cs="Times New Roman"/>
          <w:sz w:val="24"/>
          <w:szCs w:val="24"/>
          <w:lang w:val="en-GB"/>
        </w:rPr>
        <w:t>Su</w:t>
      </w:r>
      <w:proofErr w:type="spellEnd"/>
      <w:r w:rsidRPr="006968A1">
        <w:rPr>
          <w:rFonts w:ascii="Times New Roman" w:hAnsi="Times New Roman" w:cs="Times New Roman"/>
          <w:sz w:val="24"/>
          <w:szCs w:val="24"/>
          <w:lang w:val="en-GB"/>
        </w:rPr>
        <w:t xml:space="preserve"> </w:t>
      </w:r>
      <w:proofErr w:type="spellStart"/>
      <w:r w:rsidRPr="006968A1">
        <w:rPr>
          <w:rFonts w:ascii="Times New Roman" w:hAnsi="Times New Roman" w:cs="Times New Roman"/>
          <w:sz w:val="24"/>
          <w:szCs w:val="24"/>
          <w:lang w:val="en-GB"/>
        </w:rPr>
        <w:t>questa</w:t>
      </w:r>
      <w:proofErr w:type="spellEnd"/>
      <w:r w:rsidRPr="006968A1">
        <w:rPr>
          <w:rFonts w:ascii="Times New Roman" w:hAnsi="Times New Roman" w:cs="Times New Roman"/>
          <w:sz w:val="24"/>
          <w:szCs w:val="24"/>
          <w:lang w:val="en-GB"/>
        </w:rPr>
        <w:t xml:space="preserve"> </w:t>
      </w:r>
      <w:proofErr w:type="spellStart"/>
      <w:r w:rsidRPr="006968A1">
        <w:rPr>
          <w:rFonts w:ascii="Times New Roman" w:hAnsi="Times New Roman" w:cs="Times New Roman"/>
          <w:sz w:val="24"/>
          <w:szCs w:val="24"/>
          <w:lang w:val="en-GB"/>
        </w:rPr>
        <w:t>falsariga</w:t>
      </w:r>
      <w:proofErr w:type="spellEnd"/>
      <w:r w:rsidRPr="006968A1">
        <w:rPr>
          <w:rFonts w:ascii="Times New Roman" w:hAnsi="Times New Roman" w:cs="Times New Roman"/>
          <w:sz w:val="24"/>
          <w:szCs w:val="24"/>
          <w:lang w:val="en-GB"/>
        </w:rPr>
        <w:t xml:space="preserve"> </w:t>
      </w:r>
      <w:proofErr w:type="spellStart"/>
      <w:r w:rsidRPr="006968A1">
        <w:rPr>
          <w:rFonts w:ascii="Times New Roman" w:hAnsi="Times New Roman" w:cs="Times New Roman"/>
          <w:sz w:val="24"/>
          <w:szCs w:val="24"/>
          <w:lang w:val="en-GB"/>
        </w:rPr>
        <w:t>si</w:t>
      </w:r>
      <w:proofErr w:type="spellEnd"/>
      <w:r w:rsidRPr="006968A1">
        <w:rPr>
          <w:rFonts w:ascii="Times New Roman" w:hAnsi="Times New Roman" w:cs="Times New Roman"/>
          <w:sz w:val="24"/>
          <w:szCs w:val="24"/>
          <w:lang w:val="en-GB"/>
        </w:rPr>
        <w:t xml:space="preserve"> </w:t>
      </w:r>
      <w:proofErr w:type="spellStart"/>
      <w:r w:rsidRPr="006968A1">
        <w:rPr>
          <w:rFonts w:ascii="Times New Roman" w:hAnsi="Times New Roman" w:cs="Times New Roman"/>
          <w:sz w:val="24"/>
          <w:szCs w:val="24"/>
          <w:lang w:val="en-GB"/>
        </w:rPr>
        <w:t>vedano</w:t>
      </w:r>
      <w:proofErr w:type="spellEnd"/>
      <w:r w:rsidRPr="006968A1">
        <w:rPr>
          <w:rFonts w:ascii="Times New Roman" w:hAnsi="Times New Roman" w:cs="Times New Roman"/>
          <w:sz w:val="24"/>
          <w:szCs w:val="24"/>
          <w:lang w:val="en-GB"/>
        </w:rPr>
        <w:t xml:space="preserve">, ad </w:t>
      </w:r>
      <w:proofErr w:type="spellStart"/>
      <w:r w:rsidRPr="006968A1">
        <w:rPr>
          <w:rFonts w:ascii="Times New Roman" w:hAnsi="Times New Roman" w:cs="Times New Roman"/>
          <w:sz w:val="24"/>
          <w:szCs w:val="24"/>
          <w:lang w:val="en-GB"/>
        </w:rPr>
        <w:t>esempio</w:t>
      </w:r>
      <w:proofErr w:type="spellEnd"/>
      <w:r w:rsidRPr="006968A1">
        <w:rPr>
          <w:rFonts w:ascii="Times New Roman" w:hAnsi="Times New Roman" w:cs="Times New Roman"/>
          <w:sz w:val="24"/>
          <w:szCs w:val="24"/>
          <w:lang w:val="en-GB"/>
        </w:rPr>
        <w:t>, EPRS /European Parliamentary Research Service</w:t>
      </w:r>
      <w:r>
        <w:rPr>
          <w:rFonts w:ascii="Times New Roman" w:hAnsi="Times New Roman" w:cs="Times New Roman"/>
          <w:sz w:val="24"/>
          <w:szCs w:val="24"/>
          <w:lang w:val="en-GB"/>
        </w:rPr>
        <w:t xml:space="preserve"> </w:t>
      </w:r>
      <w:r w:rsidRPr="006968A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EF2914">
        <w:rPr>
          <w:rFonts w:ascii="Times New Roman" w:hAnsi="Times New Roman" w:cs="Times New Roman"/>
          <w:i/>
          <w:iCs/>
          <w:sz w:val="24"/>
          <w:szCs w:val="24"/>
          <w:lang w:val="en-GB"/>
        </w:rPr>
        <w:t>Panel for the future of Science and Technology</w:t>
      </w:r>
      <w:r w:rsidRPr="006968A1">
        <w:rPr>
          <w:rFonts w:ascii="Times New Roman" w:hAnsi="Times New Roman" w:cs="Times New Roman"/>
          <w:sz w:val="24"/>
          <w:szCs w:val="24"/>
          <w:lang w:val="en-GB"/>
        </w:rPr>
        <w:t xml:space="preserve"> (STOA), </w:t>
      </w:r>
      <w:r>
        <w:rPr>
          <w:rFonts w:ascii="Times New Roman" w:hAnsi="Times New Roman" w:cs="Times New Roman"/>
          <w:sz w:val="24"/>
          <w:szCs w:val="24"/>
          <w:lang w:val="en-GB"/>
        </w:rPr>
        <w:t>“</w:t>
      </w:r>
      <w:r w:rsidRPr="006968A1">
        <w:rPr>
          <w:rFonts w:ascii="Times New Roman" w:hAnsi="Times New Roman" w:cs="Times New Roman"/>
          <w:i/>
          <w:iCs/>
          <w:sz w:val="24"/>
          <w:szCs w:val="24"/>
          <w:lang w:val="en-GB"/>
        </w:rPr>
        <w:t>A governance framework for algorithmic accountability and transparency</w:t>
      </w:r>
      <w:r w:rsidRPr="00EF2914">
        <w:rPr>
          <w:rFonts w:ascii="Times New Roman" w:hAnsi="Times New Roman" w:cs="Times New Roman"/>
          <w:sz w:val="24"/>
          <w:szCs w:val="24"/>
          <w:lang w:val="en-GB"/>
        </w:rPr>
        <w:t>”,</w:t>
      </w:r>
      <w:r w:rsidRPr="006968A1">
        <w:rPr>
          <w:rFonts w:ascii="Times New Roman" w:hAnsi="Times New Roman" w:cs="Times New Roman"/>
          <w:i/>
          <w:iCs/>
          <w:sz w:val="24"/>
          <w:szCs w:val="24"/>
          <w:lang w:val="en-GB"/>
        </w:rPr>
        <w:t xml:space="preserve"> </w:t>
      </w:r>
      <w:r w:rsidRPr="006968A1">
        <w:rPr>
          <w:rFonts w:ascii="Times New Roman" w:hAnsi="Times New Roman" w:cs="Times New Roman"/>
          <w:sz w:val="24"/>
          <w:szCs w:val="24"/>
          <w:lang w:val="en-GB"/>
        </w:rPr>
        <w:t xml:space="preserve">March 2019; High-Level Expert Group on Artificial Intelligence, </w:t>
      </w:r>
      <w:r>
        <w:rPr>
          <w:rFonts w:ascii="Times New Roman" w:hAnsi="Times New Roman" w:cs="Times New Roman"/>
          <w:sz w:val="24"/>
          <w:szCs w:val="24"/>
          <w:lang w:val="en-GB"/>
        </w:rPr>
        <w:t>“</w:t>
      </w:r>
      <w:r w:rsidRPr="006968A1">
        <w:rPr>
          <w:rFonts w:ascii="Times New Roman" w:hAnsi="Times New Roman" w:cs="Times New Roman"/>
          <w:i/>
          <w:iCs/>
          <w:sz w:val="24"/>
          <w:szCs w:val="24"/>
          <w:lang w:val="en-GB"/>
        </w:rPr>
        <w:t>Ethics guidelines for trustworthy AI</w:t>
      </w:r>
      <w:r>
        <w:rPr>
          <w:rFonts w:ascii="Times New Roman" w:hAnsi="Times New Roman" w:cs="Times New Roman"/>
          <w:i/>
          <w:iCs/>
          <w:sz w:val="24"/>
          <w:szCs w:val="24"/>
          <w:lang w:val="en-GB"/>
        </w:rPr>
        <w:t>”</w:t>
      </w:r>
      <w:r>
        <w:rPr>
          <w:rFonts w:ascii="Times New Roman" w:hAnsi="Times New Roman" w:cs="Times New Roman"/>
          <w:sz w:val="24"/>
          <w:szCs w:val="24"/>
          <w:lang w:val="en-GB"/>
        </w:rPr>
        <w:t>,</w:t>
      </w:r>
      <w:r w:rsidRPr="006968A1">
        <w:rPr>
          <w:rFonts w:ascii="Times New Roman" w:hAnsi="Times New Roman" w:cs="Times New Roman"/>
          <w:sz w:val="24"/>
          <w:szCs w:val="24"/>
          <w:lang w:val="en-GB"/>
        </w:rPr>
        <w:t xml:space="preserve"> April 2019; in </w:t>
      </w:r>
      <w:proofErr w:type="spellStart"/>
      <w:r w:rsidRPr="006968A1">
        <w:rPr>
          <w:rFonts w:ascii="Times New Roman" w:hAnsi="Times New Roman" w:cs="Times New Roman"/>
          <w:sz w:val="24"/>
          <w:szCs w:val="24"/>
          <w:lang w:val="en-GB"/>
        </w:rPr>
        <w:t>tal</w:t>
      </w:r>
      <w:proofErr w:type="spellEnd"/>
      <w:r w:rsidRPr="006968A1">
        <w:rPr>
          <w:rFonts w:ascii="Times New Roman" w:hAnsi="Times New Roman" w:cs="Times New Roman"/>
          <w:sz w:val="24"/>
          <w:szCs w:val="24"/>
          <w:lang w:val="en-GB"/>
        </w:rPr>
        <w:t xml:space="preserve"> senso</w:t>
      </w:r>
      <w:r>
        <w:rPr>
          <w:rFonts w:ascii="Times New Roman" w:hAnsi="Times New Roman" w:cs="Times New Roman"/>
          <w:sz w:val="24"/>
          <w:szCs w:val="24"/>
          <w:lang w:val="en-GB"/>
        </w:rPr>
        <w:t>,</w:t>
      </w:r>
      <w:r w:rsidRPr="006968A1">
        <w:rPr>
          <w:rFonts w:ascii="Times New Roman" w:hAnsi="Times New Roman" w:cs="Times New Roman"/>
          <w:sz w:val="24"/>
          <w:szCs w:val="24"/>
          <w:lang w:val="en-GB"/>
        </w:rPr>
        <w:t xml:space="preserve"> </w:t>
      </w:r>
      <w:r w:rsidRPr="006968A1">
        <w:rPr>
          <w:rFonts w:ascii="Times New Roman" w:hAnsi="Times New Roman" w:cs="Times New Roman"/>
          <w:smallCaps/>
          <w:sz w:val="24"/>
          <w:szCs w:val="24"/>
          <w:lang w:val="en-GB"/>
        </w:rPr>
        <w:t xml:space="preserve">M. </w:t>
      </w:r>
      <w:proofErr w:type="spellStart"/>
      <w:r w:rsidRPr="006968A1">
        <w:rPr>
          <w:rFonts w:ascii="Times New Roman" w:hAnsi="Times New Roman" w:cs="Times New Roman"/>
          <w:smallCaps/>
          <w:sz w:val="24"/>
          <w:szCs w:val="24"/>
          <w:lang w:val="en-GB"/>
        </w:rPr>
        <w:t>Zalnieriute</w:t>
      </w:r>
      <w:proofErr w:type="spellEnd"/>
      <w:r w:rsidRPr="006968A1">
        <w:rPr>
          <w:rFonts w:ascii="Times New Roman" w:hAnsi="Times New Roman" w:cs="Times New Roman"/>
          <w:smallCaps/>
          <w:sz w:val="24"/>
          <w:szCs w:val="24"/>
          <w:lang w:val="en-GB"/>
        </w:rPr>
        <w:t>, L. Bennett Moses, G. Williams</w:t>
      </w:r>
      <w:r w:rsidRPr="006968A1">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6968A1">
        <w:rPr>
          <w:rFonts w:ascii="Times New Roman" w:hAnsi="Times New Roman" w:cs="Times New Roman"/>
          <w:i/>
          <w:iCs/>
          <w:sz w:val="24"/>
          <w:szCs w:val="24"/>
          <w:lang w:val="en-GB"/>
        </w:rPr>
        <w:t>The Rule of law and Automation of Government Decision-Making</w:t>
      </w:r>
      <w:r>
        <w:rPr>
          <w:rFonts w:ascii="Times New Roman" w:hAnsi="Times New Roman" w:cs="Times New Roman"/>
          <w:i/>
          <w:iCs/>
          <w:sz w:val="24"/>
          <w:szCs w:val="24"/>
          <w:lang w:val="en-GB"/>
        </w:rPr>
        <w:t>”</w:t>
      </w:r>
      <w:r w:rsidRPr="006968A1">
        <w:rPr>
          <w:rFonts w:ascii="Times New Roman" w:hAnsi="Times New Roman" w:cs="Times New Roman"/>
          <w:sz w:val="24"/>
          <w:szCs w:val="24"/>
          <w:lang w:val="en-GB"/>
        </w:rPr>
        <w:t>, in</w:t>
      </w:r>
      <w:r w:rsidRPr="006968A1">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w:t>
      </w:r>
      <w:r w:rsidRPr="006968A1">
        <w:rPr>
          <w:rFonts w:ascii="Times New Roman" w:hAnsi="Times New Roman" w:cs="Times New Roman"/>
          <w:i/>
          <w:iCs/>
          <w:sz w:val="24"/>
          <w:szCs w:val="24"/>
          <w:lang w:val="en-GB"/>
        </w:rPr>
        <w:t>The modern law review</w:t>
      </w:r>
      <w:r w:rsidRPr="00675956">
        <w:rPr>
          <w:rFonts w:ascii="Times New Roman" w:hAnsi="Times New Roman" w:cs="Times New Roman"/>
          <w:sz w:val="24"/>
          <w:szCs w:val="24"/>
          <w:lang w:val="en-GB"/>
        </w:rPr>
        <w:t>”,</w:t>
      </w:r>
      <w:r w:rsidRPr="006968A1">
        <w:rPr>
          <w:rFonts w:ascii="Times New Roman" w:hAnsi="Times New Roman" w:cs="Times New Roman"/>
          <w:i/>
          <w:iCs/>
          <w:sz w:val="24"/>
          <w:szCs w:val="24"/>
          <w:lang w:val="en-GB"/>
        </w:rPr>
        <w:t xml:space="preserve"> </w:t>
      </w:r>
      <w:r w:rsidRPr="006968A1">
        <w:rPr>
          <w:rFonts w:ascii="Times New Roman" w:hAnsi="Times New Roman" w:cs="Times New Roman"/>
          <w:sz w:val="24"/>
          <w:szCs w:val="24"/>
          <w:lang w:val="en-GB"/>
        </w:rPr>
        <w:t>2019,</w:t>
      </w:r>
      <w:r>
        <w:rPr>
          <w:rFonts w:ascii="Times New Roman" w:hAnsi="Times New Roman" w:cs="Times New Roman"/>
          <w:sz w:val="24"/>
          <w:szCs w:val="24"/>
          <w:lang w:val="en-GB"/>
        </w:rPr>
        <w:t xml:space="preserve"> </w:t>
      </w:r>
      <w:r w:rsidRPr="006968A1">
        <w:rPr>
          <w:rFonts w:ascii="Times New Roman" w:hAnsi="Times New Roman" w:cs="Times New Roman"/>
          <w:sz w:val="24"/>
          <w:szCs w:val="24"/>
          <w:lang w:val="en-GB"/>
        </w:rPr>
        <w:t>425</w:t>
      </w:r>
      <w:r>
        <w:rPr>
          <w:rFonts w:ascii="Times New Roman" w:hAnsi="Times New Roman" w:cs="Times New Roman"/>
          <w:sz w:val="24"/>
          <w:szCs w:val="24"/>
          <w:lang w:val="en-GB"/>
        </w:rPr>
        <w:t>.</w:t>
      </w:r>
    </w:p>
  </w:footnote>
  <w:footnote w:id="29">
    <w:p w14:paraId="422AA07C" w14:textId="26D62DFE" w:rsidR="000463A6" w:rsidRPr="006968A1" w:rsidRDefault="000463A6" w:rsidP="006968A1">
      <w:pPr>
        <w:pStyle w:val="Testonotaapidipagina"/>
        <w:jc w:val="both"/>
        <w:rPr>
          <w:rFonts w:ascii="Times New Roman" w:hAnsi="Times New Roman" w:cs="Times New Roman"/>
          <w:sz w:val="24"/>
          <w:szCs w:val="24"/>
        </w:rPr>
      </w:pPr>
      <w:r w:rsidRPr="006968A1">
        <w:rPr>
          <w:rStyle w:val="Rimandonotaapidipagina"/>
          <w:rFonts w:ascii="Times New Roman" w:hAnsi="Times New Roman" w:cs="Times New Roman"/>
          <w:sz w:val="24"/>
          <w:szCs w:val="24"/>
        </w:rPr>
        <w:footnoteRef/>
      </w:r>
      <w:r w:rsidRPr="006968A1">
        <w:rPr>
          <w:rFonts w:ascii="Times New Roman" w:hAnsi="Times New Roman" w:cs="Times New Roman"/>
          <w:sz w:val="24"/>
          <w:szCs w:val="24"/>
          <w:lang w:val="en-US"/>
        </w:rPr>
        <w:t xml:space="preserve"> </w:t>
      </w:r>
      <w:r w:rsidRPr="006968A1">
        <w:rPr>
          <w:rFonts w:ascii="Times New Roman" w:hAnsi="Times New Roman" w:cs="Times New Roman"/>
          <w:smallCaps/>
          <w:sz w:val="24"/>
          <w:szCs w:val="24"/>
          <w:lang w:val="en-US"/>
        </w:rPr>
        <w:t>V. Mayer-</w:t>
      </w:r>
      <w:proofErr w:type="spellStart"/>
      <w:r w:rsidRPr="006968A1">
        <w:rPr>
          <w:rFonts w:ascii="Times New Roman" w:hAnsi="Times New Roman" w:cs="Times New Roman"/>
          <w:smallCaps/>
          <w:sz w:val="24"/>
          <w:szCs w:val="24"/>
          <w:lang w:val="en-US"/>
        </w:rPr>
        <w:t>Schoenberger</w:t>
      </w:r>
      <w:proofErr w:type="spellEnd"/>
      <w:r w:rsidRPr="006968A1">
        <w:rPr>
          <w:rFonts w:ascii="Times New Roman" w:hAnsi="Times New Roman" w:cs="Times New Roman"/>
          <w:smallCaps/>
          <w:sz w:val="24"/>
          <w:szCs w:val="24"/>
          <w:lang w:val="en-US"/>
        </w:rPr>
        <w:t>, K</w:t>
      </w:r>
      <w:r>
        <w:rPr>
          <w:rFonts w:ascii="Times New Roman" w:hAnsi="Times New Roman" w:cs="Times New Roman"/>
          <w:smallCaps/>
          <w:sz w:val="24"/>
          <w:szCs w:val="24"/>
          <w:lang w:val="en-US"/>
        </w:rPr>
        <w:t>.</w:t>
      </w:r>
      <w:r w:rsidRPr="006968A1">
        <w:rPr>
          <w:rFonts w:ascii="Times New Roman" w:hAnsi="Times New Roman" w:cs="Times New Roman"/>
          <w:smallCaps/>
          <w:sz w:val="24"/>
          <w:szCs w:val="24"/>
          <w:lang w:val="en-US"/>
        </w:rPr>
        <w:t xml:space="preserve"> </w:t>
      </w:r>
      <w:proofErr w:type="spellStart"/>
      <w:r w:rsidRPr="006968A1">
        <w:rPr>
          <w:rFonts w:ascii="Times New Roman" w:hAnsi="Times New Roman" w:cs="Times New Roman"/>
          <w:smallCaps/>
          <w:sz w:val="24"/>
          <w:szCs w:val="24"/>
          <w:lang w:val="en-US"/>
        </w:rPr>
        <w:t>Cukier</w:t>
      </w:r>
      <w:proofErr w:type="spellEnd"/>
      <w:r>
        <w:rPr>
          <w:rFonts w:ascii="Times New Roman" w:hAnsi="Times New Roman" w:cs="Times New Roman"/>
          <w:smallCaps/>
          <w:sz w:val="24"/>
          <w:szCs w:val="24"/>
          <w:lang w:val="en-US"/>
        </w:rPr>
        <w:t xml:space="preserve">, </w:t>
      </w:r>
      <w:r>
        <w:rPr>
          <w:rFonts w:ascii="Times New Roman" w:hAnsi="Times New Roman" w:cs="Times New Roman"/>
          <w:sz w:val="24"/>
          <w:szCs w:val="24"/>
          <w:lang w:val="en-US"/>
        </w:rPr>
        <w:t>“</w:t>
      </w:r>
      <w:r w:rsidRPr="006968A1">
        <w:rPr>
          <w:rFonts w:ascii="Times New Roman" w:hAnsi="Times New Roman" w:cs="Times New Roman"/>
          <w:i/>
          <w:iCs/>
          <w:sz w:val="24"/>
          <w:szCs w:val="24"/>
          <w:lang w:val="en-US"/>
        </w:rPr>
        <w:t xml:space="preserve">Big Data. </w:t>
      </w:r>
      <w:r w:rsidRPr="006968A1">
        <w:rPr>
          <w:rFonts w:ascii="Times New Roman" w:hAnsi="Times New Roman" w:cs="Times New Roman"/>
          <w:i/>
          <w:iCs/>
          <w:sz w:val="24"/>
          <w:szCs w:val="24"/>
        </w:rPr>
        <w:t>Una rivoluzione che trasformerà il nostro modo di vivere</w:t>
      </w:r>
      <w:r w:rsidRPr="00D321DA">
        <w:rPr>
          <w:rFonts w:ascii="Times New Roman" w:hAnsi="Times New Roman" w:cs="Times New Roman"/>
          <w:sz w:val="24"/>
          <w:szCs w:val="24"/>
        </w:rPr>
        <w:t>”,</w:t>
      </w:r>
      <w:r w:rsidRPr="006968A1">
        <w:rPr>
          <w:rFonts w:ascii="Times New Roman" w:hAnsi="Times New Roman" w:cs="Times New Roman"/>
          <w:i/>
          <w:iCs/>
          <w:sz w:val="24"/>
          <w:szCs w:val="24"/>
        </w:rPr>
        <w:t xml:space="preserve"> </w:t>
      </w:r>
      <w:r w:rsidRPr="006968A1">
        <w:rPr>
          <w:rFonts w:ascii="Times New Roman" w:hAnsi="Times New Roman" w:cs="Times New Roman"/>
          <w:sz w:val="24"/>
          <w:szCs w:val="24"/>
        </w:rPr>
        <w:t>Garzanti,</w:t>
      </w:r>
      <w:r w:rsidRPr="006968A1">
        <w:rPr>
          <w:rFonts w:ascii="Times New Roman" w:hAnsi="Times New Roman" w:cs="Times New Roman"/>
          <w:i/>
          <w:iCs/>
          <w:sz w:val="24"/>
          <w:szCs w:val="24"/>
        </w:rPr>
        <w:t xml:space="preserve"> </w:t>
      </w:r>
      <w:r w:rsidRPr="006968A1">
        <w:rPr>
          <w:rFonts w:ascii="Times New Roman" w:hAnsi="Times New Roman" w:cs="Times New Roman"/>
          <w:sz w:val="24"/>
          <w:szCs w:val="24"/>
        </w:rPr>
        <w:t>Milano</w:t>
      </w:r>
      <w:r>
        <w:rPr>
          <w:rFonts w:ascii="Times New Roman" w:hAnsi="Times New Roman" w:cs="Times New Roman"/>
          <w:sz w:val="24"/>
          <w:szCs w:val="24"/>
        </w:rPr>
        <w:t>,</w:t>
      </w:r>
      <w:r w:rsidRPr="006968A1">
        <w:rPr>
          <w:rFonts w:ascii="Times New Roman" w:hAnsi="Times New Roman" w:cs="Times New Roman"/>
          <w:sz w:val="24"/>
          <w:szCs w:val="24"/>
        </w:rPr>
        <w:t xml:space="preserve"> 2016.</w:t>
      </w:r>
    </w:p>
  </w:footnote>
  <w:footnote w:id="30">
    <w:p w14:paraId="3A7DCEEB" w14:textId="26F2A599" w:rsidR="000463A6" w:rsidRPr="00561349" w:rsidRDefault="000463A6" w:rsidP="00561349">
      <w:pPr>
        <w:pStyle w:val="Testonotaapidipagina"/>
        <w:jc w:val="both"/>
        <w:rPr>
          <w:rFonts w:ascii="Times New Roman" w:hAnsi="Times New Roman" w:cs="Times New Roman"/>
          <w:sz w:val="24"/>
          <w:szCs w:val="24"/>
        </w:rPr>
      </w:pPr>
      <w:r w:rsidRPr="00561349">
        <w:rPr>
          <w:rStyle w:val="Rimandonotaapidipagina"/>
          <w:rFonts w:ascii="Times New Roman" w:hAnsi="Times New Roman" w:cs="Times New Roman"/>
          <w:sz w:val="24"/>
          <w:szCs w:val="24"/>
        </w:rPr>
        <w:footnoteRef/>
      </w:r>
      <w:r w:rsidRPr="00561349">
        <w:rPr>
          <w:rFonts w:ascii="Times New Roman" w:hAnsi="Times New Roman" w:cs="Times New Roman"/>
          <w:sz w:val="24"/>
          <w:szCs w:val="24"/>
        </w:rPr>
        <w:t xml:space="preserve"> Sul tema</w:t>
      </w:r>
      <w:r>
        <w:rPr>
          <w:rFonts w:ascii="Times New Roman" w:hAnsi="Times New Roman" w:cs="Times New Roman"/>
          <w:sz w:val="24"/>
          <w:szCs w:val="24"/>
        </w:rPr>
        <w:t>,</w:t>
      </w:r>
      <w:r w:rsidRPr="00561349">
        <w:rPr>
          <w:rFonts w:ascii="Times New Roman" w:hAnsi="Times New Roman" w:cs="Times New Roman"/>
          <w:sz w:val="24"/>
          <w:szCs w:val="24"/>
        </w:rPr>
        <w:t xml:space="preserve"> si rinvia alle suggestive riflessioni di </w:t>
      </w:r>
      <w:r w:rsidRPr="00561349">
        <w:rPr>
          <w:rFonts w:ascii="Times New Roman" w:hAnsi="Times New Roman" w:cs="Times New Roman"/>
          <w:smallCaps/>
          <w:sz w:val="24"/>
          <w:szCs w:val="24"/>
        </w:rPr>
        <w:t xml:space="preserve">E. </w:t>
      </w:r>
      <w:proofErr w:type="spellStart"/>
      <w:r w:rsidRPr="00561349">
        <w:rPr>
          <w:rFonts w:ascii="Times New Roman" w:hAnsi="Times New Roman" w:cs="Times New Roman"/>
          <w:smallCaps/>
          <w:sz w:val="24"/>
          <w:szCs w:val="24"/>
        </w:rPr>
        <w:t>Picozza</w:t>
      </w:r>
      <w:proofErr w:type="spellEnd"/>
      <w:r w:rsidRPr="00561349">
        <w:rPr>
          <w:rFonts w:ascii="Times New Roman" w:hAnsi="Times New Roman" w:cs="Times New Roman"/>
          <w:sz w:val="24"/>
          <w:szCs w:val="24"/>
        </w:rPr>
        <w:t>, “</w:t>
      </w:r>
      <w:proofErr w:type="spellStart"/>
      <w:r w:rsidRPr="00561349">
        <w:rPr>
          <w:rFonts w:ascii="Times New Roman" w:hAnsi="Times New Roman" w:cs="Times New Roman"/>
          <w:i/>
          <w:iCs/>
          <w:sz w:val="24"/>
          <w:szCs w:val="24"/>
        </w:rPr>
        <w:t>Problems</w:t>
      </w:r>
      <w:proofErr w:type="spellEnd"/>
      <w:r w:rsidRPr="00561349">
        <w:rPr>
          <w:rFonts w:ascii="Times New Roman" w:hAnsi="Times New Roman" w:cs="Times New Roman"/>
          <w:i/>
          <w:iCs/>
          <w:sz w:val="24"/>
          <w:szCs w:val="24"/>
        </w:rPr>
        <w:t xml:space="preserve"> </w:t>
      </w:r>
      <w:proofErr w:type="spellStart"/>
      <w:r w:rsidRPr="00561349">
        <w:rPr>
          <w:rFonts w:ascii="Times New Roman" w:hAnsi="Times New Roman" w:cs="Times New Roman"/>
          <w:i/>
          <w:iCs/>
          <w:sz w:val="24"/>
          <w:szCs w:val="24"/>
        </w:rPr>
        <w:t>about</w:t>
      </w:r>
      <w:proofErr w:type="spellEnd"/>
      <w:r w:rsidRPr="00561349">
        <w:rPr>
          <w:rFonts w:ascii="Times New Roman" w:hAnsi="Times New Roman" w:cs="Times New Roman"/>
          <w:i/>
          <w:iCs/>
          <w:sz w:val="24"/>
          <w:szCs w:val="24"/>
        </w:rPr>
        <w:t xml:space="preserve"> </w:t>
      </w:r>
      <w:proofErr w:type="spellStart"/>
      <w:r w:rsidRPr="00561349">
        <w:rPr>
          <w:rFonts w:ascii="Times New Roman" w:hAnsi="Times New Roman" w:cs="Times New Roman"/>
          <w:i/>
          <w:iCs/>
          <w:sz w:val="24"/>
          <w:szCs w:val="24"/>
        </w:rPr>
        <w:t>enforcement</w:t>
      </w:r>
      <w:proofErr w:type="spellEnd"/>
      <w:r w:rsidRPr="00561349">
        <w:rPr>
          <w:rFonts w:ascii="Times New Roman" w:hAnsi="Times New Roman" w:cs="Times New Roman"/>
          <w:sz w:val="24"/>
          <w:szCs w:val="24"/>
        </w:rPr>
        <w:t xml:space="preserve">”, in </w:t>
      </w:r>
      <w:r w:rsidRPr="00561349">
        <w:rPr>
          <w:rFonts w:ascii="Times New Roman" w:hAnsi="Times New Roman" w:cs="Times New Roman"/>
          <w:smallCaps/>
          <w:sz w:val="24"/>
          <w:szCs w:val="24"/>
        </w:rPr>
        <w:t xml:space="preserve">E. </w:t>
      </w:r>
      <w:proofErr w:type="spellStart"/>
      <w:r w:rsidRPr="00561349">
        <w:rPr>
          <w:rFonts w:ascii="Times New Roman" w:hAnsi="Times New Roman" w:cs="Times New Roman"/>
          <w:smallCaps/>
          <w:sz w:val="24"/>
          <w:szCs w:val="24"/>
        </w:rPr>
        <w:t>Picozza</w:t>
      </w:r>
      <w:proofErr w:type="spellEnd"/>
      <w:r w:rsidRPr="00561349">
        <w:rPr>
          <w:rFonts w:ascii="Times New Roman" w:hAnsi="Times New Roman" w:cs="Times New Roman"/>
          <w:sz w:val="24"/>
          <w:szCs w:val="24"/>
        </w:rPr>
        <w:t>, “</w:t>
      </w:r>
      <w:proofErr w:type="spellStart"/>
      <w:r w:rsidRPr="00561349">
        <w:rPr>
          <w:rFonts w:ascii="Times New Roman" w:hAnsi="Times New Roman" w:cs="Times New Roman"/>
          <w:i/>
          <w:iCs/>
          <w:sz w:val="24"/>
          <w:szCs w:val="24"/>
        </w:rPr>
        <w:t>Neurolaw</w:t>
      </w:r>
      <w:proofErr w:type="spellEnd"/>
      <w:r w:rsidRPr="00561349">
        <w:rPr>
          <w:rFonts w:ascii="Times New Roman" w:hAnsi="Times New Roman" w:cs="Times New Roman"/>
          <w:i/>
          <w:iCs/>
          <w:sz w:val="24"/>
          <w:szCs w:val="24"/>
        </w:rPr>
        <w:t>.</w:t>
      </w:r>
      <w:r>
        <w:rPr>
          <w:rFonts w:ascii="Times New Roman" w:hAnsi="Times New Roman" w:cs="Times New Roman"/>
          <w:i/>
          <w:iCs/>
          <w:sz w:val="24"/>
          <w:szCs w:val="24"/>
        </w:rPr>
        <w:t xml:space="preserve"> </w:t>
      </w:r>
      <w:r w:rsidRPr="00561349">
        <w:rPr>
          <w:rFonts w:ascii="Times New Roman" w:hAnsi="Times New Roman" w:cs="Times New Roman"/>
          <w:i/>
          <w:iCs/>
          <w:sz w:val="24"/>
          <w:szCs w:val="24"/>
        </w:rPr>
        <w:t xml:space="preserve">An </w:t>
      </w:r>
      <w:proofErr w:type="spellStart"/>
      <w:r w:rsidRPr="00561349">
        <w:rPr>
          <w:rFonts w:ascii="Times New Roman" w:hAnsi="Times New Roman" w:cs="Times New Roman"/>
          <w:i/>
          <w:iCs/>
          <w:sz w:val="24"/>
          <w:szCs w:val="24"/>
        </w:rPr>
        <w:t>Introduction</w:t>
      </w:r>
      <w:proofErr w:type="spellEnd"/>
      <w:r w:rsidRPr="00561349">
        <w:rPr>
          <w:rFonts w:ascii="Times New Roman" w:hAnsi="Times New Roman" w:cs="Times New Roman"/>
          <w:sz w:val="24"/>
          <w:szCs w:val="24"/>
        </w:rPr>
        <w:t>”,</w:t>
      </w:r>
      <w:r w:rsidRPr="00561349">
        <w:rPr>
          <w:rFonts w:ascii="Times New Roman" w:hAnsi="Times New Roman" w:cs="Times New Roman"/>
          <w:i/>
          <w:iCs/>
          <w:sz w:val="24"/>
          <w:szCs w:val="24"/>
        </w:rPr>
        <w:t xml:space="preserve"> </w:t>
      </w:r>
      <w:r w:rsidRPr="00561349">
        <w:rPr>
          <w:rFonts w:ascii="Times New Roman" w:hAnsi="Times New Roman" w:cs="Times New Roman"/>
          <w:sz w:val="24"/>
          <w:szCs w:val="24"/>
        </w:rPr>
        <w:t xml:space="preserve">Ed. </w:t>
      </w:r>
      <w:proofErr w:type="spellStart"/>
      <w:r w:rsidRPr="00561349">
        <w:rPr>
          <w:rFonts w:ascii="Times New Roman" w:hAnsi="Times New Roman" w:cs="Times New Roman"/>
          <w:sz w:val="24"/>
          <w:szCs w:val="24"/>
        </w:rPr>
        <w:t>Springer</w:t>
      </w:r>
      <w:proofErr w:type="spellEnd"/>
      <w:r w:rsidRPr="00561349">
        <w:rPr>
          <w:rFonts w:ascii="Times New Roman" w:hAnsi="Times New Roman" w:cs="Times New Roman"/>
          <w:sz w:val="24"/>
          <w:szCs w:val="24"/>
        </w:rPr>
        <w:t>, 2016, p. 79 ss.</w:t>
      </w:r>
    </w:p>
  </w:footnote>
  <w:footnote w:id="31">
    <w:p w14:paraId="24A4A812" w14:textId="108CE689" w:rsidR="000463A6" w:rsidRDefault="000463A6" w:rsidP="00561349">
      <w:pPr>
        <w:pStyle w:val="Testonotaapidipagina"/>
        <w:jc w:val="both"/>
      </w:pPr>
      <w:r w:rsidRPr="00561349">
        <w:rPr>
          <w:rStyle w:val="Rimandonotaapidipagina"/>
          <w:rFonts w:ascii="Times New Roman" w:hAnsi="Times New Roman" w:cs="Times New Roman"/>
          <w:sz w:val="24"/>
          <w:szCs w:val="24"/>
        </w:rPr>
        <w:footnoteRef/>
      </w:r>
      <w:r w:rsidRPr="00561349">
        <w:rPr>
          <w:rFonts w:ascii="Times New Roman" w:hAnsi="Times New Roman" w:cs="Times New Roman"/>
          <w:sz w:val="24"/>
          <w:szCs w:val="24"/>
        </w:rPr>
        <w:t xml:space="preserve"> Sul principio di responsabilità dell’amministrazione, v. </w:t>
      </w:r>
      <w:r w:rsidRPr="00561349">
        <w:rPr>
          <w:rFonts w:ascii="Times New Roman" w:hAnsi="Times New Roman" w:cs="Times New Roman"/>
          <w:smallCaps/>
          <w:sz w:val="24"/>
          <w:szCs w:val="24"/>
        </w:rPr>
        <w:t>A. Police</w:t>
      </w:r>
      <w:r w:rsidRPr="00561349">
        <w:rPr>
          <w:rFonts w:ascii="Times New Roman" w:hAnsi="Times New Roman" w:cs="Times New Roman"/>
          <w:sz w:val="24"/>
          <w:szCs w:val="24"/>
        </w:rPr>
        <w:t xml:space="preserve">, </w:t>
      </w:r>
      <w:r>
        <w:rPr>
          <w:rFonts w:ascii="Times New Roman" w:hAnsi="Times New Roman" w:cs="Times New Roman"/>
          <w:sz w:val="24"/>
          <w:szCs w:val="24"/>
        </w:rPr>
        <w:t>“</w:t>
      </w:r>
      <w:r w:rsidRPr="00561349">
        <w:rPr>
          <w:rFonts w:ascii="Times New Roman" w:hAnsi="Times New Roman" w:cs="Times New Roman"/>
          <w:i/>
          <w:iCs/>
          <w:sz w:val="24"/>
          <w:szCs w:val="24"/>
        </w:rPr>
        <w:t>Il principio di responsabilità</w:t>
      </w:r>
      <w:r w:rsidRPr="00D321DA">
        <w:rPr>
          <w:rFonts w:ascii="Times New Roman" w:hAnsi="Times New Roman" w:cs="Times New Roman"/>
          <w:sz w:val="24"/>
          <w:szCs w:val="24"/>
        </w:rPr>
        <w:t xml:space="preserve">”, </w:t>
      </w:r>
      <w:r w:rsidRPr="00561349">
        <w:rPr>
          <w:rFonts w:ascii="Times New Roman" w:hAnsi="Times New Roman" w:cs="Times New Roman"/>
          <w:sz w:val="24"/>
          <w:szCs w:val="24"/>
        </w:rPr>
        <w:t xml:space="preserve">in </w:t>
      </w:r>
      <w:r w:rsidRPr="00561349">
        <w:rPr>
          <w:rFonts w:ascii="Times New Roman" w:hAnsi="Times New Roman" w:cs="Times New Roman"/>
          <w:smallCaps/>
          <w:sz w:val="24"/>
          <w:szCs w:val="24"/>
        </w:rPr>
        <w:t xml:space="preserve">M. Renna, F. </w:t>
      </w:r>
      <w:proofErr w:type="spellStart"/>
      <w:r w:rsidRPr="00561349">
        <w:rPr>
          <w:rFonts w:ascii="Times New Roman" w:hAnsi="Times New Roman" w:cs="Times New Roman"/>
          <w:smallCaps/>
          <w:sz w:val="24"/>
          <w:szCs w:val="24"/>
        </w:rPr>
        <w:t>Saitta</w:t>
      </w:r>
      <w:proofErr w:type="spellEnd"/>
      <w:r w:rsidRPr="00561349">
        <w:rPr>
          <w:rFonts w:ascii="Times New Roman" w:hAnsi="Times New Roman" w:cs="Times New Roman"/>
          <w:sz w:val="24"/>
          <w:szCs w:val="24"/>
        </w:rPr>
        <w:t xml:space="preserve">, </w:t>
      </w:r>
      <w:r>
        <w:rPr>
          <w:rFonts w:ascii="Times New Roman" w:hAnsi="Times New Roman" w:cs="Times New Roman"/>
          <w:sz w:val="24"/>
          <w:szCs w:val="24"/>
        </w:rPr>
        <w:t>(</w:t>
      </w:r>
      <w:r w:rsidRPr="00561349">
        <w:rPr>
          <w:rFonts w:ascii="Times New Roman" w:hAnsi="Times New Roman" w:cs="Times New Roman"/>
          <w:sz w:val="24"/>
          <w:szCs w:val="24"/>
        </w:rPr>
        <w:t>a cura di</w:t>
      </w:r>
      <w:r>
        <w:rPr>
          <w:rFonts w:ascii="Times New Roman" w:hAnsi="Times New Roman" w:cs="Times New Roman"/>
          <w:sz w:val="24"/>
          <w:szCs w:val="24"/>
        </w:rPr>
        <w:t>)</w:t>
      </w:r>
      <w:r w:rsidRPr="00561349">
        <w:rPr>
          <w:rFonts w:ascii="Times New Roman" w:hAnsi="Times New Roman" w:cs="Times New Roman"/>
          <w:sz w:val="24"/>
          <w:szCs w:val="24"/>
        </w:rPr>
        <w:t xml:space="preserve"> </w:t>
      </w:r>
      <w:r>
        <w:rPr>
          <w:rFonts w:ascii="Times New Roman" w:hAnsi="Times New Roman" w:cs="Times New Roman"/>
          <w:sz w:val="24"/>
          <w:szCs w:val="24"/>
        </w:rPr>
        <w:t>“</w:t>
      </w:r>
      <w:r w:rsidRPr="00561349">
        <w:rPr>
          <w:rFonts w:ascii="Times New Roman" w:hAnsi="Times New Roman" w:cs="Times New Roman"/>
          <w:i/>
          <w:iCs/>
          <w:sz w:val="24"/>
          <w:szCs w:val="24"/>
        </w:rPr>
        <w:t>Studi sui principii del diritto amministrativo</w:t>
      </w:r>
      <w:r w:rsidRPr="00D321DA">
        <w:rPr>
          <w:rFonts w:ascii="Times New Roman" w:hAnsi="Times New Roman" w:cs="Times New Roman"/>
          <w:sz w:val="24"/>
          <w:szCs w:val="24"/>
        </w:rPr>
        <w:t>”,</w:t>
      </w:r>
      <w:r w:rsidRPr="00561349">
        <w:rPr>
          <w:rFonts w:ascii="Times New Roman" w:hAnsi="Times New Roman" w:cs="Times New Roman"/>
          <w:sz w:val="24"/>
          <w:szCs w:val="24"/>
        </w:rPr>
        <w:t xml:space="preserve"> Milano</w:t>
      </w:r>
      <w:r>
        <w:rPr>
          <w:rFonts w:ascii="Times New Roman" w:hAnsi="Times New Roman" w:cs="Times New Roman"/>
          <w:sz w:val="24"/>
          <w:szCs w:val="24"/>
        </w:rPr>
        <w:t>,</w:t>
      </w:r>
      <w:r w:rsidRPr="00561349">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561349">
        <w:rPr>
          <w:rFonts w:ascii="Times New Roman" w:hAnsi="Times New Roman" w:cs="Times New Roman"/>
          <w:sz w:val="24"/>
          <w:szCs w:val="24"/>
        </w:rPr>
        <w:t>195 ss</w:t>
      </w:r>
      <w:r>
        <w:rPr>
          <w:rFonts w:ascii="Times New Roman" w:hAnsi="Times New Roman" w:cs="Times New Roman"/>
          <w:sz w:val="24"/>
          <w:szCs w:val="24"/>
        </w:rPr>
        <w:t>.</w:t>
      </w:r>
      <w:r w:rsidRPr="00561349">
        <w:rPr>
          <w:rFonts w:ascii="Times New Roman" w:hAnsi="Times New Roman" w:cs="Times New Roman"/>
          <w:sz w:val="24"/>
          <w:szCs w:val="24"/>
        </w:rPr>
        <w:t>; sull’art.</w:t>
      </w:r>
      <w:r>
        <w:rPr>
          <w:rFonts w:ascii="Times New Roman" w:hAnsi="Times New Roman" w:cs="Times New Roman"/>
          <w:sz w:val="24"/>
          <w:szCs w:val="24"/>
        </w:rPr>
        <w:t xml:space="preserve"> </w:t>
      </w:r>
      <w:r w:rsidRPr="00561349">
        <w:rPr>
          <w:rFonts w:ascii="Times New Roman" w:hAnsi="Times New Roman" w:cs="Times New Roman"/>
          <w:sz w:val="24"/>
          <w:szCs w:val="24"/>
        </w:rPr>
        <w:t xml:space="preserve">28 </w:t>
      </w:r>
      <w:proofErr w:type="spellStart"/>
      <w:r w:rsidRPr="00561349">
        <w:rPr>
          <w:rFonts w:ascii="Times New Roman" w:hAnsi="Times New Roman" w:cs="Times New Roman"/>
          <w:sz w:val="24"/>
          <w:szCs w:val="24"/>
        </w:rPr>
        <w:t>Cost</w:t>
      </w:r>
      <w:proofErr w:type="spellEnd"/>
      <w:r w:rsidRPr="00561349">
        <w:rPr>
          <w:rFonts w:ascii="Times New Roman" w:hAnsi="Times New Roman" w:cs="Times New Roman"/>
          <w:sz w:val="24"/>
          <w:szCs w:val="24"/>
        </w:rPr>
        <w:t>.</w:t>
      </w:r>
      <w:r>
        <w:rPr>
          <w:rFonts w:ascii="Times New Roman" w:hAnsi="Times New Roman" w:cs="Times New Roman"/>
          <w:sz w:val="24"/>
          <w:szCs w:val="24"/>
        </w:rPr>
        <w:t>,</w:t>
      </w:r>
      <w:r w:rsidRPr="00561349">
        <w:rPr>
          <w:rFonts w:ascii="Times New Roman" w:hAnsi="Times New Roman" w:cs="Times New Roman"/>
          <w:sz w:val="24"/>
          <w:szCs w:val="24"/>
        </w:rPr>
        <w:t xml:space="preserve"> v.</w:t>
      </w:r>
      <w:r>
        <w:rPr>
          <w:rFonts w:ascii="Times New Roman" w:hAnsi="Times New Roman" w:cs="Times New Roman"/>
          <w:sz w:val="24"/>
          <w:szCs w:val="24"/>
        </w:rPr>
        <w:t xml:space="preserve"> </w:t>
      </w:r>
      <w:r w:rsidRPr="00561349">
        <w:rPr>
          <w:rFonts w:ascii="Times New Roman" w:hAnsi="Times New Roman" w:cs="Times New Roman"/>
          <w:i/>
          <w:iCs/>
          <w:sz w:val="24"/>
          <w:szCs w:val="24"/>
        </w:rPr>
        <w:t xml:space="preserve">ex </w:t>
      </w:r>
      <w:proofErr w:type="spellStart"/>
      <w:r w:rsidRPr="00561349">
        <w:rPr>
          <w:rFonts w:ascii="Times New Roman" w:hAnsi="Times New Roman" w:cs="Times New Roman"/>
          <w:i/>
          <w:iCs/>
          <w:sz w:val="24"/>
          <w:szCs w:val="24"/>
        </w:rPr>
        <w:t>multis</w:t>
      </w:r>
      <w:proofErr w:type="spellEnd"/>
      <w:r w:rsidRPr="00561349">
        <w:rPr>
          <w:rFonts w:ascii="Times New Roman" w:hAnsi="Times New Roman" w:cs="Times New Roman"/>
          <w:sz w:val="24"/>
          <w:szCs w:val="24"/>
        </w:rPr>
        <w:t xml:space="preserve">, </w:t>
      </w:r>
      <w:r w:rsidRPr="00561349">
        <w:rPr>
          <w:rFonts w:ascii="Times New Roman" w:hAnsi="Times New Roman" w:cs="Times New Roman"/>
          <w:smallCaps/>
          <w:sz w:val="24"/>
          <w:szCs w:val="24"/>
        </w:rPr>
        <w:t xml:space="preserve">M. </w:t>
      </w:r>
      <w:proofErr w:type="spellStart"/>
      <w:r w:rsidRPr="00561349">
        <w:rPr>
          <w:rFonts w:ascii="Times New Roman" w:hAnsi="Times New Roman" w:cs="Times New Roman"/>
          <w:smallCaps/>
          <w:sz w:val="24"/>
          <w:szCs w:val="24"/>
        </w:rPr>
        <w:t>Clarich</w:t>
      </w:r>
      <w:proofErr w:type="spellEnd"/>
      <w:r w:rsidRPr="00561349">
        <w:rPr>
          <w:rFonts w:ascii="Times New Roman" w:hAnsi="Times New Roman" w:cs="Times New Roman"/>
          <w:sz w:val="24"/>
          <w:szCs w:val="24"/>
        </w:rPr>
        <w:t xml:space="preserve">, </w:t>
      </w:r>
      <w:r>
        <w:rPr>
          <w:rFonts w:ascii="Times New Roman" w:hAnsi="Times New Roman" w:cs="Times New Roman"/>
          <w:sz w:val="24"/>
          <w:szCs w:val="24"/>
        </w:rPr>
        <w:t>“</w:t>
      </w:r>
      <w:r w:rsidRPr="00561349">
        <w:rPr>
          <w:rFonts w:ascii="Times New Roman" w:hAnsi="Times New Roman" w:cs="Times New Roman"/>
          <w:i/>
          <w:iCs/>
          <w:sz w:val="24"/>
          <w:szCs w:val="24"/>
        </w:rPr>
        <w:t>La responsabilità della pubblica amministrazione nel diritto italiano</w:t>
      </w:r>
      <w:r w:rsidRPr="00D321DA">
        <w:rPr>
          <w:rFonts w:ascii="Times New Roman" w:hAnsi="Times New Roman" w:cs="Times New Roman"/>
          <w:sz w:val="24"/>
          <w:szCs w:val="24"/>
        </w:rPr>
        <w:t>”</w:t>
      </w:r>
      <w:r w:rsidRPr="00561349">
        <w:rPr>
          <w:rFonts w:ascii="Times New Roman" w:hAnsi="Times New Roman" w:cs="Times New Roman"/>
          <w:i/>
          <w:iCs/>
          <w:sz w:val="24"/>
          <w:szCs w:val="24"/>
        </w:rPr>
        <w:t xml:space="preserve">, </w:t>
      </w:r>
      <w:r w:rsidRPr="00561349">
        <w:rPr>
          <w:rFonts w:ascii="Times New Roman" w:hAnsi="Times New Roman" w:cs="Times New Roman"/>
          <w:sz w:val="24"/>
          <w:szCs w:val="24"/>
        </w:rPr>
        <w:t xml:space="preserve">in </w:t>
      </w:r>
      <w:proofErr w:type="spellStart"/>
      <w:r w:rsidRPr="009952D0">
        <w:rPr>
          <w:rFonts w:ascii="Times New Roman" w:hAnsi="Times New Roman" w:cs="Times New Roman"/>
          <w:i/>
          <w:iCs/>
          <w:sz w:val="24"/>
          <w:szCs w:val="24"/>
        </w:rPr>
        <w:t>Riv</w:t>
      </w:r>
      <w:proofErr w:type="spellEnd"/>
      <w:r w:rsidRPr="009952D0">
        <w:rPr>
          <w:rFonts w:ascii="Times New Roman" w:hAnsi="Times New Roman" w:cs="Times New Roman"/>
          <w:i/>
          <w:iCs/>
          <w:sz w:val="24"/>
          <w:szCs w:val="24"/>
        </w:rPr>
        <w:t>.</w:t>
      </w:r>
      <w:r>
        <w:rPr>
          <w:rFonts w:ascii="Times New Roman" w:hAnsi="Times New Roman" w:cs="Times New Roman"/>
          <w:i/>
          <w:iCs/>
          <w:sz w:val="24"/>
          <w:szCs w:val="24"/>
        </w:rPr>
        <w:t xml:space="preserve"> </w:t>
      </w:r>
      <w:r w:rsidRPr="009952D0">
        <w:rPr>
          <w:rFonts w:ascii="Times New Roman" w:hAnsi="Times New Roman" w:cs="Times New Roman"/>
          <w:i/>
          <w:iCs/>
          <w:sz w:val="24"/>
          <w:szCs w:val="24"/>
        </w:rPr>
        <w:t>Trim.</w:t>
      </w:r>
      <w:r>
        <w:rPr>
          <w:rFonts w:ascii="Times New Roman" w:hAnsi="Times New Roman" w:cs="Times New Roman"/>
          <w:i/>
          <w:iCs/>
          <w:sz w:val="24"/>
          <w:szCs w:val="24"/>
        </w:rPr>
        <w:t xml:space="preserve"> </w:t>
      </w:r>
      <w:r w:rsidRPr="009952D0">
        <w:rPr>
          <w:rFonts w:ascii="Times New Roman" w:hAnsi="Times New Roman" w:cs="Times New Roman"/>
          <w:i/>
          <w:iCs/>
          <w:sz w:val="24"/>
          <w:szCs w:val="24"/>
        </w:rPr>
        <w:t>Dir.</w:t>
      </w:r>
      <w:r>
        <w:rPr>
          <w:rFonts w:ascii="Times New Roman" w:hAnsi="Times New Roman" w:cs="Times New Roman"/>
          <w:i/>
          <w:iCs/>
          <w:sz w:val="24"/>
          <w:szCs w:val="24"/>
        </w:rPr>
        <w:t xml:space="preserve"> </w:t>
      </w:r>
      <w:proofErr w:type="spellStart"/>
      <w:r w:rsidRPr="009952D0">
        <w:rPr>
          <w:rFonts w:ascii="Times New Roman" w:hAnsi="Times New Roman" w:cs="Times New Roman"/>
          <w:i/>
          <w:iCs/>
          <w:sz w:val="24"/>
          <w:szCs w:val="24"/>
        </w:rPr>
        <w:t>Pubbl</w:t>
      </w:r>
      <w:proofErr w:type="spellEnd"/>
      <w:r w:rsidRPr="00561349">
        <w:rPr>
          <w:rFonts w:ascii="Times New Roman" w:hAnsi="Times New Roman" w:cs="Times New Roman"/>
          <w:sz w:val="24"/>
          <w:szCs w:val="24"/>
        </w:rPr>
        <w:t>.,</w:t>
      </w:r>
      <w:r>
        <w:rPr>
          <w:rFonts w:ascii="Times New Roman" w:hAnsi="Times New Roman" w:cs="Times New Roman"/>
          <w:sz w:val="24"/>
          <w:szCs w:val="24"/>
        </w:rPr>
        <w:t xml:space="preserve"> </w:t>
      </w:r>
      <w:r w:rsidRPr="00561349">
        <w:rPr>
          <w:rFonts w:ascii="Times New Roman" w:hAnsi="Times New Roman" w:cs="Times New Roman"/>
          <w:sz w:val="24"/>
          <w:szCs w:val="24"/>
        </w:rPr>
        <w:t>1989,</w:t>
      </w:r>
      <w:r>
        <w:rPr>
          <w:rFonts w:ascii="Times New Roman" w:hAnsi="Times New Roman" w:cs="Times New Roman"/>
          <w:sz w:val="24"/>
          <w:szCs w:val="24"/>
        </w:rPr>
        <w:t xml:space="preserve"> </w:t>
      </w:r>
      <w:r w:rsidRPr="00561349">
        <w:rPr>
          <w:rFonts w:ascii="Times New Roman" w:hAnsi="Times New Roman" w:cs="Times New Roman"/>
          <w:sz w:val="24"/>
          <w:szCs w:val="24"/>
        </w:rPr>
        <w:t>1085.</w:t>
      </w:r>
    </w:p>
  </w:footnote>
  <w:footnote w:id="32">
    <w:p w14:paraId="7D10223A" w14:textId="36E0206A" w:rsidR="000463A6" w:rsidRPr="00285DCE" w:rsidRDefault="000463A6" w:rsidP="00285DCE">
      <w:pPr>
        <w:pStyle w:val="Testonotaapidipagina"/>
        <w:jc w:val="both"/>
        <w:rPr>
          <w:rFonts w:ascii="Times New Roman" w:hAnsi="Times New Roman" w:cs="Times New Roman"/>
          <w:sz w:val="24"/>
          <w:szCs w:val="24"/>
        </w:rPr>
      </w:pPr>
      <w:r w:rsidRPr="00285DCE">
        <w:rPr>
          <w:rStyle w:val="Rimandonotaapidipagina"/>
          <w:rFonts w:ascii="Times New Roman" w:hAnsi="Times New Roman" w:cs="Times New Roman"/>
          <w:sz w:val="24"/>
          <w:szCs w:val="24"/>
        </w:rPr>
        <w:footnoteRef/>
      </w:r>
      <w:r w:rsidRPr="00285DCE">
        <w:rPr>
          <w:rFonts w:ascii="Times New Roman" w:hAnsi="Times New Roman" w:cs="Times New Roman"/>
          <w:sz w:val="24"/>
          <w:szCs w:val="24"/>
        </w:rPr>
        <w:t xml:space="preserve"> </w:t>
      </w:r>
      <w:r w:rsidRPr="00285DCE">
        <w:rPr>
          <w:rFonts w:ascii="Times New Roman" w:hAnsi="Times New Roman" w:cs="Times New Roman"/>
          <w:smallCaps/>
          <w:sz w:val="24"/>
          <w:szCs w:val="24"/>
        </w:rPr>
        <w:t xml:space="preserve">A. </w:t>
      </w:r>
      <w:proofErr w:type="spellStart"/>
      <w:r w:rsidRPr="00285DCE">
        <w:rPr>
          <w:rFonts w:ascii="Times New Roman" w:hAnsi="Times New Roman" w:cs="Times New Roman"/>
          <w:smallCaps/>
          <w:sz w:val="24"/>
          <w:szCs w:val="24"/>
        </w:rPr>
        <w:t>Simoncini</w:t>
      </w:r>
      <w:proofErr w:type="spellEnd"/>
      <w:r>
        <w:rPr>
          <w:rFonts w:ascii="Times New Roman" w:hAnsi="Times New Roman" w:cs="Times New Roman"/>
          <w:sz w:val="24"/>
          <w:szCs w:val="24"/>
        </w:rPr>
        <w:t>, “</w:t>
      </w:r>
      <w:r w:rsidRPr="00285DCE">
        <w:rPr>
          <w:rFonts w:ascii="Times New Roman" w:hAnsi="Times New Roman" w:cs="Times New Roman"/>
          <w:i/>
          <w:iCs/>
          <w:sz w:val="24"/>
          <w:szCs w:val="24"/>
        </w:rPr>
        <w:t>L’algoritmo incostituzionale, intelligenza artificiale, il futuro delle libertà</w:t>
      </w:r>
      <w:r w:rsidRPr="004D03FD">
        <w:rPr>
          <w:rFonts w:ascii="Times New Roman" w:hAnsi="Times New Roman" w:cs="Times New Roman"/>
          <w:sz w:val="24"/>
          <w:szCs w:val="24"/>
        </w:rPr>
        <w:t>”, cit.,</w:t>
      </w:r>
      <w:r w:rsidRPr="00285DCE">
        <w:rPr>
          <w:rFonts w:ascii="Times New Roman" w:hAnsi="Times New Roman" w:cs="Times New Roman"/>
          <w:i/>
          <w:iCs/>
          <w:sz w:val="24"/>
          <w:szCs w:val="24"/>
        </w:rPr>
        <w:t xml:space="preserve"> </w:t>
      </w:r>
      <w:r w:rsidRPr="00285DCE">
        <w:rPr>
          <w:rFonts w:ascii="Times New Roman" w:hAnsi="Times New Roman" w:cs="Times New Roman"/>
          <w:sz w:val="24"/>
          <w:szCs w:val="24"/>
        </w:rPr>
        <w:t>che riporta il caso della c</w:t>
      </w:r>
      <w:r>
        <w:rPr>
          <w:rFonts w:ascii="Times New Roman" w:hAnsi="Times New Roman" w:cs="Times New Roman"/>
          <w:sz w:val="24"/>
          <w:szCs w:val="24"/>
        </w:rPr>
        <w:t>.</w:t>
      </w:r>
      <w:r w:rsidRPr="00285DCE">
        <w:rPr>
          <w:rFonts w:ascii="Times New Roman" w:hAnsi="Times New Roman" w:cs="Times New Roman"/>
          <w:sz w:val="24"/>
          <w:szCs w:val="24"/>
        </w:rPr>
        <w:t>d</w:t>
      </w:r>
      <w:r>
        <w:rPr>
          <w:rFonts w:ascii="Times New Roman" w:hAnsi="Times New Roman" w:cs="Times New Roman"/>
          <w:sz w:val="24"/>
          <w:szCs w:val="24"/>
        </w:rPr>
        <w:t>.</w:t>
      </w:r>
      <w:r w:rsidRPr="00285DCE">
        <w:rPr>
          <w:rFonts w:ascii="Times New Roman" w:hAnsi="Times New Roman" w:cs="Times New Roman"/>
          <w:sz w:val="24"/>
          <w:szCs w:val="24"/>
        </w:rPr>
        <w:t xml:space="preserve"> “decisione </w:t>
      </w:r>
      <w:proofErr w:type="spellStart"/>
      <w:r w:rsidRPr="00285DCE">
        <w:rPr>
          <w:rFonts w:ascii="Times New Roman" w:hAnsi="Times New Roman" w:cs="Times New Roman"/>
          <w:sz w:val="24"/>
          <w:szCs w:val="24"/>
        </w:rPr>
        <w:t>Compas</w:t>
      </w:r>
      <w:proofErr w:type="spellEnd"/>
      <w:r w:rsidRPr="00285DCE">
        <w:rPr>
          <w:rFonts w:ascii="Times New Roman" w:hAnsi="Times New Roman" w:cs="Times New Roman"/>
          <w:sz w:val="24"/>
          <w:szCs w:val="24"/>
        </w:rPr>
        <w:t>”, rispetto alla quale, da uno studio condotto su un campione di 10.000 imputati, nella predizione della recidiva l’algoritmo sovrastimava sistematicamente il rischio di recidiva per gli imputati neri ed altrettanto sistematicamente sottostimava il rischio per i bianchi.</w:t>
      </w:r>
    </w:p>
  </w:footnote>
  <w:footnote w:id="33">
    <w:p w14:paraId="58CFED12" w14:textId="0874CA73" w:rsidR="000463A6" w:rsidRPr="0007667A" w:rsidRDefault="000463A6" w:rsidP="0007667A">
      <w:pPr>
        <w:pStyle w:val="Testonotaapidipagina"/>
        <w:jc w:val="both"/>
        <w:rPr>
          <w:rFonts w:ascii="Times New Roman" w:hAnsi="Times New Roman" w:cs="Times New Roman"/>
          <w:sz w:val="24"/>
          <w:szCs w:val="24"/>
        </w:rPr>
      </w:pPr>
      <w:r w:rsidRPr="0007667A">
        <w:rPr>
          <w:rStyle w:val="Rimandonotaapidipagina"/>
          <w:rFonts w:ascii="Times New Roman" w:hAnsi="Times New Roman" w:cs="Times New Roman"/>
          <w:sz w:val="24"/>
          <w:szCs w:val="24"/>
        </w:rPr>
        <w:footnoteRef/>
      </w:r>
      <w:r w:rsidRPr="0007667A">
        <w:rPr>
          <w:rFonts w:ascii="Times New Roman" w:hAnsi="Times New Roman" w:cs="Times New Roman"/>
          <w:sz w:val="24"/>
          <w:szCs w:val="24"/>
        </w:rPr>
        <w:t xml:space="preserve"> Il tema della responsabilità dell’amministrazione è estremamente complesso e variegato e racchiude una pluralità di questioni che difficilmente possono trovare composizione: per un’idea del contesto al quale ci si riferisce</w:t>
      </w:r>
      <w:r>
        <w:rPr>
          <w:rFonts w:ascii="Times New Roman" w:hAnsi="Times New Roman" w:cs="Times New Roman"/>
          <w:sz w:val="24"/>
          <w:szCs w:val="24"/>
        </w:rPr>
        <w:t xml:space="preserve">, </w:t>
      </w:r>
      <w:r w:rsidRPr="0007667A">
        <w:rPr>
          <w:rFonts w:ascii="Times New Roman" w:hAnsi="Times New Roman" w:cs="Times New Roman"/>
          <w:sz w:val="24"/>
          <w:szCs w:val="24"/>
        </w:rPr>
        <w:t xml:space="preserve">v. </w:t>
      </w:r>
      <w:r w:rsidRPr="0007667A">
        <w:rPr>
          <w:rFonts w:ascii="Times New Roman" w:hAnsi="Times New Roman" w:cs="Times New Roman"/>
          <w:smallCaps/>
          <w:sz w:val="24"/>
          <w:szCs w:val="24"/>
        </w:rPr>
        <w:t xml:space="preserve">A. </w:t>
      </w:r>
      <w:proofErr w:type="spellStart"/>
      <w:r w:rsidRPr="0007667A">
        <w:rPr>
          <w:rFonts w:ascii="Times New Roman" w:hAnsi="Times New Roman" w:cs="Times New Roman"/>
          <w:smallCaps/>
          <w:sz w:val="24"/>
          <w:szCs w:val="24"/>
        </w:rPr>
        <w:t>Cassatella</w:t>
      </w:r>
      <w:proofErr w:type="spellEnd"/>
      <w:r w:rsidRPr="0007667A">
        <w:rPr>
          <w:rFonts w:ascii="Times New Roman" w:hAnsi="Times New Roman" w:cs="Times New Roman"/>
          <w:i/>
          <w:iCs/>
          <w:sz w:val="24"/>
          <w:szCs w:val="24"/>
        </w:rPr>
        <w:t xml:space="preserve">, </w:t>
      </w:r>
      <w:r>
        <w:rPr>
          <w:rFonts w:ascii="Times New Roman" w:hAnsi="Times New Roman" w:cs="Times New Roman"/>
          <w:i/>
          <w:iCs/>
          <w:sz w:val="24"/>
          <w:szCs w:val="24"/>
        </w:rPr>
        <w:t>“</w:t>
      </w:r>
      <w:r w:rsidRPr="0007667A">
        <w:rPr>
          <w:rFonts w:ascii="Times New Roman" w:hAnsi="Times New Roman" w:cs="Times New Roman"/>
          <w:i/>
          <w:iCs/>
          <w:sz w:val="24"/>
          <w:szCs w:val="24"/>
        </w:rPr>
        <w:t>La responsabilità funzionale nell’amministrare. Termini e questioni</w:t>
      </w:r>
      <w:r w:rsidRPr="004D03FD">
        <w:rPr>
          <w:rFonts w:ascii="Times New Roman" w:hAnsi="Times New Roman" w:cs="Times New Roman"/>
          <w:sz w:val="24"/>
          <w:szCs w:val="24"/>
        </w:rPr>
        <w:t>”, in</w:t>
      </w:r>
      <w:r w:rsidRPr="0007667A">
        <w:rPr>
          <w:rFonts w:ascii="Times New Roman" w:hAnsi="Times New Roman" w:cs="Times New Roman"/>
          <w:i/>
          <w:iCs/>
          <w:sz w:val="24"/>
          <w:szCs w:val="24"/>
        </w:rPr>
        <w:t xml:space="preserve"> Dir.</w:t>
      </w:r>
      <w:r>
        <w:rPr>
          <w:rFonts w:ascii="Times New Roman" w:hAnsi="Times New Roman" w:cs="Times New Roman"/>
          <w:i/>
          <w:iCs/>
          <w:sz w:val="24"/>
          <w:szCs w:val="24"/>
        </w:rPr>
        <w:t xml:space="preserve"> </w:t>
      </w:r>
      <w:proofErr w:type="spellStart"/>
      <w:r w:rsidRPr="0007667A">
        <w:rPr>
          <w:rFonts w:ascii="Times New Roman" w:hAnsi="Times New Roman" w:cs="Times New Roman"/>
          <w:i/>
          <w:iCs/>
          <w:sz w:val="24"/>
          <w:szCs w:val="24"/>
        </w:rPr>
        <w:t>Amm</w:t>
      </w:r>
      <w:proofErr w:type="spellEnd"/>
      <w:r w:rsidRPr="0007667A">
        <w:rPr>
          <w:rFonts w:ascii="Times New Roman" w:hAnsi="Times New Roman" w:cs="Times New Roman"/>
          <w:i/>
          <w:iCs/>
          <w:sz w:val="24"/>
          <w:szCs w:val="24"/>
        </w:rPr>
        <w:t xml:space="preserve">., </w:t>
      </w:r>
      <w:r w:rsidRPr="004D03FD">
        <w:rPr>
          <w:rFonts w:ascii="Times New Roman" w:hAnsi="Times New Roman" w:cs="Times New Roman"/>
          <w:sz w:val="24"/>
          <w:szCs w:val="24"/>
        </w:rPr>
        <w:t>2018, 677.</w:t>
      </w:r>
    </w:p>
  </w:footnote>
  <w:footnote w:id="34">
    <w:p w14:paraId="34D03929" w14:textId="10AAD9C8" w:rsidR="000463A6" w:rsidRPr="0007667A" w:rsidRDefault="000463A6" w:rsidP="0007667A">
      <w:pPr>
        <w:pStyle w:val="Testonotaapidipagina"/>
        <w:jc w:val="both"/>
        <w:rPr>
          <w:rFonts w:ascii="Times New Roman" w:hAnsi="Times New Roman" w:cs="Times New Roman"/>
          <w:sz w:val="24"/>
          <w:szCs w:val="24"/>
        </w:rPr>
      </w:pPr>
      <w:r w:rsidRPr="0007667A">
        <w:rPr>
          <w:rStyle w:val="Rimandonotaapidipagina"/>
          <w:rFonts w:ascii="Times New Roman" w:hAnsi="Times New Roman" w:cs="Times New Roman"/>
          <w:sz w:val="24"/>
          <w:szCs w:val="24"/>
        </w:rPr>
        <w:footnoteRef/>
      </w:r>
      <w:r w:rsidRPr="0007667A">
        <w:rPr>
          <w:rFonts w:ascii="Times New Roman" w:hAnsi="Times New Roman" w:cs="Times New Roman"/>
          <w:sz w:val="24"/>
          <w:szCs w:val="24"/>
        </w:rPr>
        <w:t xml:space="preserve"> </w:t>
      </w:r>
      <w:r w:rsidRPr="0007667A">
        <w:rPr>
          <w:rFonts w:ascii="Times New Roman" w:hAnsi="Times New Roman" w:cs="Times New Roman"/>
          <w:smallCaps/>
          <w:sz w:val="24"/>
          <w:szCs w:val="24"/>
        </w:rPr>
        <w:t xml:space="preserve">E. </w:t>
      </w:r>
      <w:proofErr w:type="spellStart"/>
      <w:r w:rsidRPr="0007667A">
        <w:rPr>
          <w:rFonts w:ascii="Times New Roman" w:hAnsi="Times New Roman" w:cs="Times New Roman"/>
          <w:smallCaps/>
          <w:sz w:val="24"/>
          <w:szCs w:val="24"/>
        </w:rPr>
        <w:t>Follieri</w:t>
      </w:r>
      <w:proofErr w:type="spellEnd"/>
      <w:r w:rsidRPr="0007667A">
        <w:rPr>
          <w:rFonts w:ascii="Times New Roman" w:hAnsi="Times New Roman" w:cs="Times New Roman"/>
          <w:sz w:val="24"/>
          <w:szCs w:val="24"/>
        </w:rPr>
        <w:t xml:space="preserve">, </w:t>
      </w:r>
      <w:r>
        <w:rPr>
          <w:rFonts w:ascii="Times New Roman" w:hAnsi="Times New Roman" w:cs="Times New Roman"/>
          <w:sz w:val="24"/>
          <w:szCs w:val="24"/>
        </w:rPr>
        <w:t>“</w:t>
      </w:r>
      <w:r w:rsidRPr="0007667A">
        <w:rPr>
          <w:rFonts w:ascii="Times New Roman" w:hAnsi="Times New Roman" w:cs="Times New Roman"/>
          <w:i/>
          <w:iCs/>
          <w:sz w:val="24"/>
          <w:szCs w:val="24"/>
        </w:rPr>
        <w:t>La tipologia delle azioni</w:t>
      </w:r>
      <w:r w:rsidRPr="0007667A">
        <w:rPr>
          <w:rFonts w:ascii="Times New Roman" w:hAnsi="Times New Roman" w:cs="Times New Roman"/>
          <w:sz w:val="24"/>
          <w:szCs w:val="24"/>
        </w:rPr>
        <w:t xml:space="preserve"> </w:t>
      </w:r>
      <w:r w:rsidRPr="0007667A">
        <w:rPr>
          <w:rFonts w:ascii="Times New Roman" w:hAnsi="Times New Roman" w:cs="Times New Roman"/>
          <w:i/>
          <w:iCs/>
          <w:sz w:val="24"/>
          <w:szCs w:val="24"/>
        </w:rPr>
        <w:t>proponibili</w:t>
      </w:r>
      <w:r w:rsidRPr="00E01DF0">
        <w:rPr>
          <w:rFonts w:ascii="Times New Roman" w:hAnsi="Times New Roman" w:cs="Times New Roman"/>
          <w:sz w:val="24"/>
          <w:szCs w:val="24"/>
        </w:rPr>
        <w:t xml:space="preserve">”, </w:t>
      </w:r>
      <w:r w:rsidRPr="0007667A">
        <w:rPr>
          <w:rFonts w:ascii="Times New Roman" w:hAnsi="Times New Roman" w:cs="Times New Roman"/>
          <w:sz w:val="24"/>
          <w:szCs w:val="24"/>
        </w:rPr>
        <w:t xml:space="preserve">in </w:t>
      </w:r>
      <w:r w:rsidRPr="0007667A">
        <w:rPr>
          <w:rFonts w:ascii="Times New Roman" w:hAnsi="Times New Roman" w:cs="Times New Roman"/>
          <w:smallCaps/>
          <w:sz w:val="24"/>
          <w:szCs w:val="24"/>
        </w:rPr>
        <w:t xml:space="preserve">F. G. </w:t>
      </w:r>
      <w:proofErr w:type="spellStart"/>
      <w:r w:rsidRPr="0007667A">
        <w:rPr>
          <w:rFonts w:ascii="Times New Roman" w:hAnsi="Times New Roman" w:cs="Times New Roman"/>
          <w:smallCaps/>
          <w:sz w:val="24"/>
          <w:szCs w:val="24"/>
        </w:rPr>
        <w:t>Scoca</w:t>
      </w:r>
      <w:proofErr w:type="spellEnd"/>
      <w:r w:rsidRPr="0007667A">
        <w:rPr>
          <w:rFonts w:ascii="Times New Roman" w:hAnsi="Times New Roman" w:cs="Times New Roman"/>
          <w:sz w:val="24"/>
          <w:szCs w:val="24"/>
        </w:rPr>
        <w:t xml:space="preserve"> (a cura di),</w:t>
      </w:r>
      <w:r>
        <w:rPr>
          <w:rFonts w:ascii="Times New Roman" w:hAnsi="Times New Roman" w:cs="Times New Roman"/>
          <w:sz w:val="24"/>
          <w:szCs w:val="24"/>
        </w:rPr>
        <w:t xml:space="preserve"> “</w:t>
      </w:r>
      <w:r w:rsidRPr="0007667A">
        <w:rPr>
          <w:rFonts w:ascii="Times New Roman" w:hAnsi="Times New Roman" w:cs="Times New Roman"/>
          <w:i/>
          <w:iCs/>
          <w:sz w:val="24"/>
          <w:szCs w:val="24"/>
        </w:rPr>
        <w:t>Giustizia amministrativa</w:t>
      </w:r>
      <w:r w:rsidRPr="00E01DF0">
        <w:rPr>
          <w:rFonts w:ascii="Times New Roman" w:hAnsi="Times New Roman" w:cs="Times New Roman"/>
          <w:sz w:val="24"/>
          <w:szCs w:val="24"/>
        </w:rPr>
        <w:t>”,</w:t>
      </w:r>
      <w:r w:rsidRPr="0007667A">
        <w:rPr>
          <w:rFonts w:ascii="Times New Roman" w:hAnsi="Times New Roman" w:cs="Times New Roman"/>
          <w:i/>
          <w:iCs/>
          <w:sz w:val="24"/>
          <w:szCs w:val="24"/>
        </w:rPr>
        <w:t xml:space="preserve"> </w:t>
      </w:r>
      <w:r w:rsidRPr="0007667A">
        <w:rPr>
          <w:rFonts w:ascii="Times New Roman" w:hAnsi="Times New Roman" w:cs="Times New Roman"/>
          <w:sz w:val="24"/>
          <w:szCs w:val="24"/>
        </w:rPr>
        <w:t>Torino,</w:t>
      </w:r>
      <w:r>
        <w:rPr>
          <w:rFonts w:ascii="Times New Roman" w:hAnsi="Times New Roman" w:cs="Times New Roman"/>
          <w:sz w:val="24"/>
          <w:szCs w:val="24"/>
        </w:rPr>
        <w:t xml:space="preserve"> </w:t>
      </w:r>
      <w:r w:rsidRPr="0007667A">
        <w:rPr>
          <w:rFonts w:ascii="Times New Roman" w:hAnsi="Times New Roman" w:cs="Times New Roman"/>
          <w:sz w:val="24"/>
          <w:szCs w:val="24"/>
        </w:rPr>
        <w:t>2017,</w:t>
      </w:r>
      <w:r>
        <w:rPr>
          <w:rFonts w:ascii="Times New Roman" w:hAnsi="Times New Roman" w:cs="Times New Roman"/>
          <w:sz w:val="24"/>
          <w:szCs w:val="24"/>
        </w:rPr>
        <w:t xml:space="preserve"> </w:t>
      </w:r>
      <w:r w:rsidRPr="0007667A">
        <w:rPr>
          <w:rFonts w:ascii="Times New Roman" w:hAnsi="Times New Roman" w:cs="Times New Roman"/>
          <w:sz w:val="24"/>
          <w:szCs w:val="24"/>
        </w:rPr>
        <w:t>p.</w:t>
      </w:r>
      <w:r>
        <w:rPr>
          <w:rFonts w:ascii="Times New Roman" w:hAnsi="Times New Roman" w:cs="Times New Roman"/>
          <w:sz w:val="24"/>
          <w:szCs w:val="24"/>
        </w:rPr>
        <w:t xml:space="preserve"> </w:t>
      </w:r>
      <w:r w:rsidRPr="0007667A">
        <w:rPr>
          <w:rFonts w:ascii="Times New Roman" w:hAnsi="Times New Roman" w:cs="Times New Roman"/>
          <w:sz w:val="24"/>
          <w:szCs w:val="24"/>
        </w:rPr>
        <w:t>190</w:t>
      </w:r>
      <w:r>
        <w:rPr>
          <w:rFonts w:ascii="Times New Roman" w:hAnsi="Times New Roman" w:cs="Times New Roman"/>
          <w:sz w:val="24"/>
          <w:szCs w:val="24"/>
        </w:rPr>
        <w:t xml:space="preserve"> </w:t>
      </w:r>
      <w:r w:rsidRPr="0007667A">
        <w:rPr>
          <w:rFonts w:ascii="Times New Roman" w:hAnsi="Times New Roman" w:cs="Times New Roman"/>
          <w:sz w:val="24"/>
          <w:szCs w:val="24"/>
        </w:rPr>
        <w:t>ss</w:t>
      </w:r>
      <w:r>
        <w:rPr>
          <w:rFonts w:ascii="Times New Roman" w:hAnsi="Times New Roman" w:cs="Times New Roman"/>
          <w:sz w:val="24"/>
          <w:szCs w:val="24"/>
        </w:rPr>
        <w:t>.</w:t>
      </w:r>
      <w:r w:rsidRPr="0007667A">
        <w:rPr>
          <w:rFonts w:ascii="Times New Roman" w:hAnsi="Times New Roman" w:cs="Times New Roman"/>
          <w:sz w:val="24"/>
          <w:szCs w:val="24"/>
        </w:rPr>
        <w:t xml:space="preserve">; </w:t>
      </w:r>
      <w:r w:rsidRPr="0007667A">
        <w:rPr>
          <w:rFonts w:ascii="Times New Roman" w:hAnsi="Times New Roman" w:cs="Times New Roman"/>
          <w:smallCaps/>
          <w:sz w:val="24"/>
          <w:szCs w:val="24"/>
        </w:rPr>
        <w:t xml:space="preserve">V. </w:t>
      </w:r>
      <w:proofErr w:type="spellStart"/>
      <w:r w:rsidRPr="0007667A">
        <w:rPr>
          <w:rFonts w:ascii="Times New Roman" w:hAnsi="Times New Roman" w:cs="Times New Roman"/>
          <w:smallCaps/>
          <w:sz w:val="24"/>
          <w:szCs w:val="24"/>
        </w:rPr>
        <w:t>Cerulli</w:t>
      </w:r>
      <w:proofErr w:type="spellEnd"/>
      <w:r w:rsidRPr="0007667A">
        <w:rPr>
          <w:rFonts w:ascii="Times New Roman" w:hAnsi="Times New Roman" w:cs="Times New Roman"/>
          <w:smallCaps/>
          <w:sz w:val="24"/>
          <w:szCs w:val="24"/>
        </w:rPr>
        <w:t xml:space="preserve"> Irelli</w:t>
      </w:r>
      <w:r w:rsidRPr="0007667A">
        <w:rPr>
          <w:rFonts w:ascii="Times New Roman" w:hAnsi="Times New Roman" w:cs="Times New Roman"/>
          <w:sz w:val="24"/>
          <w:szCs w:val="24"/>
        </w:rPr>
        <w:t xml:space="preserve">, </w:t>
      </w:r>
      <w:r>
        <w:rPr>
          <w:rFonts w:ascii="Times New Roman" w:hAnsi="Times New Roman" w:cs="Times New Roman"/>
          <w:sz w:val="24"/>
          <w:szCs w:val="24"/>
        </w:rPr>
        <w:t>“</w:t>
      </w:r>
      <w:r w:rsidRPr="0007667A">
        <w:rPr>
          <w:rFonts w:ascii="Times New Roman" w:hAnsi="Times New Roman" w:cs="Times New Roman"/>
          <w:i/>
          <w:iCs/>
          <w:sz w:val="24"/>
          <w:szCs w:val="24"/>
        </w:rPr>
        <w:t xml:space="preserve">Giurisdizione amministrativa e pluralità delle azioni (dalla Costituzione al Codice del processo </w:t>
      </w:r>
      <w:proofErr w:type="spellStart"/>
      <w:r w:rsidRPr="0007667A">
        <w:rPr>
          <w:rFonts w:ascii="Times New Roman" w:hAnsi="Times New Roman" w:cs="Times New Roman"/>
          <w:i/>
          <w:iCs/>
          <w:sz w:val="24"/>
          <w:szCs w:val="24"/>
        </w:rPr>
        <w:t>amministartivo</w:t>
      </w:r>
      <w:proofErr w:type="spellEnd"/>
      <w:r w:rsidRPr="0007667A">
        <w:rPr>
          <w:rFonts w:ascii="Times New Roman" w:hAnsi="Times New Roman" w:cs="Times New Roman"/>
          <w:sz w:val="24"/>
          <w:szCs w:val="24"/>
        </w:rPr>
        <w:t>)</w:t>
      </w:r>
      <w:r>
        <w:rPr>
          <w:rFonts w:ascii="Times New Roman" w:hAnsi="Times New Roman" w:cs="Times New Roman"/>
          <w:sz w:val="24"/>
          <w:szCs w:val="24"/>
        </w:rPr>
        <w:t>”</w:t>
      </w:r>
      <w:r w:rsidRPr="0007667A">
        <w:rPr>
          <w:rFonts w:ascii="Times New Roman" w:hAnsi="Times New Roman" w:cs="Times New Roman"/>
          <w:sz w:val="24"/>
          <w:szCs w:val="24"/>
        </w:rPr>
        <w:t>, in</w:t>
      </w:r>
      <w:r w:rsidRPr="0007667A">
        <w:rPr>
          <w:rFonts w:ascii="Times New Roman" w:hAnsi="Times New Roman" w:cs="Times New Roman"/>
          <w:i/>
          <w:iCs/>
          <w:sz w:val="24"/>
          <w:szCs w:val="24"/>
        </w:rPr>
        <w:t xml:space="preserve"> Dir.</w:t>
      </w:r>
      <w:r>
        <w:rPr>
          <w:rFonts w:ascii="Times New Roman" w:hAnsi="Times New Roman" w:cs="Times New Roman"/>
          <w:i/>
          <w:iCs/>
          <w:sz w:val="24"/>
          <w:szCs w:val="24"/>
        </w:rPr>
        <w:t xml:space="preserve"> </w:t>
      </w:r>
      <w:proofErr w:type="spellStart"/>
      <w:r w:rsidRPr="0007667A">
        <w:rPr>
          <w:rFonts w:ascii="Times New Roman" w:hAnsi="Times New Roman" w:cs="Times New Roman"/>
          <w:i/>
          <w:iCs/>
          <w:sz w:val="24"/>
          <w:szCs w:val="24"/>
        </w:rPr>
        <w:t>Proc</w:t>
      </w:r>
      <w:proofErr w:type="spellEnd"/>
      <w:r w:rsidRPr="0007667A">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sidRPr="0007667A">
        <w:rPr>
          <w:rFonts w:ascii="Times New Roman" w:hAnsi="Times New Roman" w:cs="Times New Roman"/>
          <w:i/>
          <w:iCs/>
          <w:sz w:val="24"/>
          <w:szCs w:val="24"/>
        </w:rPr>
        <w:t>Amm</w:t>
      </w:r>
      <w:proofErr w:type="spellEnd"/>
      <w:r w:rsidRPr="0007667A">
        <w:rPr>
          <w:rFonts w:ascii="Times New Roman" w:hAnsi="Times New Roman" w:cs="Times New Roman"/>
          <w:i/>
          <w:iCs/>
          <w:sz w:val="24"/>
          <w:szCs w:val="24"/>
        </w:rPr>
        <w:t>.,</w:t>
      </w:r>
      <w:r>
        <w:rPr>
          <w:rFonts w:ascii="Times New Roman" w:hAnsi="Times New Roman" w:cs="Times New Roman"/>
          <w:i/>
          <w:iCs/>
          <w:sz w:val="24"/>
          <w:szCs w:val="24"/>
        </w:rPr>
        <w:t xml:space="preserve"> </w:t>
      </w:r>
      <w:r w:rsidRPr="004D03FD">
        <w:rPr>
          <w:rFonts w:ascii="Times New Roman" w:hAnsi="Times New Roman" w:cs="Times New Roman"/>
          <w:sz w:val="24"/>
          <w:szCs w:val="24"/>
        </w:rPr>
        <w:t>2012, 436</w:t>
      </w:r>
      <w:r w:rsidRPr="0007667A">
        <w:rPr>
          <w:rFonts w:ascii="Times New Roman" w:hAnsi="Times New Roman" w:cs="Times New Roman"/>
          <w:i/>
          <w:iCs/>
          <w:sz w:val="24"/>
          <w:szCs w:val="24"/>
        </w:rPr>
        <w:t>.</w:t>
      </w:r>
      <w:r>
        <w:rPr>
          <w:rFonts w:ascii="Times New Roman" w:hAnsi="Times New Roman" w:cs="Times New Roman"/>
          <w:i/>
          <w:iCs/>
          <w:sz w:val="24"/>
          <w:szCs w:val="24"/>
        </w:rPr>
        <w:t xml:space="preserve"> </w:t>
      </w:r>
      <w:r w:rsidRPr="0007667A">
        <w:rPr>
          <w:rFonts w:ascii="Times New Roman" w:hAnsi="Times New Roman" w:cs="Times New Roman"/>
          <w:sz w:val="24"/>
          <w:szCs w:val="24"/>
        </w:rPr>
        <w:t>In</w:t>
      </w:r>
      <w:r w:rsidRPr="0007667A">
        <w:rPr>
          <w:rFonts w:ascii="Times New Roman" w:hAnsi="Times New Roman" w:cs="Times New Roman"/>
          <w:i/>
          <w:iCs/>
          <w:sz w:val="24"/>
          <w:szCs w:val="24"/>
        </w:rPr>
        <w:t xml:space="preserve"> </w:t>
      </w:r>
      <w:r w:rsidRPr="0007667A">
        <w:rPr>
          <w:rFonts w:ascii="Times New Roman" w:hAnsi="Times New Roman" w:cs="Times New Roman"/>
          <w:sz w:val="24"/>
          <w:szCs w:val="24"/>
        </w:rPr>
        <w:t xml:space="preserve">termini assai generali e senza alcuna pretesa di esaustività, una ricca costruzione storica del dibattito sopra richiamato si trova in </w:t>
      </w:r>
      <w:r w:rsidRPr="0007667A">
        <w:rPr>
          <w:rFonts w:ascii="Times New Roman" w:hAnsi="Times New Roman" w:cs="Times New Roman"/>
          <w:smallCaps/>
          <w:sz w:val="24"/>
          <w:szCs w:val="24"/>
        </w:rPr>
        <w:t xml:space="preserve">F. G. </w:t>
      </w:r>
      <w:proofErr w:type="spellStart"/>
      <w:r w:rsidRPr="0007667A">
        <w:rPr>
          <w:rFonts w:ascii="Times New Roman" w:hAnsi="Times New Roman" w:cs="Times New Roman"/>
          <w:smallCaps/>
          <w:sz w:val="24"/>
          <w:szCs w:val="24"/>
        </w:rPr>
        <w:t>Scoca</w:t>
      </w:r>
      <w:proofErr w:type="spellEnd"/>
      <w:r w:rsidRPr="0007667A">
        <w:rPr>
          <w:rFonts w:ascii="Times New Roman" w:hAnsi="Times New Roman" w:cs="Times New Roman"/>
          <w:sz w:val="24"/>
          <w:szCs w:val="24"/>
        </w:rPr>
        <w:t xml:space="preserve">, </w:t>
      </w:r>
      <w:r>
        <w:rPr>
          <w:rFonts w:ascii="Times New Roman" w:hAnsi="Times New Roman" w:cs="Times New Roman"/>
          <w:sz w:val="24"/>
          <w:szCs w:val="24"/>
        </w:rPr>
        <w:t>“</w:t>
      </w:r>
      <w:r w:rsidRPr="0007667A">
        <w:rPr>
          <w:rFonts w:ascii="Times New Roman" w:hAnsi="Times New Roman" w:cs="Times New Roman"/>
          <w:i/>
          <w:iCs/>
          <w:sz w:val="24"/>
          <w:szCs w:val="24"/>
        </w:rPr>
        <w:t>L’interesse legittimo. Storia e teoria</w:t>
      </w:r>
      <w:r w:rsidRPr="00E01DF0">
        <w:rPr>
          <w:rFonts w:ascii="Times New Roman" w:hAnsi="Times New Roman" w:cs="Times New Roman"/>
          <w:sz w:val="24"/>
          <w:szCs w:val="24"/>
        </w:rPr>
        <w:t xml:space="preserve">”, </w:t>
      </w:r>
      <w:r w:rsidRPr="0007667A">
        <w:rPr>
          <w:rFonts w:ascii="Times New Roman" w:hAnsi="Times New Roman" w:cs="Times New Roman"/>
          <w:sz w:val="24"/>
          <w:szCs w:val="24"/>
        </w:rPr>
        <w:t>Torino</w:t>
      </w:r>
      <w:r>
        <w:rPr>
          <w:rFonts w:ascii="Times New Roman" w:hAnsi="Times New Roman" w:cs="Times New Roman"/>
          <w:sz w:val="24"/>
          <w:szCs w:val="24"/>
        </w:rPr>
        <w:t>,</w:t>
      </w:r>
      <w:r w:rsidRPr="0007667A">
        <w:rPr>
          <w:rFonts w:ascii="Times New Roman" w:hAnsi="Times New Roman" w:cs="Times New Roman"/>
          <w:sz w:val="24"/>
          <w:szCs w:val="24"/>
        </w:rPr>
        <w:t xml:space="preserve"> 2017; nonché</w:t>
      </w:r>
      <w:r>
        <w:rPr>
          <w:rFonts w:ascii="Times New Roman" w:hAnsi="Times New Roman" w:cs="Times New Roman"/>
          <w:sz w:val="24"/>
          <w:szCs w:val="24"/>
        </w:rPr>
        <w:t>,</w:t>
      </w:r>
      <w:r w:rsidRPr="0007667A">
        <w:rPr>
          <w:rFonts w:ascii="Times New Roman" w:hAnsi="Times New Roman" w:cs="Times New Roman"/>
          <w:sz w:val="24"/>
          <w:szCs w:val="24"/>
        </w:rPr>
        <w:t xml:space="preserve"> per una diversa ricostruzione della natura dell’interesse legittimo,</w:t>
      </w:r>
      <w:r>
        <w:rPr>
          <w:rFonts w:ascii="Times New Roman" w:hAnsi="Times New Roman" w:cs="Times New Roman"/>
          <w:sz w:val="24"/>
          <w:szCs w:val="24"/>
        </w:rPr>
        <w:t xml:space="preserve"> </w:t>
      </w:r>
      <w:r w:rsidRPr="0007667A">
        <w:rPr>
          <w:rFonts w:ascii="Times New Roman" w:hAnsi="Times New Roman" w:cs="Times New Roman"/>
          <w:smallCaps/>
          <w:sz w:val="24"/>
          <w:szCs w:val="24"/>
        </w:rPr>
        <w:t>G. Greco</w:t>
      </w:r>
      <w:r w:rsidRPr="0007667A">
        <w:rPr>
          <w:rFonts w:ascii="Times New Roman" w:hAnsi="Times New Roman" w:cs="Times New Roman"/>
          <w:sz w:val="24"/>
          <w:szCs w:val="24"/>
        </w:rPr>
        <w:t xml:space="preserve">, </w:t>
      </w:r>
      <w:r>
        <w:rPr>
          <w:rFonts w:ascii="Times New Roman" w:hAnsi="Times New Roman" w:cs="Times New Roman"/>
          <w:sz w:val="24"/>
          <w:szCs w:val="24"/>
        </w:rPr>
        <w:t>“</w:t>
      </w:r>
      <w:r w:rsidRPr="0007667A">
        <w:rPr>
          <w:rFonts w:ascii="Times New Roman" w:hAnsi="Times New Roman" w:cs="Times New Roman"/>
          <w:i/>
          <w:iCs/>
          <w:sz w:val="24"/>
          <w:szCs w:val="24"/>
        </w:rPr>
        <w:t>Dal dilemma diritto soggettivo-interesse legittimo, alla differenziazione interesse strumentale-interesse finale</w:t>
      </w:r>
      <w:r w:rsidRPr="00E01DF0">
        <w:rPr>
          <w:rFonts w:ascii="Times New Roman" w:hAnsi="Times New Roman" w:cs="Times New Roman"/>
          <w:sz w:val="24"/>
          <w:szCs w:val="24"/>
        </w:rPr>
        <w:t>”,</w:t>
      </w:r>
      <w:r w:rsidRPr="0007667A">
        <w:rPr>
          <w:rFonts w:ascii="Times New Roman" w:hAnsi="Times New Roman" w:cs="Times New Roman"/>
          <w:i/>
          <w:iCs/>
          <w:sz w:val="24"/>
          <w:szCs w:val="24"/>
        </w:rPr>
        <w:t xml:space="preserve"> </w:t>
      </w:r>
      <w:r w:rsidRPr="0007667A">
        <w:rPr>
          <w:rFonts w:ascii="Times New Roman" w:hAnsi="Times New Roman" w:cs="Times New Roman"/>
          <w:sz w:val="24"/>
          <w:szCs w:val="24"/>
        </w:rPr>
        <w:t xml:space="preserve">in </w:t>
      </w:r>
      <w:r w:rsidRPr="0007667A">
        <w:rPr>
          <w:rFonts w:ascii="Times New Roman" w:hAnsi="Times New Roman" w:cs="Times New Roman"/>
          <w:i/>
          <w:iCs/>
          <w:sz w:val="24"/>
          <w:szCs w:val="24"/>
        </w:rPr>
        <w:t>Dir.</w:t>
      </w:r>
      <w:r>
        <w:rPr>
          <w:rFonts w:ascii="Times New Roman" w:hAnsi="Times New Roman" w:cs="Times New Roman"/>
          <w:i/>
          <w:iCs/>
          <w:sz w:val="24"/>
          <w:szCs w:val="24"/>
        </w:rPr>
        <w:t xml:space="preserve"> </w:t>
      </w:r>
      <w:proofErr w:type="spellStart"/>
      <w:r w:rsidRPr="0007667A">
        <w:rPr>
          <w:rFonts w:ascii="Times New Roman" w:hAnsi="Times New Roman" w:cs="Times New Roman"/>
          <w:i/>
          <w:iCs/>
          <w:sz w:val="24"/>
          <w:szCs w:val="24"/>
        </w:rPr>
        <w:t>amm</w:t>
      </w:r>
      <w:proofErr w:type="spellEnd"/>
      <w:r w:rsidRPr="0007667A">
        <w:rPr>
          <w:rFonts w:ascii="Times New Roman" w:hAnsi="Times New Roman" w:cs="Times New Roman"/>
          <w:sz w:val="24"/>
          <w:szCs w:val="24"/>
        </w:rPr>
        <w:t>.,</w:t>
      </w:r>
      <w:r>
        <w:rPr>
          <w:rFonts w:ascii="Times New Roman" w:hAnsi="Times New Roman" w:cs="Times New Roman"/>
          <w:sz w:val="24"/>
          <w:szCs w:val="24"/>
        </w:rPr>
        <w:t xml:space="preserve"> </w:t>
      </w:r>
      <w:r w:rsidRPr="0007667A">
        <w:rPr>
          <w:rFonts w:ascii="Times New Roman" w:hAnsi="Times New Roman" w:cs="Times New Roman"/>
          <w:sz w:val="24"/>
          <w:szCs w:val="24"/>
        </w:rPr>
        <w:t>2014,</w:t>
      </w:r>
      <w:r>
        <w:rPr>
          <w:rFonts w:ascii="Times New Roman" w:hAnsi="Times New Roman" w:cs="Times New Roman"/>
          <w:sz w:val="24"/>
          <w:szCs w:val="24"/>
        </w:rPr>
        <w:t xml:space="preserve"> </w:t>
      </w:r>
      <w:r w:rsidRPr="0007667A">
        <w:rPr>
          <w:rFonts w:ascii="Times New Roman" w:hAnsi="Times New Roman" w:cs="Times New Roman"/>
          <w:sz w:val="24"/>
          <w:szCs w:val="24"/>
        </w:rPr>
        <w:t xml:space="preserve">479; </w:t>
      </w:r>
      <w:r w:rsidRPr="0007667A">
        <w:rPr>
          <w:rFonts w:ascii="Times New Roman" w:hAnsi="Times New Roman" w:cs="Times New Roman"/>
          <w:smallCaps/>
          <w:sz w:val="24"/>
          <w:szCs w:val="24"/>
        </w:rPr>
        <w:t>C. Castronovo</w:t>
      </w:r>
      <w:r w:rsidRPr="0007667A">
        <w:rPr>
          <w:rFonts w:ascii="Times New Roman" w:hAnsi="Times New Roman" w:cs="Times New Roman"/>
          <w:sz w:val="24"/>
          <w:szCs w:val="24"/>
        </w:rPr>
        <w:t xml:space="preserve">, </w:t>
      </w:r>
      <w:r>
        <w:rPr>
          <w:rFonts w:ascii="Times New Roman" w:hAnsi="Times New Roman" w:cs="Times New Roman"/>
          <w:sz w:val="24"/>
          <w:szCs w:val="24"/>
        </w:rPr>
        <w:t>“</w:t>
      </w:r>
      <w:r w:rsidRPr="0007667A">
        <w:rPr>
          <w:rFonts w:ascii="Times New Roman" w:hAnsi="Times New Roman" w:cs="Times New Roman"/>
          <w:i/>
          <w:iCs/>
          <w:sz w:val="24"/>
          <w:szCs w:val="24"/>
        </w:rPr>
        <w:t xml:space="preserve">La </w:t>
      </w:r>
      <w:r>
        <w:rPr>
          <w:rFonts w:ascii="Times New Roman" w:hAnsi="Times New Roman" w:cs="Times New Roman"/>
          <w:i/>
          <w:iCs/>
          <w:sz w:val="24"/>
          <w:szCs w:val="24"/>
        </w:rPr>
        <w:t>«</w:t>
      </w:r>
      <w:r w:rsidRPr="0007667A">
        <w:rPr>
          <w:rFonts w:ascii="Times New Roman" w:hAnsi="Times New Roman" w:cs="Times New Roman"/>
          <w:i/>
          <w:iCs/>
          <w:sz w:val="24"/>
          <w:szCs w:val="24"/>
        </w:rPr>
        <w:t>civilizzazione</w:t>
      </w:r>
      <w:r>
        <w:rPr>
          <w:rFonts w:ascii="Times New Roman" w:hAnsi="Times New Roman" w:cs="Times New Roman"/>
          <w:i/>
          <w:iCs/>
          <w:sz w:val="24"/>
          <w:szCs w:val="24"/>
        </w:rPr>
        <w:t>»</w:t>
      </w:r>
      <w:r w:rsidRPr="0007667A">
        <w:rPr>
          <w:rFonts w:ascii="Times New Roman" w:hAnsi="Times New Roman" w:cs="Times New Roman"/>
          <w:i/>
          <w:iCs/>
          <w:sz w:val="24"/>
          <w:szCs w:val="24"/>
        </w:rPr>
        <w:t xml:space="preserve"> della pubblica amministrazione</w:t>
      </w:r>
      <w:r w:rsidRPr="00E01DF0">
        <w:rPr>
          <w:rFonts w:ascii="Times New Roman" w:hAnsi="Times New Roman" w:cs="Times New Roman"/>
          <w:sz w:val="24"/>
          <w:szCs w:val="24"/>
        </w:rPr>
        <w:t>”,</w:t>
      </w:r>
      <w:r w:rsidRPr="0007667A">
        <w:rPr>
          <w:rFonts w:ascii="Times New Roman" w:hAnsi="Times New Roman" w:cs="Times New Roman"/>
          <w:sz w:val="24"/>
          <w:szCs w:val="24"/>
        </w:rPr>
        <w:t xml:space="preserve"> in</w:t>
      </w:r>
      <w:r w:rsidRPr="0007667A">
        <w:rPr>
          <w:rFonts w:ascii="Times New Roman" w:hAnsi="Times New Roman" w:cs="Times New Roman"/>
          <w:i/>
          <w:iCs/>
          <w:sz w:val="24"/>
          <w:szCs w:val="24"/>
        </w:rPr>
        <w:t xml:space="preserve"> Europa e dir.</w:t>
      </w:r>
      <w:r>
        <w:rPr>
          <w:rFonts w:ascii="Times New Roman" w:hAnsi="Times New Roman" w:cs="Times New Roman"/>
          <w:i/>
          <w:iCs/>
          <w:sz w:val="24"/>
          <w:szCs w:val="24"/>
        </w:rPr>
        <w:t xml:space="preserve"> </w:t>
      </w:r>
      <w:proofErr w:type="spellStart"/>
      <w:r w:rsidRPr="0007667A">
        <w:rPr>
          <w:rFonts w:ascii="Times New Roman" w:hAnsi="Times New Roman" w:cs="Times New Roman"/>
          <w:i/>
          <w:iCs/>
          <w:sz w:val="24"/>
          <w:szCs w:val="24"/>
        </w:rPr>
        <w:t>priv</w:t>
      </w:r>
      <w:proofErr w:type="spellEnd"/>
      <w:r>
        <w:rPr>
          <w:rFonts w:ascii="Times New Roman" w:hAnsi="Times New Roman" w:cs="Times New Roman"/>
          <w:i/>
          <w:iCs/>
          <w:sz w:val="24"/>
          <w:szCs w:val="24"/>
        </w:rPr>
        <w:t>.</w:t>
      </w:r>
      <w:r w:rsidRPr="0007667A">
        <w:rPr>
          <w:rFonts w:ascii="Times New Roman" w:hAnsi="Times New Roman" w:cs="Times New Roman"/>
          <w:i/>
          <w:iCs/>
          <w:sz w:val="24"/>
          <w:szCs w:val="24"/>
        </w:rPr>
        <w:t>,</w:t>
      </w:r>
      <w:r>
        <w:rPr>
          <w:rFonts w:ascii="Times New Roman" w:hAnsi="Times New Roman" w:cs="Times New Roman"/>
          <w:i/>
          <w:iCs/>
          <w:sz w:val="24"/>
          <w:szCs w:val="24"/>
        </w:rPr>
        <w:t xml:space="preserve"> </w:t>
      </w:r>
      <w:r w:rsidRPr="0007667A">
        <w:rPr>
          <w:rFonts w:ascii="Times New Roman" w:hAnsi="Times New Roman" w:cs="Times New Roman"/>
          <w:sz w:val="24"/>
          <w:szCs w:val="24"/>
        </w:rPr>
        <w:t>2013,</w:t>
      </w:r>
      <w:r>
        <w:rPr>
          <w:rFonts w:ascii="Times New Roman" w:hAnsi="Times New Roman" w:cs="Times New Roman"/>
          <w:sz w:val="24"/>
          <w:szCs w:val="24"/>
        </w:rPr>
        <w:t xml:space="preserve"> </w:t>
      </w:r>
      <w:r w:rsidRPr="0007667A">
        <w:rPr>
          <w:rFonts w:ascii="Times New Roman" w:hAnsi="Times New Roman" w:cs="Times New Roman"/>
          <w:sz w:val="24"/>
          <w:szCs w:val="24"/>
        </w:rPr>
        <w:t>637. Più in generale, sulla responsabilità civile, sul cui paradigma si è ricostruita la nozione di responsabilità dell’amministrazione per lesione dell’interesse legittimo</w:t>
      </w:r>
      <w:r>
        <w:rPr>
          <w:rFonts w:ascii="Times New Roman" w:hAnsi="Times New Roman" w:cs="Times New Roman"/>
          <w:sz w:val="24"/>
          <w:szCs w:val="24"/>
        </w:rPr>
        <w:t>,</w:t>
      </w:r>
      <w:r w:rsidRPr="0007667A">
        <w:rPr>
          <w:rFonts w:ascii="Times New Roman" w:hAnsi="Times New Roman" w:cs="Times New Roman"/>
          <w:sz w:val="24"/>
          <w:szCs w:val="24"/>
        </w:rPr>
        <w:t xml:space="preserve"> da ultimo nella trattatistica si vedano</w:t>
      </w:r>
      <w:r>
        <w:rPr>
          <w:rFonts w:ascii="Times New Roman" w:hAnsi="Times New Roman" w:cs="Times New Roman"/>
          <w:sz w:val="24"/>
          <w:szCs w:val="24"/>
        </w:rPr>
        <w:t>,</w:t>
      </w:r>
      <w:r w:rsidRPr="0007667A">
        <w:rPr>
          <w:rFonts w:ascii="Times New Roman" w:hAnsi="Times New Roman" w:cs="Times New Roman"/>
          <w:sz w:val="24"/>
          <w:szCs w:val="24"/>
        </w:rPr>
        <w:t xml:space="preserve"> tra gli altri</w:t>
      </w:r>
      <w:r>
        <w:rPr>
          <w:rFonts w:ascii="Times New Roman" w:hAnsi="Times New Roman" w:cs="Times New Roman"/>
          <w:sz w:val="24"/>
          <w:szCs w:val="24"/>
        </w:rPr>
        <w:t>,</w:t>
      </w:r>
      <w:r w:rsidRPr="0007667A">
        <w:rPr>
          <w:rFonts w:ascii="Times New Roman" w:hAnsi="Times New Roman" w:cs="Times New Roman"/>
          <w:sz w:val="24"/>
          <w:szCs w:val="24"/>
        </w:rPr>
        <w:t xml:space="preserve"> </w:t>
      </w:r>
      <w:r w:rsidRPr="0007667A">
        <w:rPr>
          <w:rFonts w:ascii="Times New Roman" w:hAnsi="Times New Roman" w:cs="Times New Roman"/>
          <w:smallCaps/>
          <w:sz w:val="24"/>
          <w:szCs w:val="24"/>
        </w:rPr>
        <w:t>C. Castronovo</w:t>
      </w:r>
      <w:r w:rsidRPr="0007667A">
        <w:rPr>
          <w:rFonts w:ascii="Times New Roman" w:hAnsi="Times New Roman" w:cs="Times New Roman"/>
          <w:sz w:val="24"/>
          <w:szCs w:val="24"/>
        </w:rPr>
        <w:t xml:space="preserve">, </w:t>
      </w:r>
      <w:r>
        <w:rPr>
          <w:rFonts w:ascii="Times New Roman" w:hAnsi="Times New Roman" w:cs="Times New Roman"/>
          <w:sz w:val="24"/>
          <w:szCs w:val="24"/>
        </w:rPr>
        <w:t>“</w:t>
      </w:r>
      <w:r w:rsidRPr="0007667A">
        <w:rPr>
          <w:rFonts w:ascii="Times New Roman" w:hAnsi="Times New Roman" w:cs="Times New Roman"/>
          <w:i/>
          <w:iCs/>
          <w:sz w:val="24"/>
          <w:szCs w:val="24"/>
        </w:rPr>
        <w:t>Responsabilità civile</w:t>
      </w:r>
      <w:r w:rsidRPr="00E01DF0">
        <w:rPr>
          <w:rFonts w:ascii="Times New Roman" w:hAnsi="Times New Roman" w:cs="Times New Roman"/>
          <w:sz w:val="24"/>
          <w:szCs w:val="24"/>
        </w:rPr>
        <w:t xml:space="preserve">”, </w:t>
      </w:r>
      <w:r w:rsidRPr="0007667A">
        <w:rPr>
          <w:rFonts w:ascii="Times New Roman" w:hAnsi="Times New Roman" w:cs="Times New Roman"/>
          <w:sz w:val="24"/>
          <w:szCs w:val="24"/>
        </w:rPr>
        <w:t>Milano</w:t>
      </w:r>
      <w:r>
        <w:rPr>
          <w:rFonts w:ascii="Times New Roman" w:hAnsi="Times New Roman" w:cs="Times New Roman"/>
          <w:sz w:val="24"/>
          <w:szCs w:val="24"/>
        </w:rPr>
        <w:t>,</w:t>
      </w:r>
      <w:r w:rsidRPr="0007667A">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07667A">
        <w:rPr>
          <w:rFonts w:ascii="Times New Roman" w:hAnsi="Times New Roman" w:cs="Times New Roman"/>
          <w:smallCaps/>
          <w:sz w:val="24"/>
          <w:szCs w:val="24"/>
        </w:rPr>
        <w:t>G. Alpa</w:t>
      </w:r>
      <w:r w:rsidRPr="0007667A">
        <w:rPr>
          <w:rFonts w:ascii="Times New Roman" w:hAnsi="Times New Roman" w:cs="Times New Roman"/>
          <w:sz w:val="24"/>
          <w:szCs w:val="24"/>
        </w:rPr>
        <w:t xml:space="preserve">, </w:t>
      </w:r>
      <w:r>
        <w:rPr>
          <w:rFonts w:ascii="Times New Roman" w:hAnsi="Times New Roman" w:cs="Times New Roman"/>
          <w:sz w:val="24"/>
          <w:szCs w:val="24"/>
        </w:rPr>
        <w:t>“</w:t>
      </w:r>
      <w:r w:rsidRPr="0007667A">
        <w:rPr>
          <w:rFonts w:ascii="Times New Roman" w:hAnsi="Times New Roman" w:cs="Times New Roman"/>
          <w:i/>
          <w:iCs/>
          <w:sz w:val="24"/>
          <w:szCs w:val="24"/>
        </w:rPr>
        <w:t>La responsabilità civile.</w:t>
      </w:r>
      <w:r>
        <w:rPr>
          <w:rFonts w:ascii="Times New Roman" w:hAnsi="Times New Roman" w:cs="Times New Roman"/>
          <w:i/>
          <w:iCs/>
          <w:sz w:val="24"/>
          <w:szCs w:val="24"/>
        </w:rPr>
        <w:t xml:space="preserve"> </w:t>
      </w:r>
      <w:r w:rsidRPr="0007667A">
        <w:rPr>
          <w:rFonts w:ascii="Times New Roman" w:hAnsi="Times New Roman" w:cs="Times New Roman"/>
          <w:i/>
          <w:iCs/>
          <w:sz w:val="24"/>
          <w:szCs w:val="24"/>
        </w:rPr>
        <w:t>Principi</w:t>
      </w:r>
      <w:r w:rsidRPr="00E01DF0">
        <w:rPr>
          <w:rFonts w:ascii="Times New Roman" w:hAnsi="Times New Roman" w:cs="Times New Roman"/>
          <w:sz w:val="24"/>
          <w:szCs w:val="24"/>
        </w:rPr>
        <w:t xml:space="preserve">”, </w:t>
      </w:r>
      <w:r w:rsidRPr="0007667A">
        <w:rPr>
          <w:rFonts w:ascii="Times New Roman" w:hAnsi="Times New Roman" w:cs="Times New Roman"/>
          <w:sz w:val="24"/>
          <w:szCs w:val="24"/>
        </w:rPr>
        <w:t>Milano,</w:t>
      </w:r>
      <w:r>
        <w:rPr>
          <w:rFonts w:ascii="Times New Roman" w:hAnsi="Times New Roman" w:cs="Times New Roman"/>
          <w:sz w:val="24"/>
          <w:szCs w:val="24"/>
        </w:rPr>
        <w:t xml:space="preserve"> </w:t>
      </w:r>
      <w:r w:rsidRPr="0007667A">
        <w:rPr>
          <w:rFonts w:ascii="Times New Roman" w:hAnsi="Times New Roman" w:cs="Times New Roman"/>
          <w:sz w:val="24"/>
          <w:szCs w:val="24"/>
        </w:rPr>
        <w:t xml:space="preserve">2018; </w:t>
      </w:r>
      <w:r w:rsidRPr="0007667A">
        <w:rPr>
          <w:rFonts w:ascii="Times New Roman" w:hAnsi="Times New Roman" w:cs="Times New Roman"/>
          <w:smallCaps/>
          <w:sz w:val="24"/>
          <w:szCs w:val="24"/>
        </w:rPr>
        <w:t xml:space="preserve">P. </w:t>
      </w:r>
      <w:proofErr w:type="spellStart"/>
      <w:r w:rsidRPr="0007667A">
        <w:rPr>
          <w:rFonts w:ascii="Times New Roman" w:hAnsi="Times New Roman" w:cs="Times New Roman"/>
          <w:smallCaps/>
          <w:sz w:val="24"/>
          <w:szCs w:val="24"/>
        </w:rPr>
        <w:t>Trimarchi</w:t>
      </w:r>
      <w:proofErr w:type="spellEnd"/>
      <w:r w:rsidRPr="0007667A">
        <w:rPr>
          <w:rFonts w:ascii="Times New Roman" w:hAnsi="Times New Roman" w:cs="Times New Roman"/>
          <w:sz w:val="24"/>
          <w:szCs w:val="24"/>
        </w:rPr>
        <w:t xml:space="preserve">, </w:t>
      </w:r>
      <w:r>
        <w:rPr>
          <w:rFonts w:ascii="Times New Roman" w:hAnsi="Times New Roman" w:cs="Times New Roman"/>
          <w:sz w:val="24"/>
          <w:szCs w:val="24"/>
        </w:rPr>
        <w:t>“</w:t>
      </w:r>
      <w:r w:rsidRPr="0007667A">
        <w:rPr>
          <w:rFonts w:ascii="Times New Roman" w:hAnsi="Times New Roman" w:cs="Times New Roman"/>
          <w:i/>
          <w:iCs/>
          <w:sz w:val="24"/>
          <w:szCs w:val="24"/>
        </w:rPr>
        <w:t>La responsabilità civile: atti illeciti, rischio, danno, responsabilità civile</w:t>
      </w:r>
      <w:r w:rsidRPr="00E01DF0">
        <w:rPr>
          <w:rFonts w:ascii="Times New Roman" w:hAnsi="Times New Roman" w:cs="Times New Roman"/>
          <w:sz w:val="24"/>
          <w:szCs w:val="24"/>
        </w:rPr>
        <w:t>”</w:t>
      </w:r>
      <w:r w:rsidR="00A3141C">
        <w:rPr>
          <w:rFonts w:ascii="Times New Roman" w:hAnsi="Times New Roman" w:cs="Times New Roman"/>
          <w:sz w:val="24"/>
          <w:szCs w:val="24"/>
        </w:rPr>
        <w:t>, 2021</w:t>
      </w:r>
      <w:r w:rsidRPr="00E01DF0">
        <w:rPr>
          <w:rFonts w:ascii="Times New Roman" w:hAnsi="Times New Roman" w:cs="Times New Roman"/>
          <w:sz w:val="24"/>
          <w:szCs w:val="24"/>
        </w:rPr>
        <w:t xml:space="preserve">; </w:t>
      </w:r>
      <w:r w:rsidRPr="0007667A">
        <w:rPr>
          <w:rFonts w:ascii="Times New Roman" w:hAnsi="Times New Roman" w:cs="Times New Roman"/>
          <w:smallCaps/>
          <w:sz w:val="24"/>
          <w:szCs w:val="24"/>
        </w:rPr>
        <w:t>A. Di Majo</w:t>
      </w:r>
      <w:r w:rsidRPr="0007667A">
        <w:rPr>
          <w:rFonts w:ascii="Times New Roman" w:hAnsi="Times New Roman" w:cs="Times New Roman"/>
          <w:sz w:val="24"/>
          <w:szCs w:val="24"/>
        </w:rPr>
        <w:t xml:space="preserve">, </w:t>
      </w:r>
      <w:r>
        <w:rPr>
          <w:rFonts w:ascii="Times New Roman" w:hAnsi="Times New Roman" w:cs="Times New Roman"/>
          <w:sz w:val="24"/>
          <w:szCs w:val="24"/>
        </w:rPr>
        <w:t>“</w:t>
      </w:r>
      <w:r w:rsidRPr="0007667A">
        <w:rPr>
          <w:rFonts w:ascii="Times New Roman" w:hAnsi="Times New Roman" w:cs="Times New Roman"/>
          <w:i/>
          <w:iCs/>
          <w:sz w:val="24"/>
          <w:szCs w:val="24"/>
        </w:rPr>
        <w:t>Profili della responsabilità civile</w:t>
      </w:r>
      <w:r w:rsidRPr="00E01DF0">
        <w:rPr>
          <w:rFonts w:ascii="Times New Roman" w:hAnsi="Times New Roman" w:cs="Times New Roman"/>
          <w:sz w:val="24"/>
          <w:szCs w:val="24"/>
        </w:rPr>
        <w:t>”,</w:t>
      </w:r>
      <w:r>
        <w:rPr>
          <w:rFonts w:ascii="Times New Roman" w:hAnsi="Times New Roman" w:cs="Times New Roman"/>
          <w:i/>
          <w:iCs/>
          <w:sz w:val="24"/>
          <w:szCs w:val="24"/>
        </w:rPr>
        <w:t xml:space="preserve"> </w:t>
      </w:r>
      <w:r w:rsidRPr="0007667A">
        <w:rPr>
          <w:rFonts w:ascii="Times New Roman" w:hAnsi="Times New Roman" w:cs="Times New Roman"/>
          <w:sz w:val="24"/>
          <w:szCs w:val="24"/>
        </w:rPr>
        <w:t>Torino</w:t>
      </w:r>
      <w:r>
        <w:rPr>
          <w:rFonts w:ascii="Times New Roman" w:hAnsi="Times New Roman" w:cs="Times New Roman"/>
          <w:sz w:val="24"/>
          <w:szCs w:val="24"/>
        </w:rPr>
        <w:t>,</w:t>
      </w:r>
      <w:r w:rsidRPr="0007667A">
        <w:rPr>
          <w:rFonts w:ascii="Times New Roman" w:hAnsi="Times New Roman" w:cs="Times New Roman"/>
          <w:sz w:val="24"/>
          <w:szCs w:val="24"/>
        </w:rPr>
        <w:t xml:space="preserve"> 2010; </w:t>
      </w:r>
      <w:r w:rsidRPr="0007667A">
        <w:rPr>
          <w:rFonts w:ascii="Times New Roman" w:hAnsi="Times New Roman" w:cs="Times New Roman"/>
          <w:smallCaps/>
          <w:sz w:val="24"/>
          <w:szCs w:val="24"/>
        </w:rPr>
        <w:t>P.</w:t>
      </w:r>
      <w:r w:rsidR="00775C69">
        <w:rPr>
          <w:rFonts w:ascii="Times New Roman" w:hAnsi="Times New Roman" w:cs="Times New Roman"/>
          <w:smallCaps/>
          <w:sz w:val="24"/>
          <w:szCs w:val="24"/>
        </w:rPr>
        <w:t xml:space="preserve"> </w:t>
      </w:r>
      <w:r w:rsidRPr="0007667A">
        <w:rPr>
          <w:rFonts w:ascii="Times New Roman" w:hAnsi="Times New Roman" w:cs="Times New Roman"/>
          <w:smallCaps/>
          <w:sz w:val="24"/>
          <w:szCs w:val="24"/>
        </w:rPr>
        <w:t xml:space="preserve">G. </w:t>
      </w:r>
      <w:proofErr w:type="spellStart"/>
      <w:r w:rsidRPr="0007667A">
        <w:rPr>
          <w:rFonts w:ascii="Times New Roman" w:hAnsi="Times New Roman" w:cs="Times New Roman"/>
          <w:smallCaps/>
          <w:sz w:val="24"/>
          <w:szCs w:val="24"/>
        </w:rPr>
        <w:t>Monateri</w:t>
      </w:r>
      <w:proofErr w:type="spellEnd"/>
      <w:r w:rsidRPr="0007667A">
        <w:rPr>
          <w:rFonts w:ascii="Times New Roman" w:hAnsi="Times New Roman" w:cs="Times New Roman"/>
          <w:sz w:val="24"/>
          <w:szCs w:val="24"/>
        </w:rPr>
        <w:t xml:space="preserve">, </w:t>
      </w:r>
      <w:r>
        <w:rPr>
          <w:rFonts w:ascii="Times New Roman" w:hAnsi="Times New Roman" w:cs="Times New Roman"/>
          <w:sz w:val="24"/>
          <w:szCs w:val="24"/>
        </w:rPr>
        <w:t>“</w:t>
      </w:r>
      <w:r w:rsidRPr="0007667A">
        <w:rPr>
          <w:rFonts w:ascii="Times New Roman" w:hAnsi="Times New Roman" w:cs="Times New Roman"/>
          <w:i/>
          <w:iCs/>
          <w:sz w:val="24"/>
          <w:szCs w:val="24"/>
        </w:rPr>
        <w:t>La responsabilità civile</w:t>
      </w:r>
      <w:r w:rsidRPr="00E01DF0">
        <w:rPr>
          <w:rFonts w:ascii="Times New Roman" w:hAnsi="Times New Roman" w:cs="Times New Roman"/>
          <w:sz w:val="24"/>
          <w:szCs w:val="24"/>
        </w:rPr>
        <w:t xml:space="preserve">”, </w:t>
      </w:r>
      <w:r w:rsidRPr="0007667A">
        <w:rPr>
          <w:rFonts w:ascii="Times New Roman" w:hAnsi="Times New Roman" w:cs="Times New Roman"/>
          <w:sz w:val="24"/>
          <w:szCs w:val="24"/>
        </w:rPr>
        <w:t>Torino</w:t>
      </w:r>
      <w:r>
        <w:rPr>
          <w:rFonts w:ascii="Times New Roman" w:hAnsi="Times New Roman" w:cs="Times New Roman"/>
          <w:sz w:val="24"/>
          <w:szCs w:val="24"/>
        </w:rPr>
        <w:t>,</w:t>
      </w:r>
      <w:r w:rsidRPr="0007667A">
        <w:rPr>
          <w:rFonts w:ascii="Times New Roman" w:hAnsi="Times New Roman" w:cs="Times New Roman"/>
          <w:sz w:val="24"/>
          <w:szCs w:val="24"/>
        </w:rPr>
        <w:t xml:space="preserve"> 2006</w:t>
      </w:r>
      <w:r>
        <w:rPr>
          <w:rFonts w:ascii="Times New Roman" w:hAnsi="Times New Roman" w:cs="Times New Roman"/>
          <w:sz w:val="24"/>
          <w:szCs w:val="24"/>
        </w:rPr>
        <w:t>.</w:t>
      </w:r>
    </w:p>
  </w:footnote>
  <w:footnote w:id="35">
    <w:p w14:paraId="5707122B" w14:textId="006A4DA8" w:rsidR="000463A6" w:rsidRPr="004E1E4C" w:rsidRDefault="000463A6" w:rsidP="004E1E4C">
      <w:pPr>
        <w:pStyle w:val="Testonotaapidipagina"/>
        <w:jc w:val="both"/>
        <w:rPr>
          <w:rFonts w:ascii="Times New Roman" w:hAnsi="Times New Roman" w:cs="Times New Roman"/>
          <w:sz w:val="24"/>
          <w:szCs w:val="24"/>
        </w:rPr>
      </w:pPr>
      <w:r w:rsidRPr="004E1E4C">
        <w:rPr>
          <w:rStyle w:val="Rimandonotaapidipagina"/>
          <w:rFonts w:ascii="Times New Roman" w:hAnsi="Times New Roman" w:cs="Times New Roman"/>
          <w:sz w:val="24"/>
          <w:szCs w:val="24"/>
        </w:rPr>
        <w:footnoteRef/>
      </w:r>
      <w:r w:rsidRPr="004E1E4C">
        <w:rPr>
          <w:rFonts w:ascii="Times New Roman" w:hAnsi="Times New Roman" w:cs="Times New Roman"/>
          <w:sz w:val="24"/>
          <w:szCs w:val="24"/>
        </w:rPr>
        <w:t xml:space="preserve"> Qui, al di là del modello di responsabilità accolto, e del conseguente regime giuridico, la questione centrale riguarda il profilo dell’imputazione della responsabilità in capo all’amministrazione, su cui la giurisprudenza pare avere assunto un orientamento che oscilla tra la sussistenza della c</w:t>
      </w:r>
      <w:r>
        <w:rPr>
          <w:rFonts w:ascii="Times New Roman" w:hAnsi="Times New Roman" w:cs="Times New Roman"/>
          <w:sz w:val="24"/>
          <w:szCs w:val="24"/>
        </w:rPr>
        <w:t>.</w:t>
      </w:r>
      <w:r w:rsidRPr="004E1E4C">
        <w:rPr>
          <w:rFonts w:ascii="Times New Roman" w:hAnsi="Times New Roman" w:cs="Times New Roman"/>
          <w:sz w:val="24"/>
          <w:szCs w:val="24"/>
        </w:rPr>
        <w:t>d.</w:t>
      </w:r>
      <w:r>
        <w:rPr>
          <w:rFonts w:ascii="Times New Roman" w:hAnsi="Times New Roman" w:cs="Times New Roman"/>
          <w:sz w:val="24"/>
          <w:szCs w:val="24"/>
        </w:rPr>
        <w:t xml:space="preserve"> </w:t>
      </w:r>
      <w:r w:rsidRPr="004E1E4C">
        <w:rPr>
          <w:rFonts w:ascii="Times New Roman" w:hAnsi="Times New Roman" w:cs="Times New Roman"/>
          <w:sz w:val="24"/>
          <w:szCs w:val="24"/>
        </w:rPr>
        <w:t xml:space="preserve">colpa d’apparato e la ricerca di un errore scusabile; </w:t>
      </w:r>
      <w:proofErr w:type="spellStart"/>
      <w:r w:rsidRPr="004E1E4C">
        <w:rPr>
          <w:rFonts w:ascii="Times New Roman" w:hAnsi="Times New Roman" w:cs="Times New Roman"/>
          <w:sz w:val="24"/>
          <w:szCs w:val="24"/>
        </w:rPr>
        <w:t>CdS</w:t>
      </w:r>
      <w:proofErr w:type="spellEnd"/>
      <w:r w:rsidRPr="004E1E4C">
        <w:rPr>
          <w:rFonts w:ascii="Times New Roman" w:hAnsi="Times New Roman" w:cs="Times New Roman"/>
          <w:sz w:val="24"/>
          <w:szCs w:val="24"/>
        </w:rPr>
        <w:t>, sez.</w:t>
      </w:r>
      <w:r>
        <w:rPr>
          <w:rFonts w:ascii="Times New Roman" w:hAnsi="Times New Roman" w:cs="Times New Roman"/>
          <w:sz w:val="24"/>
          <w:szCs w:val="24"/>
        </w:rPr>
        <w:t xml:space="preserve"> </w:t>
      </w:r>
      <w:r w:rsidRPr="004E1E4C">
        <w:rPr>
          <w:rFonts w:ascii="Times New Roman" w:hAnsi="Times New Roman" w:cs="Times New Roman"/>
          <w:sz w:val="24"/>
          <w:szCs w:val="24"/>
        </w:rPr>
        <w:t>V,</w:t>
      </w:r>
      <w:r>
        <w:rPr>
          <w:rFonts w:ascii="Times New Roman" w:hAnsi="Times New Roman" w:cs="Times New Roman"/>
          <w:sz w:val="24"/>
          <w:szCs w:val="24"/>
        </w:rPr>
        <w:t xml:space="preserve"> </w:t>
      </w:r>
      <w:r w:rsidRPr="004E1E4C">
        <w:rPr>
          <w:rFonts w:ascii="Times New Roman" w:hAnsi="Times New Roman" w:cs="Times New Roman"/>
          <w:sz w:val="24"/>
          <w:szCs w:val="24"/>
        </w:rPr>
        <w:t>20 agosto 2013</w:t>
      </w:r>
      <w:r>
        <w:rPr>
          <w:rFonts w:ascii="Times New Roman" w:hAnsi="Times New Roman" w:cs="Times New Roman"/>
          <w:sz w:val="24"/>
          <w:szCs w:val="24"/>
        </w:rPr>
        <w:t>,</w:t>
      </w:r>
      <w:r w:rsidRPr="004E1E4C">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4E1E4C">
        <w:rPr>
          <w:rFonts w:ascii="Times New Roman" w:hAnsi="Times New Roman" w:cs="Times New Roman"/>
          <w:sz w:val="24"/>
          <w:szCs w:val="24"/>
        </w:rPr>
        <w:t xml:space="preserve">4189, secondo cui </w:t>
      </w:r>
      <w:r>
        <w:rPr>
          <w:rFonts w:ascii="Times New Roman" w:hAnsi="Times New Roman" w:cs="Times New Roman"/>
          <w:sz w:val="24"/>
          <w:szCs w:val="24"/>
        </w:rPr>
        <w:t>«</w:t>
      </w:r>
      <w:r w:rsidRPr="004E1E4C">
        <w:rPr>
          <w:rFonts w:ascii="Times New Roman" w:hAnsi="Times New Roman" w:cs="Times New Roman"/>
          <w:i/>
          <w:iCs/>
          <w:sz w:val="24"/>
          <w:szCs w:val="24"/>
        </w:rPr>
        <w:t>l’imputazione alla p.a. di una responsabilità extracontrattuale non può avvenire sulla base del mero dato obiettivo dell’illegittimità dell’azione amministrativa, ma il giudice  deve svolgere una più penetrante indagine, non limitata al solo accertamento dell’illegittimità del provvedimento in relazione alla normativa ad esso applicabile, bensì estesa anche alla valutazione della colpa, non del funzionario agente e da riferire ai parametri della negligenza o imperizia, ma dell’Amministrazione intesa come apparato, che sarà configurabile nel caso in cui l’adozione e l’esecuzione dell’atto illegittimo e lesivo dell’interesse del danneggiato siano avvenute in violazione delle regole di imparzialità, di correttezza e di buona amministrazione alle quali l’esercizio della funzione amministrativa deve ispirarsi</w:t>
      </w:r>
      <w:r>
        <w:rPr>
          <w:rFonts w:ascii="Times New Roman" w:hAnsi="Times New Roman" w:cs="Times New Roman"/>
          <w:i/>
          <w:iCs/>
          <w:sz w:val="24"/>
          <w:szCs w:val="24"/>
        </w:rPr>
        <w:t>»</w:t>
      </w:r>
      <w:r w:rsidRPr="004E1E4C">
        <w:rPr>
          <w:rFonts w:ascii="Times New Roman" w:hAnsi="Times New Roman" w:cs="Times New Roman"/>
          <w:i/>
          <w:iCs/>
          <w:sz w:val="24"/>
          <w:szCs w:val="24"/>
        </w:rPr>
        <w:t xml:space="preserve">; </w:t>
      </w:r>
      <w:r w:rsidRPr="004E1E4C">
        <w:rPr>
          <w:rFonts w:ascii="Times New Roman" w:hAnsi="Times New Roman" w:cs="Times New Roman"/>
          <w:sz w:val="24"/>
          <w:szCs w:val="24"/>
        </w:rPr>
        <w:t xml:space="preserve">nonché </w:t>
      </w:r>
      <w:proofErr w:type="spellStart"/>
      <w:r w:rsidRPr="004E1E4C">
        <w:rPr>
          <w:rFonts w:ascii="Times New Roman" w:hAnsi="Times New Roman" w:cs="Times New Roman"/>
          <w:sz w:val="24"/>
          <w:szCs w:val="24"/>
        </w:rPr>
        <w:t>C</w:t>
      </w:r>
      <w:r>
        <w:rPr>
          <w:rFonts w:ascii="Times New Roman" w:hAnsi="Times New Roman" w:cs="Times New Roman"/>
          <w:sz w:val="24"/>
          <w:szCs w:val="24"/>
        </w:rPr>
        <w:t>d</w:t>
      </w:r>
      <w:r w:rsidRPr="004E1E4C">
        <w:rPr>
          <w:rFonts w:ascii="Times New Roman" w:hAnsi="Times New Roman" w:cs="Times New Roman"/>
          <w:sz w:val="24"/>
          <w:szCs w:val="24"/>
        </w:rPr>
        <w:t>S</w:t>
      </w:r>
      <w:proofErr w:type="spellEnd"/>
      <w:r w:rsidRPr="004E1E4C">
        <w:rPr>
          <w:rFonts w:ascii="Times New Roman" w:hAnsi="Times New Roman" w:cs="Times New Roman"/>
          <w:sz w:val="24"/>
          <w:szCs w:val="24"/>
        </w:rPr>
        <w:t>,</w:t>
      </w:r>
      <w:r>
        <w:rPr>
          <w:rFonts w:ascii="Times New Roman" w:hAnsi="Times New Roman" w:cs="Times New Roman"/>
          <w:sz w:val="24"/>
          <w:szCs w:val="24"/>
        </w:rPr>
        <w:t xml:space="preserve"> </w:t>
      </w:r>
      <w:r w:rsidRPr="004E1E4C">
        <w:rPr>
          <w:rFonts w:ascii="Times New Roman" w:hAnsi="Times New Roman" w:cs="Times New Roman"/>
          <w:sz w:val="24"/>
          <w:szCs w:val="24"/>
        </w:rPr>
        <w:t>sez.</w:t>
      </w:r>
      <w:r>
        <w:rPr>
          <w:rFonts w:ascii="Times New Roman" w:hAnsi="Times New Roman" w:cs="Times New Roman"/>
          <w:sz w:val="24"/>
          <w:szCs w:val="24"/>
        </w:rPr>
        <w:t xml:space="preserve"> </w:t>
      </w:r>
      <w:r w:rsidRPr="004E1E4C">
        <w:rPr>
          <w:rFonts w:ascii="Times New Roman" w:hAnsi="Times New Roman" w:cs="Times New Roman"/>
          <w:sz w:val="24"/>
          <w:szCs w:val="24"/>
        </w:rPr>
        <w:t>V, 18 gennaio 2016</w:t>
      </w:r>
      <w:r>
        <w:rPr>
          <w:rFonts w:ascii="Times New Roman" w:hAnsi="Times New Roman" w:cs="Times New Roman"/>
          <w:sz w:val="24"/>
          <w:szCs w:val="24"/>
        </w:rPr>
        <w:t>,</w:t>
      </w:r>
      <w:r w:rsidRPr="004E1E4C">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4E1E4C">
        <w:rPr>
          <w:rFonts w:ascii="Times New Roman" w:hAnsi="Times New Roman" w:cs="Times New Roman"/>
          <w:sz w:val="24"/>
          <w:szCs w:val="24"/>
        </w:rPr>
        <w:t>148</w:t>
      </w:r>
      <w:r>
        <w:rPr>
          <w:rFonts w:ascii="Times New Roman" w:hAnsi="Times New Roman" w:cs="Times New Roman"/>
          <w:sz w:val="24"/>
          <w:szCs w:val="24"/>
        </w:rPr>
        <w:t>,</w:t>
      </w:r>
      <w:r w:rsidRPr="004E1E4C">
        <w:rPr>
          <w:rFonts w:ascii="Times New Roman" w:hAnsi="Times New Roman" w:cs="Times New Roman"/>
          <w:sz w:val="24"/>
          <w:szCs w:val="24"/>
        </w:rPr>
        <w:t xml:space="preserve"> che afferma che </w:t>
      </w:r>
      <w:r>
        <w:rPr>
          <w:rFonts w:ascii="Times New Roman" w:hAnsi="Times New Roman" w:cs="Times New Roman"/>
          <w:sz w:val="24"/>
          <w:szCs w:val="24"/>
        </w:rPr>
        <w:t>«</w:t>
      </w:r>
      <w:r w:rsidRPr="004E1E4C">
        <w:rPr>
          <w:rFonts w:ascii="Times New Roman" w:hAnsi="Times New Roman" w:cs="Times New Roman"/>
          <w:i/>
          <w:iCs/>
          <w:sz w:val="24"/>
          <w:szCs w:val="24"/>
        </w:rPr>
        <w:t>ai fini della configurabilità della responsabilità della Pubblica Amministrazione devono ricorrere i presupposti del comportamento colposo, del danno ingiusto e del nesso di conseguenzialità tra i fatti; pertanto, l’imputazione della colpa alla Pubblica Amministrazione non può avvenire, sulla base del mero dato obiettivo dell’illegittimità dell’atto amministrativo e, comunque, essa va negata in particolare quando l’indagine conduca al riconoscimento dell’errore scusabile per la sussistenza di contrasti giudiziari, per l’incertezza del quadro normativo di riferimento o per la complessità della situazione di fatto</w:t>
      </w:r>
      <w:r>
        <w:rPr>
          <w:rFonts w:ascii="Times New Roman" w:hAnsi="Times New Roman" w:cs="Times New Roman"/>
          <w:i/>
          <w:iCs/>
          <w:sz w:val="24"/>
          <w:szCs w:val="24"/>
        </w:rPr>
        <w:t>»</w:t>
      </w:r>
      <w:r w:rsidRPr="004E1E4C">
        <w:rPr>
          <w:rFonts w:ascii="Times New Roman" w:hAnsi="Times New Roman" w:cs="Times New Roman"/>
          <w:i/>
          <w:iCs/>
          <w:sz w:val="24"/>
          <w:szCs w:val="24"/>
        </w:rPr>
        <w:t>.</w:t>
      </w:r>
    </w:p>
  </w:footnote>
  <w:footnote w:id="36">
    <w:p w14:paraId="04322E72" w14:textId="1CCACB1F" w:rsidR="000463A6" w:rsidRPr="00DA15B2" w:rsidRDefault="000463A6" w:rsidP="00DA15B2">
      <w:pPr>
        <w:pStyle w:val="Testonotaapidipagina"/>
        <w:jc w:val="both"/>
        <w:rPr>
          <w:rFonts w:ascii="Times New Roman" w:hAnsi="Times New Roman" w:cs="Times New Roman"/>
          <w:sz w:val="24"/>
          <w:szCs w:val="24"/>
        </w:rPr>
      </w:pPr>
      <w:r w:rsidRPr="00DA15B2">
        <w:rPr>
          <w:rStyle w:val="Rimandonotaapidipagina"/>
          <w:rFonts w:ascii="Times New Roman" w:hAnsi="Times New Roman" w:cs="Times New Roman"/>
          <w:sz w:val="24"/>
          <w:szCs w:val="24"/>
        </w:rPr>
        <w:footnoteRef/>
      </w:r>
      <w:r w:rsidRPr="00DA15B2">
        <w:rPr>
          <w:rFonts w:ascii="Times New Roman" w:hAnsi="Times New Roman" w:cs="Times New Roman"/>
          <w:sz w:val="24"/>
          <w:szCs w:val="24"/>
        </w:rPr>
        <w:t xml:space="preserve"> </w:t>
      </w:r>
      <w:r w:rsidRPr="00DA15B2">
        <w:rPr>
          <w:rFonts w:ascii="Times New Roman" w:hAnsi="Times New Roman" w:cs="Times New Roman"/>
          <w:smallCaps/>
          <w:sz w:val="24"/>
          <w:szCs w:val="24"/>
        </w:rPr>
        <w:t>J</w:t>
      </w:r>
      <w:r>
        <w:rPr>
          <w:rFonts w:ascii="Times New Roman" w:hAnsi="Times New Roman" w:cs="Times New Roman"/>
          <w:smallCaps/>
          <w:sz w:val="24"/>
          <w:szCs w:val="24"/>
        </w:rPr>
        <w:t>.</w:t>
      </w:r>
      <w:r w:rsidRPr="00DA15B2">
        <w:rPr>
          <w:rFonts w:ascii="Times New Roman" w:hAnsi="Times New Roman" w:cs="Times New Roman"/>
          <w:smallCaps/>
          <w:sz w:val="24"/>
          <w:szCs w:val="24"/>
        </w:rPr>
        <w:t xml:space="preserve"> M. </w:t>
      </w:r>
      <w:proofErr w:type="spellStart"/>
      <w:r w:rsidRPr="00DA15B2">
        <w:rPr>
          <w:rFonts w:ascii="Times New Roman" w:hAnsi="Times New Roman" w:cs="Times New Roman"/>
          <w:smallCaps/>
          <w:sz w:val="24"/>
          <w:szCs w:val="24"/>
        </w:rPr>
        <w:t>Balkin</w:t>
      </w:r>
      <w:proofErr w:type="spellEnd"/>
      <w:r w:rsidRPr="00DA15B2">
        <w:rPr>
          <w:rFonts w:ascii="Times New Roman" w:hAnsi="Times New Roman" w:cs="Times New Roman"/>
          <w:i/>
          <w:iCs/>
          <w:sz w:val="24"/>
          <w:szCs w:val="24"/>
        </w:rPr>
        <w:t xml:space="preserve">, “Information </w:t>
      </w:r>
      <w:proofErr w:type="spellStart"/>
      <w:r w:rsidRPr="00DA15B2">
        <w:rPr>
          <w:rFonts w:ascii="Times New Roman" w:hAnsi="Times New Roman" w:cs="Times New Roman"/>
          <w:i/>
          <w:iCs/>
          <w:sz w:val="24"/>
          <w:szCs w:val="24"/>
        </w:rPr>
        <w:t>Fiduciaries</w:t>
      </w:r>
      <w:proofErr w:type="spellEnd"/>
      <w:r w:rsidRPr="00DA15B2">
        <w:rPr>
          <w:rFonts w:ascii="Times New Roman" w:hAnsi="Times New Roman" w:cs="Times New Roman"/>
          <w:i/>
          <w:iCs/>
          <w:sz w:val="24"/>
          <w:szCs w:val="24"/>
        </w:rPr>
        <w:t xml:space="preserve"> and the First </w:t>
      </w:r>
      <w:proofErr w:type="spellStart"/>
      <w:r w:rsidRPr="00DA15B2">
        <w:rPr>
          <w:rFonts w:ascii="Times New Roman" w:hAnsi="Times New Roman" w:cs="Times New Roman"/>
          <w:i/>
          <w:iCs/>
          <w:sz w:val="24"/>
          <w:szCs w:val="24"/>
        </w:rPr>
        <w:t>Amendament</w:t>
      </w:r>
      <w:proofErr w:type="spellEnd"/>
      <w:r w:rsidRPr="004667AC">
        <w:rPr>
          <w:rFonts w:ascii="Times New Roman" w:hAnsi="Times New Roman" w:cs="Times New Roman"/>
          <w:sz w:val="24"/>
          <w:szCs w:val="24"/>
        </w:rPr>
        <w:t xml:space="preserve">”, </w:t>
      </w:r>
      <w:r w:rsidRPr="00DA15B2">
        <w:rPr>
          <w:rFonts w:ascii="Times New Roman" w:hAnsi="Times New Roman" w:cs="Times New Roman"/>
          <w:sz w:val="24"/>
          <w:szCs w:val="24"/>
        </w:rPr>
        <w:t xml:space="preserve">49 U.C Davis L.REV.1183 (2015); per una recente ricognizione del tema degli obblighi fiduciari in prospettiva comparatistica, si rinvia a </w:t>
      </w:r>
      <w:r w:rsidRPr="00DA15B2">
        <w:rPr>
          <w:rFonts w:ascii="Times New Roman" w:hAnsi="Times New Roman" w:cs="Times New Roman"/>
          <w:smallCaps/>
          <w:sz w:val="24"/>
          <w:szCs w:val="24"/>
        </w:rPr>
        <w:t>E</w:t>
      </w:r>
      <w:r>
        <w:rPr>
          <w:rFonts w:ascii="Times New Roman" w:hAnsi="Times New Roman" w:cs="Times New Roman"/>
          <w:smallCaps/>
          <w:sz w:val="24"/>
          <w:szCs w:val="24"/>
        </w:rPr>
        <w:t>.</w:t>
      </w:r>
      <w:r w:rsidRPr="00DA15B2">
        <w:rPr>
          <w:rFonts w:ascii="Times New Roman" w:hAnsi="Times New Roman" w:cs="Times New Roman"/>
          <w:smallCaps/>
          <w:sz w:val="24"/>
          <w:szCs w:val="24"/>
        </w:rPr>
        <w:t xml:space="preserve"> J. </w:t>
      </w:r>
      <w:proofErr w:type="spellStart"/>
      <w:r w:rsidRPr="00DA15B2">
        <w:rPr>
          <w:rFonts w:ascii="Times New Roman" w:hAnsi="Times New Roman" w:cs="Times New Roman"/>
          <w:smallCaps/>
          <w:sz w:val="24"/>
          <w:szCs w:val="24"/>
        </w:rPr>
        <w:t>Criddle</w:t>
      </w:r>
      <w:proofErr w:type="spellEnd"/>
      <w:r w:rsidRPr="00DA15B2">
        <w:rPr>
          <w:rFonts w:ascii="Times New Roman" w:hAnsi="Times New Roman" w:cs="Times New Roman"/>
          <w:smallCaps/>
          <w:sz w:val="24"/>
          <w:szCs w:val="24"/>
        </w:rPr>
        <w:t>, P</w:t>
      </w:r>
      <w:r>
        <w:rPr>
          <w:rFonts w:ascii="Times New Roman" w:hAnsi="Times New Roman" w:cs="Times New Roman"/>
          <w:smallCaps/>
          <w:sz w:val="24"/>
          <w:szCs w:val="24"/>
        </w:rPr>
        <w:t>.</w:t>
      </w:r>
      <w:r w:rsidRPr="00DA15B2">
        <w:rPr>
          <w:rFonts w:ascii="Times New Roman" w:hAnsi="Times New Roman" w:cs="Times New Roman"/>
          <w:smallCaps/>
          <w:sz w:val="24"/>
          <w:szCs w:val="24"/>
        </w:rPr>
        <w:t xml:space="preserve"> B. Miller &amp; R</w:t>
      </w:r>
      <w:r>
        <w:rPr>
          <w:rFonts w:ascii="Times New Roman" w:hAnsi="Times New Roman" w:cs="Times New Roman"/>
          <w:smallCaps/>
          <w:sz w:val="24"/>
          <w:szCs w:val="24"/>
        </w:rPr>
        <w:t>.</w:t>
      </w:r>
      <w:r w:rsidRPr="00DA15B2">
        <w:rPr>
          <w:rFonts w:ascii="Times New Roman" w:hAnsi="Times New Roman" w:cs="Times New Roman"/>
          <w:smallCaps/>
          <w:sz w:val="24"/>
          <w:szCs w:val="24"/>
        </w:rPr>
        <w:t xml:space="preserve"> H. </w:t>
      </w:r>
      <w:proofErr w:type="spellStart"/>
      <w:r w:rsidRPr="00DA15B2">
        <w:rPr>
          <w:rFonts w:ascii="Times New Roman" w:hAnsi="Times New Roman" w:cs="Times New Roman"/>
          <w:smallCaps/>
          <w:sz w:val="24"/>
          <w:szCs w:val="24"/>
        </w:rPr>
        <w:t>Sitkoff</w:t>
      </w:r>
      <w:proofErr w:type="spellEnd"/>
      <w:r w:rsidRPr="00DA15B2">
        <w:rPr>
          <w:rFonts w:ascii="Times New Roman" w:hAnsi="Times New Roman" w:cs="Times New Roman"/>
          <w:smallCaps/>
          <w:sz w:val="24"/>
          <w:szCs w:val="24"/>
        </w:rPr>
        <w:t>,</w:t>
      </w:r>
      <w:r w:rsidRPr="00DA15B2">
        <w:rPr>
          <w:rFonts w:ascii="Times New Roman" w:hAnsi="Times New Roman" w:cs="Times New Roman"/>
          <w:sz w:val="24"/>
          <w:szCs w:val="24"/>
        </w:rPr>
        <w:t xml:space="preserve"> “</w:t>
      </w:r>
      <w:r w:rsidRPr="00DA15B2">
        <w:rPr>
          <w:rFonts w:ascii="Times New Roman" w:hAnsi="Times New Roman" w:cs="Times New Roman"/>
          <w:i/>
          <w:iCs/>
          <w:sz w:val="24"/>
          <w:szCs w:val="24"/>
        </w:rPr>
        <w:t xml:space="preserve">Oxford </w:t>
      </w:r>
      <w:proofErr w:type="spellStart"/>
      <w:r w:rsidRPr="00DA15B2">
        <w:rPr>
          <w:rFonts w:ascii="Times New Roman" w:hAnsi="Times New Roman" w:cs="Times New Roman"/>
          <w:i/>
          <w:iCs/>
          <w:sz w:val="24"/>
          <w:szCs w:val="24"/>
        </w:rPr>
        <w:t>Handbook</w:t>
      </w:r>
      <w:proofErr w:type="spellEnd"/>
      <w:r w:rsidRPr="00DA15B2">
        <w:rPr>
          <w:rFonts w:ascii="Times New Roman" w:hAnsi="Times New Roman" w:cs="Times New Roman"/>
          <w:i/>
          <w:iCs/>
          <w:sz w:val="24"/>
          <w:szCs w:val="24"/>
        </w:rPr>
        <w:t xml:space="preserve"> of </w:t>
      </w:r>
      <w:proofErr w:type="spellStart"/>
      <w:r w:rsidRPr="00DA15B2">
        <w:rPr>
          <w:rFonts w:ascii="Times New Roman" w:hAnsi="Times New Roman" w:cs="Times New Roman"/>
          <w:i/>
          <w:iCs/>
          <w:sz w:val="24"/>
          <w:szCs w:val="24"/>
        </w:rPr>
        <w:t>Fiduciary</w:t>
      </w:r>
      <w:proofErr w:type="spellEnd"/>
      <w:r w:rsidRPr="00DA15B2">
        <w:rPr>
          <w:rFonts w:ascii="Times New Roman" w:hAnsi="Times New Roman" w:cs="Times New Roman"/>
          <w:i/>
          <w:iCs/>
          <w:sz w:val="24"/>
          <w:szCs w:val="24"/>
        </w:rPr>
        <w:t xml:space="preserve"> Law</w:t>
      </w:r>
      <w:r w:rsidRPr="004667AC">
        <w:rPr>
          <w:rFonts w:ascii="Times New Roman" w:hAnsi="Times New Roman" w:cs="Times New Roman"/>
          <w:sz w:val="24"/>
          <w:szCs w:val="24"/>
        </w:rPr>
        <w:t xml:space="preserve">”, </w:t>
      </w:r>
      <w:r w:rsidRPr="00DA15B2">
        <w:rPr>
          <w:rFonts w:ascii="Times New Roman" w:hAnsi="Times New Roman" w:cs="Times New Roman"/>
          <w:sz w:val="24"/>
          <w:szCs w:val="24"/>
        </w:rPr>
        <w:t>Oxford</w:t>
      </w:r>
      <w:r>
        <w:rPr>
          <w:rFonts w:ascii="Times New Roman" w:hAnsi="Times New Roman" w:cs="Times New Roman"/>
          <w:sz w:val="24"/>
          <w:szCs w:val="24"/>
        </w:rPr>
        <w:t>,</w:t>
      </w:r>
      <w:r w:rsidRPr="00DA15B2">
        <w:rPr>
          <w:rFonts w:ascii="Times New Roman" w:hAnsi="Times New Roman" w:cs="Times New Roman"/>
          <w:sz w:val="24"/>
          <w:szCs w:val="24"/>
        </w:rPr>
        <w:t xml:space="preserve"> 2018.</w:t>
      </w:r>
    </w:p>
  </w:footnote>
  <w:footnote w:id="37">
    <w:p w14:paraId="2CBEAC18" w14:textId="0931E966" w:rsidR="000463A6" w:rsidRDefault="000463A6" w:rsidP="00DA15B2">
      <w:pPr>
        <w:pStyle w:val="Testonotaapidipagina"/>
        <w:jc w:val="both"/>
      </w:pPr>
      <w:r w:rsidRPr="00DA15B2">
        <w:rPr>
          <w:rStyle w:val="Rimandonotaapidipagina"/>
          <w:rFonts w:ascii="Times New Roman" w:hAnsi="Times New Roman" w:cs="Times New Roman"/>
          <w:sz w:val="24"/>
          <w:szCs w:val="24"/>
        </w:rPr>
        <w:footnoteRef/>
      </w:r>
      <w:r w:rsidRPr="00DA15B2">
        <w:rPr>
          <w:rFonts w:ascii="Times New Roman" w:hAnsi="Times New Roman" w:cs="Times New Roman"/>
          <w:sz w:val="24"/>
          <w:szCs w:val="24"/>
          <w:lang w:val="en-US"/>
        </w:rPr>
        <w:t xml:space="preserve"> </w:t>
      </w:r>
      <w:r w:rsidRPr="00DA15B2">
        <w:rPr>
          <w:rFonts w:ascii="Times New Roman" w:hAnsi="Times New Roman" w:cs="Times New Roman"/>
          <w:smallCaps/>
          <w:sz w:val="24"/>
          <w:szCs w:val="24"/>
          <w:lang w:val="en-US"/>
        </w:rPr>
        <w:t>S</w:t>
      </w:r>
      <w:r>
        <w:rPr>
          <w:rFonts w:ascii="Times New Roman" w:hAnsi="Times New Roman" w:cs="Times New Roman"/>
          <w:smallCaps/>
          <w:sz w:val="24"/>
          <w:szCs w:val="24"/>
          <w:lang w:val="en-US"/>
        </w:rPr>
        <w:t>.</w:t>
      </w:r>
      <w:r w:rsidRPr="00DA15B2">
        <w:rPr>
          <w:rFonts w:ascii="Times New Roman" w:hAnsi="Times New Roman" w:cs="Times New Roman"/>
          <w:smallCaps/>
          <w:sz w:val="24"/>
          <w:szCs w:val="24"/>
          <w:lang w:val="en-US"/>
        </w:rPr>
        <w:t xml:space="preserve"> </w:t>
      </w:r>
      <w:proofErr w:type="spellStart"/>
      <w:r w:rsidRPr="00DA15B2">
        <w:rPr>
          <w:rFonts w:ascii="Times New Roman" w:hAnsi="Times New Roman" w:cs="Times New Roman"/>
          <w:smallCaps/>
          <w:sz w:val="24"/>
          <w:szCs w:val="24"/>
          <w:lang w:val="en-US"/>
        </w:rPr>
        <w:t>Barocas</w:t>
      </w:r>
      <w:proofErr w:type="spellEnd"/>
      <w:r w:rsidRPr="00DA15B2">
        <w:rPr>
          <w:rFonts w:ascii="Times New Roman" w:hAnsi="Times New Roman" w:cs="Times New Roman"/>
          <w:sz w:val="24"/>
          <w:szCs w:val="24"/>
          <w:lang w:val="en-US"/>
        </w:rPr>
        <w:t>, “</w:t>
      </w:r>
      <w:r w:rsidRPr="00DA15B2">
        <w:rPr>
          <w:rFonts w:ascii="Times New Roman" w:hAnsi="Times New Roman" w:cs="Times New Roman"/>
          <w:i/>
          <w:iCs/>
          <w:sz w:val="24"/>
          <w:szCs w:val="24"/>
          <w:lang w:val="en-US"/>
        </w:rPr>
        <w:t>Accountable Algorithms</w:t>
      </w:r>
      <w:r w:rsidRPr="004667AC">
        <w:rPr>
          <w:rFonts w:ascii="Times New Roman" w:hAnsi="Times New Roman" w:cs="Times New Roman"/>
          <w:sz w:val="24"/>
          <w:szCs w:val="24"/>
          <w:lang w:val="en-US"/>
        </w:rPr>
        <w:t>”,</w:t>
      </w:r>
      <w:r w:rsidRPr="00DA15B2">
        <w:rPr>
          <w:rFonts w:ascii="Times New Roman" w:hAnsi="Times New Roman" w:cs="Times New Roman"/>
          <w:sz w:val="24"/>
          <w:szCs w:val="24"/>
          <w:lang w:val="en-US"/>
        </w:rPr>
        <w:t xml:space="preserve">165 U.PA.L.REV. 633 (2017). </w:t>
      </w:r>
      <w:r w:rsidRPr="00DA15B2">
        <w:rPr>
          <w:rFonts w:ascii="Times New Roman" w:hAnsi="Times New Roman" w:cs="Times New Roman"/>
          <w:sz w:val="24"/>
          <w:szCs w:val="24"/>
        </w:rPr>
        <w:t>Con ciò sfruttando il codice sorgente e l’architettura della rete come strumenti per governare la sfera digitale</w:t>
      </w:r>
      <w:r>
        <w:rPr>
          <w:rFonts w:ascii="Times New Roman" w:hAnsi="Times New Roman" w:cs="Times New Roman"/>
          <w:sz w:val="24"/>
          <w:szCs w:val="24"/>
        </w:rPr>
        <w:t xml:space="preserve"> </w:t>
      </w:r>
      <w:r w:rsidRPr="00DA15B2">
        <w:rPr>
          <w:rFonts w:ascii="Times New Roman" w:hAnsi="Times New Roman" w:cs="Times New Roman"/>
          <w:sz w:val="24"/>
          <w:szCs w:val="24"/>
        </w:rPr>
        <w:t xml:space="preserve">(il riferimento è a </w:t>
      </w:r>
      <w:r w:rsidRPr="00DA15B2">
        <w:rPr>
          <w:rFonts w:ascii="Times New Roman" w:hAnsi="Times New Roman" w:cs="Times New Roman"/>
          <w:smallCaps/>
          <w:sz w:val="24"/>
          <w:szCs w:val="24"/>
        </w:rPr>
        <w:t xml:space="preserve">L. </w:t>
      </w:r>
      <w:proofErr w:type="spellStart"/>
      <w:r w:rsidRPr="00DA15B2">
        <w:rPr>
          <w:rFonts w:ascii="Times New Roman" w:hAnsi="Times New Roman" w:cs="Times New Roman"/>
          <w:smallCaps/>
          <w:sz w:val="24"/>
          <w:szCs w:val="24"/>
        </w:rPr>
        <w:t>Lessig</w:t>
      </w:r>
      <w:proofErr w:type="spellEnd"/>
      <w:r w:rsidRPr="00DA15B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DA15B2">
        <w:rPr>
          <w:rFonts w:ascii="Times New Roman" w:hAnsi="Times New Roman" w:cs="Times New Roman"/>
          <w:i/>
          <w:iCs/>
          <w:sz w:val="24"/>
          <w:szCs w:val="24"/>
        </w:rPr>
        <w:t>Code.Version</w:t>
      </w:r>
      <w:proofErr w:type="spellEnd"/>
      <w:r w:rsidRPr="00DA15B2">
        <w:rPr>
          <w:rFonts w:ascii="Times New Roman" w:hAnsi="Times New Roman" w:cs="Times New Roman"/>
          <w:i/>
          <w:iCs/>
          <w:sz w:val="24"/>
          <w:szCs w:val="24"/>
        </w:rPr>
        <w:t xml:space="preserve"> 2.0</w:t>
      </w:r>
      <w:r w:rsidRPr="004667AC">
        <w:rPr>
          <w:rFonts w:ascii="Times New Roman" w:hAnsi="Times New Roman" w:cs="Times New Roman"/>
          <w:sz w:val="24"/>
          <w:szCs w:val="24"/>
        </w:rPr>
        <w:t>”</w:t>
      </w:r>
      <w:r w:rsidRPr="00DA15B2">
        <w:rPr>
          <w:rFonts w:ascii="Times New Roman" w:hAnsi="Times New Roman" w:cs="Times New Roman"/>
          <w:i/>
          <w:iCs/>
          <w:sz w:val="24"/>
          <w:szCs w:val="24"/>
        </w:rPr>
        <w:t>,</w:t>
      </w:r>
      <w:r>
        <w:rPr>
          <w:rFonts w:ascii="Times New Roman" w:hAnsi="Times New Roman" w:cs="Times New Roman"/>
          <w:i/>
          <w:iCs/>
          <w:sz w:val="24"/>
          <w:szCs w:val="24"/>
        </w:rPr>
        <w:t xml:space="preserve"> </w:t>
      </w:r>
      <w:r w:rsidRPr="00DA15B2">
        <w:rPr>
          <w:rFonts w:ascii="Times New Roman" w:hAnsi="Times New Roman" w:cs="Times New Roman"/>
          <w:sz w:val="24"/>
          <w:szCs w:val="24"/>
        </w:rPr>
        <w:t>New York,</w:t>
      </w:r>
      <w:r>
        <w:rPr>
          <w:rFonts w:ascii="Times New Roman" w:hAnsi="Times New Roman" w:cs="Times New Roman"/>
          <w:sz w:val="24"/>
          <w:szCs w:val="24"/>
        </w:rPr>
        <w:t xml:space="preserve"> </w:t>
      </w:r>
      <w:r w:rsidRPr="00DA15B2">
        <w:rPr>
          <w:rFonts w:ascii="Times New Roman" w:hAnsi="Times New Roman" w:cs="Times New Roman"/>
          <w:sz w:val="24"/>
          <w:szCs w:val="24"/>
        </w:rPr>
        <w:t>2006</w:t>
      </w:r>
      <w:r>
        <w:rPr>
          <w:rFonts w:ascii="Times New Roman" w:hAnsi="Times New Roman" w:cs="Times New Roman"/>
          <w:sz w:val="24"/>
          <w:szCs w:val="24"/>
        </w:rPr>
        <w:t>)</w:t>
      </w:r>
      <w:r w:rsidRPr="00DA15B2">
        <w:rPr>
          <w:rFonts w:ascii="Times New Roman" w:hAnsi="Times New Roman" w:cs="Times New Roman"/>
          <w:sz w:val="24"/>
          <w:szCs w:val="24"/>
        </w:rPr>
        <w:t>.</w:t>
      </w:r>
      <w:r>
        <w:rPr>
          <w:rFonts w:ascii="Times New Roman" w:hAnsi="Times New Roman" w:cs="Times New Roman"/>
          <w:sz w:val="24"/>
          <w:szCs w:val="24"/>
        </w:rPr>
        <w:t xml:space="preserve"> </w:t>
      </w:r>
      <w:r w:rsidRPr="00DA15B2">
        <w:rPr>
          <w:rFonts w:ascii="Times New Roman" w:hAnsi="Times New Roman" w:cs="Times New Roman"/>
          <w:sz w:val="24"/>
          <w:szCs w:val="24"/>
        </w:rPr>
        <w:t xml:space="preserve">Rimane ovviamente la difficoltà di definire tali valori e principi e di tradurli in comandi eseguibili dalle macchine. Vedi </w:t>
      </w:r>
      <w:r w:rsidRPr="00DA15B2">
        <w:rPr>
          <w:rFonts w:ascii="Times New Roman" w:hAnsi="Times New Roman" w:cs="Times New Roman"/>
          <w:smallCaps/>
          <w:sz w:val="24"/>
          <w:szCs w:val="24"/>
        </w:rPr>
        <w:t>J</w:t>
      </w:r>
      <w:r>
        <w:rPr>
          <w:rFonts w:ascii="Times New Roman" w:hAnsi="Times New Roman" w:cs="Times New Roman"/>
          <w:smallCaps/>
          <w:sz w:val="24"/>
          <w:szCs w:val="24"/>
        </w:rPr>
        <w:t>.</w:t>
      </w:r>
      <w:r w:rsidRPr="00DA15B2">
        <w:rPr>
          <w:rFonts w:ascii="Times New Roman" w:hAnsi="Times New Roman" w:cs="Times New Roman"/>
          <w:smallCaps/>
          <w:sz w:val="24"/>
          <w:szCs w:val="24"/>
        </w:rPr>
        <w:t xml:space="preserve"> </w:t>
      </w:r>
      <w:proofErr w:type="spellStart"/>
      <w:r w:rsidRPr="00DA15B2">
        <w:rPr>
          <w:rFonts w:ascii="Times New Roman" w:hAnsi="Times New Roman" w:cs="Times New Roman"/>
          <w:smallCaps/>
          <w:sz w:val="24"/>
          <w:szCs w:val="24"/>
        </w:rPr>
        <w:t>Kroll</w:t>
      </w:r>
      <w:proofErr w:type="spellEnd"/>
      <w:r w:rsidRPr="00DA15B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DA15B2">
        <w:rPr>
          <w:rFonts w:ascii="Times New Roman" w:hAnsi="Times New Roman" w:cs="Times New Roman"/>
          <w:i/>
          <w:iCs/>
          <w:sz w:val="24"/>
          <w:szCs w:val="24"/>
        </w:rPr>
        <w:t>Accountable</w:t>
      </w:r>
      <w:proofErr w:type="spellEnd"/>
      <w:r w:rsidRPr="00DA15B2">
        <w:rPr>
          <w:rFonts w:ascii="Times New Roman" w:hAnsi="Times New Roman" w:cs="Times New Roman"/>
          <w:i/>
          <w:iCs/>
          <w:sz w:val="24"/>
          <w:szCs w:val="24"/>
        </w:rPr>
        <w:t xml:space="preserve"> </w:t>
      </w:r>
      <w:proofErr w:type="spellStart"/>
      <w:r w:rsidRPr="00DA15B2">
        <w:rPr>
          <w:rFonts w:ascii="Times New Roman" w:hAnsi="Times New Roman" w:cs="Times New Roman"/>
          <w:i/>
          <w:iCs/>
          <w:sz w:val="24"/>
          <w:szCs w:val="24"/>
        </w:rPr>
        <w:t>Algorithms</w:t>
      </w:r>
      <w:proofErr w:type="spellEnd"/>
      <w:r w:rsidRPr="004667AC">
        <w:rPr>
          <w:rFonts w:ascii="Times New Roman" w:hAnsi="Times New Roman" w:cs="Times New Roman"/>
          <w:sz w:val="24"/>
          <w:szCs w:val="24"/>
        </w:rPr>
        <w:t>”,</w:t>
      </w:r>
      <w:r w:rsidRPr="00DA15B2">
        <w:rPr>
          <w:rFonts w:ascii="Times New Roman" w:hAnsi="Times New Roman" w:cs="Times New Roman"/>
          <w:sz w:val="24"/>
          <w:szCs w:val="24"/>
        </w:rPr>
        <w:t xml:space="preserve"> 165 </w:t>
      </w:r>
      <w:proofErr w:type="spellStart"/>
      <w:r w:rsidRPr="00DA15B2">
        <w:rPr>
          <w:rFonts w:ascii="Times New Roman" w:hAnsi="Times New Roman" w:cs="Times New Roman"/>
          <w:sz w:val="24"/>
          <w:szCs w:val="24"/>
        </w:rPr>
        <w:t>Univ.Penn.L.Rev</w:t>
      </w:r>
      <w:proofErr w:type="spellEnd"/>
      <w:r w:rsidRPr="00DA15B2">
        <w:rPr>
          <w:rFonts w:ascii="Times New Roman" w:hAnsi="Times New Roman" w:cs="Times New Roman"/>
          <w:sz w:val="24"/>
          <w:szCs w:val="24"/>
        </w:rPr>
        <w:t>.</w:t>
      </w:r>
      <w:r>
        <w:rPr>
          <w:rFonts w:ascii="Times New Roman" w:hAnsi="Times New Roman" w:cs="Times New Roman"/>
          <w:sz w:val="24"/>
          <w:szCs w:val="24"/>
        </w:rPr>
        <w:t xml:space="preserve"> </w:t>
      </w:r>
      <w:r w:rsidRPr="00DA15B2">
        <w:rPr>
          <w:rFonts w:ascii="Times New Roman" w:hAnsi="Times New Roman" w:cs="Times New Roman"/>
          <w:sz w:val="24"/>
          <w:szCs w:val="24"/>
        </w:rPr>
        <w:t>2017.</w:t>
      </w:r>
    </w:p>
  </w:footnote>
  <w:footnote w:id="38">
    <w:p w14:paraId="67818937" w14:textId="5BC5F4A8" w:rsidR="000463A6" w:rsidRPr="00B6786B" w:rsidRDefault="000463A6" w:rsidP="00B6786B">
      <w:pPr>
        <w:pStyle w:val="Testonotaapidipagina"/>
        <w:jc w:val="both"/>
        <w:rPr>
          <w:rFonts w:ascii="Times New Roman" w:hAnsi="Times New Roman" w:cs="Times New Roman"/>
          <w:sz w:val="24"/>
          <w:szCs w:val="24"/>
        </w:rPr>
      </w:pPr>
      <w:r w:rsidRPr="00B6786B">
        <w:rPr>
          <w:rStyle w:val="Rimandonotaapidipagina"/>
          <w:rFonts w:ascii="Times New Roman" w:hAnsi="Times New Roman" w:cs="Times New Roman"/>
          <w:sz w:val="24"/>
          <w:szCs w:val="24"/>
        </w:rPr>
        <w:footnoteRef/>
      </w:r>
      <w:r w:rsidRPr="00B6786B">
        <w:rPr>
          <w:rFonts w:ascii="Times New Roman" w:hAnsi="Times New Roman" w:cs="Times New Roman"/>
          <w:sz w:val="24"/>
          <w:szCs w:val="24"/>
        </w:rPr>
        <w:t xml:space="preserve"> </w:t>
      </w:r>
      <w:r w:rsidRPr="00B6786B">
        <w:rPr>
          <w:rFonts w:ascii="Times New Roman" w:hAnsi="Times New Roman" w:cs="Times New Roman"/>
          <w:smallCaps/>
          <w:sz w:val="24"/>
          <w:szCs w:val="24"/>
        </w:rPr>
        <w:t xml:space="preserve">G. </w:t>
      </w:r>
      <w:proofErr w:type="spellStart"/>
      <w:r w:rsidRPr="00B6786B">
        <w:rPr>
          <w:rFonts w:ascii="Times New Roman" w:hAnsi="Times New Roman" w:cs="Times New Roman"/>
          <w:smallCaps/>
          <w:sz w:val="24"/>
          <w:szCs w:val="24"/>
        </w:rPr>
        <w:t>Sias</w:t>
      </w:r>
      <w:proofErr w:type="spellEnd"/>
      <w:r w:rsidRPr="00B6786B">
        <w:rPr>
          <w:rFonts w:ascii="Times New Roman" w:hAnsi="Times New Roman" w:cs="Times New Roman"/>
          <w:sz w:val="24"/>
          <w:szCs w:val="24"/>
        </w:rPr>
        <w:t xml:space="preserve">, </w:t>
      </w:r>
      <w:r>
        <w:rPr>
          <w:rFonts w:ascii="Times New Roman" w:hAnsi="Times New Roman" w:cs="Times New Roman"/>
          <w:sz w:val="24"/>
          <w:szCs w:val="24"/>
        </w:rPr>
        <w:t>“</w:t>
      </w:r>
      <w:r w:rsidRPr="00B6786B">
        <w:rPr>
          <w:rFonts w:ascii="Times New Roman" w:hAnsi="Times New Roman" w:cs="Times New Roman"/>
          <w:i/>
          <w:iCs/>
          <w:sz w:val="24"/>
          <w:szCs w:val="24"/>
        </w:rPr>
        <w:t>La Nuova Sardegna</w:t>
      </w:r>
      <w:r w:rsidRPr="004667AC">
        <w:rPr>
          <w:rFonts w:ascii="Times New Roman" w:hAnsi="Times New Roman" w:cs="Times New Roman"/>
          <w:sz w:val="24"/>
          <w:szCs w:val="24"/>
        </w:rPr>
        <w:t xml:space="preserve">”, </w:t>
      </w:r>
      <w:r w:rsidRPr="00B6786B">
        <w:rPr>
          <w:rFonts w:ascii="Times New Roman" w:hAnsi="Times New Roman" w:cs="Times New Roman"/>
          <w:sz w:val="24"/>
          <w:szCs w:val="24"/>
        </w:rPr>
        <w:t>2 febbraio 2018.</w:t>
      </w:r>
    </w:p>
  </w:footnote>
  <w:footnote w:id="39">
    <w:p w14:paraId="50A2598E" w14:textId="14B4D3B6" w:rsidR="000463A6" w:rsidRPr="00B6786B" w:rsidRDefault="000463A6" w:rsidP="00B6786B">
      <w:pPr>
        <w:pStyle w:val="Testonotaapidipagina"/>
        <w:jc w:val="both"/>
        <w:rPr>
          <w:rFonts w:ascii="Times New Roman" w:hAnsi="Times New Roman" w:cs="Times New Roman"/>
          <w:sz w:val="24"/>
          <w:szCs w:val="24"/>
        </w:rPr>
      </w:pPr>
      <w:r w:rsidRPr="00B6786B">
        <w:rPr>
          <w:rStyle w:val="Rimandonotaapidipagina"/>
          <w:rFonts w:ascii="Times New Roman" w:hAnsi="Times New Roman" w:cs="Times New Roman"/>
          <w:sz w:val="24"/>
          <w:szCs w:val="24"/>
        </w:rPr>
        <w:footnoteRef/>
      </w:r>
      <w:r w:rsidRPr="00B6786B">
        <w:rPr>
          <w:rFonts w:ascii="Times New Roman" w:hAnsi="Times New Roman" w:cs="Times New Roman"/>
          <w:sz w:val="24"/>
          <w:szCs w:val="24"/>
        </w:rPr>
        <w:t xml:space="preserve"> </w:t>
      </w:r>
      <w:r>
        <w:rPr>
          <w:rFonts w:ascii="Times New Roman" w:hAnsi="Times New Roman" w:cs="Times New Roman"/>
          <w:sz w:val="24"/>
          <w:szCs w:val="24"/>
        </w:rPr>
        <w:t>V</w:t>
      </w:r>
      <w:r w:rsidRPr="00B6786B">
        <w:rPr>
          <w:rFonts w:ascii="Times New Roman" w:hAnsi="Times New Roman" w:cs="Times New Roman"/>
          <w:sz w:val="24"/>
          <w:szCs w:val="24"/>
        </w:rPr>
        <w:t xml:space="preserve">edi da ultimo, </w:t>
      </w:r>
      <w:proofErr w:type="spellStart"/>
      <w:r w:rsidRPr="00B6786B">
        <w:rPr>
          <w:rFonts w:ascii="Times New Roman" w:hAnsi="Times New Roman" w:cs="Times New Roman"/>
          <w:sz w:val="24"/>
          <w:szCs w:val="24"/>
        </w:rPr>
        <w:t>Cons</w:t>
      </w:r>
      <w:proofErr w:type="spellEnd"/>
      <w:r w:rsidRPr="00B6786B">
        <w:rPr>
          <w:rFonts w:ascii="Times New Roman" w:hAnsi="Times New Roman" w:cs="Times New Roman"/>
          <w:sz w:val="24"/>
          <w:szCs w:val="24"/>
        </w:rPr>
        <w:t>. Stato, sez</w:t>
      </w:r>
      <w:r>
        <w:rPr>
          <w:rFonts w:ascii="Times New Roman" w:hAnsi="Times New Roman" w:cs="Times New Roman"/>
          <w:sz w:val="24"/>
          <w:szCs w:val="24"/>
        </w:rPr>
        <w:t xml:space="preserve">. </w:t>
      </w:r>
      <w:r w:rsidRPr="00B6786B">
        <w:rPr>
          <w:rFonts w:ascii="Times New Roman" w:hAnsi="Times New Roman" w:cs="Times New Roman"/>
          <w:sz w:val="24"/>
          <w:szCs w:val="24"/>
        </w:rPr>
        <w:t>VI</w:t>
      </w:r>
      <w:r>
        <w:rPr>
          <w:rFonts w:ascii="Times New Roman" w:hAnsi="Times New Roman" w:cs="Times New Roman"/>
          <w:sz w:val="24"/>
          <w:szCs w:val="24"/>
        </w:rPr>
        <w:t>,</w:t>
      </w:r>
      <w:r w:rsidRPr="00B6786B">
        <w:rPr>
          <w:rFonts w:ascii="Times New Roman" w:hAnsi="Times New Roman" w:cs="Times New Roman"/>
          <w:sz w:val="24"/>
          <w:szCs w:val="24"/>
        </w:rPr>
        <w:t xml:space="preserve"> sentenza n.</w:t>
      </w:r>
      <w:r>
        <w:rPr>
          <w:rFonts w:ascii="Times New Roman" w:hAnsi="Times New Roman" w:cs="Times New Roman"/>
          <w:sz w:val="24"/>
          <w:szCs w:val="24"/>
        </w:rPr>
        <w:t xml:space="preserve"> </w:t>
      </w:r>
      <w:r w:rsidRPr="00B6786B">
        <w:rPr>
          <w:rFonts w:ascii="Times New Roman" w:hAnsi="Times New Roman" w:cs="Times New Roman"/>
          <w:sz w:val="24"/>
          <w:szCs w:val="24"/>
        </w:rPr>
        <w:t>2363 del 10 aprile 2019</w:t>
      </w:r>
      <w:r>
        <w:rPr>
          <w:rFonts w:ascii="Times New Roman" w:hAnsi="Times New Roman" w:cs="Times New Roman"/>
          <w:sz w:val="24"/>
          <w:szCs w:val="24"/>
        </w:rPr>
        <w:t>,</w:t>
      </w:r>
      <w:r w:rsidRPr="00B6786B">
        <w:rPr>
          <w:rFonts w:ascii="Times New Roman" w:hAnsi="Times New Roman" w:cs="Times New Roman"/>
          <w:sz w:val="24"/>
          <w:szCs w:val="24"/>
        </w:rPr>
        <w:t xml:space="preserve"> con la quale è stata riformata la sentenza di primo grado concernente la sospensione dei lavori di montaggio di una veranda, il diniego di condono e l’ordine di demolizione, per l’impossibilità di stabilire con esattezza la data di ultimazione del manufatto di cui si contestava la regolarità.</w:t>
      </w:r>
    </w:p>
  </w:footnote>
  <w:footnote w:id="40">
    <w:p w14:paraId="37505185" w14:textId="20513FB5" w:rsidR="000463A6" w:rsidRPr="004667AC" w:rsidRDefault="000463A6" w:rsidP="00B6786B">
      <w:pPr>
        <w:pStyle w:val="Testonotaapidipagina"/>
        <w:jc w:val="both"/>
        <w:rPr>
          <w:i/>
          <w:iCs/>
        </w:rPr>
      </w:pPr>
      <w:r w:rsidRPr="00B6786B">
        <w:rPr>
          <w:rStyle w:val="Rimandonotaapidipagina"/>
          <w:rFonts w:ascii="Times New Roman" w:hAnsi="Times New Roman" w:cs="Times New Roman"/>
          <w:sz w:val="24"/>
          <w:szCs w:val="24"/>
        </w:rPr>
        <w:footnoteRef/>
      </w:r>
      <w:r w:rsidRPr="00B6786B">
        <w:rPr>
          <w:rFonts w:ascii="Times New Roman" w:hAnsi="Times New Roman" w:cs="Times New Roman"/>
          <w:sz w:val="24"/>
          <w:szCs w:val="24"/>
        </w:rPr>
        <w:t xml:space="preserve"> </w:t>
      </w:r>
      <w:r w:rsidRPr="00B6786B">
        <w:rPr>
          <w:rFonts w:ascii="Times New Roman" w:hAnsi="Times New Roman" w:cs="Times New Roman"/>
          <w:smallCaps/>
          <w:sz w:val="24"/>
          <w:szCs w:val="24"/>
        </w:rPr>
        <w:t>M</w:t>
      </w:r>
      <w:r>
        <w:rPr>
          <w:rFonts w:ascii="Times New Roman" w:hAnsi="Times New Roman" w:cs="Times New Roman"/>
          <w:smallCaps/>
          <w:sz w:val="24"/>
          <w:szCs w:val="24"/>
        </w:rPr>
        <w:t>.</w:t>
      </w:r>
      <w:r w:rsidRPr="00B6786B">
        <w:rPr>
          <w:rFonts w:ascii="Times New Roman" w:hAnsi="Times New Roman" w:cs="Times New Roman"/>
          <w:smallCaps/>
          <w:sz w:val="24"/>
          <w:szCs w:val="24"/>
        </w:rPr>
        <w:t xml:space="preserve"> Corradino</w:t>
      </w:r>
      <w:r>
        <w:rPr>
          <w:rFonts w:ascii="Times New Roman" w:hAnsi="Times New Roman" w:cs="Times New Roman"/>
          <w:sz w:val="24"/>
          <w:szCs w:val="24"/>
        </w:rPr>
        <w:t>,</w:t>
      </w:r>
      <w:r w:rsidRPr="00B6786B">
        <w:rPr>
          <w:rFonts w:ascii="Times New Roman" w:hAnsi="Times New Roman" w:cs="Times New Roman"/>
          <w:sz w:val="24"/>
          <w:szCs w:val="24"/>
        </w:rPr>
        <w:t xml:space="preserve"> “</w:t>
      </w:r>
      <w:r w:rsidRPr="00B6786B">
        <w:rPr>
          <w:rFonts w:ascii="Times New Roman" w:hAnsi="Times New Roman" w:cs="Times New Roman"/>
          <w:i/>
          <w:iCs/>
          <w:sz w:val="24"/>
          <w:szCs w:val="24"/>
        </w:rPr>
        <w:t>Intelligenza artificiale e pubblica amministrazione: sfide concrete e prospettive future</w:t>
      </w:r>
      <w:r w:rsidRPr="000A1788">
        <w:rPr>
          <w:rFonts w:ascii="Times New Roman" w:hAnsi="Times New Roman" w:cs="Times New Roman"/>
          <w:sz w:val="24"/>
          <w:szCs w:val="24"/>
        </w:rPr>
        <w:t>”,</w:t>
      </w:r>
      <w:r w:rsidRPr="00B6786B">
        <w:rPr>
          <w:rFonts w:ascii="Times New Roman" w:hAnsi="Times New Roman" w:cs="Times New Roman"/>
          <w:i/>
          <w:iCs/>
          <w:sz w:val="24"/>
          <w:szCs w:val="24"/>
        </w:rPr>
        <w:t xml:space="preserve"> </w:t>
      </w:r>
      <w:r w:rsidRPr="00B6786B">
        <w:rPr>
          <w:rFonts w:ascii="Times New Roman" w:hAnsi="Times New Roman" w:cs="Times New Roman"/>
          <w:sz w:val="24"/>
          <w:szCs w:val="24"/>
        </w:rPr>
        <w:t xml:space="preserve">pubblicato il 10 settembre 2021 sul sito </w:t>
      </w:r>
      <w:r w:rsidRPr="004667AC">
        <w:rPr>
          <w:rFonts w:ascii="Times New Roman" w:hAnsi="Times New Roman" w:cs="Times New Roman"/>
          <w:i/>
          <w:iCs/>
          <w:sz w:val="24"/>
          <w:szCs w:val="24"/>
        </w:rPr>
        <w:t>www.giustizia-amministrativa.it.</w:t>
      </w:r>
    </w:p>
  </w:footnote>
  <w:footnote w:id="41">
    <w:p w14:paraId="1EFA6E95" w14:textId="34C7CD14" w:rsidR="000463A6" w:rsidRPr="00882A6B" w:rsidRDefault="000463A6" w:rsidP="00882A6B">
      <w:pPr>
        <w:tabs>
          <w:tab w:val="left" w:pos="8364"/>
        </w:tabs>
        <w:jc w:val="both"/>
        <w:rPr>
          <w:rFonts w:ascii="Times New Roman" w:hAnsi="Times New Roman" w:cs="Times New Roman"/>
          <w:sz w:val="24"/>
          <w:szCs w:val="24"/>
        </w:rPr>
      </w:pPr>
      <w:r w:rsidRPr="00882A6B">
        <w:rPr>
          <w:rStyle w:val="Rimandonotaapidipagina"/>
          <w:rFonts w:ascii="Times New Roman" w:hAnsi="Times New Roman" w:cs="Times New Roman"/>
          <w:sz w:val="24"/>
          <w:szCs w:val="24"/>
        </w:rPr>
        <w:footnoteRef/>
      </w:r>
      <w:r w:rsidRPr="00882A6B">
        <w:rPr>
          <w:rFonts w:ascii="Times New Roman" w:hAnsi="Times New Roman" w:cs="Times New Roman"/>
          <w:sz w:val="24"/>
          <w:szCs w:val="24"/>
        </w:rPr>
        <w:t xml:space="preserve"> </w:t>
      </w:r>
      <w:r>
        <w:rPr>
          <w:rFonts w:ascii="Times New Roman" w:hAnsi="Times New Roman" w:cs="Times New Roman"/>
          <w:sz w:val="24"/>
          <w:szCs w:val="24"/>
        </w:rPr>
        <w:t>V</w:t>
      </w:r>
      <w:r w:rsidRPr="00882A6B">
        <w:rPr>
          <w:rFonts w:ascii="Times New Roman" w:hAnsi="Times New Roman" w:cs="Times New Roman"/>
          <w:sz w:val="24"/>
          <w:szCs w:val="24"/>
        </w:rPr>
        <w:t xml:space="preserve">edi </w:t>
      </w:r>
      <w:r w:rsidRPr="00882A6B">
        <w:rPr>
          <w:rFonts w:ascii="Times New Roman" w:hAnsi="Times New Roman" w:cs="Times New Roman"/>
          <w:smallCaps/>
          <w:sz w:val="24"/>
          <w:szCs w:val="24"/>
        </w:rPr>
        <w:t>M</w:t>
      </w:r>
      <w:r>
        <w:rPr>
          <w:rFonts w:ascii="Times New Roman" w:hAnsi="Times New Roman" w:cs="Times New Roman"/>
          <w:smallCaps/>
          <w:sz w:val="24"/>
          <w:szCs w:val="24"/>
        </w:rPr>
        <w:t>.</w:t>
      </w:r>
      <w:r w:rsidRPr="00882A6B">
        <w:rPr>
          <w:rFonts w:ascii="Times New Roman" w:hAnsi="Times New Roman" w:cs="Times New Roman"/>
          <w:smallCaps/>
          <w:sz w:val="24"/>
          <w:szCs w:val="24"/>
        </w:rPr>
        <w:t xml:space="preserve"> Corradino</w:t>
      </w:r>
      <w:r>
        <w:rPr>
          <w:rFonts w:ascii="Times New Roman" w:hAnsi="Times New Roman" w:cs="Times New Roman"/>
          <w:smallCaps/>
          <w:sz w:val="24"/>
          <w:szCs w:val="24"/>
        </w:rPr>
        <w:t>,</w:t>
      </w:r>
      <w:r w:rsidRPr="00882A6B">
        <w:rPr>
          <w:rFonts w:ascii="Times New Roman" w:hAnsi="Times New Roman" w:cs="Times New Roman"/>
          <w:sz w:val="24"/>
          <w:szCs w:val="24"/>
        </w:rPr>
        <w:t xml:space="preserve"> </w:t>
      </w:r>
      <w:r w:rsidRPr="00B6786B">
        <w:rPr>
          <w:rFonts w:ascii="Times New Roman" w:hAnsi="Times New Roman" w:cs="Times New Roman"/>
          <w:sz w:val="24"/>
          <w:szCs w:val="24"/>
        </w:rPr>
        <w:t>“</w:t>
      </w:r>
      <w:r w:rsidRPr="00B6786B">
        <w:rPr>
          <w:rFonts w:ascii="Times New Roman" w:hAnsi="Times New Roman" w:cs="Times New Roman"/>
          <w:i/>
          <w:iCs/>
          <w:sz w:val="24"/>
          <w:szCs w:val="24"/>
        </w:rPr>
        <w:t>Intelligenza artificiale e pubblica amministrazione: sfide concrete e prospettive future</w:t>
      </w:r>
      <w:r w:rsidRPr="000A1788">
        <w:rPr>
          <w:rFonts w:ascii="Times New Roman" w:hAnsi="Times New Roman" w:cs="Times New Roman"/>
          <w:sz w:val="24"/>
          <w:szCs w:val="24"/>
        </w:rPr>
        <w:t>”,</w:t>
      </w:r>
      <w:r>
        <w:rPr>
          <w:rFonts w:ascii="Times New Roman" w:hAnsi="Times New Roman" w:cs="Times New Roman"/>
          <w:i/>
          <w:iCs/>
          <w:sz w:val="24"/>
          <w:szCs w:val="24"/>
        </w:rPr>
        <w:t xml:space="preserve"> </w:t>
      </w:r>
      <w:r w:rsidRPr="00821B81">
        <w:rPr>
          <w:rFonts w:ascii="Times New Roman" w:hAnsi="Times New Roman" w:cs="Times New Roman"/>
          <w:sz w:val="24"/>
          <w:szCs w:val="24"/>
        </w:rPr>
        <w:t>cit.,</w:t>
      </w:r>
      <w:r>
        <w:rPr>
          <w:rFonts w:ascii="Times New Roman" w:hAnsi="Times New Roman" w:cs="Times New Roman"/>
          <w:i/>
          <w:iCs/>
          <w:sz w:val="24"/>
          <w:szCs w:val="24"/>
        </w:rPr>
        <w:t xml:space="preserve"> </w:t>
      </w:r>
      <w:r w:rsidRPr="00882A6B">
        <w:rPr>
          <w:rFonts w:ascii="Times New Roman" w:hAnsi="Times New Roman" w:cs="Times New Roman"/>
          <w:sz w:val="24"/>
          <w:szCs w:val="24"/>
        </w:rPr>
        <w:t>pag.1 e 2</w:t>
      </w:r>
      <w:r>
        <w:rPr>
          <w:rFonts w:ascii="Times New Roman" w:hAnsi="Times New Roman" w:cs="Times New Roman"/>
          <w:sz w:val="24"/>
          <w:szCs w:val="24"/>
        </w:rPr>
        <w:t>.</w:t>
      </w:r>
    </w:p>
  </w:footnote>
  <w:footnote w:id="42">
    <w:p w14:paraId="1DCBB048" w14:textId="33A9EBB4" w:rsidR="000463A6" w:rsidRPr="00882A6B" w:rsidRDefault="000463A6" w:rsidP="00882A6B">
      <w:pPr>
        <w:pStyle w:val="Testonotaapidipagina"/>
        <w:jc w:val="both"/>
        <w:rPr>
          <w:rFonts w:ascii="Times New Roman" w:hAnsi="Times New Roman" w:cs="Times New Roman"/>
          <w:sz w:val="24"/>
          <w:szCs w:val="24"/>
        </w:rPr>
      </w:pPr>
      <w:r w:rsidRPr="00882A6B">
        <w:rPr>
          <w:rStyle w:val="Rimandonotaapidipagina"/>
          <w:rFonts w:ascii="Times New Roman" w:hAnsi="Times New Roman" w:cs="Times New Roman"/>
          <w:sz w:val="24"/>
          <w:szCs w:val="24"/>
        </w:rPr>
        <w:footnoteRef/>
      </w:r>
      <w:r w:rsidRPr="00882A6B">
        <w:rPr>
          <w:rFonts w:ascii="Times New Roman" w:hAnsi="Times New Roman" w:cs="Times New Roman"/>
          <w:sz w:val="24"/>
          <w:szCs w:val="24"/>
        </w:rPr>
        <w:t xml:space="preserve"> </w:t>
      </w:r>
      <w:r w:rsidRPr="00882A6B">
        <w:rPr>
          <w:rFonts w:ascii="Times New Roman" w:hAnsi="Times New Roman" w:cs="Times New Roman"/>
          <w:smallCaps/>
          <w:sz w:val="24"/>
          <w:szCs w:val="24"/>
        </w:rPr>
        <w:t>M</w:t>
      </w:r>
      <w:r>
        <w:rPr>
          <w:rFonts w:ascii="Times New Roman" w:hAnsi="Times New Roman" w:cs="Times New Roman"/>
          <w:smallCaps/>
          <w:sz w:val="24"/>
          <w:szCs w:val="24"/>
        </w:rPr>
        <w:t>.</w:t>
      </w:r>
      <w:r w:rsidRPr="00882A6B">
        <w:rPr>
          <w:rFonts w:ascii="Times New Roman" w:hAnsi="Times New Roman" w:cs="Times New Roman"/>
          <w:smallCaps/>
          <w:sz w:val="24"/>
          <w:szCs w:val="24"/>
        </w:rPr>
        <w:t xml:space="preserve"> Corradino,</w:t>
      </w:r>
      <w:r w:rsidRPr="00882A6B">
        <w:rPr>
          <w:rFonts w:ascii="Times New Roman" w:hAnsi="Times New Roman" w:cs="Times New Roman"/>
          <w:sz w:val="24"/>
          <w:szCs w:val="24"/>
        </w:rPr>
        <w:t xml:space="preserve"> “</w:t>
      </w:r>
      <w:r w:rsidRPr="00882A6B">
        <w:rPr>
          <w:rFonts w:ascii="Times New Roman" w:hAnsi="Times New Roman" w:cs="Times New Roman"/>
          <w:i/>
          <w:iCs/>
          <w:sz w:val="24"/>
          <w:szCs w:val="24"/>
        </w:rPr>
        <w:t>Intelligenza artificiale e pubblica amministrazione: sfide concrete e prospettive future</w:t>
      </w:r>
      <w:r w:rsidRPr="00953B50">
        <w:rPr>
          <w:rFonts w:ascii="Times New Roman" w:hAnsi="Times New Roman" w:cs="Times New Roman"/>
          <w:sz w:val="24"/>
          <w:szCs w:val="24"/>
        </w:rPr>
        <w:t>”, cit.,</w:t>
      </w:r>
      <w:r w:rsidRPr="00882A6B">
        <w:rPr>
          <w:rFonts w:ascii="Times New Roman" w:hAnsi="Times New Roman" w:cs="Times New Roman"/>
          <w:i/>
          <w:iCs/>
          <w:sz w:val="24"/>
          <w:szCs w:val="24"/>
        </w:rPr>
        <w:t xml:space="preserve"> </w:t>
      </w:r>
      <w:r w:rsidRPr="00882A6B">
        <w:rPr>
          <w:rFonts w:ascii="Times New Roman" w:hAnsi="Times New Roman" w:cs="Times New Roman"/>
          <w:sz w:val="24"/>
          <w:szCs w:val="24"/>
        </w:rPr>
        <w:t>pag. 3 e 4.</w:t>
      </w:r>
    </w:p>
  </w:footnote>
  <w:footnote w:id="43">
    <w:p w14:paraId="324D6633" w14:textId="293E5B44" w:rsidR="000463A6" w:rsidRPr="00227FC2" w:rsidRDefault="000463A6" w:rsidP="00227FC2">
      <w:pPr>
        <w:pStyle w:val="Testonotaapidipagina"/>
        <w:jc w:val="both"/>
        <w:rPr>
          <w:rFonts w:ascii="Times New Roman" w:hAnsi="Times New Roman" w:cs="Times New Roman"/>
          <w:sz w:val="24"/>
          <w:szCs w:val="24"/>
        </w:rPr>
      </w:pPr>
      <w:r w:rsidRPr="00227FC2">
        <w:rPr>
          <w:rStyle w:val="Rimandonotaapidipagina"/>
          <w:rFonts w:ascii="Times New Roman" w:hAnsi="Times New Roman" w:cs="Times New Roman"/>
          <w:sz w:val="24"/>
          <w:szCs w:val="24"/>
        </w:rPr>
        <w:footnoteRef/>
      </w:r>
      <w:r w:rsidRPr="00227FC2">
        <w:rPr>
          <w:rFonts w:ascii="Times New Roman" w:hAnsi="Times New Roman" w:cs="Times New Roman"/>
          <w:sz w:val="24"/>
          <w:szCs w:val="24"/>
        </w:rPr>
        <w:t xml:space="preserve"> Vedi </w:t>
      </w:r>
      <w:proofErr w:type="spellStart"/>
      <w:r w:rsidRPr="00227FC2">
        <w:rPr>
          <w:rFonts w:ascii="Times New Roman" w:hAnsi="Times New Roman" w:cs="Times New Roman"/>
          <w:sz w:val="24"/>
          <w:szCs w:val="24"/>
        </w:rPr>
        <w:t>CdS</w:t>
      </w:r>
      <w:proofErr w:type="spellEnd"/>
      <w:r w:rsidRPr="00227FC2">
        <w:rPr>
          <w:rFonts w:ascii="Times New Roman" w:hAnsi="Times New Roman" w:cs="Times New Roman"/>
          <w:sz w:val="24"/>
          <w:szCs w:val="24"/>
        </w:rPr>
        <w:t>, sez. VI, sentenza n. 881 del 4 febbraio 2020.</w:t>
      </w:r>
    </w:p>
  </w:footnote>
  <w:footnote w:id="44">
    <w:p w14:paraId="4BD54EAF" w14:textId="320A992A" w:rsidR="000463A6" w:rsidRPr="00227FC2" w:rsidRDefault="000463A6" w:rsidP="00227FC2">
      <w:pPr>
        <w:pStyle w:val="Testonotaapidipagina"/>
        <w:jc w:val="both"/>
      </w:pPr>
      <w:r w:rsidRPr="00227FC2">
        <w:rPr>
          <w:rStyle w:val="Rimandonotaapidipagina"/>
          <w:rFonts w:ascii="Times New Roman" w:hAnsi="Times New Roman" w:cs="Times New Roman"/>
          <w:sz w:val="24"/>
          <w:szCs w:val="24"/>
        </w:rPr>
        <w:footnoteRef/>
      </w:r>
      <w:r w:rsidRPr="00227FC2">
        <w:rPr>
          <w:rFonts w:ascii="Times New Roman" w:hAnsi="Times New Roman" w:cs="Times New Roman"/>
          <w:sz w:val="24"/>
          <w:szCs w:val="24"/>
        </w:rPr>
        <w:t xml:space="preserve"> Si tenga presente che</w:t>
      </w:r>
      <w:r>
        <w:rPr>
          <w:rFonts w:ascii="Times New Roman" w:hAnsi="Times New Roman" w:cs="Times New Roman"/>
          <w:sz w:val="24"/>
          <w:szCs w:val="24"/>
        </w:rPr>
        <w:t xml:space="preserve"> l</w:t>
      </w:r>
      <w:r w:rsidRPr="00227FC2">
        <w:rPr>
          <w:rFonts w:ascii="Times New Roman" w:hAnsi="Times New Roman" w:cs="Times New Roman"/>
          <w:sz w:val="24"/>
          <w:szCs w:val="24"/>
        </w:rPr>
        <w:t xml:space="preserve">a Corte costituzionale con la sentenza n. 260 del 2021 ha dichiarato l’illegittimità costituzionale dell’articolo 18, comma 5, del decreto legislativo 10 agosto 2018, n. 101, </w:t>
      </w:r>
      <w:r>
        <w:rPr>
          <w:rFonts w:ascii="Times New Roman" w:hAnsi="Times New Roman" w:cs="Times New Roman"/>
          <w:sz w:val="24"/>
          <w:szCs w:val="24"/>
        </w:rPr>
        <w:t>sancendo</w:t>
      </w:r>
      <w:r w:rsidRPr="00227FC2">
        <w:rPr>
          <w:rFonts w:ascii="Times New Roman" w:hAnsi="Times New Roman" w:cs="Times New Roman"/>
          <w:sz w:val="24"/>
          <w:szCs w:val="24"/>
        </w:rPr>
        <w:t xml:space="preserve"> l’illegittimità della norma che prevedeva l’interruzione </w:t>
      </w:r>
      <w:r w:rsidRPr="00227FC2">
        <w:rPr>
          <w:rFonts w:ascii="Times New Roman" w:hAnsi="Times New Roman" w:cs="Times New Roman"/>
          <w:i/>
          <w:iCs/>
          <w:sz w:val="24"/>
          <w:szCs w:val="24"/>
        </w:rPr>
        <w:t xml:space="preserve">ex </w:t>
      </w:r>
      <w:proofErr w:type="spellStart"/>
      <w:r w:rsidRPr="00227FC2">
        <w:rPr>
          <w:rFonts w:ascii="Times New Roman" w:hAnsi="Times New Roman" w:cs="Times New Roman"/>
          <w:i/>
          <w:iCs/>
          <w:sz w:val="24"/>
          <w:szCs w:val="24"/>
        </w:rPr>
        <w:t>lege</w:t>
      </w:r>
      <w:proofErr w:type="spellEnd"/>
      <w:r w:rsidRPr="00227FC2">
        <w:rPr>
          <w:rFonts w:ascii="Times New Roman" w:hAnsi="Times New Roman" w:cs="Times New Roman"/>
          <w:sz w:val="24"/>
          <w:szCs w:val="24"/>
        </w:rPr>
        <w:t xml:space="preserve"> del termine di prescrizione, relativamente ai procedimenti sanzionatori che, alla data di applicazione del regolamento n. 679/2016/UE, siano stati avviati, ma non ancora definiti con l’adozione dell’ordinanza-ingiunzione. Secondo la Corte, è evidente che «</w:t>
      </w:r>
      <w:r w:rsidRPr="00227FC2">
        <w:rPr>
          <w:rFonts w:ascii="Times New Roman" w:hAnsi="Times New Roman" w:cs="Times New Roman"/>
          <w:i/>
          <w:iCs/>
          <w:sz w:val="24"/>
          <w:szCs w:val="24"/>
        </w:rPr>
        <w:t>l’interruzione automatica del termine di prescrizione quinquennale, che già di per sé rende eccessivamente squilibrato il rapporto fra privato e pubblica amministrazione, si traduca in una intollerabile compressione delle ragioni di tutela del privato</w:t>
      </w:r>
      <w:r w:rsidRPr="00227FC2">
        <w:rPr>
          <w:rFonts w:ascii="Times New Roman" w:hAnsi="Times New Roman" w:cs="Times New Roman"/>
          <w:sz w:val="24"/>
          <w:szCs w:val="24"/>
        </w:rPr>
        <w:t>». Si violerebbero i principi di proporzionalità e ragionevolezza, infatti «</w:t>
      </w:r>
      <w:r w:rsidRPr="00227FC2">
        <w:rPr>
          <w:rFonts w:ascii="Times New Roman" w:hAnsi="Times New Roman" w:cs="Times New Roman"/>
          <w:i/>
          <w:iCs/>
          <w:sz w:val="24"/>
          <w:szCs w:val="24"/>
        </w:rPr>
        <w:t xml:space="preserve">l’amministrazione può attivarsi per la riscossione delle somme dovute in base all’ordinanza-ingiunzione prodottasi </w:t>
      </w:r>
      <w:proofErr w:type="spellStart"/>
      <w:r w:rsidRPr="00227FC2">
        <w:rPr>
          <w:rFonts w:ascii="Times New Roman" w:hAnsi="Times New Roman" w:cs="Times New Roman"/>
          <w:i/>
          <w:iCs/>
          <w:sz w:val="24"/>
          <w:szCs w:val="24"/>
        </w:rPr>
        <w:t>ope</w:t>
      </w:r>
      <w:proofErr w:type="spellEnd"/>
      <w:r w:rsidRPr="00227FC2">
        <w:rPr>
          <w:rFonts w:ascii="Times New Roman" w:hAnsi="Times New Roman" w:cs="Times New Roman"/>
          <w:i/>
          <w:iCs/>
          <w:sz w:val="24"/>
          <w:szCs w:val="24"/>
        </w:rPr>
        <w:t xml:space="preserve"> </w:t>
      </w:r>
      <w:proofErr w:type="spellStart"/>
      <w:r w:rsidRPr="00227FC2">
        <w:rPr>
          <w:rFonts w:ascii="Times New Roman" w:hAnsi="Times New Roman" w:cs="Times New Roman"/>
          <w:i/>
          <w:iCs/>
          <w:sz w:val="24"/>
          <w:szCs w:val="24"/>
        </w:rPr>
        <w:t>legis</w:t>
      </w:r>
      <w:proofErr w:type="spellEnd"/>
      <w:r w:rsidRPr="00227FC2">
        <w:rPr>
          <w:rFonts w:ascii="Times New Roman" w:hAnsi="Times New Roman" w:cs="Times New Roman"/>
          <w:i/>
          <w:iCs/>
          <w:sz w:val="24"/>
          <w:szCs w:val="24"/>
        </w:rPr>
        <w:t>, oppure, nell’ipotesi in cui il privato presenti nuove memorie difensive ai sensi dell’art. 18, comma 4, del d.lgs. n. 101 del 2018, può emettere l’ordinanza-ingiunzione, anche oltre un quinquennio dall’unico atto che è stato notificato all’interessato: grazie all’interruzione, si sommano infatti altri cinque anni al tempo già trascorso dalla notifica della contestazione alla data di entrata in vigore del d.lgs. n. 101 del 2018. Per converso, il privato, dopo aver rispettato il termine di trenta giorni per opporsi alla contestazione della sanzione amministrativa, può doversi difendere, sempre entro trenta giorni dalla notifica della cartella o dalla notifica dell’ordinanza-ingiunzione, a distanza di oltre cinque anni dalla notifica dell’atto con il quale gli era stata contestata la violazione. Nessun’altra comunicazione, infatti, è tenuta ad effettuare l’amministrazione medio tempore, neppure con riferimento alle facoltà concesse ai privati dai primi commi dell’art. 18 e alle conseguenze derivanti a carico di coloro che non si avvalgano di tali facoltà</w:t>
      </w:r>
      <w:r w:rsidRPr="00227FC2">
        <w:rPr>
          <w:rFonts w:ascii="Times New Roman" w:hAnsi="Times New Roman" w:cs="Times New Roman"/>
          <w:sz w:val="24"/>
          <w:szCs w:val="24"/>
        </w:rPr>
        <w:t>».</w:t>
      </w:r>
    </w:p>
  </w:footnote>
  <w:footnote w:id="45">
    <w:p w14:paraId="14865B6A" w14:textId="28A98F9E" w:rsidR="000463A6" w:rsidRPr="00901515" w:rsidRDefault="000463A6" w:rsidP="00901515">
      <w:pPr>
        <w:pStyle w:val="Testonotaapidipagina"/>
        <w:jc w:val="both"/>
        <w:rPr>
          <w:lang w:val="en-US"/>
        </w:rPr>
      </w:pPr>
      <w:r w:rsidRPr="00901515">
        <w:rPr>
          <w:rStyle w:val="Rimandonotaapidipagina"/>
          <w:rFonts w:ascii="Times New Roman" w:hAnsi="Times New Roman" w:cs="Times New Roman"/>
          <w:sz w:val="24"/>
          <w:szCs w:val="24"/>
        </w:rPr>
        <w:footnoteRef/>
      </w:r>
      <w:r w:rsidRPr="00901515">
        <w:rPr>
          <w:rFonts w:ascii="Times New Roman" w:hAnsi="Times New Roman" w:cs="Times New Roman"/>
          <w:sz w:val="24"/>
          <w:szCs w:val="24"/>
          <w:lang w:val="en-US"/>
        </w:rPr>
        <w:t xml:space="preserve"> </w:t>
      </w:r>
      <w:r w:rsidRPr="00901515">
        <w:rPr>
          <w:rFonts w:ascii="Times New Roman" w:hAnsi="Times New Roman" w:cs="Times New Roman"/>
          <w:i/>
          <w:iCs/>
          <w:sz w:val="24"/>
          <w:szCs w:val="24"/>
          <w:lang w:val="en-US"/>
        </w:rPr>
        <w:t xml:space="preserve">State of Wisconsin v. Eric </w:t>
      </w:r>
      <w:r w:rsidR="00AE7A85" w:rsidRPr="00901515">
        <w:rPr>
          <w:rFonts w:ascii="Times New Roman" w:hAnsi="Times New Roman" w:cs="Times New Roman"/>
          <w:i/>
          <w:iCs/>
          <w:sz w:val="24"/>
          <w:szCs w:val="24"/>
          <w:lang w:val="en-US"/>
        </w:rPr>
        <w:t>L. Loomis</w:t>
      </w:r>
      <w:r w:rsidRPr="00901515">
        <w:rPr>
          <w:rFonts w:ascii="Times New Roman" w:hAnsi="Times New Roman" w:cs="Times New Roman"/>
          <w:i/>
          <w:iCs/>
          <w:sz w:val="24"/>
          <w:szCs w:val="24"/>
          <w:lang w:val="en-US"/>
        </w:rPr>
        <w:t xml:space="preserve">, </w:t>
      </w:r>
      <w:r w:rsidRPr="00901515">
        <w:rPr>
          <w:rFonts w:ascii="Times New Roman" w:hAnsi="Times New Roman" w:cs="Times New Roman"/>
          <w:sz w:val="24"/>
          <w:szCs w:val="24"/>
          <w:lang w:val="en-US"/>
        </w:rPr>
        <w:t>Case no.</w:t>
      </w:r>
      <w:r>
        <w:rPr>
          <w:rFonts w:ascii="Times New Roman" w:hAnsi="Times New Roman" w:cs="Times New Roman"/>
          <w:sz w:val="24"/>
          <w:szCs w:val="24"/>
          <w:lang w:val="en-US"/>
        </w:rPr>
        <w:t xml:space="preserve"> </w:t>
      </w:r>
      <w:r w:rsidRPr="00901515">
        <w:rPr>
          <w:rFonts w:ascii="Times New Roman" w:hAnsi="Times New Roman" w:cs="Times New Roman"/>
          <w:sz w:val="24"/>
          <w:szCs w:val="24"/>
          <w:lang w:val="en-US"/>
        </w:rPr>
        <w:t>2015AP157-CR, 5 April-13 July 2016.</w:t>
      </w:r>
    </w:p>
  </w:footnote>
  <w:footnote w:id="46">
    <w:p w14:paraId="09A74327" w14:textId="27F76E7A" w:rsidR="000463A6" w:rsidRPr="00DB7A63" w:rsidRDefault="000463A6" w:rsidP="006A0F62">
      <w:pPr>
        <w:pStyle w:val="Testonotaapidipagina"/>
        <w:jc w:val="both"/>
        <w:rPr>
          <w:rFonts w:ascii="Times New Roman" w:hAnsi="Times New Roman" w:cs="Times New Roman"/>
          <w:b/>
          <w:bCs/>
          <w:sz w:val="24"/>
          <w:szCs w:val="24"/>
        </w:rPr>
      </w:pPr>
      <w:r w:rsidRPr="00C90604">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Si veda </w:t>
      </w:r>
      <w:r w:rsidRPr="006A0F62">
        <w:rPr>
          <w:rFonts w:ascii="Times New Roman" w:hAnsi="Times New Roman" w:cs="Times New Roman"/>
          <w:smallCaps/>
          <w:sz w:val="24"/>
          <w:szCs w:val="24"/>
        </w:rPr>
        <w:t>M. Iaselli</w:t>
      </w:r>
      <w:r>
        <w:rPr>
          <w:rFonts w:ascii="Times New Roman" w:hAnsi="Times New Roman" w:cs="Times New Roman"/>
          <w:sz w:val="24"/>
          <w:szCs w:val="24"/>
        </w:rPr>
        <w:t xml:space="preserve">, </w:t>
      </w:r>
      <w:r w:rsidRPr="006A0F62">
        <w:rPr>
          <w:rFonts w:ascii="Times New Roman" w:hAnsi="Times New Roman" w:cs="Times New Roman"/>
          <w:sz w:val="24"/>
          <w:szCs w:val="24"/>
        </w:rPr>
        <w:t>“</w:t>
      </w:r>
      <w:r w:rsidRPr="006A0F62">
        <w:rPr>
          <w:rFonts w:ascii="Times New Roman" w:hAnsi="Times New Roman" w:cs="Times New Roman"/>
          <w:i/>
          <w:iCs/>
          <w:sz w:val="24"/>
          <w:szCs w:val="24"/>
        </w:rPr>
        <w:t>Consiglio di Stato: quando si può parlare di intelligenza artificiale? Palazzo Spada affronta una delicata questione tecnica sulla nozione di algoritmo, che assume notevole importanza anche per le necessarie conseguenze di carattere giuridico</w:t>
      </w:r>
      <w:r w:rsidRPr="006A0F62">
        <w:rPr>
          <w:rFonts w:ascii="Times New Roman" w:hAnsi="Times New Roman" w:cs="Times New Roman"/>
          <w:sz w:val="24"/>
          <w:szCs w:val="24"/>
        </w:rPr>
        <w:t>”</w:t>
      </w:r>
      <w:r>
        <w:rPr>
          <w:rFonts w:ascii="Times New Roman" w:hAnsi="Times New Roman" w:cs="Times New Roman"/>
          <w:sz w:val="24"/>
          <w:szCs w:val="24"/>
        </w:rPr>
        <w:t xml:space="preserve">, </w:t>
      </w:r>
      <w:r w:rsidRPr="006A0F62">
        <w:rPr>
          <w:rFonts w:ascii="Times New Roman" w:hAnsi="Times New Roman" w:cs="Times New Roman"/>
          <w:sz w:val="24"/>
          <w:szCs w:val="24"/>
        </w:rPr>
        <w:t xml:space="preserve">su </w:t>
      </w:r>
      <w:r w:rsidRPr="006A0F62">
        <w:rPr>
          <w:rFonts w:ascii="Times New Roman" w:hAnsi="Times New Roman" w:cs="Times New Roman"/>
          <w:i/>
          <w:iCs/>
          <w:sz w:val="24"/>
          <w:szCs w:val="24"/>
        </w:rPr>
        <w:t>altalex.it.</w:t>
      </w:r>
    </w:p>
  </w:footnote>
  <w:footnote w:id="47">
    <w:p w14:paraId="1C9ED0F2" w14:textId="0E152936" w:rsidR="000463A6" w:rsidRPr="00B37EEC" w:rsidRDefault="000463A6" w:rsidP="00B37EEC">
      <w:pPr>
        <w:pStyle w:val="Testonotaapidipagina"/>
        <w:jc w:val="both"/>
        <w:rPr>
          <w:rFonts w:ascii="Times New Roman" w:hAnsi="Times New Roman" w:cs="Times New Roman"/>
          <w:sz w:val="24"/>
          <w:szCs w:val="24"/>
        </w:rPr>
      </w:pPr>
      <w:r w:rsidRPr="00B37EEC">
        <w:rPr>
          <w:rStyle w:val="Rimandonotaapidipagina"/>
          <w:rFonts w:ascii="Times New Roman" w:hAnsi="Times New Roman" w:cs="Times New Roman"/>
          <w:sz w:val="24"/>
          <w:szCs w:val="24"/>
        </w:rPr>
        <w:footnoteRef/>
      </w:r>
      <w:r w:rsidRPr="00B37EEC">
        <w:rPr>
          <w:rFonts w:ascii="Times New Roman" w:hAnsi="Times New Roman" w:cs="Times New Roman"/>
          <w:sz w:val="24"/>
          <w:szCs w:val="24"/>
        </w:rPr>
        <w:t xml:space="preserve"> </w:t>
      </w:r>
      <w:r>
        <w:rPr>
          <w:rFonts w:ascii="Times New Roman" w:hAnsi="Times New Roman" w:cs="Times New Roman"/>
          <w:sz w:val="24"/>
          <w:szCs w:val="24"/>
        </w:rPr>
        <w:t xml:space="preserve">V. </w:t>
      </w:r>
      <w:r w:rsidRPr="00B37EEC">
        <w:rPr>
          <w:rFonts w:ascii="Times New Roman" w:hAnsi="Times New Roman" w:cs="Times New Roman"/>
          <w:smallCaps/>
          <w:sz w:val="24"/>
          <w:szCs w:val="24"/>
        </w:rPr>
        <w:t>M. Iaselli</w:t>
      </w:r>
      <w:r w:rsidRPr="00B37EEC">
        <w:rPr>
          <w:rFonts w:ascii="Times New Roman" w:hAnsi="Times New Roman" w:cs="Times New Roman"/>
          <w:sz w:val="24"/>
          <w:szCs w:val="24"/>
        </w:rPr>
        <w:t>, “</w:t>
      </w:r>
      <w:r w:rsidRPr="00B37EEC">
        <w:rPr>
          <w:rFonts w:ascii="Times New Roman" w:hAnsi="Times New Roman" w:cs="Times New Roman"/>
          <w:i/>
          <w:iCs/>
          <w:sz w:val="24"/>
          <w:szCs w:val="24"/>
        </w:rPr>
        <w:t>Consiglio di Stato: quando si può parlare di intelligenza artificiale?</w:t>
      </w:r>
      <w:r w:rsidRPr="00B37EEC">
        <w:rPr>
          <w:rFonts w:ascii="Times New Roman" w:hAnsi="Times New Roman" w:cs="Times New Roman"/>
          <w:sz w:val="24"/>
          <w:szCs w:val="24"/>
        </w:rPr>
        <w:t>”, cit.</w:t>
      </w:r>
    </w:p>
  </w:footnote>
  <w:footnote w:id="48">
    <w:p w14:paraId="2B8489B8" w14:textId="075D84AE" w:rsidR="000463A6" w:rsidRPr="00FE7BC4" w:rsidRDefault="000463A6" w:rsidP="00A013E1">
      <w:pPr>
        <w:pStyle w:val="Testonotaapidipagina"/>
        <w:jc w:val="both"/>
        <w:rPr>
          <w:rFonts w:ascii="Times New Roman" w:hAnsi="Times New Roman" w:cs="Times New Roman"/>
          <w:sz w:val="24"/>
          <w:szCs w:val="24"/>
          <w:lang w:val="en-US"/>
        </w:rPr>
      </w:pPr>
      <w:r w:rsidRPr="00FE7BC4">
        <w:rPr>
          <w:rStyle w:val="Rimandonotaapidipagina"/>
          <w:rFonts w:ascii="Times New Roman" w:hAnsi="Times New Roman" w:cs="Times New Roman"/>
          <w:sz w:val="24"/>
          <w:szCs w:val="24"/>
        </w:rPr>
        <w:footnoteRef/>
      </w:r>
      <w:r w:rsidRPr="00FE7BC4">
        <w:rPr>
          <w:rFonts w:ascii="Times New Roman" w:hAnsi="Times New Roman" w:cs="Times New Roman"/>
          <w:sz w:val="24"/>
          <w:szCs w:val="24"/>
        </w:rPr>
        <w:t xml:space="preserve"> Sul tema v. </w:t>
      </w:r>
      <w:r w:rsidRPr="00FE7BC4">
        <w:rPr>
          <w:rFonts w:ascii="Times New Roman" w:hAnsi="Times New Roman" w:cs="Times New Roman"/>
          <w:smallCaps/>
          <w:sz w:val="24"/>
          <w:szCs w:val="24"/>
        </w:rPr>
        <w:t xml:space="preserve">C. </w:t>
      </w:r>
      <w:proofErr w:type="spellStart"/>
      <w:r w:rsidRPr="00FE7BC4">
        <w:rPr>
          <w:rFonts w:ascii="Times New Roman" w:hAnsi="Times New Roman" w:cs="Times New Roman"/>
          <w:smallCaps/>
          <w:sz w:val="24"/>
          <w:szCs w:val="24"/>
        </w:rPr>
        <w:t>Burchard</w:t>
      </w:r>
      <w:proofErr w:type="spellEnd"/>
      <w:r w:rsidRPr="00FE7BC4">
        <w:rPr>
          <w:rFonts w:ascii="Times New Roman" w:hAnsi="Times New Roman" w:cs="Times New Roman"/>
          <w:sz w:val="24"/>
          <w:szCs w:val="24"/>
        </w:rPr>
        <w:t xml:space="preserve">, </w:t>
      </w:r>
      <w:r>
        <w:rPr>
          <w:rFonts w:ascii="Times New Roman" w:hAnsi="Times New Roman" w:cs="Times New Roman"/>
          <w:sz w:val="24"/>
          <w:szCs w:val="24"/>
        </w:rPr>
        <w:t>“</w:t>
      </w:r>
      <w:r w:rsidRPr="00FE7BC4">
        <w:rPr>
          <w:rFonts w:ascii="Times New Roman" w:hAnsi="Times New Roman" w:cs="Times New Roman"/>
          <w:i/>
          <w:iCs/>
          <w:sz w:val="24"/>
          <w:szCs w:val="24"/>
        </w:rPr>
        <w:t>L’Intelligenza Artificiale come fine del diritto penale? Sulla trasformazione algoritmica della società</w:t>
      </w:r>
      <w:r>
        <w:rPr>
          <w:rFonts w:ascii="Times New Roman" w:hAnsi="Times New Roman" w:cs="Times New Roman"/>
          <w:sz w:val="24"/>
          <w:szCs w:val="24"/>
        </w:rPr>
        <w:t>”</w:t>
      </w:r>
      <w:r w:rsidRPr="00FE7BC4">
        <w:rPr>
          <w:rFonts w:ascii="Times New Roman" w:hAnsi="Times New Roman" w:cs="Times New Roman"/>
          <w:sz w:val="24"/>
          <w:szCs w:val="24"/>
        </w:rPr>
        <w:t xml:space="preserve">, in </w:t>
      </w:r>
      <w:r w:rsidRPr="00FE7BC4">
        <w:rPr>
          <w:rFonts w:ascii="Times New Roman" w:hAnsi="Times New Roman" w:cs="Times New Roman"/>
          <w:i/>
          <w:iCs/>
          <w:sz w:val="24"/>
          <w:szCs w:val="24"/>
        </w:rPr>
        <w:t>Rivista italiana di diritto e procedura penale</w:t>
      </w:r>
      <w:r w:rsidRPr="00FE7BC4">
        <w:rPr>
          <w:rFonts w:ascii="Times New Roman" w:hAnsi="Times New Roman" w:cs="Times New Roman"/>
          <w:sz w:val="24"/>
          <w:szCs w:val="24"/>
        </w:rPr>
        <w:t xml:space="preserve">, 2019, Vol. 62; </w:t>
      </w:r>
      <w:r w:rsidRPr="00FE7BC4">
        <w:rPr>
          <w:rFonts w:ascii="Times New Roman" w:hAnsi="Times New Roman" w:cs="Times New Roman"/>
          <w:smallCaps/>
          <w:sz w:val="24"/>
          <w:szCs w:val="24"/>
        </w:rPr>
        <w:t xml:space="preserve">C. </w:t>
      </w:r>
      <w:proofErr w:type="spellStart"/>
      <w:r w:rsidRPr="00FE7BC4">
        <w:rPr>
          <w:rFonts w:ascii="Times New Roman" w:hAnsi="Times New Roman" w:cs="Times New Roman"/>
          <w:smallCaps/>
          <w:sz w:val="24"/>
          <w:szCs w:val="24"/>
        </w:rPr>
        <w:t>Cath</w:t>
      </w:r>
      <w:proofErr w:type="spellEnd"/>
      <w:r w:rsidRPr="00FE7BC4">
        <w:rPr>
          <w:rFonts w:ascii="Times New Roman" w:hAnsi="Times New Roman" w:cs="Times New Roman"/>
          <w:smallCaps/>
          <w:sz w:val="24"/>
          <w:szCs w:val="24"/>
        </w:rPr>
        <w:t xml:space="preserve">, S. Wachter, B. </w:t>
      </w:r>
      <w:proofErr w:type="spellStart"/>
      <w:r w:rsidRPr="00FE7BC4">
        <w:rPr>
          <w:rFonts w:ascii="Times New Roman" w:hAnsi="Times New Roman" w:cs="Times New Roman"/>
          <w:smallCaps/>
          <w:sz w:val="24"/>
          <w:szCs w:val="24"/>
        </w:rPr>
        <w:t>Mittelstadt</w:t>
      </w:r>
      <w:proofErr w:type="spellEnd"/>
      <w:r w:rsidRPr="00FE7BC4">
        <w:rPr>
          <w:rFonts w:ascii="Times New Roman" w:hAnsi="Times New Roman" w:cs="Times New Roman"/>
          <w:smallCaps/>
          <w:sz w:val="24"/>
          <w:szCs w:val="24"/>
        </w:rPr>
        <w:t>, M. Taddeo, L. Floridi</w:t>
      </w:r>
      <w:r w:rsidRPr="00FE7BC4">
        <w:rPr>
          <w:rFonts w:ascii="Times New Roman" w:hAnsi="Times New Roman" w:cs="Times New Roman"/>
          <w:sz w:val="24"/>
          <w:szCs w:val="24"/>
        </w:rPr>
        <w:t>, “</w:t>
      </w:r>
      <w:proofErr w:type="spellStart"/>
      <w:r w:rsidRPr="00FE7BC4">
        <w:rPr>
          <w:rFonts w:ascii="Times New Roman" w:hAnsi="Times New Roman" w:cs="Times New Roman"/>
          <w:i/>
          <w:iCs/>
          <w:sz w:val="24"/>
          <w:szCs w:val="24"/>
        </w:rPr>
        <w:t>Artificial</w:t>
      </w:r>
      <w:proofErr w:type="spellEnd"/>
      <w:r w:rsidRPr="00FE7BC4">
        <w:rPr>
          <w:rFonts w:ascii="Times New Roman" w:hAnsi="Times New Roman" w:cs="Times New Roman"/>
          <w:i/>
          <w:iCs/>
          <w:sz w:val="24"/>
          <w:szCs w:val="24"/>
        </w:rPr>
        <w:t xml:space="preserve"> Intelligence and the “</w:t>
      </w:r>
      <w:proofErr w:type="spellStart"/>
      <w:r w:rsidRPr="00FE7BC4">
        <w:rPr>
          <w:rFonts w:ascii="Times New Roman" w:hAnsi="Times New Roman" w:cs="Times New Roman"/>
          <w:i/>
          <w:iCs/>
          <w:sz w:val="24"/>
          <w:szCs w:val="24"/>
        </w:rPr>
        <w:t>Good</w:t>
      </w:r>
      <w:proofErr w:type="spellEnd"/>
      <w:r w:rsidRPr="00FE7BC4">
        <w:rPr>
          <w:rFonts w:ascii="Times New Roman" w:hAnsi="Times New Roman" w:cs="Times New Roman"/>
          <w:i/>
          <w:iCs/>
          <w:sz w:val="24"/>
          <w:szCs w:val="24"/>
        </w:rPr>
        <w:t xml:space="preserve"> Society”: the US, EU, and UK </w:t>
      </w:r>
      <w:proofErr w:type="spellStart"/>
      <w:r w:rsidRPr="00FE7BC4">
        <w:rPr>
          <w:rFonts w:ascii="Times New Roman" w:hAnsi="Times New Roman" w:cs="Times New Roman"/>
          <w:i/>
          <w:iCs/>
          <w:sz w:val="24"/>
          <w:szCs w:val="24"/>
        </w:rPr>
        <w:t>approach</w:t>
      </w:r>
      <w:proofErr w:type="spellEnd"/>
      <w:r w:rsidRPr="00FE7BC4">
        <w:rPr>
          <w:rFonts w:ascii="Times New Roman" w:hAnsi="Times New Roman" w:cs="Times New Roman"/>
          <w:sz w:val="24"/>
          <w:szCs w:val="24"/>
        </w:rPr>
        <w:t xml:space="preserve">”, in </w:t>
      </w:r>
      <w:r w:rsidRPr="00FE7BC4">
        <w:rPr>
          <w:rFonts w:ascii="Times New Roman" w:hAnsi="Times New Roman" w:cs="Times New Roman"/>
          <w:i/>
          <w:iCs/>
          <w:sz w:val="24"/>
          <w:szCs w:val="24"/>
        </w:rPr>
        <w:t xml:space="preserve">Science and </w:t>
      </w:r>
      <w:proofErr w:type="spellStart"/>
      <w:r w:rsidRPr="00FE7BC4">
        <w:rPr>
          <w:rFonts w:ascii="Times New Roman" w:hAnsi="Times New Roman" w:cs="Times New Roman"/>
          <w:i/>
          <w:iCs/>
          <w:sz w:val="24"/>
          <w:szCs w:val="24"/>
        </w:rPr>
        <w:t>Eng</w:t>
      </w:r>
      <w:proofErr w:type="spellEnd"/>
      <w:r w:rsidRPr="00FE7BC4">
        <w:rPr>
          <w:rFonts w:ascii="Times New Roman" w:hAnsi="Times New Roman" w:cs="Times New Roman"/>
          <w:i/>
          <w:iCs/>
          <w:sz w:val="24"/>
          <w:szCs w:val="24"/>
        </w:rPr>
        <w:t xml:space="preserve">. </w:t>
      </w:r>
      <w:r w:rsidRPr="00FE7BC4">
        <w:rPr>
          <w:rFonts w:ascii="Times New Roman" w:hAnsi="Times New Roman" w:cs="Times New Roman"/>
          <w:i/>
          <w:iCs/>
          <w:sz w:val="24"/>
          <w:szCs w:val="24"/>
          <w:lang w:val="en-US"/>
        </w:rPr>
        <w:t>Ethics</w:t>
      </w:r>
      <w:r w:rsidRPr="00FE7BC4">
        <w:rPr>
          <w:rFonts w:ascii="Times New Roman" w:hAnsi="Times New Roman" w:cs="Times New Roman"/>
          <w:sz w:val="24"/>
          <w:szCs w:val="24"/>
          <w:lang w:val="en-US"/>
        </w:rPr>
        <w:t xml:space="preserve">, 2018; </w:t>
      </w:r>
      <w:r w:rsidRPr="00FE7BC4">
        <w:rPr>
          <w:rFonts w:ascii="Times New Roman" w:hAnsi="Times New Roman" w:cs="Times New Roman"/>
          <w:smallCaps/>
          <w:sz w:val="24"/>
          <w:szCs w:val="24"/>
          <w:lang w:val="en-US"/>
        </w:rPr>
        <w:t>L. Bennet Moses, J. Chan</w:t>
      </w:r>
      <w:r w:rsidRPr="00FE7BC4">
        <w:rPr>
          <w:rFonts w:ascii="Times New Roman" w:hAnsi="Times New Roman" w:cs="Times New Roman"/>
          <w:sz w:val="24"/>
          <w:szCs w:val="24"/>
          <w:lang w:val="en-US"/>
        </w:rPr>
        <w:t>, “</w:t>
      </w:r>
      <w:r w:rsidRPr="00FE7BC4">
        <w:rPr>
          <w:rFonts w:ascii="Times New Roman" w:hAnsi="Times New Roman" w:cs="Times New Roman"/>
          <w:i/>
          <w:iCs/>
          <w:sz w:val="24"/>
          <w:szCs w:val="24"/>
          <w:lang w:val="en-US"/>
        </w:rPr>
        <w:t>Algorithmic Prediction in Policing: Assumptions, Evaluation, and Accountability</w:t>
      </w:r>
      <w:r w:rsidRPr="00FE7BC4">
        <w:rPr>
          <w:rFonts w:ascii="Times New Roman" w:hAnsi="Times New Roman" w:cs="Times New Roman"/>
          <w:sz w:val="24"/>
          <w:szCs w:val="24"/>
          <w:lang w:val="en-US"/>
        </w:rPr>
        <w:t xml:space="preserve">”, in </w:t>
      </w:r>
      <w:r w:rsidRPr="00FE7BC4">
        <w:rPr>
          <w:rFonts w:ascii="Times New Roman" w:hAnsi="Times New Roman" w:cs="Times New Roman"/>
          <w:i/>
          <w:iCs/>
          <w:sz w:val="24"/>
          <w:szCs w:val="24"/>
          <w:lang w:val="en-US"/>
        </w:rPr>
        <w:t>Policing and Society</w:t>
      </w:r>
      <w:r w:rsidRPr="00FE7BC4">
        <w:rPr>
          <w:rFonts w:ascii="Times New Roman" w:hAnsi="Times New Roman" w:cs="Times New Roman"/>
          <w:sz w:val="24"/>
          <w:szCs w:val="24"/>
          <w:lang w:val="en-US"/>
        </w:rPr>
        <w:t xml:space="preserve">, 2016; </w:t>
      </w:r>
      <w:r w:rsidRPr="00FE7BC4">
        <w:rPr>
          <w:rFonts w:ascii="Times New Roman" w:hAnsi="Times New Roman" w:cs="Times New Roman"/>
          <w:smallCaps/>
          <w:sz w:val="24"/>
          <w:szCs w:val="24"/>
          <w:lang w:val="en-US"/>
        </w:rPr>
        <w:t xml:space="preserve">G. </w:t>
      </w:r>
      <w:proofErr w:type="spellStart"/>
      <w:r w:rsidRPr="00FE7BC4">
        <w:rPr>
          <w:rFonts w:ascii="Times New Roman" w:hAnsi="Times New Roman" w:cs="Times New Roman"/>
          <w:smallCaps/>
          <w:sz w:val="24"/>
          <w:szCs w:val="24"/>
          <w:lang w:val="en-US"/>
        </w:rPr>
        <w:t>Mastrobuoni</w:t>
      </w:r>
      <w:proofErr w:type="spellEnd"/>
      <w:r w:rsidRPr="00FE7BC4">
        <w:rPr>
          <w:rFonts w:ascii="Times New Roman" w:hAnsi="Times New Roman" w:cs="Times New Roman"/>
          <w:sz w:val="24"/>
          <w:szCs w:val="24"/>
          <w:lang w:val="en-US"/>
        </w:rPr>
        <w:t>, “</w:t>
      </w:r>
      <w:r w:rsidRPr="00FE7BC4">
        <w:rPr>
          <w:rFonts w:ascii="Times New Roman" w:hAnsi="Times New Roman" w:cs="Times New Roman"/>
          <w:i/>
          <w:iCs/>
          <w:sz w:val="24"/>
          <w:szCs w:val="24"/>
          <w:lang w:val="en-US"/>
        </w:rPr>
        <w:t>Crime is Terribly Revealing: Information Technology and Police Productivity</w:t>
      </w:r>
      <w:r w:rsidRPr="00FE7BC4">
        <w:rPr>
          <w:rFonts w:ascii="Times New Roman" w:hAnsi="Times New Roman" w:cs="Times New Roman"/>
          <w:sz w:val="24"/>
          <w:szCs w:val="24"/>
          <w:lang w:val="en-US"/>
        </w:rPr>
        <w:t xml:space="preserve">”, 2017; </w:t>
      </w:r>
      <w:r w:rsidRPr="00FE7BC4">
        <w:rPr>
          <w:rFonts w:ascii="Times New Roman" w:hAnsi="Times New Roman" w:cs="Times New Roman"/>
          <w:smallCaps/>
          <w:sz w:val="24"/>
          <w:szCs w:val="24"/>
          <w:lang w:val="en-US"/>
        </w:rPr>
        <w:t xml:space="preserve">L. </w:t>
      </w:r>
      <w:proofErr w:type="spellStart"/>
      <w:r w:rsidRPr="00FE7BC4">
        <w:rPr>
          <w:rFonts w:ascii="Times New Roman" w:hAnsi="Times New Roman" w:cs="Times New Roman"/>
          <w:smallCaps/>
          <w:sz w:val="24"/>
          <w:szCs w:val="24"/>
          <w:lang w:val="en-US"/>
        </w:rPr>
        <w:t>Pasculli</w:t>
      </w:r>
      <w:proofErr w:type="spellEnd"/>
      <w:r w:rsidRPr="00FE7BC4">
        <w:rPr>
          <w:rFonts w:ascii="Times New Roman" w:hAnsi="Times New Roman" w:cs="Times New Roman"/>
          <w:sz w:val="24"/>
          <w:szCs w:val="24"/>
          <w:lang w:val="en-US"/>
        </w:rPr>
        <w:t>, “</w:t>
      </w:r>
      <w:r w:rsidRPr="00FE7BC4">
        <w:rPr>
          <w:rFonts w:ascii="Times New Roman" w:hAnsi="Times New Roman" w:cs="Times New Roman"/>
          <w:i/>
          <w:iCs/>
          <w:sz w:val="24"/>
          <w:szCs w:val="24"/>
          <w:lang w:val="en-US"/>
        </w:rPr>
        <w:t>Genetics, Robotics and Crime Prevention</w:t>
      </w:r>
      <w:r w:rsidRPr="00FE7BC4">
        <w:rPr>
          <w:rFonts w:ascii="Times New Roman" w:hAnsi="Times New Roman" w:cs="Times New Roman"/>
          <w:sz w:val="24"/>
          <w:szCs w:val="24"/>
          <w:lang w:val="en-US"/>
        </w:rPr>
        <w:t xml:space="preserve">” e </w:t>
      </w:r>
      <w:r w:rsidRPr="00FE7BC4">
        <w:rPr>
          <w:rFonts w:ascii="Times New Roman" w:hAnsi="Times New Roman" w:cs="Times New Roman"/>
          <w:smallCaps/>
          <w:sz w:val="24"/>
          <w:szCs w:val="24"/>
          <w:lang w:val="en-US"/>
        </w:rPr>
        <w:t xml:space="preserve">R. </w:t>
      </w:r>
      <w:proofErr w:type="spellStart"/>
      <w:r w:rsidRPr="00FE7BC4">
        <w:rPr>
          <w:rFonts w:ascii="Times New Roman" w:hAnsi="Times New Roman" w:cs="Times New Roman"/>
          <w:smallCaps/>
          <w:sz w:val="24"/>
          <w:szCs w:val="24"/>
          <w:lang w:val="en-US"/>
        </w:rPr>
        <w:t>Pelliccia</w:t>
      </w:r>
      <w:proofErr w:type="spellEnd"/>
      <w:r w:rsidRPr="00FE7BC4">
        <w:rPr>
          <w:rFonts w:ascii="Times New Roman" w:hAnsi="Times New Roman" w:cs="Times New Roman"/>
          <w:sz w:val="24"/>
          <w:szCs w:val="24"/>
          <w:lang w:val="en-US"/>
        </w:rPr>
        <w:t>, “</w:t>
      </w:r>
      <w:proofErr w:type="spellStart"/>
      <w:r w:rsidRPr="00FE7BC4">
        <w:rPr>
          <w:rFonts w:ascii="Times New Roman" w:hAnsi="Times New Roman" w:cs="Times New Roman"/>
          <w:i/>
          <w:iCs/>
          <w:sz w:val="24"/>
          <w:szCs w:val="24"/>
          <w:lang w:val="en-US"/>
        </w:rPr>
        <w:t>Polizia</w:t>
      </w:r>
      <w:proofErr w:type="spellEnd"/>
      <w:r w:rsidRPr="00FE7BC4">
        <w:rPr>
          <w:rFonts w:ascii="Times New Roman" w:hAnsi="Times New Roman" w:cs="Times New Roman"/>
          <w:i/>
          <w:iCs/>
          <w:sz w:val="24"/>
          <w:szCs w:val="24"/>
          <w:lang w:val="en-US"/>
        </w:rPr>
        <w:t xml:space="preserve"> </w:t>
      </w:r>
      <w:proofErr w:type="spellStart"/>
      <w:r w:rsidRPr="00FE7BC4">
        <w:rPr>
          <w:rFonts w:ascii="Times New Roman" w:hAnsi="Times New Roman" w:cs="Times New Roman"/>
          <w:i/>
          <w:iCs/>
          <w:sz w:val="24"/>
          <w:szCs w:val="24"/>
          <w:lang w:val="en-US"/>
        </w:rPr>
        <w:t>predittiva</w:t>
      </w:r>
      <w:proofErr w:type="spellEnd"/>
      <w:r w:rsidRPr="00FE7BC4">
        <w:rPr>
          <w:rFonts w:ascii="Times New Roman" w:hAnsi="Times New Roman" w:cs="Times New Roman"/>
          <w:sz w:val="24"/>
          <w:szCs w:val="24"/>
          <w:lang w:val="en-US"/>
        </w:rPr>
        <w:t xml:space="preserve">”, </w:t>
      </w:r>
      <w:r w:rsidRPr="00FE7BC4">
        <w:rPr>
          <w:rFonts w:ascii="Times New Roman" w:hAnsi="Times New Roman" w:cs="Times New Roman"/>
          <w:i/>
          <w:iCs/>
          <w:sz w:val="24"/>
          <w:szCs w:val="24"/>
          <w:lang w:val="en-US"/>
        </w:rPr>
        <w:t>Human Rights Data Analysis Group</w:t>
      </w:r>
      <w:r w:rsidRPr="00FE7BC4">
        <w:rPr>
          <w:rFonts w:ascii="Times New Roman" w:hAnsi="Times New Roman" w:cs="Times New Roman"/>
          <w:sz w:val="24"/>
          <w:szCs w:val="24"/>
          <w:lang w:val="en-US"/>
        </w:rPr>
        <w:t xml:space="preserve"> (</w:t>
      </w:r>
      <w:proofErr w:type="spellStart"/>
      <w:r w:rsidRPr="00FE7BC4">
        <w:rPr>
          <w:rFonts w:ascii="Times New Roman" w:hAnsi="Times New Roman" w:cs="Times New Roman"/>
          <w:sz w:val="24"/>
          <w:szCs w:val="24"/>
          <w:lang w:val="en-US"/>
        </w:rPr>
        <w:t>Hrdag</w:t>
      </w:r>
      <w:proofErr w:type="spellEnd"/>
      <w:r w:rsidRPr="00FE7BC4">
        <w:rPr>
          <w:rFonts w:ascii="Times New Roman" w:hAnsi="Times New Roman" w:cs="Times New Roman"/>
          <w:sz w:val="24"/>
          <w:szCs w:val="24"/>
          <w:lang w:val="en-US"/>
        </w:rPr>
        <w:t xml:space="preserve">), </w:t>
      </w:r>
      <w:hyperlink r:id="rId7" w:history="1">
        <w:r w:rsidRPr="00FE7BC4">
          <w:rPr>
            <w:rStyle w:val="Collegamentoipertestuale"/>
            <w:rFonts w:ascii="Times New Roman" w:hAnsi="Times New Roman" w:cs="Times New Roman"/>
            <w:sz w:val="24"/>
            <w:szCs w:val="24"/>
            <w:lang w:val="en-US"/>
          </w:rPr>
          <w:t>https://hrdag.org/usa/</w:t>
        </w:r>
      </w:hyperlink>
      <w:r w:rsidRPr="00FE7BC4">
        <w:rPr>
          <w:rFonts w:ascii="Times New Roman" w:hAnsi="Times New Roman" w:cs="Times New Roman"/>
          <w:sz w:val="24"/>
          <w:szCs w:val="24"/>
          <w:lang w:val="en-US"/>
        </w:rPr>
        <w:t xml:space="preserve">; </w:t>
      </w:r>
      <w:r w:rsidRPr="00FE7BC4">
        <w:rPr>
          <w:rFonts w:ascii="Times New Roman" w:hAnsi="Times New Roman" w:cs="Times New Roman"/>
          <w:smallCaps/>
          <w:sz w:val="24"/>
          <w:szCs w:val="24"/>
          <w:lang w:val="en-US"/>
        </w:rPr>
        <w:t xml:space="preserve">A. R. </w:t>
      </w:r>
      <w:proofErr w:type="spellStart"/>
      <w:r w:rsidRPr="00FE7BC4">
        <w:rPr>
          <w:rFonts w:ascii="Times New Roman" w:hAnsi="Times New Roman" w:cs="Times New Roman"/>
          <w:smallCaps/>
          <w:sz w:val="24"/>
          <w:szCs w:val="24"/>
          <w:lang w:val="en-US"/>
        </w:rPr>
        <w:t>Lodder</w:t>
      </w:r>
      <w:proofErr w:type="spellEnd"/>
      <w:r w:rsidRPr="00FE7BC4">
        <w:rPr>
          <w:rFonts w:ascii="Times New Roman" w:hAnsi="Times New Roman" w:cs="Times New Roman"/>
          <w:smallCaps/>
          <w:sz w:val="24"/>
          <w:szCs w:val="24"/>
          <w:lang w:val="en-US"/>
        </w:rPr>
        <w:t xml:space="preserve">, J. </w:t>
      </w:r>
      <w:proofErr w:type="spellStart"/>
      <w:r w:rsidRPr="00FE7BC4">
        <w:rPr>
          <w:rFonts w:ascii="Times New Roman" w:hAnsi="Times New Roman" w:cs="Times New Roman"/>
          <w:smallCaps/>
          <w:sz w:val="24"/>
          <w:szCs w:val="24"/>
          <w:lang w:val="en-US"/>
        </w:rPr>
        <w:t>Zeleznikow</w:t>
      </w:r>
      <w:proofErr w:type="spellEnd"/>
      <w:r w:rsidRPr="00FE7BC4">
        <w:rPr>
          <w:rFonts w:ascii="Times New Roman" w:hAnsi="Times New Roman" w:cs="Times New Roman"/>
          <w:sz w:val="24"/>
          <w:szCs w:val="24"/>
          <w:lang w:val="en-US"/>
        </w:rPr>
        <w:t>, “</w:t>
      </w:r>
      <w:r w:rsidRPr="00FE7BC4">
        <w:rPr>
          <w:rFonts w:ascii="Times New Roman" w:hAnsi="Times New Roman" w:cs="Times New Roman"/>
          <w:i/>
          <w:iCs/>
          <w:sz w:val="24"/>
          <w:szCs w:val="24"/>
          <w:lang w:val="en-US"/>
        </w:rPr>
        <w:t>Artificial Intelligence and Online Dispute Resolution</w:t>
      </w:r>
      <w:r w:rsidRPr="00FE7BC4">
        <w:rPr>
          <w:rFonts w:ascii="Times New Roman" w:hAnsi="Times New Roman" w:cs="Times New Roman"/>
          <w:sz w:val="24"/>
          <w:szCs w:val="24"/>
          <w:lang w:val="en-US"/>
        </w:rPr>
        <w:t xml:space="preserve">”, in </w:t>
      </w:r>
      <w:r w:rsidRPr="00FE7BC4">
        <w:rPr>
          <w:rFonts w:ascii="Times New Roman" w:hAnsi="Times New Roman" w:cs="Times New Roman"/>
          <w:smallCaps/>
          <w:sz w:val="24"/>
          <w:szCs w:val="24"/>
          <w:lang w:val="en-US"/>
        </w:rPr>
        <w:t xml:space="preserve">A. R. </w:t>
      </w:r>
      <w:proofErr w:type="spellStart"/>
      <w:r w:rsidRPr="00FE7BC4">
        <w:rPr>
          <w:rFonts w:ascii="Times New Roman" w:hAnsi="Times New Roman" w:cs="Times New Roman"/>
          <w:smallCaps/>
          <w:sz w:val="24"/>
          <w:szCs w:val="24"/>
          <w:lang w:val="en-US"/>
        </w:rPr>
        <w:t>Lodder</w:t>
      </w:r>
      <w:proofErr w:type="spellEnd"/>
      <w:r w:rsidRPr="00FE7BC4">
        <w:rPr>
          <w:rFonts w:ascii="Times New Roman" w:hAnsi="Times New Roman" w:cs="Times New Roman"/>
          <w:smallCaps/>
          <w:sz w:val="24"/>
          <w:szCs w:val="24"/>
          <w:lang w:val="en-US"/>
        </w:rPr>
        <w:t xml:space="preserve">, J. </w:t>
      </w:r>
      <w:proofErr w:type="spellStart"/>
      <w:r w:rsidRPr="00FE7BC4">
        <w:rPr>
          <w:rFonts w:ascii="Times New Roman" w:hAnsi="Times New Roman" w:cs="Times New Roman"/>
          <w:smallCaps/>
          <w:sz w:val="24"/>
          <w:szCs w:val="24"/>
          <w:lang w:val="en-US"/>
        </w:rPr>
        <w:t>Zeleznikow</w:t>
      </w:r>
      <w:proofErr w:type="spellEnd"/>
      <w:r w:rsidRPr="00FE7BC4">
        <w:rPr>
          <w:rFonts w:ascii="Times New Roman" w:hAnsi="Times New Roman" w:cs="Times New Roman"/>
          <w:sz w:val="24"/>
          <w:szCs w:val="24"/>
          <w:lang w:val="en-US"/>
        </w:rPr>
        <w:t>, “</w:t>
      </w:r>
      <w:proofErr w:type="spellStart"/>
      <w:r w:rsidRPr="00FE7BC4">
        <w:rPr>
          <w:rFonts w:ascii="Times New Roman" w:hAnsi="Times New Roman" w:cs="Times New Roman"/>
          <w:i/>
          <w:iCs/>
          <w:sz w:val="24"/>
          <w:szCs w:val="24"/>
          <w:lang w:val="en-US"/>
        </w:rPr>
        <w:t>Enhaced</w:t>
      </w:r>
      <w:proofErr w:type="spellEnd"/>
      <w:r w:rsidRPr="00FE7BC4">
        <w:rPr>
          <w:rFonts w:ascii="Times New Roman" w:hAnsi="Times New Roman" w:cs="Times New Roman"/>
          <w:i/>
          <w:iCs/>
          <w:sz w:val="24"/>
          <w:szCs w:val="24"/>
          <w:lang w:val="en-US"/>
        </w:rPr>
        <w:t xml:space="preserve"> Dispute Resolution through the Use of Information Technology</w:t>
      </w:r>
      <w:r w:rsidRPr="00FE7BC4">
        <w:rPr>
          <w:rFonts w:ascii="Times New Roman" w:hAnsi="Times New Roman" w:cs="Times New Roman"/>
          <w:sz w:val="24"/>
          <w:szCs w:val="24"/>
          <w:lang w:val="en-US"/>
        </w:rPr>
        <w:t xml:space="preserve">”, </w:t>
      </w:r>
      <w:r w:rsidRPr="00FE7BC4">
        <w:rPr>
          <w:rFonts w:ascii="Times New Roman" w:hAnsi="Times New Roman" w:cs="Times New Roman"/>
          <w:i/>
          <w:iCs/>
          <w:sz w:val="24"/>
          <w:szCs w:val="24"/>
          <w:lang w:val="en-US"/>
        </w:rPr>
        <w:t>Cambridge University Press</w:t>
      </w:r>
      <w:r w:rsidRPr="00FE7BC4">
        <w:rPr>
          <w:rFonts w:ascii="Times New Roman" w:hAnsi="Times New Roman" w:cs="Times New Roman"/>
          <w:sz w:val="24"/>
          <w:szCs w:val="24"/>
          <w:lang w:val="en-US"/>
        </w:rPr>
        <w:t xml:space="preserve">, 2010; </w:t>
      </w:r>
      <w:r w:rsidRPr="00FE7BC4">
        <w:rPr>
          <w:rFonts w:ascii="Times New Roman" w:hAnsi="Times New Roman" w:cs="Times New Roman"/>
          <w:smallCaps/>
          <w:sz w:val="24"/>
          <w:szCs w:val="24"/>
          <w:lang w:val="en-US"/>
        </w:rPr>
        <w:t xml:space="preserve">E. Latifah, A. H. </w:t>
      </w:r>
      <w:proofErr w:type="spellStart"/>
      <w:r w:rsidRPr="00FE7BC4">
        <w:rPr>
          <w:rFonts w:ascii="Times New Roman" w:hAnsi="Times New Roman" w:cs="Times New Roman"/>
          <w:smallCaps/>
          <w:sz w:val="24"/>
          <w:szCs w:val="24"/>
          <w:lang w:val="en-US"/>
        </w:rPr>
        <w:t>Bajrektarevic</w:t>
      </w:r>
      <w:proofErr w:type="spellEnd"/>
      <w:r w:rsidRPr="00FE7BC4">
        <w:rPr>
          <w:rFonts w:ascii="Times New Roman" w:hAnsi="Times New Roman" w:cs="Times New Roman"/>
          <w:smallCaps/>
          <w:sz w:val="24"/>
          <w:szCs w:val="24"/>
          <w:lang w:val="en-US"/>
        </w:rPr>
        <w:t xml:space="preserve">, M. N. </w:t>
      </w:r>
      <w:proofErr w:type="spellStart"/>
      <w:r w:rsidRPr="00FE7BC4">
        <w:rPr>
          <w:rFonts w:ascii="Times New Roman" w:hAnsi="Times New Roman" w:cs="Times New Roman"/>
          <w:smallCaps/>
          <w:sz w:val="24"/>
          <w:szCs w:val="24"/>
          <w:lang w:val="en-US"/>
        </w:rPr>
        <w:t>Imanullah</w:t>
      </w:r>
      <w:proofErr w:type="spellEnd"/>
      <w:r w:rsidRPr="00FE7BC4">
        <w:rPr>
          <w:rFonts w:ascii="Times New Roman" w:hAnsi="Times New Roman" w:cs="Times New Roman"/>
          <w:sz w:val="24"/>
          <w:szCs w:val="24"/>
          <w:lang w:val="en-US"/>
        </w:rPr>
        <w:t>, “</w:t>
      </w:r>
      <w:r w:rsidRPr="00FE7BC4">
        <w:rPr>
          <w:rFonts w:ascii="Times New Roman" w:hAnsi="Times New Roman" w:cs="Times New Roman"/>
          <w:i/>
          <w:iCs/>
          <w:sz w:val="24"/>
          <w:szCs w:val="24"/>
          <w:lang w:val="en-US"/>
        </w:rPr>
        <w:t>Digital Justice in Online Dispute Resolution: The Shifting from Traditional to the New Generation of Dispute Resolution</w:t>
      </w:r>
      <w:r w:rsidRPr="00FE7BC4">
        <w:rPr>
          <w:rFonts w:ascii="Times New Roman" w:hAnsi="Times New Roman" w:cs="Times New Roman"/>
          <w:sz w:val="24"/>
          <w:szCs w:val="24"/>
          <w:lang w:val="en-US"/>
        </w:rPr>
        <w:t xml:space="preserve">”, </w:t>
      </w:r>
      <w:r w:rsidRPr="00FE7BC4">
        <w:rPr>
          <w:rFonts w:ascii="Times New Roman" w:hAnsi="Times New Roman" w:cs="Times New Roman"/>
          <w:i/>
          <w:iCs/>
          <w:sz w:val="24"/>
          <w:szCs w:val="24"/>
          <w:lang w:val="en-US"/>
        </w:rPr>
        <w:t xml:space="preserve">in </w:t>
      </w:r>
      <w:proofErr w:type="spellStart"/>
      <w:r w:rsidRPr="00FE7BC4">
        <w:rPr>
          <w:rFonts w:ascii="Times New Roman" w:hAnsi="Times New Roman" w:cs="Times New Roman"/>
          <w:i/>
          <w:iCs/>
          <w:sz w:val="24"/>
          <w:szCs w:val="24"/>
          <w:lang w:val="en-US"/>
        </w:rPr>
        <w:t>Brawijaya</w:t>
      </w:r>
      <w:proofErr w:type="spellEnd"/>
      <w:r w:rsidRPr="00FE7BC4">
        <w:rPr>
          <w:rFonts w:ascii="Times New Roman" w:hAnsi="Times New Roman" w:cs="Times New Roman"/>
          <w:i/>
          <w:iCs/>
          <w:sz w:val="24"/>
          <w:szCs w:val="24"/>
          <w:lang w:val="en-US"/>
        </w:rPr>
        <w:t xml:space="preserve"> Law Journal</w:t>
      </w:r>
      <w:r w:rsidRPr="00FE7BC4">
        <w:rPr>
          <w:rFonts w:ascii="Times New Roman" w:hAnsi="Times New Roman" w:cs="Times New Roman"/>
          <w:sz w:val="24"/>
          <w:szCs w:val="24"/>
          <w:lang w:val="en-US"/>
        </w:rPr>
        <w:t xml:space="preserve"> – </w:t>
      </w:r>
      <w:r w:rsidRPr="00FE7BC4">
        <w:rPr>
          <w:rFonts w:ascii="Times New Roman" w:hAnsi="Times New Roman" w:cs="Times New Roman"/>
          <w:i/>
          <w:iCs/>
          <w:sz w:val="24"/>
          <w:szCs w:val="24"/>
          <w:lang w:val="en-US"/>
        </w:rPr>
        <w:t>Journal of Legal Studies</w:t>
      </w:r>
      <w:r w:rsidRPr="00FE7BC4">
        <w:rPr>
          <w:rFonts w:ascii="Times New Roman" w:hAnsi="Times New Roman" w:cs="Times New Roman"/>
          <w:sz w:val="24"/>
          <w:szCs w:val="24"/>
          <w:lang w:val="en-US"/>
        </w:rPr>
        <w:t xml:space="preserve">, vol. 6, </w:t>
      </w:r>
      <w:proofErr w:type="spellStart"/>
      <w:r w:rsidRPr="00FE7BC4">
        <w:rPr>
          <w:rFonts w:ascii="Times New Roman" w:hAnsi="Times New Roman" w:cs="Times New Roman"/>
          <w:sz w:val="24"/>
          <w:szCs w:val="24"/>
          <w:lang w:val="en-US"/>
        </w:rPr>
        <w:t>aprile</w:t>
      </w:r>
      <w:proofErr w:type="spellEnd"/>
      <w:r w:rsidRPr="00FE7BC4">
        <w:rPr>
          <w:rFonts w:ascii="Times New Roman" w:hAnsi="Times New Roman" w:cs="Times New Roman"/>
          <w:sz w:val="24"/>
          <w:szCs w:val="24"/>
          <w:lang w:val="en-US"/>
        </w:rPr>
        <w:t xml:space="preserve"> 2019.</w:t>
      </w:r>
    </w:p>
  </w:footnote>
  <w:footnote w:id="49">
    <w:p w14:paraId="7063F467" w14:textId="40871241" w:rsidR="000463A6" w:rsidRPr="00534F15" w:rsidRDefault="000463A6" w:rsidP="00534F15">
      <w:pPr>
        <w:pStyle w:val="Testonotaapidipagina"/>
        <w:jc w:val="both"/>
        <w:rPr>
          <w:rFonts w:ascii="Times New Roman" w:hAnsi="Times New Roman" w:cs="Times New Roman"/>
          <w:sz w:val="24"/>
          <w:szCs w:val="24"/>
        </w:rPr>
      </w:pPr>
      <w:r w:rsidRPr="00534F15">
        <w:rPr>
          <w:rStyle w:val="Rimandonotaapidipagina"/>
          <w:rFonts w:ascii="Times New Roman" w:hAnsi="Times New Roman" w:cs="Times New Roman"/>
          <w:sz w:val="24"/>
          <w:szCs w:val="24"/>
        </w:rPr>
        <w:footnoteRef/>
      </w:r>
      <w:r w:rsidRPr="00534F15">
        <w:rPr>
          <w:rFonts w:ascii="Times New Roman" w:hAnsi="Times New Roman" w:cs="Times New Roman"/>
          <w:sz w:val="24"/>
          <w:szCs w:val="24"/>
        </w:rPr>
        <w:t xml:space="preserve"> </w:t>
      </w:r>
      <w:r>
        <w:rPr>
          <w:rFonts w:ascii="Times New Roman" w:hAnsi="Times New Roman" w:cs="Times New Roman"/>
          <w:sz w:val="24"/>
          <w:szCs w:val="24"/>
        </w:rPr>
        <w:t>C</w:t>
      </w:r>
      <w:r w:rsidRPr="00534F15">
        <w:rPr>
          <w:rFonts w:ascii="Times New Roman" w:hAnsi="Times New Roman" w:cs="Times New Roman"/>
          <w:sz w:val="24"/>
          <w:szCs w:val="24"/>
        </w:rPr>
        <w:t>osì</w:t>
      </w:r>
      <w:r>
        <w:rPr>
          <w:rFonts w:ascii="Times New Roman" w:hAnsi="Times New Roman" w:cs="Times New Roman"/>
          <w:sz w:val="24"/>
          <w:szCs w:val="24"/>
        </w:rPr>
        <w:t>,</w:t>
      </w:r>
      <w:r w:rsidRPr="00534F15">
        <w:rPr>
          <w:rFonts w:ascii="Times New Roman" w:hAnsi="Times New Roman" w:cs="Times New Roman"/>
          <w:sz w:val="24"/>
          <w:szCs w:val="24"/>
        </w:rPr>
        <w:t xml:space="preserve"> in motivazione</w:t>
      </w:r>
      <w:r>
        <w:rPr>
          <w:rFonts w:ascii="Times New Roman" w:hAnsi="Times New Roman" w:cs="Times New Roman"/>
          <w:sz w:val="24"/>
          <w:szCs w:val="24"/>
        </w:rPr>
        <w:t>,</w:t>
      </w:r>
      <w:r w:rsidRPr="00534F15">
        <w:rPr>
          <w:rFonts w:ascii="Times New Roman" w:hAnsi="Times New Roman" w:cs="Times New Roman"/>
          <w:sz w:val="24"/>
          <w:szCs w:val="24"/>
        </w:rPr>
        <w:t xml:space="preserve"> Cassazione</w:t>
      </w:r>
      <w:r>
        <w:rPr>
          <w:rFonts w:ascii="Times New Roman" w:hAnsi="Times New Roman" w:cs="Times New Roman"/>
          <w:sz w:val="24"/>
          <w:szCs w:val="24"/>
        </w:rPr>
        <w:t>,</w:t>
      </w:r>
      <w:r w:rsidRPr="00534F15">
        <w:rPr>
          <w:rFonts w:ascii="Times New Roman" w:hAnsi="Times New Roman" w:cs="Times New Roman"/>
          <w:sz w:val="24"/>
          <w:szCs w:val="24"/>
        </w:rPr>
        <w:t xml:space="preserve"> sez.</w:t>
      </w:r>
      <w:r>
        <w:rPr>
          <w:rFonts w:ascii="Times New Roman" w:hAnsi="Times New Roman" w:cs="Times New Roman"/>
          <w:sz w:val="24"/>
          <w:szCs w:val="24"/>
        </w:rPr>
        <w:t xml:space="preserve"> </w:t>
      </w:r>
      <w:r w:rsidRPr="00534F15">
        <w:rPr>
          <w:rFonts w:ascii="Times New Roman" w:hAnsi="Times New Roman" w:cs="Times New Roman"/>
          <w:sz w:val="24"/>
          <w:szCs w:val="24"/>
        </w:rPr>
        <w:t>II</w:t>
      </w:r>
      <w:r>
        <w:rPr>
          <w:rFonts w:ascii="Times New Roman" w:hAnsi="Times New Roman" w:cs="Times New Roman"/>
          <w:sz w:val="24"/>
          <w:szCs w:val="24"/>
        </w:rPr>
        <w:t>,</w:t>
      </w:r>
      <w:r w:rsidRPr="00534F15">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534F15">
        <w:rPr>
          <w:rFonts w:ascii="Times New Roman" w:hAnsi="Times New Roman" w:cs="Times New Roman"/>
          <w:sz w:val="24"/>
          <w:szCs w:val="24"/>
        </w:rPr>
        <w:t>5741 del 13 febbraio 2020,</w:t>
      </w:r>
      <w:r>
        <w:rPr>
          <w:rFonts w:ascii="Times New Roman" w:hAnsi="Times New Roman" w:cs="Times New Roman"/>
          <w:sz w:val="24"/>
          <w:szCs w:val="24"/>
        </w:rPr>
        <w:t xml:space="preserve"> m</w:t>
      </w:r>
      <w:r w:rsidRPr="00534F15">
        <w:rPr>
          <w:rFonts w:ascii="Times New Roman" w:hAnsi="Times New Roman" w:cs="Times New Roman"/>
          <w:sz w:val="24"/>
          <w:szCs w:val="24"/>
        </w:rPr>
        <w:t>.278568</w:t>
      </w:r>
      <w:r>
        <w:rPr>
          <w:rFonts w:ascii="Times New Roman" w:hAnsi="Times New Roman" w:cs="Times New Roman"/>
          <w:sz w:val="24"/>
          <w:szCs w:val="24"/>
        </w:rPr>
        <w:t xml:space="preserve">. </w:t>
      </w:r>
    </w:p>
  </w:footnote>
  <w:footnote w:id="50">
    <w:p w14:paraId="01DEFA45" w14:textId="746BAF5B" w:rsidR="000463A6" w:rsidRDefault="000463A6" w:rsidP="00534F15">
      <w:pPr>
        <w:pStyle w:val="Testonotaapidipagina"/>
        <w:jc w:val="both"/>
      </w:pPr>
      <w:r w:rsidRPr="00534F15">
        <w:rPr>
          <w:rStyle w:val="Rimandonotaapidipagina"/>
          <w:rFonts w:ascii="Times New Roman" w:hAnsi="Times New Roman" w:cs="Times New Roman"/>
          <w:sz w:val="24"/>
          <w:szCs w:val="24"/>
        </w:rPr>
        <w:footnoteRef/>
      </w:r>
      <w:r w:rsidRPr="00534F15">
        <w:rPr>
          <w:rFonts w:ascii="Times New Roman" w:hAnsi="Times New Roman" w:cs="Times New Roman"/>
          <w:sz w:val="24"/>
          <w:szCs w:val="24"/>
        </w:rPr>
        <w:t xml:space="preserve"> </w:t>
      </w:r>
      <w:r>
        <w:rPr>
          <w:rFonts w:ascii="Times New Roman" w:hAnsi="Times New Roman" w:cs="Times New Roman"/>
          <w:sz w:val="24"/>
          <w:szCs w:val="24"/>
        </w:rPr>
        <w:t>S</w:t>
      </w:r>
      <w:r w:rsidRPr="00534F15">
        <w:rPr>
          <w:rFonts w:ascii="Times New Roman" w:hAnsi="Times New Roman" w:cs="Times New Roman"/>
          <w:sz w:val="24"/>
          <w:szCs w:val="24"/>
        </w:rPr>
        <w:t>i veda anche Cassazione, sez.</w:t>
      </w:r>
      <w:r>
        <w:rPr>
          <w:rFonts w:ascii="Times New Roman" w:hAnsi="Times New Roman" w:cs="Times New Roman"/>
          <w:sz w:val="24"/>
          <w:szCs w:val="24"/>
        </w:rPr>
        <w:t xml:space="preserve"> </w:t>
      </w:r>
      <w:r w:rsidRPr="00534F15">
        <w:rPr>
          <w:rFonts w:ascii="Times New Roman" w:hAnsi="Times New Roman" w:cs="Times New Roman"/>
          <w:sz w:val="24"/>
          <w:szCs w:val="24"/>
        </w:rPr>
        <w:t>III, n.</w:t>
      </w:r>
      <w:r>
        <w:rPr>
          <w:rFonts w:ascii="Times New Roman" w:hAnsi="Times New Roman" w:cs="Times New Roman"/>
          <w:sz w:val="24"/>
          <w:szCs w:val="24"/>
        </w:rPr>
        <w:t xml:space="preserve"> </w:t>
      </w:r>
      <w:r w:rsidRPr="00534F15">
        <w:rPr>
          <w:rFonts w:ascii="Times New Roman" w:hAnsi="Times New Roman" w:cs="Times New Roman"/>
          <w:sz w:val="24"/>
          <w:szCs w:val="24"/>
        </w:rPr>
        <w:t>48737 del 25 settembre 2019</w:t>
      </w:r>
      <w:r>
        <w:rPr>
          <w:rFonts w:ascii="Times New Roman" w:hAnsi="Times New Roman" w:cs="Times New Roman"/>
          <w:sz w:val="24"/>
          <w:szCs w:val="24"/>
        </w:rPr>
        <w:t>,</w:t>
      </w:r>
      <w:r w:rsidRPr="00534F15">
        <w:rPr>
          <w:rFonts w:ascii="Times New Roman" w:hAnsi="Times New Roman" w:cs="Times New Roman"/>
          <w:sz w:val="24"/>
          <w:szCs w:val="24"/>
        </w:rPr>
        <w:t xml:space="preserve"> m.277353; sez.</w:t>
      </w:r>
      <w:r>
        <w:rPr>
          <w:rFonts w:ascii="Times New Roman" w:hAnsi="Times New Roman" w:cs="Times New Roman"/>
          <w:sz w:val="24"/>
          <w:szCs w:val="24"/>
        </w:rPr>
        <w:t xml:space="preserve"> </w:t>
      </w:r>
      <w:r w:rsidRPr="00534F15">
        <w:rPr>
          <w:rFonts w:ascii="Times New Roman" w:hAnsi="Times New Roman" w:cs="Times New Roman"/>
          <w:sz w:val="24"/>
          <w:szCs w:val="24"/>
        </w:rPr>
        <w:t>V</w:t>
      </w:r>
      <w:r>
        <w:rPr>
          <w:rFonts w:ascii="Times New Roman" w:hAnsi="Times New Roman" w:cs="Times New Roman"/>
          <w:sz w:val="24"/>
          <w:szCs w:val="24"/>
        </w:rPr>
        <w:t xml:space="preserve">, </w:t>
      </w:r>
      <w:r w:rsidRPr="00534F15">
        <w:rPr>
          <w:rFonts w:ascii="Times New Roman" w:hAnsi="Times New Roman" w:cs="Times New Roman"/>
          <w:sz w:val="24"/>
          <w:szCs w:val="24"/>
        </w:rPr>
        <w:t>n.</w:t>
      </w:r>
      <w:r>
        <w:rPr>
          <w:rFonts w:ascii="Times New Roman" w:hAnsi="Times New Roman" w:cs="Times New Roman"/>
          <w:sz w:val="24"/>
          <w:szCs w:val="24"/>
        </w:rPr>
        <w:t xml:space="preserve"> </w:t>
      </w:r>
      <w:r w:rsidRPr="00534F15">
        <w:rPr>
          <w:rFonts w:ascii="Times New Roman" w:hAnsi="Times New Roman" w:cs="Times New Roman"/>
          <w:sz w:val="24"/>
          <w:szCs w:val="24"/>
        </w:rPr>
        <w:t>33851 del 24 aprile 2018,</w:t>
      </w:r>
      <w:r>
        <w:rPr>
          <w:rFonts w:ascii="Times New Roman" w:hAnsi="Times New Roman" w:cs="Times New Roman"/>
          <w:sz w:val="24"/>
          <w:szCs w:val="24"/>
        </w:rPr>
        <w:t xml:space="preserve"> </w:t>
      </w:r>
      <w:r w:rsidRPr="00534F15">
        <w:rPr>
          <w:rFonts w:ascii="Times New Roman" w:hAnsi="Times New Roman" w:cs="Times New Roman"/>
          <w:sz w:val="24"/>
          <w:szCs w:val="24"/>
        </w:rPr>
        <w:t>m.273892.</w:t>
      </w:r>
      <w:r>
        <w:rPr>
          <w:rFonts w:ascii="Times New Roman" w:hAnsi="Times New Roman" w:cs="Times New Roman"/>
          <w:sz w:val="24"/>
          <w:szCs w:val="24"/>
        </w:rPr>
        <w:t xml:space="preserve"> Sul tema si vedano anche </w:t>
      </w:r>
      <w:r w:rsidRPr="00716A11">
        <w:rPr>
          <w:rFonts w:ascii="Times New Roman" w:hAnsi="Times New Roman" w:cs="Times New Roman"/>
          <w:smallCaps/>
          <w:sz w:val="24"/>
          <w:szCs w:val="24"/>
        </w:rPr>
        <w:t xml:space="preserve">N. </w:t>
      </w:r>
      <w:proofErr w:type="spellStart"/>
      <w:r w:rsidRPr="00716A11">
        <w:rPr>
          <w:rFonts w:ascii="Times New Roman" w:hAnsi="Times New Roman" w:cs="Times New Roman"/>
          <w:smallCaps/>
          <w:sz w:val="24"/>
          <w:szCs w:val="24"/>
        </w:rPr>
        <w:t>Rezende</w:t>
      </w:r>
      <w:proofErr w:type="spellEnd"/>
      <w:r w:rsidRPr="00716A11">
        <w:rPr>
          <w:rFonts w:ascii="Times New Roman" w:hAnsi="Times New Roman" w:cs="Times New Roman"/>
          <w:sz w:val="24"/>
          <w:szCs w:val="24"/>
        </w:rPr>
        <w:t xml:space="preserve">, </w:t>
      </w:r>
      <w:r>
        <w:rPr>
          <w:rFonts w:ascii="Times New Roman" w:hAnsi="Times New Roman" w:cs="Times New Roman"/>
          <w:sz w:val="24"/>
          <w:szCs w:val="24"/>
        </w:rPr>
        <w:t>“</w:t>
      </w:r>
      <w:r w:rsidRPr="00716A11">
        <w:rPr>
          <w:rFonts w:ascii="Times New Roman" w:hAnsi="Times New Roman" w:cs="Times New Roman"/>
          <w:i/>
          <w:iCs/>
          <w:sz w:val="24"/>
          <w:szCs w:val="24"/>
        </w:rPr>
        <w:t xml:space="preserve">Dati esterni alle comunicazioni e processo penale: questioni ancora aperte in tema di data </w:t>
      </w:r>
      <w:proofErr w:type="spellStart"/>
      <w:r w:rsidRPr="00716A11">
        <w:rPr>
          <w:rFonts w:ascii="Times New Roman" w:hAnsi="Times New Roman" w:cs="Times New Roman"/>
          <w:i/>
          <w:iCs/>
          <w:sz w:val="24"/>
          <w:szCs w:val="24"/>
        </w:rPr>
        <w:t>retention</w:t>
      </w:r>
      <w:proofErr w:type="spellEnd"/>
      <w:r>
        <w:rPr>
          <w:rFonts w:ascii="Times New Roman" w:hAnsi="Times New Roman" w:cs="Times New Roman"/>
          <w:sz w:val="24"/>
          <w:szCs w:val="24"/>
        </w:rPr>
        <w:t>”</w:t>
      </w:r>
      <w:r w:rsidRPr="00716A11">
        <w:rPr>
          <w:rFonts w:ascii="Times New Roman" w:hAnsi="Times New Roman" w:cs="Times New Roman"/>
          <w:sz w:val="24"/>
          <w:szCs w:val="24"/>
        </w:rPr>
        <w:t xml:space="preserve">, nota a </w:t>
      </w:r>
      <w:proofErr w:type="spellStart"/>
      <w:r w:rsidRPr="00716A11">
        <w:rPr>
          <w:rFonts w:ascii="Times New Roman" w:hAnsi="Times New Roman" w:cs="Times New Roman"/>
          <w:sz w:val="24"/>
          <w:szCs w:val="24"/>
        </w:rPr>
        <w:t>Cass</w:t>
      </w:r>
      <w:proofErr w:type="spellEnd"/>
      <w:r w:rsidRPr="00716A11">
        <w:rPr>
          <w:rFonts w:ascii="Times New Roman" w:hAnsi="Times New Roman" w:cs="Times New Roman"/>
          <w:sz w:val="24"/>
          <w:szCs w:val="24"/>
        </w:rPr>
        <w:t xml:space="preserve">., </w:t>
      </w:r>
      <w:r>
        <w:rPr>
          <w:rFonts w:ascii="Times New Roman" w:hAnsi="Times New Roman" w:cs="Times New Roman"/>
          <w:sz w:val="24"/>
          <w:szCs w:val="24"/>
        </w:rPr>
        <w:t>s</w:t>
      </w:r>
      <w:r w:rsidRPr="00716A11">
        <w:rPr>
          <w:rFonts w:ascii="Times New Roman" w:hAnsi="Times New Roman" w:cs="Times New Roman"/>
          <w:sz w:val="24"/>
          <w:szCs w:val="24"/>
        </w:rPr>
        <w:t>ez. III, 19 aprile 2019 (</w:t>
      </w:r>
      <w:proofErr w:type="spellStart"/>
      <w:r w:rsidRPr="00716A11">
        <w:rPr>
          <w:rFonts w:ascii="Times New Roman" w:hAnsi="Times New Roman" w:cs="Times New Roman"/>
          <w:sz w:val="24"/>
          <w:szCs w:val="24"/>
        </w:rPr>
        <w:t>dep</w:t>
      </w:r>
      <w:proofErr w:type="spellEnd"/>
      <w:r w:rsidRPr="00716A11">
        <w:rPr>
          <w:rFonts w:ascii="Times New Roman" w:hAnsi="Times New Roman" w:cs="Times New Roman"/>
          <w:sz w:val="24"/>
          <w:szCs w:val="24"/>
        </w:rPr>
        <w:t xml:space="preserve">. 23 agosto 2019), n. 36380, in </w:t>
      </w:r>
      <w:r w:rsidRPr="00716A11">
        <w:rPr>
          <w:rFonts w:ascii="Times New Roman" w:hAnsi="Times New Roman" w:cs="Times New Roman"/>
          <w:i/>
          <w:iCs/>
          <w:sz w:val="24"/>
          <w:szCs w:val="24"/>
        </w:rPr>
        <w:t>www.sistemapenale.it</w:t>
      </w:r>
      <w:r>
        <w:rPr>
          <w:rFonts w:ascii="Times New Roman" w:hAnsi="Times New Roman" w:cs="Times New Roman"/>
          <w:sz w:val="24"/>
          <w:szCs w:val="24"/>
        </w:rPr>
        <w:t xml:space="preserve">; </w:t>
      </w:r>
      <w:r w:rsidRPr="00716A11">
        <w:rPr>
          <w:rFonts w:ascii="Times New Roman" w:hAnsi="Times New Roman" w:cs="Times New Roman"/>
          <w:smallCaps/>
          <w:sz w:val="24"/>
          <w:szCs w:val="24"/>
        </w:rPr>
        <w:t>L. Luparia</w:t>
      </w:r>
      <w:r w:rsidRPr="00716A11">
        <w:rPr>
          <w:rFonts w:ascii="Times New Roman" w:hAnsi="Times New Roman" w:cs="Times New Roman"/>
          <w:sz w:val="24"/>
          <w:szCs w:val="24"/>
        </w:rPr>
        <w:t xml:space="preserve">, </w:t>
      </w:r>
      <w:r>
        <w:rPr>
          <w:rFonts w:ascii="Times New Roman" w:hAnsi="Times New Roman" w:cs="Times New Roman"/>
          <w:sz w:val="24"/>
          <w:szCs w:val="24"/>
        </w:rPr>
        <w:t>“</w:t>
      </w:r>
      <w:r w:rsidRPr="00716A11">
        <w:rPr>
          <w:rFonts w:ascii="Times New Roman" w:hAnsi="Times New Roman" w:cs="Times New Roman"/>
          <w:i/>
          <w:iCs/>
          <w:sz w:val="24"/>
          <w:szCs w:val="24"/>
        </w:rPr>
        <w:t xml:space="preserve">Data </w:t>
      </w:r>
      <w:proofErr w:type="spellStart"/>
      <w:r w:rsidRPr="00716A11">
        <w:rPr>
          <w:rFonts w:ascii="Times New Roman" w:hAnsi="Times New Roman" w:cs="Times New Roman"/>
          <w:i/>
          <w:iCs/>
          <w:sz w:val="24"/>
          <w:szCs w:val="24"/>
        </w:rPr>
        <w:t>retention</w:t>
      </w:r>
      <w:proofErr w:type="spellEnd"/>
      <w:r w:rsidRPr="00716A11">
        <w:rPr>
          <w:rFonts w:ascii="Times New Roman" w:hAnsi="Times New Roman" w:cs="Times New Roman"/>
          <w:i/>
          <w:iCs/>
          <w:sz w:val="24"/>
          <w:szCs w:val="24"/>
        </w:rPr>
        <w:t xml:space="preserve"> e processo penale. Un</w:t>
      </w:r>
      <w:r>
        <w:rPr>
          <w:rFonts w:ascii="Times New Roman" w:hAnsi="Times New Roman" w:cs="Times New Roman"/>
          <w:i/>
          <w:iCs/>
          <w:sz w:val="24"/>
          <w:szCs w:val="24"/>
        </w:rPr>
        <w:t>’</w:t>
      </w:r>
      <w:r w:rsidRPr="00716A11">
        <w:rPr>
          <w:rFonts w:ascii="Times New Roman" w:hAnsi="Times New Roman" w:cs="Times New Roman"/>
          <w:i/>
          <w:iCs/>
          <w:sz w:val="24"/>
          <w:szCs w:val="24"/>
        </w:rPr>
        <w:t>occasione mancata per prendere i diritti davvero sul serio</w:t>
      </w:r>
      <w:r>
        <w:rPr>
          <w:rFonts w:ascii="Times New Roman" w:hAnsi="Times New Roman" w:cs="Times New Roman"/>
          <w:sz w:val="24"/>
          <w:szCs w:val="24"/>
        </w:rPr>
        <w:t>”</w:t>
      </w:r>
      <w:r w:rsidRPr="00716A11">
        <w:rPr>
          <w:rFonts w:ascii="Times New Roman" w:hAnsi="Times New Roman" w:cs="Times New Roman"/>
          <w:sz w:val="24"/>
          <w:szCs w:val="24"/>
        </w:rPr>
        <w:t xml:space="preserve">, in </w:t>
      </w:r>
      <w:r w:rsidRPr="00DD5474">
        <w:rPr>
          <w:rFonts w:ascii="Times New Roman" w:hAnsi="Times New Roman" w:cs="Times New Roman"/>
          <w:i/>
          <w:iCs/>
          <w:sz w:val="24"/>
          <w:szCs w:val="24"/>
        </w:rPr>
        <w:t>Diritto di Internet</w:t>
      </w:r>
      <w:r w:rsidRPr="00716A11">
        <w:rPr>
          <w:rFonts w:ascii="Times New Roman" w:hAnsi="Times New Roman" w:cs="Times New Roman"/>
          <w:sz w:val="24"/>
          <w:szCs w:val="24"/>
        </w:rPr>
        <w:t>, 2019, 4, p. 762</w:t>
      </w:r>
      <w:r>
        <w:rPr>
          <w:rFonts w:ascii="Times New Roman" w:hAnsi="Times New Roman" w:cs="Times New Roman"/>
          <w:sz w:val="24"/>
          <w:szCs w:val="24"/>
        </w:rPr>
        <w:t>.</w:t>
      </w:r>
    </w:p>
  </w:footnote>
  <w:footnote w:id="51">
    <w:p w14:paraId="5936F9AC" w14:textId="6AA37C60" w:rsidR="000463A6" w:rsidRPr="00313A58" w:rsidRDefault="000463A6" w:rsidP="00313A58">
      <w:pPr>
        <w:pStyle w:val="Testonotaapidipagina"/>
        <w:jc w:val="both"/>
        <w:rPr>
          <w:rFonts w:ascii="Times New Roman" w:hAnsi="Times New Roman" w:cs="Times New Roman"/>
          <w:sz w:val="24"/>
          <w:szCs w:val="24"/>
        </w:rPr>
      </w:pPr>
      <w:r w:rsidRPr="00313A58">
        <w:rPr>
          <w:rStyle w:val="Rimandonotaapidipagina"/>
          <w:rFonts w:ascii="Times New Roman" w:hAnsi="Times New Roman" w:cs="Times New Roman"/>
          <w:sz w:val="24"/>
          <w:szCs w:val="24"/>
        </w:rPr>
        <w:footnoteRef/>
      </w:r>
      <w:r w:rsidRPr="00313A58">
        <w:rPr>
          <w:rFonts w:ascii="Times New Roman" w:hAnsi="Times New Roman" w:cs="Times New Roman"/>
          <w:sz w:val="24"/>
          <w:szCs w:val="24"/>
        </w:rPr>
        <w:t xml:space="preserve"> </w:t>
      </w:r>
      <w:r w:rsidRPr="00313A58">
        <w:rPr>
          <w:rFonts w:ascii="Times New Roman" w:hAnsi="Times New Roman" w:cs="Times New Roman"/>
          <w:smallCaps/>
          <w:sz w:val="24"/>
          <w:szCs w:val="24"/>
        </w:rPr>
        <w:t>G. U. Rescigno</w:t>
      </w:r>
      <w:r w:rsidRPr="00DD5474">
        <w:rPr>
          <w:rFonts w:ascii="Times New Roman" w:hAnsi="Times New Roman" w:cs="Times New Roman"/>
          <w:sz w:val="24"/>
          <w:szCs w:val="24"/>
        </w:rPr>
        <w:t>, “</w:t>
      </w:r>
      <w:r w:rsidRPr="00313A58">
        <w:rPr>
          <w:rFonts w:ascii="Times New Roman" w:hAnsi="Times New Roman" w:cs="Times New Roman"/>
          <w:i/>
          <w:iCs/>
          <w:sz w:val="24"/>
          <w:szCs w:val="24"/>
        </w:rPr>
        <w:t>L’esercizio dell’azione pubblica ed il pubblico ministero</w:t>
      </w:r>
      <w:r w:rsidRPr="00313A58">
        <w:rPr>
          <w:rFonts w:ascii="Times New Roman" w:hAnsi="Times New Roman" w:cs="Times New Roman"/>
          <w:sz w:val="24"/>
          <w:szCs w:val="24"/>
        </w:rPr>
        <w:t>”, relazione dell’8 novembre 2004 al Convegno dell’Associazione Italiana dei Costituzionalisti su “</w:t>
      </w:r>
      <w:r w:rsidRPr="00313A58">
        <w:rPr>
          <w:rFonts w:ascii="Times New Roman" w:hAnsi="Times New Roman" w:cs="Times New Roman"/>
          <w:i/>
          <w:iCs/>
          <w:sz w:val="24"/>
          <w:szCs w:val="24"/>
        </w:rPr>
        <w:t>Separazione dei poteri e</w:t>
      </w:r>
      <w:r w:rsidRPr="00313A58">
        <w:rPr>
          <w:rFonts w:ascii="Times New Roman" w:hAnsi="Times New Roman" w:cs="Times New Roman"/>
          <w:sz w:val="24"/>
          <w:szCs w:val="24"/>
        </w:rPr>
        <w:t xml:space="preserve"> </w:t>
      </w:r>
      <w:r w:rsidRPr="00313A58">
        <w:rPr>
          <w:rFonts w:ascii="Times New Roman" w:hAnsi="Times New Roman" w:cs="Times New Roman"/>
          <w:i/>
          <w:iCs/>
          <w:sz w:val="24"/>
          <w:szCs w:val="24"/>
        </w:rPr>
        <w:t>funzione giurisdizionale</w:t>
      </w:r>
      <w:r w:rsidRPr="00313A58">
        <w:rPr>
          <w:rFonts w:ascii="Times New Roman" w:hAnsi="Times New Roman" w:cs="Times New Roman"/>
          <w:sz w:val="24"/>
          <w:szCs w:val="24"/>
        </w:rPr>
        <w:t>”.</w:t>
      </w:r>
    </w:p>
  </w:footnote>
  <w:footnote w:id="52">
    <w:p w14:paraId="73559E30" w14:textId="531688D2" w:rsidR="000463A6" w:rsidRPr="00A20519" w:rsidRDefault="000463A6" w:rsidP="00A20519">
      <w:pPr>
        <w:pStyle w:val="Testonotaapidipagina"/>
        <w:jc w:val="both"/>
        <w:rPr>
          <w:rFonts w:ascii="Times New Roman" w:hAnsi="Times New Roman" w:cs="Times New Roman"/>
          <w:sz w:val="24"/>
          <w:szCs w:val="24"/>
        </w:rPr>
      </w:pPr>
      <w:r w:rsidRPr="00A20519">
        <w:rPr>
          <w:rStyle w:val="Rimandonotaapidipagina"/>
          <w:rFonts w:ascii="Times New Roman" w:hAnsi="Times New Roman" w:cs="Times New Roman"/>
          <w:sz w:val="24"/>
          <w:szCs w:val="24"/>
        </w:rPr>
        <w:footnoteRef/>
      </w:r>
      <w:r w:rsidRPr="00A20519">
        <w:rPr>
          <w:rFonts w:ascii="Times New Roman" w:hAnsi="Times New Roman" w:cs="Times New Roman"/>
          <w:sz w:val="24"/>
          <w:szCs w:val="24"/>
        </w:rPr>
        <w:t xml:space="preserve"> Cassazione</w:t>
      </w:r>
      <w:r>
        <w:rPr>
          <w:rFonts w:ascii="Times New Roman" w:hAnsi="Times New Roman" w:cs="Times New Roman"/>
          <w:sz w:val="24"/>
          <w:szCs w:val="24"/>
        </w:rPr>
        <w:t xml:space="preserve">, </w:t>
      </w:r>
      <w:r w:rsidRPr="00A20519">
        <w:rPr>
          <w:rFonts w:ascii="Times New Roman" w:hAnsi="Times New Roman" w:cs="Times New Roman"/>
          <w:sz w:val="24"/>
          <w:szCs w:val="24"/>
        </w:rPr>
        <w:t>sez</w:t>
      </w:r>
      <w:r>
        <w:rPr>
          <w:rFonts w:ascii="Times New Roman" w:hAnsi="Times New Roman" w:cs="Times New Roman"/>
          <w:sz w:val="24"/>
          <w:szCs w:val="24"/>
        </w:rPr>
        <w:t xml:space="preserve">. </w:t>
      </w:r>
      <w:r w:rsidRPr="00A20519">
        <w:rPr>
          <w:rFonts w:ascii="Times New Roman" w:hAnsi="Times New Roman" w:cs="Times New Roman"/>
          <w:sz w:val="24"/>
          <w:szCs w:val="24"/>
        </w:rPr>
        <w:t>V, n.</w:t>
      </w:r>
      <w:r>
        <w:rPr>
          <w:rFonts w:ascii="Times New Roman" w:hAnsi="Times New Roman" w:cs="Times New Roman"/>
          <w:sz w:val="24"/>
          <w:szCs w:val="24"/>
        </w:rPr>
        <w:t xml:space="preserve"> </w:t>
      </w:r>
      <w:r w:rsidRPr="00A20519">
        <w:rPr>
          <w:rFonts w:ascii="Times New Roman" w:hAnsi="Times New Roman" w:cs="Times New Roman"/>
          <w:sz w:val="24"/>
          <w:szCs w:val="24"/>
        </w:rPr>
        <w:t>7265 del 25 gennaio 2016,</w:t>
      </w:r>
      <w:r>
        <w:rPr>
          <w:rFonts w:ascii="Times New Roman" w:hAnsi="Times New Roman" w:cs="Times New Roman"/>
          <w:sz w:val="24"/>
          <w:szCs w:val="24"/>
        </w:rPr>
        <w:t xml:space="preserve"> </w:t>
      </w:r>
      <w:r w:rsidRPr="00A20519">
        <w:rPr>
          <w:rFonts w:ascii="Times New Roman" w:hAnsi="Times New Roman" w:cs="Times New Roman"/>
          <w:sz w:val="24"/>
          <w:szCs w:val="24"/>
        </w:rPr>
        <w:t xml:space="preserve">m.267144-01; in motivazione </w:t>
      </w:r>
      <w:r>
        <w:rPr>
          <w:rFonts w:ascii="Times New Roman" w:hAnsi="Times New Roman" w:cs="Times New Roman"/>
          <w:sz w:val="24"/>
          <w:szCs w:val="24"/>
        </w:rPr>
        <w:t>S</w:t>
      </w:r>
      <w:r w:rsidRPr="00A20519">
        <w:rPr>
          <w:rFonts w:ascii="Times New Roman" w:hAnsi="Times New Roman" w:cs="Times New Roman"/>
          <w:sz w:val="24"/>
          <w:szCs w:val="24"/>
        </w:rPr>
        <w:t>ezioni Unite,</w:t>
      </w:r>
      <w:r>
        <w:rPr>
          <w:rFonts w:ascii="Times New Roman" w:hAnsi="Times New Roman" w:cs="Times New Roman"/>
          <w:sz w:val="24"/>
          <w:szCs w:val="24"/>
        </w:rPr>
        <w:t xml:space="preserve"> </w:t>
      </w:r>
      <w:r w:rsidRPr="00A20519">
        <w:rPr>
          <w:rFonts w:ascii="Times New Roman" w:hAnsi="Times New Roman" w:cs="Times New Roman"/>
          <w:sz w:val="24"/>
          <w:szCs w:val="24"/>
        </w:rPr>
        <w:t>n</w:t>
      </w:r>
      <w:r>
        <w:rPr>
          <w:rFonts w:ascii="Times New Roman" w:hAnsi="Times New Roman" w:cs="Times New Roman"/>
          <w:sz w:val="24"/>
          <w:szCs w:val="24"/>
        </w:rPr>
        <w:t xml:space="preserve">. </w:t>
      </w:r>
      <w:r w:rsidRPr="00A20519">
        <w:rPr>
          <w:rFonts w:ascii="Times New Roman" w:hAnsi="Times New Roman" w:cs="Times New Roman"/>
          <w:sz w:val="24"/>
          <w:szCs w:val="24"/>
        </w:rPr>
        <w:t xml:space="preserve">155 del 2012 e </w:t>
      </w:r>
      <w:r>
        <w:rPr>
          <w:rFonts w:ascii="Times New Roman" w:hAnsi="Times New Roman" w:cs="Times New Roman"/>
          <w:sz w:val="24"/>
          <w:szCs w:val="24"/>
        </w:rPr>
        <w:t>S</w:t>
      </w:r>
      <w:r w:rsidRPr="00A20519">
        <w:rPr>
          <w:rFonts w:ascii="Times New Roman" w:hAnsi="Times New Roman" w:cs="Times New Roman"/>
          <w:sz w:val="24"/>
          <w:szCs w:val="24"/>
        </w:rPr>
        <w:t>ezioni Unite n.</w:t>
      </w:r>
      <w:r>
        <w:rPr>
          <w:rFonts w:ascii="Times New Roman" w:hAnsi="Times New Roman" w:cs="Times New Roman"/>
          <w:sz w:val="24"/>
          <w:szCs w:val="24"/>
        </w:rPr>
        <w:t xml:space="preserve"> </w:t>
      </w:r>
      <w:r w:rsidRPr="00A20519">
        <w:rPr>
          <w:rFonts w:ascii="Times New Roman" w:hAnsi="Times New Roman" w:cs="Times New Roman"/>
          <w:sz w:val="24"/>
          <w:szCs w:val="24"/>
        </w:rPr>
        <w:t>52117 del 2014; sez</w:t>
      </w:r>
      <w:r>
        <w:rPr>
          <w:rFonts w:ascii="Times New Roman" w:hAnsi="Times New Roman" w:cs="Times New Roman"/>
          <w:sz w:val="24"/>
          <w:szCs w:val="24"/>
        </w:rPr>
        <w:t xml:space="preserve">. </w:t>
      </w:r>
      <w:r w:rsidRPr="00A20519">
        <w:rPr>
          <w:rFonts w:ascii="Times New Roman" w:hAnsi="Times New Roman" w:cs="Times New Roman"/>
          <w:sz w:val="24"/>
          <w:szCs w:val="24"/>
        </w:rPr>
        <w:t>V</w:t>
      </w:r>
      <w:r>
        <w:rPr>
          <w:rFonts w:ascii="Times New Roman" w:hAnsi="Times New Roman" w:cs="Times New Roman"/>
          <w:sz w:val="24"/>
          <w:szCs w:val="24"/>
        </w:rPr>
        <w:t>,</w:t>
      </w:r>
      <w:r w:rsidRPr="00A20519">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A20519">
        <w:rPr>
          <w:rFonts w:ascii="Times New Roman" w:hAnsi="Times New Roman" w:cs="Times New Roman"/>
          <w:sz w:val="24"/>
          <w:szCs w:val="24"/>
        </w:rPr>
        <w:t>15613 del 5 dicembre 2014</w:t>
      </w:r>
      <w:r>
        <w:rPr>
          <w:rFonts w:ascii="Times New Roman" w:hAnsi="Times New Roman" w:cs="Times New Roman"/>
          <w:sz w:val="24"/>
          <w:szCs w:val="24"/>
        </w:rPr>
        <w:t>,</w:t>
      </w:r>
      <w:r w:rsidRPr="00A20519">
        <w:rPr>
          <w:rFonts w:ascii="Times New Roman" w:hAnsi="Times New Roman" w:cs="Times New Roman"/>
          <w:sz w:val="24"/>
          <w:szCs w:val="24"/>
        </w:rPr>
        <w:t xml:space="preserve"> m.263805.</w:t>
      </w:r>
    </w:p>
  </w:footnote>
  <w:footnote w:id="53">
    <w:p w14:paraId="4784F70E" w14:textId="30E3084D" w:rsidR="000463A6" w:rsidRPr="00233EE6" w:rsidRDefault="000463A6" w:rsidP="00233EE6">
      <w:pPr>
        <w:pStyle w:val="Testonotaapidipagina"/>
        <w:jc w:val="both"/>
        <w:rPr>
          <w:rFonts w:ascii="Times New Roman" w:hAnsi="Times New Roman" w:cs="Times New Roman"/>
          <w:sz w:val="24"/>
          <w:szCs w:val="24"/>
        </w:rPr>
      </w:pPr>
      <w:r w:rsidRPr="00233EE6">
        <w:rPr>
          <w:rStyle w:val="Rimandonotaapidipagina"/>
          <w:rFonts w:ascii="Times New Roman" w:hAnsi="Times New Roman" w:cs="Times New Roman"/>
          <w:sz w:val="24"/>
          <w:szCs w:val="24"/>
        </w:rPr>
        <w:footnoteRef/>
      </w:r>
      <w:r w:rsidRPr="00233EE6">
        <w:rPr>
          <w:rFonts w:ascii="Times New Roman" w:hAnsi="Times New Roman" w:cs="Times New Roman"/>
          <w:sz w:val="24"/>
          <w:szCs w:val="24"/>
        </w:rPr>
        <w:t xml:space="preserve"> Sul tema: </w:t>
      </w:r>
      <w:r w:rsidRPr="00233EE6">
        <w:rPr>
          <w:rFonts w:ascii="Times New Roman" w:hAnsi="Times New Roman" w:cs="Times New Roman"/>
          <w:smallCaps/>
          <w:sz w:val="24"/>
          <w:szCs w:val="24"/>
        </w:rPr>
        <w:t>C. Parodi</w:t>
      </w:r>
      <w:r w:rsidRPr="00233EE6">
        <w:rPr>
          <w:rFonts w:ascii="Times New Roman" w:hAnsi="Times New Roman" w:cs="Times New Roman"/>
          <w:sz w:val="24"/>
          <w:szCs w:val="24"/>
        </w:rPr>
        <w:t>, “</w:t>
      </w:r>
      <w:r w:rsidRPr="00233EE6">
        <w:rPr>
          <w:rFonts w:ascii="Times New Roman" w:hAnsi="Times New Roman" w:cs="Times New Roman"/>
          <w:i/>
          <w:iCs/>
          <w:sz w:val="24"/>
          <w:szCs w:val="24"/>
        </w:rPr>
        <w:t>Tabulati telefonici e contrasti interpretativi: come sopravvivere in attesa di una nuova legge</w:t>
      </w:r>
      <w:r w:rsidRPr="00233EE6">
        <w:rPr>
          <w:rFonts w:ascii="Times New Roman" w:hAnsi="Times New Roman" w:cs="Times New Roman"/>
          <w:sz w:val="24"/>
          <w:szCs w:val="24"/>
        </w:rPr>
        <w:t xml:space="preserve">”, su </w:t>
      </w:r>
      <w:r w:rsidRPr="00233EE6">
        <w:rPr>
          <w:rFonts w:ascii="Times New Roman" w:hAnsi="Times New Roman" w:cs="Times New Roman"/>
          <w:i/>
          <w:iCs/>
          <w:sz w:val="24"/>
          <w:szCs w:val="24"/>
        </w:rPr>
        <w:t>ilpenalista.it</w:t>
      </w:r>
      <w:r w:rsidRPr="00233EE6">
        <w:rPr>
          <w:rFonts w:ascii="Times New Roman" w:hAnsi="Times New Roman" w:cs="Times New Roman"/>
          <w:sz w:val="24"/>
          <w:szCs w:val="24"/>
        </w:rPr>
        <w:t xml:space="preserve">, 3 maggio 2021; </w:t>
      </w:r>
      <w:r w:rsidRPr="00233EE6">
        <w:rPr>
          <w:rFonts w:ascii="Times New Roman" w:hAnsi="Times New Roman" w:cs="Times New Roman"/>
          <w:smallCaps/>
          <w:sz w:val="24"/>
          <w:szCs w:val="24"/>
        </w:rPr>
        <w:t>C. Parodi</w:t>
      </w:r>
      <w:r w:rsidRPr="00233EE6">
        <w:rPr>
          <w:rFonts w:ascii="Times New Roman" w:hAnsi="Times New Roman" w:cs="Times New Roman"/>
          <w:sz w:val="24"/>
          <w:szCs w:val="24"/>
        </w:rPr>
        <w:t>, “</w:t>
      </w:r>
      <w:r w:rsidRPr="00233EE6">
        <w:rPr>
          <w:rFonts w:ascii="Times New Roman" w:hAnsi="Times New Roman" w:cs="Times New Roman"/>
          <w:i/>
          <w:iCs/>
          <w:sz w:val="24"/>
          <w:szCs w:val="24"/>
        </w:rPr>
        <w:t>Tabulati telefonici: la Suprema Corte si esprime dopo le indicazioni della CGUE</w:t>
      </w:r>
      <w:r w:rsidRPr="00233EE6">
        <w:rPr>
          <w:rFonts w:ascii="Times New Roman" w:hAnsi="Times New Roman" w:cs="Times New Roman"/>
          <w:sz w:val="24"/>
          <w:szCs w:val="24"/>
        </w:rPr>
        <w:t xml:space="preserve">”, su </w:t>
      </w:r>
      <w:r w:rsidRPr="00233EE6">
        <w:rPr>
          <w:rFonts w:ascii="Times New Roman" w:hAnsi="Times New Roman" w:cs="Times New Roman"/>
          <w:i/>
          <w:iCs/>
          <w:sz w:val="24"/>
          <w:szCs w:val="24"/>
        </w:rPr>
        <w:t>ilpenalista.it</w:t>
      </w:r>
      <w:r w:rsidRPr="00233EE6">
        <w:rPr>
          <w:rFonts w:ascii="Times New Roman" w:hAnsi="Times New Roman" w:cs="Times New Roman"/>
          <w:sz w:val="24"/>
          <w:szCs w:val="24"/>
        </w:rPr>
        <w:t xml:space="preserve">, 5 agosto 2021; </w:t>
      </w:r>
      <w:r w:rsidRPr="00233EE6">
        <w:rPr>
          <w:rFonts w:ascii="Times New Roman" w:hAnsi="Times New Roman" w:cs="Times New Roman"/>
          <w:smallCaps/>
          <w:sz w:val="24"/>
          <w:szCs w:val="24"/>
        </w:rPr>
        <w:t xml:space="preserve">G. </w:t>
      </w:r>
      <w:proofErr w:type="spellStart"/>
      <w:r w:rsidRPr="00233EE6">
        <w:rPr>
          <w:rFonts w:ascii="Times New Roman" w:hAnsi="Times New Roman" w:cs="Times New Roman"/>
          <w:smallCaps/>
          <w:sz w:val="24"/>
          <w:szCs w:val="24"/>
        </w:rPr>
        <w:t>Spangher</w:t>
      </w:r>
      <w:proofErr w:type="spellEnd"/>
      <w:r w:rsidRPr="00233EE6">
        <w:rPr>
          <w:rFonts w:ascii="Times New Roman" w:hAnsi="Times New Roman" w:cs="Times New Roman"/>
          <w:sz w:val="24"/>
          <w:szCs w:val="24"/>
        </w:rPr>
        <w:t>, “</w:t>
      </w:r>
      <w:r w:rsidRPr="00233EE6">
        <w:rPr>
          <w:rFonts w:ascii="Times New Roman" w:hAnsi="Times New Roman" w:cs="Times New Roman"/>
          <w:i/>
          <w:iCs/>
          <w:sz w:val="24"/>
          <w:szCs w:val="24"/>
        </w:rPr>
        <w:t>I tabulati: un difficile equilibrio tra esigenze di accertamento e tutela di diritti fondamentali</w:t>
      </w:r>
      <w:r w:rsidRPr="00233EE6">
        <w:rPr>
          <w:rFonts w:ascii="Times New Roman" w:hAnsi="Times New Roman" w:cs="Times New Roman"/>
          <w:sz w:val="24"/>
          <w:szCs w:val="24"/>
        </w:rPr>
        <w:t xml:space="preserve">”, in </w:t>
      </w:r>
      <w:r w:rsidRPr="00233EE6">
        <w:rPr>
          <w:rFonts w:ascii="Times New Roman" w:hAnsi="Times New Roman" w:cs="Times New Roman"/>
          <w:i/>
          <w:iCs/>
          <w:sz w:val="24"/>
          <w:szCs w:val="24"/>
        </w:rPr>
        <w:t>Giustizia Insieme</w:t>
      </w:r>
      <w:r w:rsidRPr="00233EE6">
        <w:rPr>
          <w:rFonts w:ascii="Times New Roman" w:hAnsi="Times New Roman" w:cs="Times New Roman"/>
          <w:sz w:val="24"/>
          <w:szCs w:val="24"/>
        </w:rPr>
        <w:t>, 3 maggio 2021; J</w:t>
      </w:r>
      <w:r w:rsidRPr="00233EE6">
        <w:rPr>
          <w:rFonts w:ascii="Times New Roman" w:hAnsi="Times New Roman" w:cs="Times New Roman"/>
          <w:smallCaps/>
          <w:sz w:val="24"/>
          <w:szCs w:val="24"/>
        </w:rPr>
        <w:t>. Della Torre</w:t>
      </w:r>
      <w:r w:rsidRPr="00233EE6">
        <w:rPr>
          <w:rFonts w:ascii="Times New Roman" w:hAnsi="Times New Roman" w:cs="Times New Roman"/>
          <w:sz w:val="24"/>
          <w:szCs w:val="24"/>
        </w:rPr>
        <w:t>, “</w:t>
      </w:r>
      <w:r w:rsidRPr="00233EE6">
        <w:rPr>
          <w:rFonts w:ascii="Times New Roman" w:hAnsi="Times New Roman" w:cs="Times New Roman"/>
          <w:i/>
          <w:iCs/>
          <w:sz w:val="24"/>
          <w:szCs w:val="24"/>
        </w:rPr>
        <w:t>L’acquisizione dei tabulati telefonici nel processo penale dopo la sentenza della Grande Camera della Corte di Giustizia UE: la svolta garantista in un primo provvedimento del Gip di Roma</w:t>
      </w:r>
      <w:r w:rsidRPr="00233EE6">
        <w:rPr>
          <w:rFonts w:ascii="Times New Roman" w:hAnsi="Times New Roman" w:cs="Times New Roman"/>
          <w:sz w:val="24"/>
          <w:szCs w:val="24"/>
        </w:rPr>
        <w:t xml:space="preserve">”, su </w:t>
      </w:r>
      <w:r w:rsidRPr="00233EE6">
        <w:rPr>
          <w:rFonts w:ascii="Times New Roman" w:hAnsi="Times New Roman" w:cs="Times New Roman"/>
          <w:i/>
          <w:iCs/>
          <w:sz w:val="24"/>
          <w:szCs w:val="24"/>
        </w:rPr>
        <w:t>sistemapenale.it</w:t>
      </w:r>
      <w:r w:rsidRPr="00233EE6">
        <w:rPr>
          <w:rFonts w:ascii="Times New Roman" w:hAnsi="Times New Roman" w:cs="Times New Roman"/>
          <w:sz w:val="24"/>
          <w:szCs w:val="24"/>
        </w:rPr>
        <w:t xml:space="preserve">; </w:t>
      </w:r>
      <w:r w:rsidRPr="00233EE6">
        <w:rPr>
          <w:rFonts w:ascii="Times New Roman" w:hAnsi="Times New Roman" w:cs="Times New Roman"/>
          <w:smallCaps/>
          <w:sz w:val="24"/>
          <w:szCs w:val="24"/>
        </w:rPr>
        <w:t>L. Cusano</w:t>
      </w:r>
      <w:r w:rsidRPr="00233EE6">
        <w:rPr>
          <w:rFonts w:ascii="Times New Roman" w:hAnsi="Times New Roman" w:cs="Times New Roman"/>
          <w:sz w:val="24"/>
          <w:szCs w:val="24"/>
        </w:rPr>
        <w:t>, “</w:t>
      </w:r>
      <w:r w:rsidRPr="00233EE6">
        <w:rPr>
          <w:rFonts w:ascii="Times New Roman" w:hAnsi="Times New Roman" w:cs="Times New Roman"/>
          <w:i/>
          <w:iCs/>
          <w:sz w:val="24"/>
          <w:szCs w:val="24"/>
        </w:rPr>
        <w:t>Tabulati telefonici: ulteriori ricadute della sentenza della CGUE del 2 marzo 2021 sul piano della utilizzabilità degli esiti di prova</w:t>
      </w:r>
      <w:r w:rsidRPr="00233EE6">
        <w:rPr>
          <w:rFonts w:ascii="Times New Roman" w:hAnsi="Times New Roman" w:cs="Times New Roman"/>
          <w:sz w:val="24"/>
          <w:szCs w:val="24"/>
        </w:rPr>
        <w:t xml:space="preserve">”, nota a </w:t>
      </w:r>
      <w:proofErr w:type="spellStart"/>
      <w:r w:rsidRPr="00233EE6">
        <w:rPr>
          <w:rFonts w:ascii="Times New Roman" w:hAnsi="Times New Roman" w:cs="Times New Roman"/>
          <w:sz w:val="24"/>
          <w:szCs w:val="24"/>
        </w:rPr>
        <w:t>Trib</w:t>
      </w:r>
      <w:proofErr w:type="spellEnd"/>
      <w:r w:rsidRPr="00233EE6">
        <w:rPr>
          <w:rFonts w:ascii="Times New Roman" w:hAnsi="Times New Roman" w:cs="Times New Roman"/>
          <w:sz w:val="24"/>
          <w:szCs w:val="24"/>
        </w:rPr>
        <w:t xml:space="preserve">. Bari, sez. GIP, 1° maggio 2021, su </w:t>
      </w:r>
      <w:r w:rsidRPr="00233EE6">
        <w:rPr>
          <w:rFonts w:ascii="Times New Roman" w:hAnsi="Times New Roman" w:cs="Times New Roman"/>
          <w:i/>
          <w:iCs/>
          <w:sz w:val="24"/>
          <w:szCs w:val="24"/>
        </w:rPr>
        <w:t>ilpenalista.it</w:t>
      </w:r>
      <w:r w:rsidRPr="00233EE6">
        <w:rPr>
          <w:rFonts w:ascii="Times New Roman" w:hAnsi="Times New Roman" w:cs="Times New Roman"/>
          <w:sz w:val="24"/>
          <w:szCs w:val="24"/>
        </w:rPr>
        <w:t xml:space="preserve">, 25 maggio 2021; </w:t>
      </w:r>
      <w:r w:rsidRPr="00233EE6">
        <w:rPr>
          <w:rFonts w:ascii="Times New Roman" w:hAnsi="Times New Roman" w:cs="Times New Roman"/>
          <w:smallCaps/>
          <w:sz w:val="24"/>
          <w:szCs w:val="24"/>
        </w:rPr>
        <w:t>F. Resta</w:t>
      </w:r>
      <w:r w:rsidRPr="00233EE6">
        <w:rPr>
          <w:rFonts w:ascii="Times New Roman" w:hAnsi="Times New Roman" w:cs="Times New Roman"/>
          <w:sz w:val="24"/>
          <w:szCs w:val="24"/>
        </w:rPr>
        <w:t>, “</w:t>
      </w:r>
      <w:r w:rsidRPr="00233EE6">
        <w:rPr>
          <w:rFonts w:ascii="Times New Roman" w:hAnsi="Times New Roman" w:cs="Times New Roman"/>
          <w:i/>
          <w:iCs/>
          <w:sz w:val="24"/>
          <w:szCs w:val="24"/>
        </w:rPr>
        <w:t xml:space="preserve">Conservazione dei dati e diritto alla riservatezza. La Corte di giustizia interviene sulla data </w:t>
      </w:r>
      <w:proofErr w:type="spellStart"/>
      <w:r w:rsidRPr="00233EE6">
        <w:rPr>
          <w:rFonts w:ascii="Times New Roman" w:hAnsi="Times New Roman" w:cs="Times New Roman"/>
          <w:i/>
          <w:iCs/>
          <w:sz w:val="24"/>
          <w:szCs w:val="24"/>
        </w:rPr>
        <w:t>retention</w:t>
      </w:r>
      <w:proofErr w:type="spellEnd"/>
      <w:r w:rsidRPr="00233EE6">
        <w:rPr>
          <w:rFonts w:ascii="Times New Roman" w:hAnsi="Times New Roman" w:cs="Times New Roman"/>
          <w:i/>
          <w:iCs/>
          <w:sz w:val="24"/>
          <w:szCs w:val="24"/>
        </w:rPr>
        <w:t>. I riflessi sulla disciplina interna</w:t>
      </w:r>
      <w:r w:rsidRPr="00233EE6">
        <w:rPr>
          <w:rFonts w:ascii="Times New Roman" w:hAnsi="Times New Roman" w:cs="Times New Roman"/>
          <w:sz w:val="24"/>
          <w:szCs w:val="24"/>
        </w:rPr>
        <w:t xml:space="preserve">”, su </w:t>
      </w:r>
      <w:r w:rsidRPr="00233EE6">
        <w:rPr>
          <w:rFonts w:ascii="Times New Roman" w:hAnsi="Times New Roman" w:cs="Times New Roman"/>
          <w:i/>
          <w:iCs/>
          <w:sz w:val="24"/>
          <w:szCs w:val="24"/>
        </w:rPr>
        <w:t>Giustizia Insieme</w:t>
      </w:r>
      <w:r w:rsidRPr="00233EE6">
        <w:rPr>
          <w:rFonts w:ascii="Times New Roman" w:hAnsi="Times New Roman" w:cs="Times New Roman"/>
          <w:sz w:val="24"/>
          <w:szCs w:val="24"/>
        </w:rPr>
        <w:t>.</w:t>
      </w:r>
    </w:p>
  </w:footnote>
  <w:footnote w:id="54">
    <w:p w14:paraId="6E0712E9" w14:textId="727AA016" w:rsidR="000463A6" w:rsidRPr="004F6B26" w:rsidRDefault="000463A6" w:rsidP="004F6B26">
      <w:pPr>
        <w:pStyle w:val="Testonotaapidipagina"/>
        <w:jc w:val="both"/>
        <w:rPr>
          <w:rFonts w:ascii="Times New Roman" w:hAnsi="Times New Roman" w:cs="Times New Roman"/>
          <w:sz w:val="24"/>
          <w:szCs w:val="24"/>
        </w:rPr>
      </w:pPr>
      <w:r w:rsidRPr="004F6B26">
        <w:rPr>
          <w:rStyle w:val="Rimandonotaapidipagina"/>
          <w:rFonts w:ascii="Times New Roman" w:hAnsi="Times New Roman" w:cs="Times New Roman"/>
          <w:sz w:val="24"/>
          <w:szCs w:val="24"/>
        </w:rPr>
        <w:footnoteRef/>
      </w:r>
      <w:r w:rsidRPr="004F6B26">
        <w:rPr>
          <w:rFonts w:ascii="Times New Roman" w:hAnsi="Times New Roman" w:cs="Times New Roman"/>
          <w:sz w:val="24"/>
          <w:szCs w:val="24"/>
        </w:rPr>
        <w:t xml:space="preserve"> </w:t>
      </w:r>
      <w:r>
        <w:rPr>
          <w:rFonts w:ascii="Times New Roman" w:hAnsi="Times New Roman" w:cs="Times New Roman"/>
          <w:sz w:val="24"/>
          <w:szCs w:val="24"/>
        </w:rPr>
        <w:t>V</w:t>
      </w:r>
      <w:r w:rsidRPr="004F6B26">
        <w:rPr>
          <w:rFonts w:ascii="Times New Roman" w:hAnsi="Times New Roman" w:cs="Times New Roman"/>
          <w:sz w:val="24"/>
          <w:szCs w:val="24"/>
        </w:rPr>
        <w:t>edi</w:t>
      </w:r>
      <w:r>
        <w:rPr>
          <w:rFonts w:ascii="Times New Roman" w:hAnsi="Times New Roman" w:cs="Times New Roman"/>
          <w:sz w:val="24"/>
          <w:szCs w:val="24"/>
        </w:rPr>
        <w:t xml:space="preserve">, </w:t>
      </w:r>
      <w:r w:rsidRPr="004F6B26">
        <w:rPr>
          <w:rFonts w:ascii="Times New Roman" w:hAnsi="Times New Roman" w:cs="Times New Roman"/>
          <w:sz w:val="24"/>
          <w:szCs w:val="24"/>
        </w:rPr>
        <w:t xml:space="preserve">ad esempio, </w:t>
      </w:r>
      <w:proofErr w:type="spellStart"/>
      <w:r>
        <w:rPr>
          <w:rFonts w:ascii="Times New Roman" w:hAnsi="Times New Roman" w:cs="Times New Roman"/>
          <w:sz w:val="24"/>
          <w:szCs w:val="24"/>
        </w:rPr>
        <w:t>Cass</w:t>
      </w:r>
      <w:proofErr w:type="spellEnd"/>
      <w:r>
        <w:rPr>
          <w:rFonts w:ascii="Times New Roman" w:hAnsi="Times New Roman" w:cs="Times New Roman"/>
          <w:sz w:val="24"/>
          <w:szCs w:val="24"/>
        </w:rPr>
        <w:t>., S</w:t>
      </w:r>
      <w:r w:rsidRPr="004F6B26">
        <w:rPr>
          <w:rFonts w:ascii="Times New Roman" w:hAnsi="Times New Roman" w:cs="Times New Roman"/>
          <w:sz w:val="24"/>
          <w:szCs w:val="24"/>
        </w:rPr>
        <w:t xml:space="preserve">ezioni </w:t>
      </w:r>
      <w:r>
        <w:rPr>
          <w:rFonts w:ascii="Times New Roman" w:hAnsi="Times New Roman" w:cs="Times New Roman"/>
          <w:sz w:val="24"/>
          <w:szCs w:val="24"/>
        </w:rPr>
        <w:t>U</w:t>
      </w:r>
      <w:r w:rsidRPr="004F6B26">
        <w:rPr>
          <w:rFonts w:ascii="Times New Roman" w:hAnsi="Times New Roman" w:cs="Times New Roman"/>
          <w:sz w:val="24"/>
          <w:szCs w:val="24"/>
        </w:rPr>
        <w:t>nite n.</w:t>
      </w:r>
      <w:r>
        <w:rPr>
          <w:rFonts w:ascii="Times New Roman" w:hAnsi="Times New Roman" w:cs="Times New Roman"/>
          <w:sz w:val="24"/>
          <w:szCs w:val="24"/>
        </w:rPr>
        <w:t xml:space="preserve"> </w:t>
      </w:r>
      <w:r w:rsidRPr="004F6B26">
        <w:rPr>
          <w:rFonts w:ascii="Times New Roman" w:hAnsi="Times New Roman" w:cs="Times New Roman"/>
          <w:sz w:val="24"/>
          <w:szCs w:val="24"/>
        </w:rPr>
        <w:t>741 del 2020.</w:t>
      </w:r>
    </w:p>
  </w:footnote>
  <w:footnote w:id="55">
    <w:p w14:paraId="5803A63E" w14:textId="0769C869" w:rsidR="000463A6" w:rsidRPr="00377DB4" w:rsidRDefault="000463A6" w:rsidP="00377DB4">
      <w:pPr>
        <w:tabs>
          <w:tab w:val="left" w:pos="8364"/>
        </w:tabs>
        <w:spacing w:after="0" w:line="240" w:lineRule="auto"/>
        <w:jc w:val="both"/>
        <w:rPr>
          <w:rFonts w:ascii="Times New Roman" w:hAnsi="Times New Roman" w:cs="Times New Roman"/>
          <w:sz w:val="24"/>
          <w:szCs w:val="24"/>
        </w:rPr>
      </w:pPr>
      <w:r w:rsidRPr="00377DB4">
        <w:rPr>
          <w:rStyle w:val="Rimandonotaapidipagina"/>
          <w:rFonts w:ascii="Times New Roman" w:hAnsi="Times New Roman" w:cs="Times New Roman"/>
          <w:sz w:val="24"/>
          <w:szCs w:val="24"/>
        </w:rPr>
        <w:footnoteRef/>
      </w:r>
      <w:r w:rsidRPr="00377DB4">
        <w:rPr>
          <w:rFonts w:ascii="Times New Roman" w:hAnsi="Times New Roman" w:cs="Times New Roman"/>
          <w:sz w:val="24"/>
          <w:szCs w:val="24"/>
        </w:rPr>
        <w:t xml:space="preserve"> Si vedano le osservazioni di </w:t>
      </w:r>
      <w:r w:rsidRPr="00377DB4">
        <w:rPr>
          <w:rFonts w:ascii="Times New Roman" w:hAnsi="Times New Roman" w:cs="Times New Roman"/>
          <w:smallCaps/>
          <w:sz w:val="24"/>
          <w:szCs w:val="24"/>
        </w:rPr>
        <w:t>M. Massimi</w:t>
      </w:r>
      <w:r w:rsidRPr="00377DB4">
        <w:rPr>
          <w:rFonts w:ascii="Times New Roman" w:hAnsi="Times New Roman" w:cs="Times New Roman"/>
          <w:sz w:val="24"/>
          <w:szCs w:val="24"/>
        </w:rPr>
        <w:t xml:space="preserve">, </w:t>
      </w:r>
      <w:r w:rsidRPr="00377DB4">
        <w:rPr>
          <w:rFonts w:ascii="Times New Roman" w:hAnsi="Times New Roman" w:cs="Times New Roman"/>
          <w:i/>
          <w:iCs/>
          <w:sz w:val="24"/>
          <w:szCs w:val="24"/>
        </w:rPr>
        <w:t>Art. 132</w:t>
      </w:r>
      <w:r w:rsidRPr="00377DB4">
        <w:rPr>
          <w:rFonts w:ascii="Times New Roman" w:hAnsi="Times New Roman" w:cs="Times New Roman"/>
          <w:sz w:val="24"/>
          <w:szCs w:val="24"/>
        </w:rPr>
        <w:t>, in R</w:t>
      </w:r>
      <w:r w:rsidRPr="00377DB4">
        <w:rPr>
          <w:rFonts w:ascii="Times New Roman" w:hAnsi="Times New Roman" w:cs="Times New Roman"/>
          <w:smallCaps/>
          <w:sz w:val="24"/>
          <w:szCs w:val="24"/>
        </w:rPr>
        <w:t xml:space="preserve">. </w:t>
      </w:r>
      <w:proofErr w:type="spellStart"/>
      <w:r w:rsidRPr="00377DB4">
        <w:rPr>
          <w:rFonts w:ascii="Times New Roman" w:hAnsi="Times New Roman" w:cs="Times New Roman"/>
          <w:smallCaps/>
          <w:sz w:val="24"/>
          <w:szCs w:val="24"/>
        </w:rPr>
        <w:t>Sciaudone</w:t>
      </w:r>
      <w:proofErr w:type="spellEnd"/>
      <w:r w:rsidRPr="00377DB4">
        <w:rPr>
          <w:rFonts w:ascii="Times New Roman" w:hAnsi="Times New Roman" w:cs="Times New Roman"/>
          <w:sz w:val="24"/>
          <w:szCs w:val="24"/>
        </w:rPr>
        <w:t xml:space="preserve"> (a cura di) “</w:t>
      </w:r>
      <w:r w:rsidRPr="00377DB4">
        <w:rPr>
          <w:rFonts w:ascii="Times New Roman" w:hAnsi="Times New Roman" w:cs="Times New Roman"/>
          <w:i/>
          <w:iCs/>
          <w:sz w:val="24"/>
          <w:szCs w:val="24"/>
        </w:rPr>
        <w:t>Il Codice della Privacy</w:t>
      </w:r>
      <w:r w:rsidRPr="00377DB4">
        <w:rPr>
          <w:rFonts w:ascii="Times New Roman" w:hAnsi="Times New Roman" w:cs="Times New Roman"/>
          <w:sz w:val="24"/>
          <w:szCs w:val="24"/>
        </w:rPr>
        <w:t xml:space="preserve">”, </w:t>
      </w:r>
      <w:proofErr w:type="spellStart"/>
      <w:r w:rsidRPr="00377DB4">
        <w:rPr>
          <w:rFonts w:ascii="Times New Roman" w:hAnsi="Times New Roman" w:cs="Times New Roman"/>
          <w:sz w:val="24"/>
          <w:szCs w:val="24"/>
        </w:rPr>
        <w:t>Pacini</w:t>
      </w:r>
      <w:proofErr w:type="spellEnd"/>
      <w:r w:rsidRPr="00377DB4">
        <w:rPr>
          <w:rFonts w:ascii="Times New Roman" w:hAnsi="Times New Roman" w:cs="Times New Roman"/>
          <w:sz w:val="24"/>
          <w:szCs w:val="24"/>
        </w:rPr>
        <w:t>, Ospedaletto, 2019, pag. 668.</w:t>
      </w:r>
    </w:p>
  </w:footnote>
  <w:footnote w:id="56">
    <w:p w14:paraId="0C614823" w14:textId="0CFEC5D3" w:rsidR="000463A6" w:rsidRDefault="000463A6" w:rsidP="00377DB4">
      <w:pPr>
        <w:pStyle w:val="Testonotaapidipagina"/>
        <w:jc w:val="both"/>
      </w:pPr>
      <w:r w:rsidRPr="00377DB4">
        <w:rPr>
          <w:rStyle w:val="Rimandonotaapidipagina"/>
          <w:rFonts w:ascii="Times New Roman" w:hAnsi="Times New Roman" w:cs="Times New Roman"/>
          <w:sz w:val="24"/>
          <w:szCs w:val="24"/>
        </w:rPr>
        <w:footnoteRef/>
      </w:r>
      <w:r w:rsidRPr="00377DB4">
        <w:rPr>
          <w:rFonts w:ascii="Times New Roman" w:hAnsi="Times New Roman" w:cs="Times New Roman"/>
          <w:sz w:val="24"/>
          <w:szCs w:val="24"/>
        </w:rPr>
        <w:t xml:space="preserve"> </w:t>
      </w:r>
      <w:proofErr w:type="spellStart"/>
      <w:r w:rsidRPr="00377DB4">
        <w:rPr>
          <w:rFonts w:ascii="Times New Roman" w:hAnsi="Times New Roman" w:cs="Times New Roman"/>
          <w:sz w:val="24"/>
          <w:szCs w:val="24"/>
        </w:rPr>
        <w:t>Cass</w:t>
      </w:r>
      <w:proofErr w:type="spellEnd"/>
      <w:r w:rsidRPr="00377DB4">
        <w:rPr>
          <w:rFonts w:ascii="Times New Roman" w:hAnsi="Times New Roman" w:cs="Times New Roman"/>
          <w:sz w:val="24"/>
          <w:szCs w:val="24"/>
        </w:rPr>
        <w:t xml:space="preserve">. Pen., sez. II, </w:t>
      </w:r>
      <w:r>
        <w:rPr>
          <w:rFonts w:ascii="Times New Roman" w:hAnsi="Times New Roman" w:cs="Times New Roman"/>
          <w:sz w:val="24"/>
          <w:szCs w:val="24"/>
        </w:rPr>
        <w:t>0</w:t>
      </w:r>
      <w:r w:rsidRPr="00377DB4">
        <w:rPr>
          <w:rFonts w:ascii="Times New Roman" w:hAnsi="Times New Roman" w:cs="Times New Roman"/>
          <w:sz w:val="24"/>
          <w:szCs w:val="24"/>
        </w:rPr>
        <w:t>7</w:t>
      </w:r>
      <w:r>
        <w:rPr>
          <w:rFonts w:ascii="Times New Roman" w:hAnsi="Times New Roman" w:cs="Times New Roman"/>
          <w:sz w:val="24"/>
          <w:szCs w:val="24"/>
        </w:rPr>
        <w:t>/09/</w:t>
      </w:r>
      <w:r w:rsidRPr="00377DB4">
        <w:rPr>
          <w:rFonts w:ascii="Times New Roman" w:hAnsi="Times New Roman" w:cs="Times New Roman"/>
          <w:sz w:val="24"/>
          <w:szCs w:val="24"/>
        </w:rPr>
        <w:t>2021, n. 33116</w:t>
      </w:r>
      <w:r>
        <w:rPr>
          <w:rFonts w:ascii="Times New Roman" w:hAnsi="Times New Roman" w:cs="Times New Roman"/>
          <w:sz w:val="24"/>
          <w:szCs w:val="24"/>
        </w:rPr>
        <w:t xml:space="preserve"> e </w:t>
      </w:r>
      <w:proofErr w:type="spellStart"/>
      <w:r w:rsidRPr="00377DB4">
        <w:rPr>
          <w:rFonts w:ascii="Times New Roman" w:hAnsi="Times New Roman" w:cs="Times New Roman"/>
          <w:sz w:val="24"/>
          <w:szCs w:val="24"/>
        </w:rPr>
        <w:t>Cass</w:t>
      </w:r>
      <w:proofErr w:type="spellEnd"/>
      <w:r w:rsidRPr="00377DB4">
        <w:rPr>
          <w:rFonts w:ascii="Times New Roman" w:hAnsi="Times New Roman" w:cs="Times New Roman"/>
          <w:sz w:val="24"/>
          <w:szCs w:val="24"/>
        </w:rPr>
        <w:t xml:space="preserve">. Pen., sez. II, 03/09/2021, n. 33118, disponibile su </w:t>
      </w:r>
      <w:r w:rsidRPr="00B75CAF">
        <w:rPr>
          <w:rFonts w:ascii="Times New Roman" w:hAnsi="Times New Roman" w:cs="Times New Roman"/>
          <w:i/>
          <w:iCs/>
          <w:sz w:val="24"/>
          <w:szCs w:val="24"/>
        </w:rPr>
        <w:t>dejure.it</w:t>
      </w:r>
      <w:r w:rsidRPr="00377DB4">
        <w:rPr>
          <w:rFonts w:ascii="Times New Roman" w:hAnsi="Times New Roman" w:cs="Times New Roman"/>
          <w:sz w:val="24"/>
          <w:szCs w:val="24"/>
        </w:rPr>
        <w:t xml:space="preserve">; commentata da </w:t>
      </w:r>
      <w:r w:rsidRPr="00B75CAF">
        <w:rPr>
          <w:rFonts w:ascii="Times New Roman" w:hAnsi="Times New Roman" w:cs="Times New Roman"/>
          <w:smallCaps/>
          <w:sz w:val="24"/>
          <w:szCs w:val="24"/>
        </w:rPr>
        <w:t>G. Luigi</w:t>
      </w:r>
      <w:r w:rsidRPr="00377DB4">
        <w:rPr>
          <w:rFonts w:ascii="Times New Roman" w:hAnsi="Times New Roman" w:cs="Times New Roman"/>
          <w:sz w:val="24"/>
          <w:szCs w:val="24"/>
        </w:rPr>
        <w:t>, “</w:t>
      </w:r>
      <w:r w:rsidRPr="00B75CAF">
        <w:rPr>
          <w:rFonts w:ascii="Times New Roman" w:hAnsi="Times New Roman" w:cs="Times New Roman"/>
          <w:i/>
          <w:iCs/>
          <w:sz w:val="24"/>
          <w:szCs w:val="24"/>
        </w:rPr>
        <w:t>La Corte di cassazione ritorna sull’acquisizione dei tabulati telefonici dopo le indicazioni della CGUE</w:t>
      </w:r>
      <w:r w:rsidRPr="00377DB4">
        <w:rPr>
          <w:rFonts w:ascii="Times New Roman" w:hAnsi="Times New Roman" w:cs="Times New Roman"/>
          <w:sz w:val="24"/>
          <w:szCs w:val="24"/>
        </w:rPr>
        <w:t xml:space="preserve">”, su </w:t>
      </w:r>
      <w:r w:rsidRPr="00B75CAF">
        <w:rPr>
          <w:rFonts w:ascii="Times New Roman" w:hAnsi="Times New Roman" w:cs="Times New Roman"/>
          <w:i/>
          <w:iCs/>
          <w:sz w:val="24"/>
          <w:szCs w:val="24"/>
        </w:rPr>
        <w:t>Ilpenalista.it</w:t>
      </w:r>
      <w:r w:rsidRPr="00377DB4">
        <w:rPr>
          <w:rFonts w:ascii="Times New Roman" w:hAnsi="Times New Roman" w:cs="Times New Roman"/>
          <w:sz w:val="24"/>
          <w:szCs w:val="24"/>
        </w:rPr>
        <w:t>, 5 ottobre 2021.</w:t>
      </w:r>
    </w:p>
  </w:footnote>
  <w:footnote w:id="57">
    <w:p w14:paraId="3F948F27" w14:textId="7082161A" w:rsidR="000463A6" w:rsidRPr="00303AD1" w:rsidRDefault="000463A6" w:rsidP="00303AD1">
      <w:pPr>
        <w:pStyle w:val="Testonotaapidipagina"/>
        <w:jc w:val="both"/>
        <w:rPr>
          <w:rFonts w:ascii="Times New Roman" w:hAnsi="Times New Roman" w:cs="Times New Roman"/>
          <w:sz w:val="24"/>
          <w:szCs w:val="24"/>
        </w:rPr>
      </w:pPr>
      <w:r w:rsidRPr="00303AD1">
        <w:rPr>
          <w:rStyle w:val="Rimandonotaapidipagina"/>
          <w:rFonts w:ascii="Times New Roman" w:hAnsi="Times New Roman" w:cs="Times New Roman"/>
          <w:sz w:val="24"/>
          <w:szCs w:val="24"/>
        </w:rPr>
        <w:footnoteRef/>
      </w:r>
      <w:r w:rsidRPr="00303AD1">
        <w:rPr>
          <w:rFonts w:ascii="Times New Roman" w:hAnsi="Times New Roman" w:cs="Times New Roman"/>
          <w:sz w:val="24"/>
          <w:szCs w:val="24"/>
        </w:rPr>
        <w:t xml:space="preserve"> Sul tema, si veda l’articolo di </w:t>
      </w:r>
      <w:r w:rsidRPr="00303AD1">
        <w:rPr>
          <w:rFonts w:ascii="Times New Roman" w:hAnsi="Times New Roman" w:cs="Times New Roman"/>
          <w:smallCaps/>
          <w:sz w:val="24"/>
          <w:szCs w:val="24"/>
        </w:rPr>
        <w:t xml:space="preserve">E. </w:t>
      </w:r>
      <w:proofErr w:type="spellStart"/>
      <w:r w:rsidRPr="00303AD1">
        <w:rPr>
          <w:rFonts w:ascii="Times New Roman" w:hAnsi="Times New Roman" w:cs="Times New Roman"/>
          <w:smallCaps/>
          <w:sz w:val="24"/>
          <w:szCs w:val="24"/>
        </w:rPr>
        <w:t>Rinaldini</w:t>
      </w:r>
      <w:proofErr w:type="spellEnd"/>
      <w:r w:rsidRPr="00303AD1">
        <w:rPr>
          <w:rFonts w:ascii="Times New Roman" w:hAnsi="Times New Roman" w:cs="Times New Roman"/>
          <w:sz w:val="24"/>
          <w:szCs w:val="24"/>
        </w:rPr>
        <w:t xml:space="preserve">, </w:t>
      </w:r>
      <w:r>
        <w:rPr>
          <w:rFonts w:ascii="Times New Roman" w:hAnsi="Times New Roman" w:cs="Times New Roman"/>
          <w:sz w:val="24"/>
          <w:szCs w:val="24"/>
        </w:rPr>
        <w:t>“</w:t>
      </w:r>
      <w:r w:rsidRPr="00303AD1">
        <w:rPr>
          <w:rFonts w:ascii="Times New Roman" w:hAnsi="Times New Roman" w:cs="Times New Roman"/>
          <w:i/>
          <w:iCs/>
          <w:sz w:val="24"/>
          <w:szCs w:val="24"/>
        </w:rPr>
        <w:t xml:space="preserve">Data </w:t>
      </w:r>
      <w:proofErr w:type="spellStart"/>
      <w:r w:rsidRPr="00303AD1">
        <w:rPr>
          <w:rFonts w:ascii="Times New Roman" w:hAnsi="Times New Roman" w:cs="Times New Roman"/>
          <w:i/>
          <w:iCs/>
          <w:sz w:val="24"/>
          <w:szCs w:val="24"/>
        </w:rPr>
        <w:t>retention</w:t>
      </w:r>
      <w:proofErr w:type="spellEnd"/>
      <w:r w:rsidRPr="00303AD1">
        <w:rPr>
          <w:rFonts w:ascii="Times New Roman" w:hAnsi="Times New Roman" w:cs="Times New Roman"/>
          <w:i/>
          <w:iCs/>
          <w:sz w:val="24"/>
          <w:szCs w:val="24"/>
        </w:rPr>
        <w:t xml:space="preserve"> e procedimento penale.</w:t>
      </w:r>
      <w:r>
        <w:rPr>
          <w:rFonts w:ascii="Times New Roman" w:hAnsi="Times New Roman" w:cs="Times New Roman"/>
          <w:i/>
          <w:iCs/>
          <w:sz w:val="24"/>
          <w:szCs w:val="24"/>
        </w:rPr>
        <w:t xml:space="preserve"> </w:t>
      </w:r>
      <w:r w:rsidRPr="00303AD1">
        <w:rPr>
          <w:rFonts w:ascii="Times New Roman" w:hAnsi="Times New Roman" w:cs="Times New Roman"/>
          <w:i/>
          <w:iCs/>
          <w:sz w:val="24"/>
          <w:szCs w:val="24"/>
        </w:rPr>
        <w:t>Gli effetti della sentenza della Corte di Giustizia nel caso H.K. sul regime dell’acquisizione dei tabula</w:t>
      </w:r>
      <w:r>
        <w:rPr>
          <w:rFonts w:ascii="Times New Roman" w:hAnsi="Times New Roman" w:cs="Times New Roman"/>
          <w:i/>
          <w:iCs/>
          <w:sz w:val="24"/>
          <w:szCs w:val="24"/>
        </w:rPr>
        <w:t>t</w:t>
      </w:r>
      <w:r w:rsidRPr="00303AD1">
        <w:rPr>
          <w:rFonts w:ascii="Times New Roman" w:hAnsi="Times New Roman" w:cs="Times New Roman"/>
          <w:i/>
          <w:iCs/>
          <w:sz w:val="24"/>
          <w:szCs w:val="24"/>
        </w:rPr>
        <w:t>i telefonici e telematici: urge l’intervento del legislatore</w:t>
      </w:r>
      <w:r w:rsidRPr="00EA014E">
        <w:rPr>
          <w:rFonts w:ascii="Times New Roman" w:hAnsi="Times New Roman" w:cs="Times New Roman"/>
          <w:sz w:val="24"/>
          <w:szCs w:val="24"/>
        </w:rPr>
        <w:t xml:space="preserve">”, </w:t>
      </w:r>
      <w:r w:rsidRPr="00303AD1">
        <w:rPr>
          <w:rFonts w:ascii="Times New Roman" w:hAnsi="Times New Roman" w:cs="Times New Roman"/>
          <w:sz w:val="24"/>
          <w:szCs w:val="24"/>
        </w:rPr>
        <w:t>in</w:t>
      </w:r>
      <w:r w:rsidRPr="00303AD1">
        <w:rPr>
          <w:rFonts w:ascii="Times New Roman" w:hAnsi="Times New Roman" w:cs="Times New Roman"/>
          <w:i/>
          <w:iCs/>
          <w:sz w:val="24"/>
          <w:szCs w:val="24"/>
        </w:rPr>
        <w:t xml:space="preserve"> Giurisprudenza Penale Web,</w:t>
      </w:r>
      <w:r>
        <w:rPr>
          <w:rFonts w:ascii="Times New Roman" w:hAnsi="Times New Roman" w:cs="Times New Roman"/>
          <w:i/>
          <w:iCs/>
          <w:sz w:val="24"/>
          <w:szCs w:val="24"/>
        </w:rPr>
        <w:t xml:space="preserve"> </w:t>
      </w:r>
      <w:r w:rsidRPr="00EA014E">
        <w:rPr>
          <w:rFonts w:ascii="Times New Roman" w:hAnsi="Times New Roman" w:cs="Times New Roman"/>
          <w:sz w:val="24"/>
          <w:szCs w:val="24"/>
        </w:rPr>
        <w:t>2021, 5,</w:t>
      </w:r>
      <w:r w:rsidRPr="00303AD1">
        <w:rPr>
          <w:rFonts w:ascii="Times New Roman" w:hAnsi="Times New Roman" w:cs="Times New Roman"/>
          <w:i/>
          <w:iCs/>
          <w:sz w:val="24"/>
          <w:szCs w:val="24"/>
        </w:rPr>
        <w:t xml:space="preserve"> </w:t>
      </w:r>
      <w:r w:rsidRPr="00303AD1">
        <w:rPr>
          <w:rFonts w:ascii="Times New Roman" w:hAnsi="Times New Roman" w:cs="Times New Roman"/>
          <w:sz w:val="24"/>
          <w:szCs w:val="24"/>
        </w:rPr>
        <w:t xml:space="preserve">l’ordinanza con cui il Tribunale di Rieti ha proposto questione pregiudiziale alla Corte di Giustizia dell’Unione Europea, nonché </w:t>
      </w:r>
      <w:r>
        <w:rPr>
          <w:rFonts w:ascii="Times New Roman" w:hAnsi="Times New Roman" w:cs="Times New Roman"/>
          <w:sz w:val="24"/>
          <w:szCs w:val="24"/>
        </w:rPr>
        <w:t>l</w:t>
      </w:r>
      <w:r w:rsidRPr="00303AD1">
        <w:rPr>
          <w:rFonts w:ascii="Times New Roman" w:hAnsi="Times New Roman" w:cs="Times New Roman"/>
          <w:sz w:val="24"/>
          <w:szCs w:val="24"/>
        </w:rPr>
        <w:t>e ordinanze con cui il Tribunale di Tivoli e la Corte di Assise di Napoli hanno escluso un’applicazione diretta della CGUE.</w:t>
      </w:r>
    </w:p>
  </w:footnote>
  <w:footnote w:id="58">
    <w:p w14:paraId="6F0DA4C8" w14:textId="14E71812" w:rsidR="000463A6" w:rsidRPr="00BF0831" w:rsidRDefault="000463A6" w:rsidP="00BF0831">
      <w:pPr>
        <w:pStyle w:val="Testonotaapidipagina"/>
        <w:jc w:val="both"/>
        <w:rPr>
          <w:rFonts w:ascii="Times New Roman" w:hAnsi="Times New Roman" w:cs="Times New Roman"/>
          <w:sz w:val="24"/>
          <w:szCs w:val="24"/>
        </w:rPr>
      </w:pPr>
      <w:r w:rsidRPr="00BF0831">
        <w:rPr>
          <w:rStyle w:val="Rimandonotaapidipagina"/>
          <w:rFonts w:ascii="Times New Roman" w:hAnsi="Times New Roman" w:cs="Times New Roman"/>
          <w:sz w:val="24"/>
          <w:szCs w:val="24"/>
        </w:rPr>
        <w:footnoteRef/>
      </w:r>
      <w:r w:rsidRPr="00BF0831">
        <w:rPr>
          <w:rFonts w:ascii="Times New Roman" w:hAnsi="Times New Roman" w:cs="Times New Roman"/>
          <w:sz w:val="24"/>
          <w:szCs w:val="24"/>
        </w:rPr>
        <w:t xml:space="preserve"> Per un primo commento alla nuova disciplina, si vedano </w:t>
      </w:r>
      <w:r w:rsidRPr="00724A7F">
        <w:rPr>
          <w:rFonts w:ascii="Times New Roman" w:hAnsi="Times New Roman" w:cs="Times New Roman"/>
          <w:smallCaps/>
          <w:sz w:val="24"/>
          <w:szCs w:val="24"/>
        </w:rPr>
        <w:t>M. Borgobello</w:t>
      </w:r>
      <w:r w:rsidRPr="00BF0831">
        <w:rPr>
          <w:rFonts w:ascii="Times New Roman" w:hAnsi="Times New Roman" w:cs="Times New Roman"/>
          <w:sz w:val="24"/>
          <w:szCs w:val="24"/>
        </w:rPr>
        <w:t xml:space="preserve">, </w:t>
      </w:r>
      <w:r>
        <w:rPr>
          <w:rFonts w:ascii="Times New Roman" w:hAnsi="Times New Roman" w:cs="Times New Roman"/>
          <w:sz w:val="24"/>
          <w:szCs w:val="24"/>
        </w:rPr>
        <w:t>“</w:t>
      </w:r>
      <w:r w:rsidRPr="00724A7F">
        <w:rPr>
          <w:rFonts w:ascii="Times New Roman" w:hAnsi="Times New Roman" w:cs="Times New Roman"/>
          <w:i/>
          <w:iCs/>
          <w:sz w:val="24"/>
          <w:szCs w:val="24"/>
        </w:rPr>
        <w:t>Acquisizione di tabulati telefonici: che cambia col nuovo decreto-legge</w:t>
      </w:r>
      <w:r>
        <w:rPr>
          <w:rFonts w:ascii="Times New Roman" w:hAnsi="Times New Roman" w:cs="Times New Roman"/>
          <w:sz w:val="24"/>
          <w:szCs w:val="24"/>
        </w:rPr>
        <w:t>”</w:t>
      </w:r>
      <w:r w:rsidRPr="00BF0831">
        <w:rPr>
          <w:rFonts w:ascii="Times New Roman" w:hAnsi="Times New Roman" w:cs="Times New Roman"/>
          <w:sz w:val="24"/>
          <w:szCs w:val="24"/>
        </w:rPr>
        <w:t xml:space="preserve">, </w:t>
      </w:r>
      <w:r>
        <w:rPr>
          <w:rFonts w:ascii="Times New Roman" w:hAnsi="Times New Roman" w:cs="Times New Roman"/>
          <w:sz w:val="24"/>
          <w:szCs w:val="24"/>
        </w:rPr>
        <w:t>su</w:t>
      </w:r>
      <w:r w:rsidRPr="00BF0831">
        <w:rPr>
          <w:rFonts w:ascii="Times New Roman" w:hAnsi="Times New Roman" w:cs="Times New Roman"/>
          <w:sz w:val="24"/>
          <w:szCs w:val="24"/>
        </w:rPr>
        <w:t xml:space="preserve"> </w:t>
      </w:r>
      <w:proofErr w:type="spellStart"/>
      <w:r w:rsidRPr="00724A7F">
        <w:rPr>
          <w:rFonts w:ascii="Times New Roman" w:hAnsi="Times New Roman" w:cs="Times New Roman"/>
          <w:i/>
          <w:iCs/>
          <w:sz w:val="24"/>
          <w:szCs w:val="24"/>
        </w:rPr>
        <w:t>agendadigitale.ue</w:t>
      </w:r>
      <w:proofErr w:type="spellEnd"/>
      <w:r w:rsidRPr="00BF0831">
        <w:rPr>
          <w:rFonts w:ascii="Times New Roman" w:hAnsi="Times New Roman" w:cs="Times New Roman"/>
          <w:sz w:val="24"/>
          <w:szCs w:val="24"/>
        </w:rPr>
        <w:t xml:space="preserve">, 4 ottobre 2021; </w:t>
      </w:r>
      <w:r w:rsidRPr="00724A7F">
        <w:rPr>
          <w:rFonts w:ascii="Times New Roman" w:hAnsi="Times New Roman" w:cs="Times New Roman"/>
          <w:smallCaps/>
          <w:sz w:val="24"/>
          <w:szCs w:val="24"/>
        </w:rPr>
        <w:t>L. Filippi</w:t>
      </w:r>
      <w:r w:rsidRPr="00BF0831">
        <w:rPr>
          <w:rFonts w:ascii="Times New Roman" w:hAnsi="Times New Roman" w:cs="Times New Roman"/>
          <w:sz w:val="24"/>
          <w:szCs w:val="24"/>
        </w:rPr>
        <w:t xml:space="preserve">, </w:t>
      </w:r>
      <w:r>
        <w:rPr>
          <w:rFonts w:ascii="Times New Roman" w:hAnsi="Times New Roman" w:cs="Times New Roman"/>
          <w:sz w:val="24"/>
          <w:szCs w:val="24"/>
        </w:rPr>
        <w:t>“</w:t>
      </w:r>
      <w:r w:rsidRPr="00724A7F">
        <w:rPr>
          <w:rFonts w:ascii="Times New Roman" w:hAnsi="Times New Roman" w:cs="Times New Roman"/>
          <w:i/>
          <w:iCs/>
          <w:sz w:val="24"/>
          <w:szCs w:val="24"/>
        </w:rPr>
        <w:t>La nuova disciplina dei tabulati: il commento “a caldo” del Prof. Filippi</w:t>
      </w:r>
      <w:r>
        <w:rPr>
          <w:rFonts w:ascii="Times New Roman" w:hAnsi="Times New Roman" w:cs="Times New Roman"/>
          <w:sz w:val="24"/>
          <w:szCs w:val="24"/>
        </w:rPr>
        <w:t>”</w:t>
      </w:r>
      <w:r w:rsidRPr="00BF0831">
        <w:rPr>
          <w:rFonts w:ascii="Times New Roman" w:hAnsi="Times New Roman" w:cs="Times New Roman"/>
          <w:sz w:val="24"/>
          <w:szCs w:val="24"/>
        </w:rPr>
        <w:t xml:space="preserve">, </w:t>
      </w:r>
      <w:r>
        <w:rPr>
          <w:rFonts w:ascii="Times New Roman" w:hAnsi="Times New Roman" w:cs="Times New Roman"/>
          <w:sz w:val="24"/>
          <w:szCs w:val="24"/>
        </w:rPr>
        <w:t xml:space="preserve">su </w:t>
      </w:r>
      <w:r w:rsidRPr="00724A7F">
        <w:rPr>
          <w:rFonts w:ascii="Times New Roman" w:hAnsi="Times New Roman" w:cs="Times New Roman"/>
          <w:i/>
          <w:iCs/>
          <w:sz w:val="24"/>
          <w:szCs w:val="24"/>
        </w:rPr>
        <w:t>penaledp.it</w:t>
      </w:r>
      <w:r w:rsidRPr="00BF0831">
        <w:rPr>
          <w:rFonts w:ascii="Times New Roman" w:hAnsi="Times New Roman" w:cs="Times New Roman"/>
          <w:sz w:val="24"/>
          <w:szCs w:val="24"/>
        </w:rPr>
        <w:t xml:space="preserve">, 1° ottobre 2021; </w:t>
      </w:r>
      <w:r w:rsidRPr="00724A7F">
        <w:rPr>
          <w:rFonts w:ascii="Times New Roman" w:hAnsi="Times New Roman" w:cs="Times New Roman"/>
          <w:smallCaps/>
          <w:sz w:val="24"/>
          <w:szCs w:val="24"/>
        </w:rPr>
        <w:t>C. Parodi</w:t>
      </w:r>
      <w:r w:rsidRPr="00BF0831">
        <w:rPr>
          <w:rFonts w:ascii="Times New Roman" w:hAnsi="Times New Roman" w:cs="Times New Roman"/>
          <w:sz w:val="24"/>
          <w:szCs w:val="24"/>
        </w:rPr>
        <w:t xml:space="preserve">, </w:t>
      </w:r>
      <w:r>
        <w:rPr>
          <w:rFonts w:ascii="Times New Roman" w:hAnsi="Times New Roman" w:cs="Times New Roman"/>
          <w:sz w:val="24"/>
          <w:szCs w:val="24"/>
        </w:rPr>
        <w:t>“</w:t>
      </w:r>
      <w:r w:rsidRPr="00724A7F">
        <w:rPr>
          <w:rFonts w:ascii="Times New Roman" w:hAnsi="Times New Roman" w:cs="Times New Roman"/>
          <w:i/>
          <w:iCs/>
          <w:sz w:val="24"/>
          <w:szCs w:val="24"/>
        </w:rPr>
        <w:t>Sottratto al P.M. il potere di richiedere autonomamente i tabulati</w:t>
      </w:r>
      <w:r>
        <w:rPr>
          <w:rFonts w:ascii="Times New Roman" w:hAnsi="Times New Roman" w:cs="Times New Roman"/>
          <w:sz w:val="24"/>
          <w:szCs w:val="24"/>
        </w:rPr>
        <w:t>”</w:t>
      </w:r>
      <w:r w:rsidRPr="00BF0831">
        <w:rPr>
          <w:rFonts w:ascii="Times New Roman" w:hAnsi="Times New Roman" w:cs="Times New Roman"/>
          <w:sz w:val="24"/>
          <w:szCs w:val="24"/>
        </w:rPr>
        <w:t xml:space="preserve">, </w:t>
      </w:r>
      <w:r>
        <w:rPr>
          <w:rFonts w:ascii="Times New Roman" w:hAnsi="Times New Roman" w:cs="Times New Roman"/>
          <w:sz w:val="24"/>
          <w:szCs w:val="24"/>
        </w:rPr>
        <w:t xml:space="preserve">su </w:t>
      </w:r>
      <w:r w:rsidRPr="00724A7F">
        <w:rPr>
          <w:rFonts w:ascii="Times New Roman" w:hAnsi="Times New Roman" w:cs="Times New Roman"/>
          <w:i/>
          <w:iCs/>
          <w:sz w:val="24"/>
          <w:szCs w:val="24"/>
        </w:rPr>
        <w:t>ilpenalista.it</w:t>
      </w:r>
      <w:r w:rsidRPr="00BF0831">
        <w:rPr>
          <w:rFonts w:ascii="Times New Roman" w:hAnsi="Times New Roman" w:cs="Times New Roman"/>
          <w:sz w:val="24"/>
          <w:szCs w:val="24"/>
        </w:rPr>
        <w:t xml:space="preserve">, 1° ottobre 2021; </w:t>
      </w:r>
      <w:r w:rsidRPr="00724A7F">
        <w:rPr>
          <w:rFonts w:ascii="Times New Roman" w:hAnsi="Times New Roman" w:cs="Times New Roman"/>
          <w:smallCaps/>
          <w:sz w:val="24"/>
          <w:szCs w:val="24"/>
        </w:rPr>
        <w:t>G. Pestelli</w:t>
      </w:r>
      <w:r w:rsidRPr="00BF0831">
        <w:rPr>
          <w:rFonts w:ascii="Times New Roman" w:hAnsi="Times New Roman" w:cs="Times New Roman"/>
          <w:sz w:val="24"/>
          <w:szCs w:val="24"/>
        </w:rPr>
        <w:t xml:space="preserve">, </w:t>
      </w:r>
      <w:r>
        <w:rPr>
          <w:rFonts w:ascii="Times New Roman" w:hAnsi="Times New Roman" w:cs="Times New Roman"/>
          <w:sz w:val="24"/>
          <w:szCs w:val="24"/>
        </w:rPr>
        <w:t>“</w:t>
      </w:r>
      <w:r w:rsidRPr="00724A7F">
        <w:rPr>
          <w:rFonts w:ascii="Times New Roman" w:hAnsi="Times New Roman" w:cs="Times New Roman"/>
          <w:i/>
          <w:iCs/>
          <w:sz w:val="24"/>
          <w:szCs w:val="24"/>
        </w:rPr>
        <w:t>D.L. 132/2021: un discutibile e inutile aggravio di procedura per tabulati telefonici e telematici</w:t>
      </w:r>
      <w:r>
        <w:rPr>
          <w:rFonts w:ascii="Times New Roman" w:hAnsi="Times New Roman" w:cs="Times New Roman"/>
          <w:sz w:val="24"/>
          <w:szCs w:val="24"/>
        </w:rPr>
        <w:t>”</w:t>
      </w:r>
      <w:r w:rsidRPr="00BF0831">
        <w:rPr>
          <w:rFonts w:ascii="Times New Roman" w:hAnsi="Times New Roman" w:cs="Times New Roman"/>
          <w:sz w:val="24"/>
          <w:szCs w:val="24"/>
        </w:rPr>
        <w:t xml:space="preserve">, </w:t>
      </w:r>
      <w:r>
        <w:rPr>
          <w:rFonts w:ascii="Times New Roman" w:hAnsi="Times New Roman" w:cs="Times New Roman"/>
          <w:sz w:val="24"/>
          <w:szCs w:val="24"/>
        </w:rPr>
        <w:t xml:space="preserve">su </w:t>
      </w:r>
      <w:r w:rsidRPr="00724A7F">
        <w:rPr>
          <w:rFonts w:ascii="Times New Roman" w:hAnsi="Times New Roman" w:cs="Times New Roman"/>
          <w:i/>
          <w:iCs/>
          <w:sz w:val="24"/>
          <w:szCs w:val="24"/>
        </w:rPr>
        <w:t>quotidianogiuridico.it</w:t>
      </w:r>
      <w:r w:rsidRPr="00BF0831">
        <w:rPr>
          <w:rFonts w:ascii="Times New Roman" w:hAnsi="Times New Roman" w:cs="Times New Roman"/>
          <w:sz w:val="24"/>
          <w:szCs w:val="24"/>
        </w:rPr>
        <w:t xml:space="preserve">, 4 ottobre 2021; </w:t>
      </w:r>
      <w:r w:rsidRPr="00724A7F">
        <w:rPr>
          <w:rFonts w:ascii="Times New Roman" w:hAnsi="Times New Roman" w:cs="Times New Roman"/>
          <w:smallCaps/>
          <w:sz w:val="24"/>
          <w:szCs w:val="24"/>
        </w:rPr>
        <w:t>F. Resta</w:t>
      </w:r>
      <w:r w:rsidRPr="00BF0831">
        <w:rPr>
          <w:rFonts w:ascii="Times New Roman" w:hAnsi="Times New Roman" w:cs="Times New Roman"/>
          <w:sz w:val="24"/>
          <w:szCs w:val="24"/>
        </w:rPr>
        <w:t xml:space="preserve">, </w:t>
      </w:r>
      <w:r>
        <w:rPr>
          <w:rFonts w:ascii="Times New Roman" w:hAnsi="Times New Roman" w:cs="Times New Roman"/>
          <w:sz w:val="24"/>
          <w:szCs w:val="24"/>
        </w:rPr>
        <w:t>“</w:t>
      </w:r>
      <w:r w:rsidRPr="00724A7F">
        <w:rPr>
          <w:rFonts w:ascii="Times New Roman" w:hAnsi="Times New Roman" w:cs="Times New Roman"/>
          <w:i/>
          <w:iCs/>
          <w:sz w:val="24"/>
          <w:szCs w:val="24"/>
        </w:rPr>
        <w:t>La nuova disciplina dell’acquisizione dei tabulati</w:t>
      </w:r>
      <w:r>
        <w:rPr>
          <w:rFonts w:ascii="Times New Roman" w:hAnsi="Times New Roman" w:cs="Times New Roman"/>
          <w:sz w:val="24"/>
          <w:szCs w:val="24"/>
        </w:rPr>
        <w:t>”</w:t>
      </w:r>
      <w:r w:rsidRPr="00BF0831">
        <w:rPr>
          <w:rFonts w:ascii="Times New Roman" w:hAnsi="Times New Roman" w:cs="Times New Roman"/>
          <w:sz w:val="24"/>
          <w:szCs w:val="24"/>
        </w:rPr>
        <w:t xml:space="preserve">, </w:t>
      </w:r>
      <w:r>
        <w:rPr>
          <w:rFonts w:ascii="Times New Roman" w:hAnsi="Times New Roman" w:cs="Times New Roman"/>
          <w:sz w:val="24"/>
          <w:szCs w:val="24"/>
        </w:rPr>
        <w:t xml:space="preserve">su </w:t>
      </w:r>
      <w:r w:rsidRPr="00724A7F">
        <w:rPr>
          <w:rFonts w:ascii="Times New Roman" w:hAnsi="Times New Roman" w:cs="Times New Roman"/>
          <w:i/>
          <w:iCs/>
          <w:sz w:val="24"/>
          <w:szCs w:val="24"/>
        </w:rPr>
        <w:t>Giustizia Insieme</w:t>
      </w:r>
      <w:r w:rsidRPr="00BF0831">
        <w:rPr>
          <w:rFonts w:ascii="Times New Roman" w:hAnsi="Times New Roman" w:cs="Times New Roman"/>
          <w:sz w:val="24"/>
          <w:szCs w:val="24"/>
        </w:rPr>
        <w:t>, 2 ottobre 2021</w:t>
      </w:r>
      <w:r>
        <w:rPr>
          <w:rFonts w:ascii="Times New Roman" w:hAnsi="Times New Roman" w:cs="Times New Roman"/>
          <w:sz w:val="24"/>
          <w:szCs w:val="24"/>
        </w:rPr>
        <w:t xml:space="preserve">; </w:t>
      </w:r>
      <w:r w:rsidRPr="00724A7F">
        <w:rPr>
          <w:rFonts w:ascii="Times New Roman" w:hAnsi="Times New Roman" w:cs="Times New Roman"/>
          <w:smallCaps/>
          <w:sz w:val="24"/>
          <w:szCs w:val="24"/>
        </w:rPr>
        <w:t>A. Malacarne</w:t>
      </w:r>
      <w:r w:rsidRPr="00724A7F">
        <w:rPr>
          <w:rFonts w:ascii="Times New Roman" w:hAnsi="Times New Roman" w:cs="Times New Roman"/>
          <w:sz w:val="24"/>
          <w:szCs w:val="24"/>
        </w:rPr>
        <w:t>, “</w:t>
      </w:r>
      <w:r w:rsidRPr="00724A7F">
        <w:rPr>
          <w:rFonts w:ascii="Times New Roman" w:hAnsi="Times New Roman" w:cs="Times New Roman"/>
          <w:i/>
          <w:iCs/>
          <w:sz w:val="24"/>
          <w:szCs w:val="24"/>
        </w:rPr>
        <w:t xml:space="preserve">La decretazione d’urgenza del Governo in materia di tabulati telefonici: breve commento a prima lettura del </w:t>
      </w:r>
      <w:proofErr w:type="spellStart"/>
      <w:r w:rsidRPr="00724A7F">
        <w:rPr>
          <w:rFonts w:ascii="Times New Roman" w:hAnsi="Times New Roman" w:cs="Times New Roman"/>
          <w:i/>
          <w:iCs/>
          <w:sz w:val="24"/>
          <w:szCs w:val="24"/>
        </w:rPr>
        <w:t>d.l.</w:t>
      </w:r>
      <w:proofErr w:type="spellEnd"/>
      <w:r w:rsidRPr="00724A7F">
        <w:rPr>
          <w:rFonts w:ascii="Times New Roman" w:hAnsi="Times New Roman" w:cs="Times New Roman"/>
          <w:i/>
          <w:iCs/>
          <w:sz w:val="24"/>
          <w:szCs w:val="24"/>
        </w:rPr>
        <w:t xml:space="preserve"> 30 settembre 2021, n. 132</w:t>
      </w:r>
      <w:r w:rsidRPr="00724A7F">
        <w:rPr>
          <w:rFonts w:ascii="Times New Roman" w:hAnsi="Times New Roman" w:cs="Times New Roman"/>
          <w:sz w:val="24"/>
          <w:szCs w:val="24"/>
        </w:rPr>
        <w:t xml:space="preserve">”, su </w:t>
      </w:r>
      <w:r w:rsidRPr="00724A7F">
        <w:rPr>
          <w:rFonts w:ascii="Times New Roman" w:hAnsi="Times New Roman" w:cs="Times New Roman"/>
          <w:i/>
          <w:iCs/>
          <w:sz w:val="24"/>
          <w:szCs w:val="24"/>
        </w:rPr>
        <w:t>Sistema Penale</w:t>
      </w:r>
      <w:r w:rsidRPr="00724A7F">
        <w:rPr>
          <w:rFonts w:ascii="Times New Roman" w:hAnsi="Times New Roman" w:cs="Times New Roman"/>
          <w:sz w:val="24"/>
          <w:szCs w:val="24"/>
        </w:rPr>
        <w:t>, 8 ottobre 2021</w:t>
      </w:r>
      <w:r>
        <w:rPr>
          <w:rFonts w:ascii="Times New Roman" w:hAnsi="Times New Roman" w:cs="Times New Roman"/>
          <w:sz w:val="24"/>
          <w:szCs w:val="24"/>
        </w:rPr>
        <w:t>.</w:t>
      </w:r>
    </w:p>
  </w:footnote>
  <w:footnote w:id="59">
    <w:p w14:paraId="1DD40DFA" w14:textId="67D4A465" w:rsidR="000463A6" w:rsidRPr="001F25F6" w:rsidRDefault="000463A6" w:rsidP="00531C69">
      <w:pPr>
        <w:pStyle w:val="Testonotaapidipagina"/>
        <w:jc w:val="both"/>
        <w:rPr>
          <w:rFonts w:ascii="Times New Roman" w:hAnsi="Times New Roman" w:cs="Times New Roman"/>
          <w:sz w:val="24"/>
          <w:szCs w:val="24"/>
        </w:rPr>
      </w:pPr>
      <w:r w:rsidRPr="00531C69">
        <w:rPr>
          <w:rStyle w:val="Rimandonotaapidipagina"/>
          <w:rFonts w:ascii="Times New Roman" w:hAnsi="Times New Roman" w:cs="Times New Roman"/>
          <w:sz w:val="24"/>
          <w:szCs w:val="24"/>
        </w:rPr>
        <w:footnoteRef/>
      </w:r>
      <w:r w:rsidRPr="001F25F6">
        <w:rPr>
          <w:rFonts w:ascii="Times New Roman" w:hAnsi="Times New Roman" w:cs="Times New Roman"/>
          <w:sz w:val="24"/>
          <w:szCs w:val="24"/>
        </w:rPr>
        <w:t xml:space="preserve"> </w:t>
      </w:r>
      <w:proofErr w:type="spellStart"/>
      <w:r w:rsidRPr="001F25F6">
        <w:rPr>
          <w:rFonts w:ascii="Times New Roman" w:hAnsi="Times New Roman" w:cs="Times New Roman"/>
          <w:sz w:val="24"/>
          <w:szCs w:val="24"/>
        </w:rPr>
        <w:t>Cass</w:t>
      </w:r>
      <w:proofErr w:type="spellEnd"/>
      <w:r w:rsidRPr="001F25F6">
        <w:rPr>
          <w:rFonts w:ascii="Times New Roman" w:hAnsi="Times New Roman" w:cs="Times New Roman"/>
          <w:sz w:val="24"/>
          <w:szCs w:val="24"/>
        </w:rPr>
        <w:t>.</w:t>
      </w:r>
      <w:r>
        <w:rPr>
          <w:rFonts w:ascii="Times New Roman" w:hAnsi="Times New Roman" w:cs="Times New Roman"/>
          <w:sz w:val="24"/>
          <w:szCs w:val="24"/>
        </w:rPr>
        <w:t xml:space="preserve">, </w:t>
      </w:r>
      <w:r w:rsidRPr="001F25F6">
        <w:rPr>
          <w:rFonts w:ascii="Times New Roman" w:hAnsi="Times New Roman" w:cs="Times New Roman"/>
          <w:sz w:val="24"/>
          <w:szCs w:val="24"/>
        </w:rPr>
        <w:t xml:space="preserve">Sezioni Unite, 26 novembre 2003, </w:t>
      </w:r>
      <w:r>
        <w:rPr>
          <w:rFonts w:ascii="Times New Roman" w:hAnsi="Times New Roman" w:cs="Times New Roman"/>
          <w:sz w:val="24"/>
          <w:szCs w:val="24"/>
        </w:rPr>
        <w:t>n. 919</w:t>
      </w:r>
      <w:r w:rsidR="00C31AE7">
        <w:rPr>
          <w:rFonts w:ascii="Times New Roman" w:hAnsi="Times New Roman" w:cs="Times New Roman"/>
          <w:sz w:val="24"/>
          <w:szCs w:val="24"/>
        </w:rPr>
        <w:t>.</w:t>
      </w:r>
    </w:p>
  </w:footnote>
  <w:footnote w:id="60">
    <w:p w14:paraId="7A063EF2" w14:textId="2645D5DA" w:rsidR="000463A6" w:rsidRPr="00484E04" w:rsidRDefault="000463A6" w:rsidP="00484E04">
      <w:pPr>
        <w:pStyle w:val="Testonotaapidipagina"/>
        <w:jc w:val="both"/>
        <w:rPr>
          <w:rFonts w:ascii="Times New Roman" w:hAnsi="Times New Roman" w:cs="Times New Roman"/>
          <w:sz w:val="24"/>
          <w:szCs w:val="24"/>
        </w:rPr>
      </w:pPr>
      <w:r w:rsidRPr="00484E04">
        <w:rPr>
          <w:rStyle w:val="Rimandonotaapidipagina"/>
          <w:rFonts w:ascii="Times New Roman" w:hAnsi="Times New Roman" w:cs="Times New Roman"/>
          <w:sz w:val="24"/>
          <w:szCs w:val="24"/>
        </w:rPr>
        <w:footnoteRef/>
      </w:r>
      <w:r w:rsidRPr="00484E04">
        <w:rPr>
          <w:rFonts w:ascii="Times New Roman" w:hAnsi="Times New Roman" w:cs="Times New Roman"/>
          <w:sz w:val="24"/>
          <w:szCs w:val="24"/>
        </w:rPr>
        <w:t xml:space="preserve"> </w:t>
      </w:r>
      <w:r w:rsidRPr="00484E04">
        <w:rPr>
          <w:rFonts w:ascii="Times New Roman" w:hAnsi="Times New Roman" w:cs="Times New Roman"/>
          <w:i/>
          <w:iCs/>
          <w:sz w:val="24"/>
          <w:szCs w:val="24"/>
        </w:rPr>
        <w:t>«…</w:t>
      </w:r>
      <w:r>
        <w:rPr>
          <w:rFonts w:ascii="Times New Roman" w:hAnsi="Times New Roman" w:cs="Times New Roman"/>
          <w:i/>
          <w:iCs/>
          <w:sz w:val="24"/>
          <w:szCs w:val="24"/>
        </w:rPr>
        <w:t>L</w:t>
      </w:r>
      <w:r w:rsidRPr="00484E04">
        <w:rPr>
          <w:rFonts w:ascii="Times New Roman" w:hAnsi="Times New Roman" w:cs="Times New Roman"/>
          <w:i/>
          <w:iCs/>
          <w:sz w:val="24"/>
          <w:szCs w:val="24"/>
        </w:rPr>
        <w:t>a vera damnatio, per le persone, è ormai rappresentata dalla conservazione, non dalla distruzione della memoria. Che cosa diventa la persona quando viene consegnata alle banche dati e alle loro interconnessioni, ai motori di ricerca che rendono immediato l’accesso a qualsiasi informazione, quando le viene negato il diritto di sottrarsi allo sguardo indesiderato, di ritirarsi dietro le quinte, in una zona d’ombra?... Che cosa diviene la vita nel tempo in cui “Google ricorda sempre”?</w:t>
      </w:r>
      <w:r w:rsidRPr="00484E04">
        <w:rPr>
          <w:rFonts w:ascii="Times New Roman" w:hAnsi="Times New Roman" w:cs="Times New Roman"/>
          <w:sz w:val="24"/>
          <w:szCs w:val="24"/>
        </w:rPr>
        <w:t xml:space="preserve">», così si pronuncia </w:t>
      </w:r>
      <w:r w:rsidRPr="00484E04">
        <w:rPr>
          <w:rFonts w:ascii="Times New Roman" w:hAnsi="Times New Roman" w:cs="Times New Roman"/>
          <w:smallCaps/>
          <w:sz w:val="24"/>
          <w:szCs w:val="24"/>
        </w:rPr>
        <w:t>S. Rodotà</w:t>
      </w:r>
      <w:r w:rsidRPr="00484E04">
        <w:rPr>
          <w:rFonts w:ascii="Times New Roman" w:hAnsi="Times New Roman" w:cs="Times New Roman"/>
          <w:sz w:val="24"/>
          <w:szCs w:val="24"/>
        </w:rPr>
        <w:t xml:space="preserve"> nel suo breve trattato “</w:t>
      </w:r>
      <w:r w:rsidRPr="00484E04">
        <w:rPr>
          <w:rFonts w:ascii="Times New Roman" w:hAnsi="Times New Roman" w:cs="Times New Roman"/>
          <w:i/>
          <w:iCs/>
          <w:sz w:val="24"/>
          <w:szCs w:val="24"/>
        </w:rPr>
        <w:t>Il</w:t>
      </w:r>
      <w:r w:rsidRPr="00484E04">
        <w:rPr>
          <w:rFonts w:ascii="Times New Roman" w:hAnsi="Times New Roman" w:cs="Times New Roman"/>
          <w:sz w:val="24"/>
          <w:szCs w:val="24"/>
        </w:rPr>
        <w:t xml:space="preserve"> </w:t>
      </w:r>
      <w:r w:rsidRPr="00484E04">
        <w:rPr>
          <w:rFonts w:ascii="Times New Roman" w:hAnsi="Times New Roman" w:cs="Times New Roman"/>
          <w:i/>
          <w:iCs/>
          <w:sz w:val="24"/>
          <w:szCs w:val="24"/>
        </w:rPr>
        <w:t>mondo nella rete. Quali diritti, quali vincoli</w:t>
      </w:r>
      <w:r w:rsidRPr="00484E04">
        <w:rPr>
          <w:rFonts w:ascii="Times New Roman" w:hAnsi="Times New Roman" w:cs="Times New Roman"/>
          <w:sz w:val="24"/>
          <w:szCs w:val="24"/>
        </w:rPr>
        <w:t>”,</w:t>
      </w:r>
      <w:r w:rsidRPr="00484E04">
        <w:rPr>
          <w:rFonts w:ascii="Times New Roman" w:hAnsi="Times New Roman" w:cs="Times New Roman"/>
          <w:i/>
          <w:iCs/>
          <w:sz w:val="24"/>
          <w:szCs w:val="24"/>
        </w:rPr>
        <w:t xml:space="preserve"> </w:t>
      </w:r>
      <w:r w:rsidRPr="00484E04">
        <w:rPr>
          <w:rFonts w:ascii="Times New Roman" w:hAnsi="Times New Roman" w:cs="Times New Roman"/>
          <w:sz w:val="24"/>
          <w:szCs w:val="24"/>
        </w:rPr>
        <w:t>Editori Laterza e la Repubblica, Roma-Bari, 2014, p. 41-42, da “</w:t>
      </w:r>
      <w:r w:rsidRPr="00484E04">
        <w:rPr>
          <w:rFonts w:ascii="Times New Roman" w:hAnsi="Times New Roman" w:cs="Times New Roman"/>
          <w:i/>
          <w:iCs/>
          <w:sz w:val="24"/>
          <w:szCs w:val="24"/>
        </w:rPr>
        <w:t>Il diritto di avere diritti</w:t>
      </w:r>
      <w:r w:rsidRPr="00484E04">
        <w:rPr>
          <w:rFonts w:ascii="Times New Roman" w:hAnsi="Times New Roman" w:cs="Times New Roman"/>
          <w:sz w:val="24"/>
          <w:szCs w:val="24"/>
        </w:rPr>
        <w:t>”.</w:t>
      </w:r>
    </w:p>
  </w:footnote>
  <w:footnote w:id="61">
    <w:p w14:paraId="5ED24A60" w14:textId="7D858FE0" w:rsidR="000463A6" w:rsidRDefault="000463A6" w:rsidP="00484E04">
      <w:pPr>
        <w:pStyle w:val="Testonotaapidipagina"/>
        <w:jc w:val="both"/>
      </w:pPr>
      <w:r w:rsidRPr="00484E04">
        <w:rPr>
          <w:rStyle w:val="Rimandonotaapidipagina"/>
          <w:rFonts w:ascii="Times New Roman" w:hAnsi="Times New Roman" w:cs="Times New Roman"/>
          <w:sz w:val="24"/>
          <w:szCs w:val="24"/>
        </w:rPr>
        <w:footnoteRef/>
      </w:r>
      <w:r w:rsidRPr="00484E04">
        <w:rPr>
          <w:rFonts w:ascii="Times New Roman" w:hAnsi="Times New Roman" w:cs="Times New Roman"/>
          <w:sz w:val="24"/>
          <w:szCs w:val="24"/>
        </w:rPr>
        <w:t xml:space="preserve"> </w:t>
      </w:r>
      <w:r w:rsidRPr="00484E04">
        <w:rPr>
          <w:rFonts w:ascii="Times New Roman" w:hAnsi="Times New Roman" w:cs="Times New Roman"/>
          <w:smallCaps/>
          <w:sz w:val="24"/>
          <w:szCs w:val="24"/>
        </w:rPr>
        <w:t>P. Caretti</w:t>
      </w:r>
      <w:r w:rsidRPr="00484E04">
        <w:rPr>
          <w:rFonts w:ascii="Times New Roman" w:hAnsi="Times New Roman" w:cs="Times New Roman"/>
          <w:sz w:val="24"/>
          <w:szCs w:val="24"/>
        </w:rPr>
        <w:t xml:space="preserve"> e </w:t>
      </w:r>
      <w:r w:rsidRPr="00484E04">
        <w:rPr>
          <w:rFonts w:ascii="Times New Roman" w:hAnsi="Times New Roman" w:cs="Times New Roman"/>
          <w:smallCaps/>
          <w:sz w:val="24"/>
          <w:szCs w:val="24"/>
        </w:rPr>
        <w:t>A. Cardone</w:t>
      </w:r>
      <w:r w:rsidRPr="00484E04">
        <w:rPr>
          <w:rFonts w:ascii="Times New Roman" w:hAnsi="Times New Roman" w:cs="Times New Roman"/>
          <w:sz w:val="24"/>
          <w:szCs w:val="24"/>
        </w:rPr>
        <w:t xml:space="preserve">, </w:t>
      </w:r>
      <w:r>
        <w:rPr>
          <w:rFonts w:ascii="Times New Roman" w:hAnsi="Times New Roman" w:cs="Times New Roman"/>
          <w:sz w:val="24"/>
          <w:szCs w:val="24"/>
        </w:rPr>
        <w:t>“</w:t>
      </w:r>
      <w:r w:rsidRPr="00484E04">
        <w:rPr>
          <w:rFonts w:ascii="Times New Roman" w:hAnsi="Times New Roman" w:cs="Times New Roman"/>
          <w:i/>
          <w:iCs/>
          <w:sz w:val="24"/>
          <w:szCs w:val="24"/>
        </w:rPr>
        <w:t>Diritto dell’informazione e della comunicazione nell’era della convergenza</w:t>
      </w:r>
      <w:r>
        <w:rPr>
          <w:rFonts w:ascii="Times New Roman" w:hAnsi="Times New Roman" w:cs="Times New Roman"/>
          <w:sz w:val="24"/>
          <w:szCs w:val="24"/>
        </w:rPr>
        <w:t>”</w:t>
      </w:r>
      <w:r w:rsidRPr="00484E04">
        <w:rPr>
          <w:rFonts w:ascii="Times New Roman" w:hAnsi="Times New Roman" w:cs="Times New Roman"/>
          <w:sz w:val="24"/>
          <w:szCs w:val="24"/>
        </w:rPr>
        <w:t>, Bologna, Mulino, 2019, p. 253.</w:t>
      </w:r>
    </w:p>
  </w:footnote>
  <w:footnote w:id="62">
    <w:p w14:paraId="1B9AD5C9" w14:textId="6219F20F" w:rsidR="000463A6" w:rsidRPr="00703118" w:rsidRDefault="000463A6" w:rsidP="00703118">
      <w:pPr>
        <w:pStyle w:val="Testonotaapidipagina"/>
        <w:jc w:val="both"/>
        <w:rPr>
          <w:rFonts w:ascii="Times New Roman" w:hAnsi="Times New Roman" w:cs="Times New Roman"/>
          <w:sz w:val="24"/>
          <w:szCs w:val="24"/>
        </w:rPr>
      </w:pPr>
      <w:r w:rsidRPr="00703118">
        <w:rPr>
          <w:rStyle w:val="Rimandonotaapidipagina"/>
          <w:rFonts w:ascii="Times New Roman" w:hAnsi="Times New Roman" w:cs="Times New Roman"/>
          <w:sz w:val="24"/>
          <w:szCs w:val="24"/>
        </w:rPr>
        <w:footnoteRef/>
      </w:r>
      <w:r w:rsidRPr="00703118">
        <w:rPr>
          <w:rFonts w:ascii="Times New Roman" w:hAnsi="Times New Roman" w:cs="Times New Roman"/>
          <w:sz w:val="24"/>
          <w:szCs w:val="24"/>
        </w:rPr>
        <w:t xml:space="preserve"> </w:t>
      </w:r>
      <w:r w:rsidRPr="00703118">
        <w:rPr>
          <w:rFonts w:ascii="Times New Roman" w:hAnsi="Times New Roman" w:cs="Times New Roman"/>
          <w:smallCaps/>
          <w:sz w:val="24"/>
          <w:szCs w:val="24"/>
        </w:rPr>
        <w:t>F. Marenghi</w:t>
      </w:r>
      <w:r w:rsidRPr="00703118">
        <w:rPr>
          <w:rFonts w:ascii="Times New Roman" w:hAnsi="Times New Roman" w:cs="Times New Roman"/>
          <w:sz w:val="24"/>
          <w:szCs w:val="24"/>
        </w:rPr>
        <w:t>, “</w:t>
      </w:r>
      <w:r w:rsidRPr="00703118">
        <w:rPr>
          <w:rFonts w:ascii="Times New Roman" w:hAnsi="Times New Roman" w:cs="Times New Roman"/>
          <w:i/>
          <w:iCs/>
          <w:sz w:val="24"/>
          <w:szCs w:val="24"/>
        </w:rPr>
        <w:t>Riforma giustizia penale: il provvedimento di «deindicizzazione»</w:t>
      </w:r>
      <w:r w:rsidRPr="00703118">
        <w:rPr>
          <w:rFonts w:ascii="Times New Roman" w:hAnsi="Times New Roman" w:cs="Times New Roman"/>
          <w:sz w:val="24"/>
          <w:szCs w:val="24"/>
        </w:rPr>
        <w:t xml:space="preserve">”, su </w:t>
      </w:r>
      <w:r w:rsidRPr="00703118">
        <w:rPr>
          <w:rFonts w:ascii="Times New Roman" w:hAnsi="Times New Roman" w:cs="Times New Roman"/>
          <w:i/>
          <w:iCs/>
          <w:sz w:val="24"/>
          <w:szCs w:val="24"/>
        </w:rPr>
        <w:t>altalex.com</w:t>
      </w:r>
      <w:r w:rsidRPr="00703118">
        <w:rPr>
          <w:rFonts w:ascii="Times New Roman" w:hAnsi="Times New Roman" w:cs="Times New Roman"/>
          <w:sz w:val="24"/>
          <w:szCs w:val="24"/>
        </w:rPr>
        <w:t>.</w:t>
      </w:r>
    </w:p>
  </w:footnote>
  <w:footnote w:id="63">
    <w:p w14:paraId="5E5D5C7B" w14:textId="5B0F0CAD" w:rsidR="00087513" w:rsidRPr="00087513" w:rsidRDefault="00087513" w:rsidP="00087513">
      <w:pPr>
        <w:spacing w:after="0" w:line="240" w:lineRule="auto"/>
        <w:jc w:val="both"/>
        <w:rPr>
          <w:rFonts w:ascii="Times New Roman" w:hAnsi="Times New Roman" w:cs="Times New Roman"/>
          <w:sz w:val="24"/>
          <w:szCs w:val="24"/>
        </w:rPr>
      </w:pPr>
      <w:r w:rsidRPr="00087513">
        <w:rPr>
          <w:rStyle w:val="Rimandonotaapidipagina"/>
          <w:rFonts w:ascii="Times New Roman" w:hAnsi="Times New Roman" w:cs="Times New Roman"/>
          <w:sz w:val="24"/>
          <w:szCs w:val="24"/>
        </w:rPr>
        <w:footnoteRef/>
      </w:r>
      <w:r w:rsidRPr="00087513">
        <w:rPr>
          <w:rFonts w:ascii="Times New Roman" w:hAnsi="Times New Roman" w:cs="Times New Roman"/>
          <w:sz w:val="24"/>
          <w:szCs w:val="24"/>
        </w:rPr>
        <w:t xml:space="preserve"> </w:t>
      </w:r>
      <w:r w:rsidRPr="00087513">
        <w:rPr>
          <w:rFonts w:ascii="Times New Roman" w:hAnsi="Times New Roman" w:cs="Times New Roman"/>
          <w:sz w:val="24"/>
          <w:szCs w:val="24"/>
        </w:rPr>
        <w:t xml:space="preserve">Il D.lgs. 8 novembre 2021, n. 188, in vigore dal 14 dicembre 2021, rende conforme la normativa italiana alle indicazioni euro-unitarie in tema di presunzione di innocenza. Sul tema, v. </w:t>
      </w:r>
      <w:r w:rsidRPr="00087513">
        <w:rPr>
          <w:rFonts w:ascii="Times New Roman" w:hAnsi="Times New Roman" w:cs="Times New Roman"/>
          <w:smallCaps/>
          <w:sz w:val="24"/>
          <w:szCs w:val="24"/>
        </w:rPr>
        <w:t>F. Marenghi</w:t>
      </w:r>
      <w:r w:rsidRPr="00087513">
        <w:rPr>
          <w:rFonts w:ascii="Times New Roman" w:hAnsi="Times New Roman" w:cs="Times New Roman"/>
          <w:sz w:val="24"/>
          <w:szCs w:val="24"/>
        </w:rPr>
        <w:t>, “</w:t>
      </w:r>
      <w:r w:rsidRPr="00087513">
        <w:rPr>
          <w:rFonts w:ascii="Times New Roman" w:hAnsi="Times New Roman" w:cs="Times New Roman"/>
          <w:i/>
          <w:iCs/>
          <w:sz w:val="24"/>
          <w:szCs w:val="24"/>
        </w:rPr>
        <w:t>Diritto alla presunzione di innocenza e nuovi strumenti di tutela</w:t>
      </w:r>
      <w:r w:rsidRPr="00087513">
        <w:rPr>
          <w:rFonts w:ascii="Times New Roman" w:hAnsi="Times New Roman" w:cs="Times New Roman"/>
          <w:sz w:val="24"/>
          <w:szCs w:val="24"/>
        </w:rPr>
        <w:t xml:space="preserve">”, su </w:t>
      </w:r>
      <w:r w:rsidRPr="00087513">
        <w:rPr>
          <w:rFonts w:ascii="Times New Roman" w:hAnsi="Times New Roman" w:cs="Times New Roman"/>
          <w:i/>
          <w:iCs/>
          <w:sz w:val="24"/>
          <w:szCs w:val="24"/>
        </w:rPr>
        <w:t>altalex.com</w:t>
      </w:r>
      <w:r w:rsidRPr="00087513">
        <w:rPr>
          <w:rFonts w:ascii="Times New Roman" w:hAnsi="Times New Roman" w:cs="Times New Roman"/>
          <w:sz w:val="24"/>
          <w:szCs w:val="24"/>
        </w:rPr>
        <w:t>, febbraio 2022. L’art. 2 del nuovo decreto ha introdotto un divieto espresso per le pubbliche autorità di indicare pubblicamente come colpevole la persona indagata o imputata, fino al momento in cui la colpevolezza non sia accertata con sentenza o decreto penale di condanna irrevocabili. Se tale disposizione viene violata, oltre alle conseguenze penali, disciplinari e risarcitorie già previste dall’ordinamento, è ora possibile per l’interessato richiedere alla stessa autorità dichiarante la rettifica della dichiarazione lesiva del diritto alla presunzione di innocenza. Se l’autorità ritiene fondata la richiesta, si può procedere immediatamente (o comunque non oltre 48 ore) alla rettifica, altrimenti l’autorità può non accogliere la richiesta, ove questa risulti infondata. In questo ultimo caso, e nel caso in cui la rettifica non rispetti le modalità di pubblicazione previste, l’interessato può ricorrere al Tribunale ex art. 700 c.p.c., al fine di ottenere l’ordine diretto all’autorità di pubblicazione della rettifica. L’art. 3 della novella legislativa modifica la disciplina dei rapporti tra Pubblico Ministero e gli organi di informazione, introducendo le seguenti previsioni: «</w:t>
      </w:r>
      <w:r w:rsidRPr="00087513">
        <w:rPr>
          <w:rFonts w:ascii="Times New Roman" w:hAnsi="Times New Roman" w:cs="Times New Roman"/>
          <w:i/>
          <w:iCs/>
          <w:sz w:val="24"/>
          <w:szCs w:val="24"/>
        </w:rPr>
        <w:t>il procuratore della Repubblica (o il magistrato dell’ufficio appositamente delegato) mantengono i rapporti con gli organi di informazione esclusivamente tramite comunicati ufficiali, oppure – nei casi di particolare rilevanza pubblica dei fatti, e sulla base di determinazione assunta con atto motivato che dia conto delle specifiche ragioni di interesse pubblico – tramite conferenze stampa; la diffusione di informazioni sui procedimenti penali è d’ora innanzi consentita soltanto quando strettamente necessaria per la prosecuzione delle indagini o in presenza di altre specifiche ragioni di interesse pubblico; nei casi in cui la diffusione di informazioni sui procedimenti penali è consentita, il procuratore della Repubblica può autorizzare (con atto motivato) gli ufficiali di polizia giudiziaria a fornire, tramite comunicati ufficiali o conferenze stampa, informazioni sugli atti di indagine compiuti; nei comunicati e nelle conferenze stampa è vietato assegnare ai procedimenti pendenti denominazioni lesive della presunzione di innocenza. La vigilanza sul rispetto di tali modalità e divieti è affidata al Procuratore Generale presso la Corte di Appello</w:t>
      </w:r>
      <w:r w:rsidRPr="00087513">
        <w:rPr>
          <w:rFonts w:ascii="Times New Roman" w:hAnsi="Times New Roman" w:cs="Times New Roman"/>
          <w:sz w:val="24"/>
          <w:szCs w:val="24"/>
        </w:rPr>
        <w:t>». Anche l’art. 329 c.p.p., in tema di segreto sugli atti di indagine, è stato modificato, con la previsione che il Pubblico Ministero possa autorizzare la pubblicazione di singoli atti o parti di essi soltanto qualora ciò sia «strettamente» necessario per la prosecuzione delle indagini. Un’altra novità importante è rappresentata dal nuovo art. 115-bis c.p.p. sulla garanzia della presunzione di innocenza: «</w:t>
      </w:r>
      <w:r w:rsidRPr="00087513">
        <w:rPr>
          <w:rFonts w:ascii="Times New Roman" w:hAnsi="Times New Roman" w:cs="Times New Roman"/>
          <w:i/>
          <w:iCs/>
          <w:sz w:val="24"/>
          <w:szCs w:val="24"/>
        </w:rPr>
        <w:t>nei provvedimenti diversi da quelli che decidono della responsabilità penale dell’imputato (e con esclusione degli atti del pubblico ministero volti a dimostrare la colpevolezza della persona interessata), la persona indagata o imputata non può essere indicata come colpevole, fino a quando la colpevolezza non è stata accertata con sentenza o decreto penale di condanna irrevocabili; in caso di violazione, la persona interessata può, nei dieci giorni successivi, richiedere la correzione del provvedimento, quando è necessario per salvaguardare la presunzione di innocenza nel processo. Sull’istanza di correzione il giudice provvede, con decreto motivato, entro quarantotto ore dal suo deposito. Il decreto è notificato all’interessato e alle altre parti e comunicato al pubblico ministero, i quali nei dieci giorni successivi possono proporre opposizione al presidente del tribunale o della corte; nei provvedimenti diversi da quelli che decidono della responsabilità penale dell’imputato e che tuttavia presuppongono la valutazione di prove, elementi di prova o indizi di colpevolezza, l’autorità giudiziaria deve limitare i riferimenti alla colpevolezza della persona indagata o imputata a quanto necessario (presupposti, requisiti e condizioni) per l’adozione del provvedimento</w:t>
      </w:r>
      <w:r w:rsidRPr="00087513">
        <w:rPr>
          <w:rFonts w:ascii="Times New Roman" w:hAnsi="Times New Roman" w:cs="Times New Roman"/>
          <w:sz w:val="24"/>
          <w:szCs w:val="24"/>
        </w:rPr>
        <w:t>».</w:t>
      </w:r>
    </w:p>
  </w:footnote>
  <w:footnote w:id="64">
    <w:p w14:paraId="38DB76F7" w14:textId="689DA8CC" w:rsidR="00151A9E" w:rsidRPr="00151A9E" w:rsidRDefault="00151A9E" w:rsidP="00151A9E">
      <w:pPr>
        <w:pStyle w:val="NormaleWeb"/>
        <w:spacing w:before="0" w:beforeAutospacing="0" w:after="0" w:afterAutospacing="0"/>
        <w:jc w:val="both"/>
      </w:pPr>
      <w:r>
        <w:rPr>
          <w:rStyle w:val="Rimandonotaapidipagina"/>
        </w:rPr>
        <w:footnoteRef/>
      </w:r>
      <w:r w:rsidRPr="00151A9E">
        <w:t xml:space="preserve"> </w:t>
      </w:r>
      <w:r>
        <w:t>In conclusione, si può accennare alla problematica relativa all’</w:t>
      </w:r>
      <w:proofErr w:type="spellStart"/>
      <w:r>
        <w:t>acquisibilità</w:t>
      </w:r>
      <w:proofErr w:type="spellEnd"/>
      <w:r>
        <w:t xml:space="preserve"> delle testimonianze d</w:t>
      </w:r>
      <w:r>
        <w:t>egli</w:t>
      </w:r>
      <w:r>
        <w:t xml:space="preserve"> assistenti vocali nel processo penale. Sappiamo che è dal </w:t>
      </w:r>
      <w:r w:rsidRPr="00766850">
        <w:t xml:space="preserve">2015 </w:t>
      </w:r>
      <w:r>
        <w:t>che n</w:t>
      </w:r>
      <w:r w:rsidRPr="00766850">
        <w:t>egli Stati Uniti</w:t>
      </w:r>
      <w:r>
        <w:t xml:space="preserve"> </w:t>
      </w:r>
      <w:proofErr w:type="spellStart"/>
      <w:r w:rsidRPr="00151A9E">
        <w:rPr>
          <w:i/>
          <w:iCs/>
        </w:rPr>
        <w:t>Alexa</w:t>
      </w:r>
      <w:proofErr w:type="spellEnd"/>
      <w:r w:rsidRPr="00766850">
        <w:t xml:space="preserve"> </w:t>
      </w:r>
      <w:r>
        <w:t xml:space="preserve">assume le vesti di vero e proprio </w:t>
      </w:r>
      <w:r w:rsidRPr="00766850">
        <w:t>testimone</w:t>
      </w:r>
      <w:r>
        <w:t xml:space="preserve"> nel processo: i</w:t>
      </w:r>
      <w:r w:rsidRPr="00766850">
        <w:t>l cas</w:t>
      </w:r>
      <w:r>
        <w:t xml:space="preserve">o </w:t>
      </w:r>
      <w:r w:rsidRPr="00766850">
        <w:t xml:space="preserve">più recente si è verificato nel luglio del 2019, in Florida, quando </w:t>
      </w:r>
      <w:r>
        <w:t xml:space="preserve">un uomo è stato </w:t>
      </w:r>
      <w:r w:rsidRPr="00766850">
        <w:t xml:space="preserve">accusato </w:t>
      </w:r>
      <w:r>
        <w:t>di aver ucciso la</w:t>
      </w:r>
      <w:r w:rsidRPr="00766850">
        <w:t xml:space="preserve"> fidanzat</w:t>
      </w:r>
      <w:r>
        <w:t>a</w:t>
      </w:r>
      <w:r w:rsidRPr="00766850">
        <w:t xml:space="preserve"> nella loro abitazione. Gli inquirenti</w:t>
      </w:r>
      <w:r>
        <w:t xml:space="preserve">, tramite </w:t>
      </w:r>
      <w:r w:rsidRPr="00766850">
        <w:t>mandato di perquisizione</w:t>
      </w:r>
      <w:r>
        <w:t>, hanno</w:t>
      </w:r>
      <w:r w:rsidRPr="00766850">
        <w:t xml:space="preserve"> </w:t>
      </w:r>
      <w:r>
        <w:t>analizzato</w:t>
      </w:r>
      <w:r w:rsidRPr="00766850">
        <w:t xml:space="preserve"> le registrazioni del dispositivo </w:t>
      </w:r>
      <w:r>
        <w:t xml:space="preserve">di assistenza vocale </w:t>
      </w:r>
      <w:r w:rsidRPr="00766850">
        <w:t>presente in casa,</w:t>
      </w:r>
      <w:r>
        <w:t xml:space="preserve"> per ottenere indizi o prove sull’accaduto. Sul tema</w:t>
      </w:r>
      <w:r w:rsidR="00893BBD">
        <w:t>,</w:t>
      </w:r>
      <w:r>
        <w:t xml:space="preserve"> vedi </w:t>
      </w:r>
      <w:r w:rsidRPr="00151A9E">
        <w:rPr>
          <w:smallCaps/>
        </w:rPr>
        <w:t xml:space="preserve">F. </w:t>
      </w:r>
      <w:proofErr w:type="spellStart"/>
      <w:r w:rsidRPr="00151A9E">
        <w:rPr>
          <w:smallCaps/>
        </w:rPr>
        <w:t>Zambonin</w:t>
      </w:r>
      <w:proofErr w:type="spellEnd"/>
      <w:r w:rsidRPr="00151A9E">
        <w:rPr>
          <w:smallCaps/>
        </w:rPr>
        <w:t>,</w:t>
      </w:r>
      <w:r w:rsidRPr="00766850">
        <w:t xml:space="preserve"> </w:t>
      </w:r>
      <w:r>
        <w:t>“</w:t>
      </w:r>
      <w:proofErr w:type="spellStart"/>
      <w:r w:rsidRPr="00766850">
        <w:rPr>
          <w:i/>
          <w:iCs/>
        </w:rPr>
        <w:t>Alexa</w:t>
      </w:r>
      <w:proofErr w:type="spellEnd"/>
      <w:r w:rsidRPr="00766850">
        <w:rPr>
          <w:i/>
          <w:iCs/>
        </w:rPr>
        <w:t xml:space="preserve"> testimone in un caso di omicidio</w:t>
      </w:r>
      <w:r w:rsidRPr="00315CA7">
        <w:t>”, su</w:t>
      </w:r>
      <w:r>
        <w:t xml:space="preserve"> </w:t>
      </w:r>
      <w:r w:rsidRPr="00315CA7">
        <w:rPr>
          <w:i/>
          <w:iCs/>
        </w:rPr>
        <w:t>Il tuo legale</w:t>
      </w:r>
      <w:r w:rsidRPr="00766850">
        <w:t>, 2019</w:t>
      </w:r>
      <w:r>
        <w:t xml:space="preserve"> e </w:t>
      </w:r>
      <w:r w:rsidRPr="00766850">
        <w:t>A</w:t>
      </w:r>
      <w:r w:rsidRPr="00151A9E">
        <w:rPr>
          <w:smallCaps/>
        </w:rPr>
        <w:t xml:space="preserve">. </w:t>
      </w:r>
      <w:proofErr w:type="spellStart"/>
      <w:r w:rsidRPr="00151A9E">
        <w:rPr>
          <w:smallCaps/>
        </w:rPr>
        <w:t>Benvegnù</w:t>
      </w:r>
      <w:proofErr w:type="spellEnd"/>
      <w:r w:rsidRPr="00766850">
        <w:t xml:space="preserve">, </w:t>
      </w:r>
      <w:r>
        <w:t>“</w:t>
      </w:r>
      <w:proofErr w:type="spellStart"/>
      <w:r w:rsidRPr="00766850">
        <w:rPr>
          <w:i/>
          <w:iCs/>
        </w:rPr>
        <w:t>Alexa</w:t>
      </w:r>
      <w:proofErr w:type="spellEnd"/>
      <w:r w:rsidRPr="00766850">
        <w:rPr>
          <w:i/>
          <w:iCs/>
        </w:rPr>
        <w:t>, unica testimone di un omicidio. E (legittime) domande sulla nostra privacy</w:t>
      </w:r>
      <w:r w:rsidRPr="00315CA7">
        <w:t>”, su</w:t>
      </w:r>
      <w:r>
        <w:rPr>
          <w:i/>
          <w:iCs/>
        </w:rPr>
        <w:t xml:space="preserve"> </w:t>
      </w:r>
      <w:r w:rsidRPr="00315CA7">
        <w:rPr>
          <w:i/>
          <w:iCs/>
        </w:rPr>
        <w:t>Nera-Mente</w:t>
      </w:r>
      <w:r w:rsidRPr="00766850">
        <w:t>, 2020</w:t>
      </w:r>
      <w:r>
        <w:t>. Per quanto riguarda la normativa italiana, i</w:t>
      </w:r>
      <w:r w:rsidRPr="00766850">
        <w:t>n astratto</w:t>
      </w:r>
      <w:r>
        <w:t>,</w:t>
      </w:r>
      <w:r w:rsidRPr="00766850">
        <w:t xml:space="preserve"> le registrazion</w:t>
      </w:r>
      <w:r>
        <w:t xml:space="preserve">i </w:t>
      </w:r>
      <w:r w:rsidRPr="00766850">
        <w:t>degli</w:t>
      </w:r>
      <w:r w:rsidRPr="00766850">
        <w:rPr>
          <w:rStyle w:val="apple-converted-space"/>
        </w:rPr>
        <w:t> </w:t>
      </w:r>
      <w:proofErr w:type="spellStart"/>
      <w:r w:rsidRPr="00766850">
        <w:rPr>
          <w:rStyle w:val="Enfasicorsivo"/>
          <w:bdr w:val="none" w:sz="0" w:space="0" w:color="auto" w:frame="1"/>
        </w:rPr>
        <w:t>smart</w:t>
      </w:r>
      <w:proofErr w:type="spellEnd"/>
      <w:r w:rsidRPr="00766850">
        <w:rPr>
          <w:rStyle w:val="Enfasicorsivo"/>
          <w:bdr w:val="none" w:sz="0" w:space="0" w:color="auto" w:frame="1"/>
        </w:rPr>
        <w:t xml:space="preserve"> </w:t>
      </w:r>
      <w:proofErr w:type="spellStart"/>
      <w:r w:rsidRPr="00766850">
        <w:rPr>
          <w:rStyle w:val="Enfasicorsivo"/>
          <w:bdr w:val="none" w:sz="0" w:space="0" w:color="auto" w:frame="1"/>
        </w:rPr>
        <w:t>assistant</w:t>
      </w:r>
      <w:proofErr w:type="spellEnd"/>
      <w:r w:rsidRPr="00766850">
        <w:rPr>
          <w:rStyle w:val="apple-converted-space"/>
        </w:rPr>
        <w:t> </w:t>
      </w:r>
      <w:r>
        <w:t xml:space="preserve">e </w:t>
      </w:r>
      <w:r w:rsidRPr="00766850">
        <w:t>le trascrizioni possono essere utilizzate nel processo</w:t>
      </w:r>
      <w:r>
        <w:t xml:space="preserve"> </w:t>
      </w:r>
      <w:r w:rsidRPr="00766850">
        <w:t xml:space="preserve">nel rispetto della </w:t>
      </w:r>
      <w:r>
        <w:t>disciplina</w:t>
      </w:r>
      <w:r w:rsidRPr="00766850">
        <w:t xml:space="preserve"> penalistica e civilistica</w:t>
      </w:r>
      <w:r>
        <w:t xml:space="preserve">. Il problema che si pone è che </w:t>
      </w:r>
      <w:r w:rsidRPr="00766850">
        <w:t xml:space="preserve">la registrazione </w:t>
      </w:r>
      <w:r>
        <w:t>sonora</w:t>
      </w:r>
      <w:r w:rsidRPr="00766850">
        <w:t xml:space="preserve"> di una conversazione da parte di un soggetto che ne sia parte presuppone</w:t>
      </w:r>
      <w:r w:rsidR="00893BBD">
        <w:t>,</w:t>
      </w:r>
      <w:r w:rsidRPr="00766850">
        <w:t xml:space="preserve"> di norma</w:t>
      </w:r>
      <w:r w:rsidR="00893BBD">
        <w:t>,</w:t>
      </w:r>
      <w:r w:rsidRPr="00766850">
        <w:t xml:space="preserve"> il consenso anche degli altri interlocutori</w:t>
      </w:r>
      <w:r>
        <w:t xml:space="preserve">, tranne però il </w:t>
      </w:r>
      <w:r w:rsidRPr="00766850">
        <w:t>caso in cui la raccolta dei dati intervenga per far valere o difendere un diritto in sede giudiziaria o stragiudiziale (</w:t>
      </w:r>
      <w:proofErr w:type="spellStart"/>
      <w:r w:rsidRPr="00766850">
        <w:t>Cass</w:t>
      </w:r>
      <w:proofErr w:type="spellEnd"/>
      <w:r w:rsidRPr="00766850">
        <w:t xml:space="preserve">. </w:t>
      </w:r>
      <w:proofErr w:type="spellStart"/>
      <w:r w:rsidRPr="00766850">
        <w:t>Civ</w:t>
      </w:r>
      <w:proofErr w:type="spellEnd"/>
      <w:r w:rsidRPr="00766850">
        <w:t xml:space="preserve">., </w:t>
      </w:r>
      <w:proofErr w:type="spellStart"/>
      <w:r w:rsidRPr="00766850">
        <w:t>sent</w:t>
      </w:r>
      <w:proofErr w:type="spellEnd"/>
      <w:r w:rsidRPr="00766850">
        <w:t>. n. 11322/2018).</w:t>
      </w:r>
      <w:r>
        <w:t xml:space="preserve"> Inoltre,</w:t>
      </w:r>
      <w:r w:rsidRPr="00766850">
        <w:t xml:space="preserve"> </w:t>
      </w:r>
      <w:r>
        <w:t>se l’</w:t>
      </w:r>
      <w:r w:rsidRPr="00766850">
        <w:t>interlocutor</w:t>
      </w:r>
      <w:r>
        <w:t xml:space="preserve">e registra la conversazione </w:t>
      </w:r>
      <w:r w:rsidRPr="00766850">
        <w:t>all’insaputa dell’altro</w:t>
      </w:r>
      <w:r w:rsidR="00893BBD">
        <w:t>,</w:t>
      </w:r>
      <w:r w:rsidRPr="00766850">
        <w:t xml:space="preserve"> non </w:t>
      </w:r>
      <w:r>
        <w:t>si configura la fattispecie dell’</w:t>
      </w:r>
      <w:r w:rsidRPr="00766850">
        <w:t xml:space="preserve">intercettazione, </w:t>
      </w:r>
      <w:r w:rsidR="00893BBD">
        <w:t xml:space="preserve">bensì </w:t>
      </w:r>
      <w:r w:rsidRPr="00766850">
        <w:t xml:space="preserve">una </w:t>
      </w:r>
      <w:r w:rsidR="00893BBD">
        <w:t xml:space="preserve">mera </w:t>
      </w:r>
      <w:r w:rsidRPr="00766850">
        <w:t>modalità di documentazione dei contenuti</w:t>
      </w:r>
      <w:r>
        <w:t xml:space="preserve"> </w:t>
      </w:r>
      <w:r w:rsidRPr="00766850">
        <w:t xml:space="preserve">già nella disponibilità di chi effettua </w:t>
      </w:r>
      <w:r>
        <w:t>la registrazione,</w:t>
      </w:r>
      <w:r w:rsidRPr="00766850">
        <w:t xml:space="preserve"> </w:t>
      </w:r>
      <w:r>
        <w:t>con la possibilità di trasporre</w:t>
      </w:r>
      <w:r w:rsidRPr="00766850">
        <w:t xml:space="preserve"> </w:t>
      </w:r>
      <w:r>
        <w:t>il contenuto</w:t>
      </w:r>
      <w:r w:rsidRPr="00766850">
        <w:t xml:space="preserve"> nel processo attraverso la testimonianza (</w:t>
      </w:r>
      <w:proofErr w:type="spellStart"/>
      <w:r w:rsidRPr="00766850">
        <w:t>Cass</w:t>
      </w:r>
      <w:proofErr w:type="spellEnd"/>
      <w:r w:rsidRPr="00766850">
        <w:t xml:space="preserve">. Pen. Sez. II, </w:t>
      </w:r>
      <w:proofErr w:type="spellStart"/>
      <w:r w:rsidRPr="00766850">
        <w:t>sent</w:t>
      </w:r>
      <w:proofErr w:type="spellEnd"/>
      <w:r w:rsidRPr="00766850">
        <w:t>. n. 19158/2015).</w:t>
      </w:r>
      <w:r>
        <w:t xml:space="preserve"> Comunque, i</w:t>
      </w:r>
      <w:r w:rsidRPr="00766850">
        <w:t>n Italia</w:t>
      </w:r>
      <w:r>
        <w:t xml:space="preserve"> </w:t>
      </w:r>
      <w:r w:rsidRPr="00766850">
        <w:t>non c</w:t>
      </w:r>
      <w:r>
        <w:t xml:space="preserve">’è </w:t>
      </w:r>
      <w:r w:rsidRPr="00766850">
        <w:t>ancora una normativa specifica</w:t>
      </w:r>
      <w:r>
        <w:t xml:space="preserve"> che si occupi dell’acquisizione della testimonianza dei dispositivi di assistenza vocale:</w:t>
      </w:r>
      <w:r w:rsidRPr="00766850">
        <w:t xml:space="preserve"> </w:t>
      </w:r>
      <w:r>
        <w:t xml:space="preserve">in dottrina </w:t>
      </w:r>
      <w:r w:rsidRPr="00766850">
        <w:t>si sta facendo riferimento</w:t>
      </w:r>
      <w:r>
        <w:t xml:space="preserve"> ad un </w:t>
      </w:r>
      <w:r w:rsidRPr="00766850">
        <w:t xml:space="preserve">possibile futuro ingresso nel procedimento penale delle registrazioni tramite </w:t>
      </w:r>
      <w:proofErr w:type="spellStart"/>
      <w:r w:rsidRPr="00893BBD">
        <w:rPr>
          <w:i/>
          <w:iCs/>
        </w:rPr>
        <w:t>smart</w:t>
      </w:r>
      <w:proofErr w:type="spellEnd"/>
      <w:r w:rsidRPr="00766850">
        <w:t xml:space="preserve"> </w:t>
      </w:r>
      <w:r w:rsidRPr="00893BBD">
        <w:rPr>
          <w:i/>
          <w:iCs/>
        </w:rPr>
        <w:t>speaker</w:t>
      </w:r>
      <w:r w:rsidRPr="00766850">
        <w:t xml:space="preserve"> come prova atipic</w:t>
      </w:r>
      <w:r>
        <w:t xml:space="preserve">a (ex </w:t>
      </w:r>
      <w:r w:rsidRPr="00766850">
        <w:t>art.</w:t>
      </w:r>
      <w:r>
        <w:t xml:space="preserve"> </w:t>
      </w:r>
      <w:r w:rsidRPr="00766850">
        <w:t>189 c.p.p.</w:t>
      </w:r>
      <w:r>
        <w:t xml:space="preserve"> – che così dispone: «</w:t>
      </w:r>
      <w:r w:rsidRPr="00315CA7">
        <w:rPr>
          <w:i/>
          <w:iCs/>
        </w:rPr>
        <w:t>Quando è richiesta una prova non disciplinata dalla legge, il giudice può assumerla se essa risulta idonea ad assicurare l'accertamento dei fatti e non pregiudica la libertà morale della persona. Il giudice provvede all'ammissione, sentite le parti sulle modalità di assunzione della prova</w:t>
      </w:r>
      <w:r>
        <w:t xml:space="preserve">» – </w:t>
      </w:r>
      <w:r w:rsidR="00893BBD">
        <w:t xml:space="preserve">articolo </w:t>
      </w:r>
      <w:r>
        <w:t xml:space="preserve">concepito </w:t>
      </w:r>
      <w:r w:rsidRPr="00766850">
        <w:t>come “valvola di sicurezza”</w:t>
      </w:r>
      <w:r w:rsidR="00893BBD">
        <w:t xml:space="preserve"> </w:t>
      </w:r>
      <w:r w:rsidRPr="00766850">
        <w:t>per convogliare il progresso scientifico all’interno del processo penale</w:t>
      </w:r>
      <w:r>
        <w:t>).</w:t>
      </w:r>
    </w:p>
  </w:footnote>
  <w:footnote w:id="65">
    <w:p w14:paraId="080ED481" w14:textId="37F07DC2" w:rsidR="000463A6" w:rsidRPr="00F566DC" w:rsidRDefault="000463A6" w:rsidP="00F566DC">
      <w:pPr>
        <w:pStyle w:val="Testonotaapidipagina"/>
        <w:jc w:val="both"/>
        <w:rPr>
          <w:rFonts w:ascii="Times New Roman" w:hAnsi="Times New Roman" w:cs="Times New Roman"/>
          <w:sz w:val="24"/>
          <w:szCs w:val="24"/>
          <w:lang w:val="en-US"/>
        </w:rPr>
      </w:pPr>
      <w:r w:rsidRPr="00F566DC">
        <w:rPr>
          <w:rStyle w:val="Rimandonotaapidipagina"/>
          <w:rFonts w:ascii="Times New Roman" w:hAnsi="Times New Roman" w:cs="Times New Roman"/>
          <w:sz w:val="24"/>
          <w:szCs w:val="24"/>
        </w:rPr>
        <w:footnoteRef/>
      </w:r>
      <w:r w:rsidRPr="00F566DC">
        <w:rPr>
          <w:rFonts w:ascii="Times New Roman" w:hAnsi="Times New Roman" w:cs="Times New Roman"/>
          <w:sz w:val="24"/>
          <w:szCs w:val="24"/>
          <w:lang w:val="en-US"/>
        </w:rPr>
        <w:t xml:space="preserve"> </w:t>
      </w:r>
      <w:r w:rsidRPr="00F566DC">
        <w:rPr>
          <w:rFonts w:ascii="Times New Roman" w:hAnsi="Times New Roman" w:cs="Times New Roman"/>
          <w:smallCaps/>
          <w:sz w:val="24"/>
          <w:szCs w:val="24"/>
          <w:lang w:val="en-GB"/>
        </w:rPr>
        <w:t>Z</w:t>
      </w:r>
      <w:r>
        <w:rPr>
          <w:rFonts w:ascii="Times New Roman" w:hAnsi="Times New Roman" w:cs="Times New Roman"/>
          <w:smallCaps/>
          <w:sz w:val="24"/>
          <w:szCs w:val="24"/>
          <w:lang w:val="en-GB"/>
        </w:rPr>
        <w:t>.</w:t>
      </w:r>
      <w:r w:rsidRPr="00F566DC">
        <w:rPr>
          <w:rFonts w:ascii="Times New Roman" w:hAnsi="Times New Roman" w:cs="Times New Roman"/>
          <w:smallCaps/>
          <w:sz w:val="24"/>
          <w:szCs w:val="24"/>
          <w:lang w:val="en-GB"/>
        </w:rPr>
        <w:t xml:space="preserve"> </w:t>
      </w:r>
      <w:proofErr w:type="spellStart"/>
      <w:r w:rsidRPr="00F566DC">
        <w:rPr>
          <w:rFonts w:ascii="Times New Roman" w:hAnsi="Times New Roman" w:cs="Times New Roman"/>
          <w:smallCaps/>
          <w:sz w:val="24"/>
          <w:szCs w:val="24"/>
          <w:lang w:val="en-GB"/>
        </w:rPr>
        <w:t>Zencovich</w:t>
      </w:r>
      <w:proofErr w:type="spellEnd"/>
      <w:r>
        <w:rPr>
          <w:rFonts w:ascii="Times New Roman" w:hAnsi="Times New Roman" w:cs="Times New Roman"/>
          <w:sz w:val="24"/>
          <w:szCs w:val="24"/>
          <w:lang w:val="en-GB"/>
        </w:rPr>
        <w:t>, “</w:t>
      </w:r>
      <w:r w:rsidRPr="00F566DC">
        <w:rPr>
          <w:rFonts w:ascii="Times New Roman" w:hAnsi="Times New Roman" w:cs="Times New Roman"/>
          <w:i/>
          <w:iCs/>
          <w:sz w:val="24"/>
          <w:szCs w:val="24"/>
          <w:lang w:val="en-GB"/>
        </w:rPr>
        <w:t>The Datasphere, Data flows beyond control and the challenges for law and governance</w:t>
      </w:r>
      <w:r w:rsidRPr="004667AC">
        <w:rPr>
          <w:rFonts w:ascii="Times New Roman" w:hAnsi="Times New Roman" w:cs="Times New Roman"/>
          <w:sz w:val="24"/>
          <w:szCs w:val="24"/>
          <w:lang w:val="en-GB"/>
        </w:rPr>
        <w:t>”,</w:t>
      </w:r>
      <w:r w:rsidRPr="00F566DC">
        <w:rPr>
          <w:rFonts w:ascii="Times New Roman" w:hAnsi="Times New Roman" w:cs="Times New Roman"/>
          <w:i/>
          <w:iCs/>
          <w:sz w:val="24"/>
          <w:szCs w:val="24"/>
          <w:lang w:val="en-GB"/>
        </w:rPr>
        <w:t xml:space="preserve"> </w:t>
      </w:r>
      <w:r w:rsidRPr="00F566DC">
        <w:rPr>
          <w:rFonts w:ascii="Times New Roman" w:hAnsi="Times New Roman" w:cs="Times New Roman"/>
          <w:sz w:val="24"/>
          <w:szCs w:val="24"/>
          <w:lang w:val="en-GB"/>
        </w:rPr>
        <w:t>in</w:t>
      </w:r>
      <w:r w:rsidRPr="00F566DC">
        <w:rPr>
          <w:rFonts w:ascii="Times New Roman" w:hAnsi="Times New Roman" w:cs="Times New Roman"/>
          <w:i/>
          <w:iCs/>
          <w:sz w:val="24"/>
          <w:szCs w:val="24"/>
          <w:lang w:val="en-GB"/>
        </w:rPr>
        <w:t xml:space="preserve"> European Journal of Comparative Law and Governance,</w:t>
      </w:r>
      <w:r>
        <w:rPr>
          <w:rFonts w:ascii="Times New Roman" w:hAnsi="Times New Roman" w:cs="Times New Roman"/>
          <w:i/>
          <w:iCs/>
          <w:sz w:val="24"/>
          <w:szCs w:val="24"/>
          <w:lang w:val="en-GB"/>
        </w:rPr>
        <w:t xml:space="preserve"> </w:t>
      </w:r>
      <w:r w:rsidRPr="00B62C20">
        <w:rPr>
          <w:rFonts w:ascii="Times New Roman" w:hAnsi="Times New Roman" w:cs="Times New Roman"/>
          <w:sz w:val="24"/>
          <w:szCs w:val="24"/>
          <w:lang w:val="en-GB"/>
        </w:rPr>
        <w:t>V, 2019/162.</w:t>
      </w:r>
    </w:p>
  </w:footnote>
  <w:footnote w:id="66">
    <w:p w14:paraId="11E7F363" w14:textId="25285588" w:rsidR="000463A6" w:rsidRPr="00F566DC" w:rsidRDefault="000463A6" w:rsidP="00F566DC">
      <w:pPr>
        <w:pStyle w:val="Testonotaapidipagina"/>
        <w:jc w:val="both"/>
        <w:rPr>
          <w:rFonts w:ascii="Times New Roman" w:hAnsi="Times New Roman" w:cs="Times New Roman"/>
          <w:sz w:val="24"/>
          <w:szCs w:val="24"/>
        </w:rPr>
      </w:pPr>
      <w:r w:rsidRPr="00F566DC">
        <w:rPr>
          <w:rStyle w:val="Rimandonotaapidipagina"/>
          <w:rFonts w:ascii="Times New Roman" w:hAnsi="Times New Roman" w:cs="Times New Roman"/>
          <w:sz w:val="24"/>
          <w:szCs w:val="24"/>
        </w:rPr>
        <w:footnoteRef/>
      </w:r>
      <w:r w:rsidRPr="00F566DC">
        <w:rPr>
          <w:rFonts w:ascii="Times New Roman" w:hAnsi="Times New Roman" w:cs="Times New Roman"/>
          <w:sz w:val="24"/>
          <w:szCs w:val="24"/>
        </w:rPr>
        <w:t xml:space="preserve"> </w:t>
      </w:r>
      <w:r w:rsidRPr="00F566DC">
        <w:rPr>
          <w:rFonts w:ascii="Times New Roman" w:hAnsi="Times New Roman" w:cs="Times New Roman"/>
          <w:smallCaps/>
          <w:sz w:val="24"/>
          <w:szCs w:val="24"/>
        </w:rPr>
        <w:t>F. Pizzetti</w:t>
      </w:r>
      <w:r w:rsidRPr="00F566DC">
        <w:rPr>
          <w:rFonts w:ascii="Times New Roman" w:hAnsi="Times New Roman" w:cs="Times New Roman"/>
          <w:sz w:val="24"/>
          <w:szCs w:val="24"/>
        </w:rPr>
        <w:t>, “</w:t>
      </w:r>
      <w:r w:rsidRPr="00F566DC">
        <w:rPr>
          <w:rFonts w:ascii="Times New Roman" w:hAnsi="Times New Roman" w:cs="Times New Roman"/>
          <w:i/>
          <w:iCs/>
          <w:sz w:val="24"/>
          <w:szCs w:val="24"/>
        </w:rPr>
        <w:t>Intelligenza artificiale, protezione dei dati personali e regolazione</w:t>
      </w:r>
      <w:r w:rsidRPr="00F566DC">
        <w:rPr>
          <w:rFonts w:ascii="Times New Roman" w:hAnsi="Times New Roman" w:cs="Times New Roman"/>
          <w:sz w:val="24"/>
          <w:szCs w:val="24"/>
        </w:rPr>
        <w:t>”, Torino, 2018.</w:t>
      </w:r>
    </w:p>
  </w:footnote>
  <w:footnote w:id="67">
    <w:p w14:paraId="44FDC272" w14:textId="3E2A742B" w:rsidR="000463A6" w:rsidRPr="00BC3B0F" w:rsidRDefault="000463A6" w:rsidP="00BC3B0F">
      <w:pPr>
        <w:pStyle w:val="Testonotaapidipagina"/>
        <w:jc w:val="both"/>
        <w:rPr>
          <w:rFonts w:ascii="Times New Roman" w:hAnsi="Times New Roman" w:cs="Times New Roman"/>
          <w:sz w:val="24"/>
          <w:szCs w:val="24"/>
          <w:lang w:val="en-US"/>
        </w:rPr>
      </w:pPr>
      <w:r w:rsidRPr="00BC3B0F">
        <w:rPr>
          <w:rStyle w:val="Rimandonotaapidipagina"/>
          <w:rFonts w:ascii="Times New Roman" w:hAnsi="Times New Roman" w:cs="Times New Roman"/>
          <w:sz w:val="24"/>
          <w:szCs w:val="24"/>
        </w:rPr>
        <w:footnoteRef/>
      </w:r>
      <w:r w:rsidRPr="00BC3B0F">
        <w:rPr>
          <w:rFonts w:ascii="Times New Roman" w:hAnsi="Times New Roman" w:cs="Times New Roman"/>
          <w:sz w:val="24"/>
          <w:szCs w:val="24"/>
        </w:rPr>
        <w:t xml:space="preserve"> Il tema è molto ampio. </w:t>
      </w:r>
      <w:r w:rsidRPr="00BC3B0F">
        <w:rPr>
          <w:rFonts w:ascii="Times New Roman" w:hAnsi="Times New Roman" w:cs="Times New Roman"/>
          <w:sz w:val="24"/>
          <w:szCs w:val="24"/>
          <w:lang w:val="en-US"/>
        </w:rPr>
        <w:t xml:space="preserve">In </w:t>
      </w:r>
      <w:proofErr w:type="spellStart"/>
      <w:r w:rsidRPr="00BC3B0F">
        <w:rPr>
          <w:rFonts w:ascii="Times New Roman" w:hAnsi="Times New Roman" w:cs="Times New Roman"/>
          <w:sz w:val="24"/>
          <w:szCs w:val="24"/>
          <w:lang w:val="en-US"/>
        </w:rPr>
        <w:t>ambito</w:t>
      </w:r>
      <w:proofErr w:type="spellEnd"/>
      <w:r w:rsidRPr="00BC3B0F">
        <w:rPr>
          <w:rFonts w:ascii="Times New Roman" w:hAnsi="Times New Roman" w:cs="Times New Roman"/>
          <w:sz w:val="24"/>
          <w:szCs w:val="24"/>
          <w:lang w:val="en-US"/>
        </w:rPr>
        <w:t xml:space="preserve"> </w:t>
      </w:r>
      <w:proofErr w:type="spellStart"/>
      <w:r w:rsidRPr="00BC3B0F">
        <w:rPr>
          <w:rFonts w:ascii="Times New Roman" w:hAnsi="Times New Roman" w:cs="Times New Roman"/>
          <w:sz w:val="24"/>
          <w:szCs w:val="24"/>
          <w:lang w:val="en-US"/>
        </w:rPr>
        <w:t>penale</w:t>
      </w:r>
      <w:proofErr w:type="spellEnd"/>
      <w:r w:rsidRPr="00BC3B0F">
        <w:rPr>
          <w:rFonts w:ascii="Times New Roman" w:hAnsi="Times New Roman" w:cs="Times New Roman"/>
          <w:sz w:val="24"/>
          <w:szCs w:val="24"/>
          <w:lang w:val="en-US"/>
        </w:rPr>
        <w:t xml:space="preserve"> </w:t>
      </w:r>
      <w:proofErr w:type="spellStart"/>
      <w:r w:rsidRPr="00BC3B0F">
        <w:rPr>
          <w:rFonts w:ascii="Times New Roman" w:hAnsi="Times New Roman" w:cs="Times New Roman"/>
          <w:sz w:val="24"/>
          <w:szCs w:val="24"/>
          <w:lang w:val="en-US"/>
        </w:rPr>
        <w:t>si</w:t>
      </w:r>
      <w:proofErr w:type="spellEnd"/>
      <w:r w:rsidRPr="00BC3B0F">
        <w:rPr>
          <w:rFonts w:ascii="Times New Roman" w:hAnsi="Times New Roman" w:cs="Times New Roman"/>
          <w:sz w:val="24"/>
          <w:szCs w:val="24"/>
          <w:lang w:val="en-US"/>
        </w:rPr>
        <w:t xml:space="preserve"> </w:t>
      </w:r>
      <w:proofErr w:type="spellStart"/>
      <w:r w:rsidRPr="00BC3B0F">
        <w:rPr>
          <w:rFonts w:ascii="Times New Roman" w:hAnsi="Times New Roman" w:cs="Times New Roman"/>
          <w:sz w:val="24"/>
          <w:szCs w:val="24"/>
          <w:lang w:val="en-US"/>
        </w:rPr>
        <w:t>vedano</w:t>
      </w:r>
      <w:proofErr w:type="spellEnd"/>
      <w:r w:rsidRPr="00BC3B0F">
        <w:rPr>
          <w:rFonts w:ascii="Times New Roman" w:hAnsi="Times New Roman" w:cs="Times New Roman"/>
          <w:sz w:val="24"/>
          <w:szCs w:val="24"/>
          <w:lang w:val="en-US"/>
        </w:rPr>
        <w:t xml:space="preserve"> </w:t>
      </w:r>
      <w:proofErr w:type="spellStart"/>
      <w:r w:rsidRPr="00BC3B0F">
        <w:rPr>
          <w:rFonts w:ascii="Times New Roman" w:hAnsi="Times New Roman" w:cs="Times New Roman"/>
          <w:sz w:val="24"/>
          <w:szCs w:val="24"/>
          <w:lang w:val="en-US"/>
        </w:rPr>
        <w:t>i</w:t>
      </w:r>
      <w:proofErr w:type="spellEnd"/>
      <w:r w:rsidRPr="00BC3B0F">
        <w:rPr>
          <w:rFonts w:ascii="Times New Roman" w:hAnsi="Times New Roman" w:cs="Times New Roman"/>
          <w:sz w:val="24"/>
          <w:szCs w:val="24"/>
          <w:lang w:val="en-US"/>
        </w:rPr>
        <w:t xml:space="preserve"> </w:t>
      </w:r>
      <w:proofErr w:type="spellStart"/>
      <w:r w:rsidRPr="00BC3B0F">
        <w:rPr>
          <w:rFonts w:ascii="Times New Roman" w:hAnsi="Times New Roman" w:cs="Times New Roman"/>
          <w:sz w:val="24"/>
          <w:szCs w:val="24"/>
          <w:lang w:val="en-US"/>
        </w:rPr>
        <w:t>contribut</w:t>
      </w:r>
      <w:r>
        <w:rPr>
          <w:rFonts w:ascii="Times New Roman" w:hAnsi="Times New Roman" w:cs="Times New Roman"/>
          <w:sz w:val="24"/>
          <w:szCs w:val="24"/>
          <w:lang w:val="en-US"/>
        </w:rPr>
        <w:t>i</w:t>
      </w:r>
      <w:proofErr w:type="spellEnd"/>
      <w:r w:rsidRPr="00BC3B0F">
        <w:rPr>
          <w:rFonts w:ascii="Times New Roman" w:hAnsi="Times New Roman" w:cs="Times New Roman"/>
          <w:sz w:val="24"/>
          <w:szCs w:val="24"/>
          <w:lang w:val="en-US"/>
        </w:rPr>
        <w:t xml:space="preserve"> di </w:t>
      </w:r>
      <w:r w:rsidRPr="0071118C">
        <w:rPr>
          <w:rFonts w:ascii="Times New Roman" w:hAnsi="Times New Roman" w:cs="Times New Roman"/>
          <w:smallCaps/>
          <w:sz w:val="24"/>
          <w:szCs w:val="24"/>
          <w:lang w:val="en-US"/>
        </w:rPr>
        <w:t xml:space="preserve">G. </w:t>
      </w:r>
      <w:proofErr w:type="spellStart"/>
      <w:r w:rsidRPr="0071118C">
        <w:rPr>
          <w:rFonts w:ascii="Times New Roman" w:hAnsi="Times New Roman" w:cs="Times New Roman"/>
          <w:smallCaps/>
          <w:sz w:val="24"/>
          <w:szCs w:val="24"/>
          <w:lang w:val="en-US"/>
        </w:rPr>
        <w:t>Hallevy</w:t>
      </w:r>
      <w:proofErr w:type="spellEnd"/>
      <w:r w:rsidRPr="00BC3B0F">
        <w:rPr>
          <w:rFonts w:ascii="Times New Roman" w:hAnsi="Times New Roman" w:cs="Times New Roman"/>
          <w:sz w:val="24"/>
          <w:szCs w:val="24"/>
          <w:lang w:val="en-US"/>
        </w:rPr>
        <w:t>, “</w:t>
      </w:r>
      <w:r w:rsidRPr="0071118C">
        <w:rPr>
          <w:rFonts w:ascii="Times New Roman" w:hAnsi="Times New Roman" w:cs="Times New Roman"/>
          <w:i/>
          <w:iCs/>
          <w:sz w:val="24"/>
          <w:szCs w:val="24"/>
          <w:lang w:val="en-US"/>
        </w:rPr>
        <w:t>The Criminal Liability of Artificial Intelligence Entities – from Science Fiction to Legal Social Control</w:t>
      </w:r>
      <w:r w:rsidRPr="00BC3B0F">
        <w:rPr>
          <w:rFonts w:ascii="Times New Roman" w:hAnsi="Times New Roman" w:cs="Times New Roman"/>
          <w:sz w:val="24"/>
          <w:szCs w:val="24"/>
          <w:lang w:val="en-US"/>
        </w:rPr>
        <w:t xml:space="preserve">”, in </w:t>
      </w:r>
      <w:r w:rsidRPr="0071118C">
        <w:rPr>
          <w:rFonts w:ascii="Times New Roman" w:hAnsi="Times New Roman" w:cs="Times New Roman"/>
          <w:i/>
          <w:iCs/>
          <w:sz w:val="24"/>
          <w:szCs w:val="24"/>
          <w:lang w:val="en-US"/>
        </w:rPr>
        <w:t>Akron Intellectual Property Journal</w:t>
      </w:r>
      <w:r w:rsidRPr="00BC3B0F">
        <w:rPr>
          <w:rFonts w:ascii="Times New Roman" w:hAnsi="Times New Roman" w:cs="Times New Roman"/>
          <w:sz w:val="24"/>
          <w:szCs w:val="24"/>
          <w:lang w:val="en-US"/>
        </w:rPr>
        <w:t>, 2010; “</w:t>
      </w:r>
      <w:r w:rsidRPr="0071118C">
        <w:rPr>
          <w:rFonts w:ascii="Times New Roman" w:hAnsi="Times New Roman" w:cs="Times New Roman"/>
          <w:i/>
          <w:iCs/>
          <w:sz w:val="24"/>
          <w:szCs w:val="24"/>
          <w:lang w:val="en-US"/>
        </w:rPr>
        <w:t>I, Robot – I, Criminal – When Science Fiction Becomes Reality: Legal Liability of AI Robots committing Criminal Offences</w:t>
      </w:r>
      <w:r w:rsidRPr="00BC3B0F">
        <w:rPr>
          <w:rFonts w:ascii="Times New Roman" w:hAnsi="Times New Roman" w:cs="Times New Roman"/>
          <w:sz w:val="24"/>
          <w:szCs w:val="24"/>
          <w:lang w:val="en-US"/>
        </w:rPr>
        <w:t xml:space="preserve">”, in </w:t>
      </w:r>
      <w:r w:rsidRPr="0071118C">
        <w:rPr>
          <w:rFonts w:ascii="Times New Roman" w:hAnsi="Times New Roman" w:cs="Times New Roman"/>
          <w:i/>
          <w:iCs/>
          <w:sz w:val="24"/>
          <w:szCs w:val="24"/>
          <w:lang w:val="en-US"/>
        </w:rPr>
        <w:t>Syracuse Science &amp; Technology Law Reporter</w:t>
      </w:r>
      <w:r w:rsidRPr="00BC3B0F">
        <w:rPr>
          <w:rFonts w:ascii="Times New Roman" w:hAnsi="Times New Roman" w:cs="Times New Roman"/>
          <w:sz w:val="24"/>
          <w:szCs w:val="24"/>
          <w:lang w:val="en-US"/>
        </w:rPr>
        <w:t>, 2010; “</w:t>
      </w:r>
      <w:r w:rsidRPr="0071118C">
        <w:rPr>
          <w:rFonts w:ascii="Times New Roman" w:hAnsi="Times New Roman" w:cs="Times New Roman"/>
          <w:i/>
          <w:iCs/>
          <w:sz w:val="24"/>
          <w:szCs w:val="24"/>
          <w:lang w:val="en-US"/>
        </w:rPr>
        <w:t>Virtual Criminal Responsibility</w:t>
      </w:r>
      <w:r w:rsidRPr="00BC3B0F">
        <w:rPr>
          <w:rFonts w:ascii="Times New Roman" w:hAnsi="Times New Roman" w:cs="Times New Roman"/>
          <w:sz w:val="24"/>
          <w:szCs w:val="24"/>
          <w:lang w:val="en-US"/>
        </w:rPr>
        <w:t xml:space="preserve">”, in </w:t>
      </w:r>
      <w:r w:rsidRPr="0071118C">
        <w:rPr>
          <w:rFonts w:ascii="Times New Roman" w:hAnsi="Times New Roman" w:cs="Times New Roman"/>
          <w:i/>
          <w:iCs/>
          <w:sz w:val="24"/>
          <w:szCs w:val="24"/>
          <w:lang w:val="en-US"/>
        </w:rPr>
        <w:t>Original Law Review</w:t>
      </w:r>
      <w:r w:rsidRPr="00BC3B0F">
        <w:rPr>
          <w:rFonts w:ascii="Times New Roman" w:hAnsi="Times New Roman" w:cs="Times New Roman"/>
          <w:sz w:val="24"/>
          <w:szCs w:val="24"/>
          <w:lang w:val="en-US"/>
        </w:rPr>
        <w:t>, 2010; “</w:t>
      </w:r>
      <w:r w:rsidRPr="0071118C">
        <w:rPr>
          <w:rFonts w:ascii="Times New Roman" w:hAnsi="Times New Roman" w:cs="Times New Roman"/>
          <w:i/>
          <w:iCs/>
          <w:sz w:val="24"/>
          <w:szCs w:val="24"/>
          <w:lang w:val="en-US"/>
        </w:rPr>
        <w:t>Dangerous Robots – Artificial Intelligence vs. Human Intelligence</w:t>
      </w:r>
      <w:r w:rsidRPr="00BC3B0F">
        <w:rPr>
          <w:rFonts w:ascii="Times New Roman" w:hAnsi="Times New Roman" w:cs="Times New Roman"/>
          <w:sz w:val="24"/>
          <w:szCs w:val="24"/>
          <w:lang w:val="en-US"/>
        </w:rPr>
        <w:t>”; “</w:t>
      </w:r>
      <w:r w:rsidRPr="0071118C">
        <w:rPr>
          <w:rFonts w:ascii="Times New Roman" w:hAnsi="Times New Roman" w:cs="Times New Roman"/>
          <w:i/>
          <w:iCs/>
          <w:sz w:val="24"/>
          <w:szCs w:val="24"/>
          <w:lang w:val="en-US"/>
        </w:rPr>
        <w:t>Unmanned Vehicles: Subordination to Criminal Law under the Modern Concept of Criminal Liability</w:t>
      </w:r>
      <w:r w:rsidRPr="00BC3B0F">
        <w:rPr>
          <w:rFonts w:ascii="Times New Roman" w:hAnsi="Times New Roman" w:cs="Times New Roman"/>
          <w:sz w:val="24"/>
          <w:szCs w:val="24"/>
          <w:lang w:val="en-US"/>
        </w:rPr>
        <w:t xml:space="preserve">”, in </w:t>
      </w:r>
      <w:r w:rsidRPr="008B52EC">
        <w:rPr>
          <w:rFonts w:ascii="Times New Roman" w:hAnsi="Times New Roman" w:cs="Times New Roman"/>
          <w:i/>
          <w:iCs/>
          <w:sz w:val="24"/>
          <w:szCs w:val="24"/>
          <w:lang w:val="en-US"/>
        </w:rPr>
        <w:t>Jou</w:t>
      </w:r>
      <w:r w:rsidRPr="0071118C">
        <w:rPr>
          <w:rFonts w:ascii="Times New Roman" w:hAnsi="Times New Roman" w:cs="Times New Roman"/>
          <w:i/>
          <w:iCs/>
          <w:sz w:val="24"/>
          <w:szCs w:val="24"/>
          <w:lang w:val="en-US"/>
        </w:rPr>
        <w:t>rnal of Law, Information and Science</w:t>
      </w:r>
      <w:r w:rsidRPr="00BC3B0F">
        <w:rPr>
          <w:rFonts w:ascii="Times New Roman" w:hAnsi="Times New Roman" w:cs="Times New Roman"/>
          <w:sz w:val="24"/>
          <w:szCs w:val="24"/>
          <w:lang w:val="en-US"/>
        </w:rPr>
        <w:t>, 2012; “</w:t>
      </w:r>
      <w:r w:rsidRPr="0071118C">
        <w:rPr>
          <w:rFonts w:ascii="Times New Roman" w:hAnsi="Times New Roman" w:cs="Times New Roman"/>
          <w:i/>
          <w:iCs/>
          <w:sz w:val="24"/>
          <w:szCs w:val="24"/>
          <w:lang w:val="en-US"/>
        </w:rPr>
        <w:t>When Robots Kill. Artificial Intelligence under Criminal Law</w:t>
      </w:r>
      <w:r w:rsidRPr="00BC3B0F">
        <w:rPr>
          <w:rFonts w:ascii="Times New Roman" w:hAnsi="Times New Roman" w:cs="Times New Roman"/>
          <w:sz w:val="24"/>
          <w:szCs w:val="24"/>
          <w:lang w:val="en-US"/>
        </w:rPr>
        <w:t>”, Boston, 2013; “</w:t>
      </w:r>
      <w:r w:rsidRPr="0071118C">
        <w:rPr>
          <w:rFonts w:ascii="Times New Roman" w:hAnsi="Times New Roman" w:cs="Times New Roman"/>
          <w:i/>
          <w:iCs/>
          <w:sz w:val="24"/>
          <w:szCs w:val="24"/>
          <w:lang w:val="en-US"/>
        </w:rPr>
        <w:t>Liability for Crimes Involving Artificial Intelligence Systems</w:t>
      </w:r>
      <w:r w:rsidRPr="00BC3B0F">
        <w:rPr>
          <w:rFonts w:ascii="Times New Roman" w:hAnsi="Times New Roman" w:cs="Times New Roman"/>
          <w:sz w:val="24"/>
          <w:szCs w:val="24"/>
          <w:lang w:val="en-US"/>
        </w:rPr>
        <w:t xml:space="preserve">”, Springer (Dordrecht), 2015; </w:t>
      </w:r>
      <w:r w:rsidRPr="0071118C">
        <w:rPr>
          <w:rFonts w:ascii="Times New Roman" w:hAnsi="Times New Roman" w:cs="Times New Roman"/>
          <w:smallCaps/>
          <w:sz w:val="24"/>
          <w:szCs w:val="24"/>
          <w:lang w:val="en-US"/>
        </w:rPr>
        <w:t xml:space="preserve">S. </w:t>
      </w:r>
      <w:proofErr w:type="spellStart"/>
      <w:r w:rsidRPr="0071118C">
        <w:rPr>
          <w:rFonts w:ascii="Times New Roman" w:hAnsi="Times New Roman" w:cs="Times New Roman"/>
          <w:smallCaps/>
          <w:sz w:val="24"/>
          <w:szCs w:val="24"/>
          <w:lang w:val="en-US"/>
        </w:rPr>
        <w:t>Riondato</w:t>
      </w:r>
      <w:proofErr w:type="spellEnd"/>
      <w:r w:rsidRPr="00BC3B0F">
        <w:rPr>
          <w:rFonts w:ascii="Times New Roman" w:hAnsi="Times New Roman" w:cs="Times New Roman"/>
          <w:sz w:val="24"/>
          <w:szCs w:val="24"/>
          <w:lang w:val="en-US"/>
        </w:rPr>
        <w:t>, “</w:t>
      </w:r>
      <w:proofErr w:type="spellStart"/>
      <w:r w:rsidRPr="0071118C">
        <w:rPr>
          <w:rFonts w:ascii="Times New Roman" w:hAnsi="Times New Roman" w:cs="Times New Roman"/>
          <w:i/>
          <w:iCs/>
          <w:sz w:val="24"/>
          <w:szCs w:val="24"/>
          <w:lang w:val="en-US"/>
        </w:rPr>
        <w:t>Robotica</w:t>
      </w:r>
      <w:proofErr w:type="spellEnd"/>
      <w:r w:rsidRPr="0071118C">
        <w:rPr>
          <w:rFonts w:ascii="Times New Roman" w:hAnsi="Times New Roman" w:cs="Times New Roman"/>
          <w:i/>
          <w:iCs/>
          <w:sz w:val="24"/>
          <w:szCs w:val="24"/>
          <w:lang w:val="en-US"/>
        </w:rPr>
        <w:t xml:space="preserve"> e </w:t>
      </w:r>
      <w:proofErr w:type="spellStart"/>
      <w:r w:rsidRPr="0071118C">
        <w:rPr>
          <w:rFonts w:ascii="Times New Roman" w:hAnsi="Times New Roman" w:cs="Times New Roman"/>
          <w:i/>
          <w:iCs/>
          <w:sz w:val="24"/>
          <w:szCs w:val="24"/>
          <w:lang w:val="en-US"/>
        </w:rPr>
        <w:t>diritto</w:t>
      </w:r>
      <w:proofErr w:type="spellEnd"/>
      <w:r w:rsidRPr="0071118C">
        <w:rPr>
          <w:rFonts w:ascii="Times New Roman" w:hAnsi="Times New Roman" w:cs="Times New Roman"/>
          <w:i/>
          <w:iCs/>
          <w:sz w:val="24"/>
          <w:szCs w:val="24"/>
          <w:lang w:val="en-US"/>
        </w:rPr>
        <w:t xml:space="preserve"> </w:t>
      </w:r>
      <w:proofErr w:type="spellStart"/>
      <w:r w:rsidRPr="0071118C">
        <w:rPr>
          <w:rFonts w:ascii="Times New Roman" w:hAnsi="Times New Roman" w:cs="Times New Roman"/>
          <w:i/>
          <w:iCs/>
          <w:sz w:val="24"/>
          <w:szCs w:val="24"/>
          <w:lang w:val="en-US"/>
        </w:rPr>
        <w:t>penale</w:t>
      </w:r>
      <w:proofErr w:type="spellEnd"/>
      <w:r w:rsidRPr="0071118C">
        <w:rPr>
          <w:rFonts w:ascii="Times New Roman" w:hAnsi="Times New Roman" w:cs="Times New Roman"/>
          <w:i/>
          <w:iCs/>
          <w:sz w:val="24"/>
          <w:szCs w:val="24"/>
          <w:lang w:val="en-US"/>
        </w:rPr>
        <w:t xml:space="preserve"> (robot, </w:t>
      </w:r>
      <w:proofErr w:type="spellStart"/>
      <w:r w:rsidRPr="0071118C">
        <w:rPr>
          <w:rFonts w:ascii="Times New Roman" w:hAnsi="Times New Roman" w:cs="Times New Roman"/>
          <w:i/>
          <w:iCs/>
          <w:sz w:val="24"/>
          <w:szCs w:val="24"/>
          <w:lang w:val="en-US"/>
        </w:rPr>
        <w:t>ibridi</w:t>
      </w:r>
      <w:proofErr w:type="spellEnd"/>
      <w:r w:rsidRPr="0071118C">
        <w:rPr>
          <w:rFonts w:ascii="Times New Roman" w:hAnsi="Times New Roman" w:cs="Times New Roman"/>
          <w:i/>
          <w:iCs/>
          <w:sz w:val="24"/>
          <w:szCs w:val="24"/>
          <w:lang w:val="en-US"/>
        </w:rPr>
        <w:t>, chimere, “</w:t>
      </w:r>
      <w:proofErr w:type="spellStart"/>
      <w:r w:rsidRPr="0071118C">
        <w:rPr>
          <w:rFonts w:ascii="Times New Roman" w:hAnsi="Times New Roman" w:cs="Times New Roman"/>
          <w:i/>
          <w:iCs/>
          <w:sz w:val="24"/>
          <w:szCs w:val="24"/>
          <w:lang w:val="en-US"/>
        </w:rPr>
        <w:t>animali</w:t>
      </w:r>
      <w:proofErr w:type="spellEnd"/>
      <w:r w:rsidRPr="0071118C">
        <w:rPr>
          <w:rFonts w:ascii="Times New Roman" w:hAnsi="Times New Roman" w:cs="Times New Roman"/>
          <w:i/>
          <w:iCs/>
          <w:sz w:val="24"/>
          <w:szCs w:val="24"/>
          <w:lang w:val="en-US"/>
        </w:rPr>
        <w:t xml:space="preserve"> </w:t>
      </w:r>
      <w:proofErr w:type="spellStart"/>
      <w:r w:rsidRPr="0071118C">
        <w:rPr>
          <w:rFonts w:ascii="Times New Roman" w:hAnsi="Times New Roman" w:cs="Times New Roman"/>
          <w:i/>
          <w:iCs/>
          <w:sz w:val="24"/>
          <w:szCs w:val="24"/>
          <w:lang w:val="en-US"/>
        </w:rPr>
        <w:t>tecnologici</w:t>
      </w:r>
      <w:proofErr w:type="spellEnd"/>
      <w:r w:rsidRPr="0071118C">
        <w:rPr>
          <w:rFonts w:ascii="Times New Roman" w:hAnsi="Times New Roman" w:cs="Times New Roman"/>
          <w:i/>
          <w:iCs/>
          <w:sz w:val="24"/>
          <w:szCs w:val="24"/>
          <w:lang w:val="en-US"/>
        </w:rPr>
        <w:t>”)</w:t>
      </w:r>
      <w:r w:rsidRPr="00BC3B0F">
        <w:rPr>
          <w:rFonts w:ascii="Times New Roman" w:hAnsi="Times New Roman" w:cs="Times New Roman"/>
          <w:sz w:val="24"/>
          <w:szCs w:val="24"/>
          <w:lang w:val="en-US"/>
        </w:rPr>
        <w:t xml:space="preserve">”, in </w:t>
      </w:r>
      <w:r w:rsidRPr="0071118C">
        <w:rPr>
          <w:rFonts w:ascii="Times New Roman" w:hAnsi="Times New Roman" w:cs="Times New Roman"/>
          <w:smallCaps/>
          <w:sz w:val="24"/>
          <w:szCs w:val="24"/>
          <w:lang w:val="en-US"/>
        </w:rPr>
        <w:t xml:space="preserve">D. </w:t>
      </w:r>
      <w:proofErr w:type="spellStart"/>
      <w:r w:rsidRPr="0071118C">
        <w:rPr>
          <w:rFonts w:ascii="Times New Roman" w:hAnsi="Times New Roman" w:cs="Times New Roman"/>
          <w:smallCaps/>
          <w:sz w:val="24"/>
          <w:szCs w:val="24"/>
          <w:lang w:val="en-US"/>
        </w:rPr>
        <w:t>Provolo</w:t>
      </w:r>
      <w:proofErr w:type="spellEnd"/>
      <w:r w:rsidRPr="0071118C">
        <w:rPr>
          <w:rFonts w:ascii="Times New Roman" w:hAnsi="Times New Roman" w:cs="Times New Roman"/>
          <w:smallCaps/>
          <w:sz w:val="24"/>
          <w:szCs w:val="24"/>
          <w:lang w:val="en-US"/>
        </w:rPr>
        <w:t xml:space="preserve">, S. </w:t>
      </w:r>
      <w:proofErr w:type="spellStart"/>
      <w:r w:rsidRPr="0071118C">
        <w:rPr>
          <w:rFonts w:ascii="Times New Roman" w:hAnsi="Times New Roman" w:cs="Times New Roman"/>
          <w:smallCaps/>
          <w:sz w:val="24"/>
          <w:szCs w:val="24"/>
          <w:lang w:val="en-US"/>
        </w:rPr>
        <w:t>Riondato</w:t>
      </w:r>
      <w:proofErr w:type="spellEnd"/>
      <w:r w:rsidRPr="0071118C">
        <w:rPr>
          <w:rFonts w:ascii="Times New Roman" w:hAnsi="Times New Roman" w:cs="Times New Roman"/>
          <w:smallCaps/>
          <w:sz w:val="24"/>
          <w:szCs w:val="24"/>
          <w:lang w:val="en-US"/>
        </w:rPr>
        <w:t xml:space="preserve">, F. </w:t>
      </w:r>
      <w:proofErr w:type="spellStart"/>
      <w:r w:rsidRPr="0071118C">
        <w:rPr>
          <w:rFonts w:ascii="Times New Roman" w:hAnsi="Times New Roman" w:cs="Times New Roman"/>
          <w:smallCaps/>
          <w:sz w:val="24"/>
          <w:szCs w:val="24"/>
          <w:lang w:val="en-US"/>
        </w:rPr>
        <w:t>Yenisey</w:t>
      </w:r>
      <w:proofErr w:type="spellEnd"/>
      <w:r w:rsidRPr="00BC3B0F">
        <w:rPr>
          <w:rFonts w:ascii="Times New Roman" w:hAnsi="Times New Roman" w:cs="Times New Roman"/>
          <w:sz w:val="24"/>
          <w:szCs w:val="24"/>
          <w:lang w:val="en-US"/>
        </w:rPr>
        <w:t xml:space="preserve"> (a </w:t>
      </w:r>
      <w:proofErr w:type="spellStart"/>
      <w:r w:rsidRPr="00BC3B0F">
        <w:rPr>
          <w:rFonts w:ascii="Times New Roman" w:hAnsi="Times New Roman" w:cs="Times New Roman"/>
          <w:sz w:val="24"/>
          <w:szCs w:val="24"/>
          <w:lang w:val="en-US"/>
        </w:rPr>
        <w:t>cura</w:t>
      </w:r>
      <w:proofErr w:type="spellEnd"/>
      <w:r w:rsidRPr="00BC3B0F">
        <w:rPr>
          <w:rFonts w:ascii="Times New Roman" w:hAnsi="Times New Roman" w:cs="Times New Roman"/>
          <w:sz w:val="24"/>
          <w:szCs w:val="24"/>
          <w:lang w:val="en-US"/>
        </w:rPr>
        <w:t xml:space="preserve"> di), “</w:t>
      </w:r>
      <w:r w:rsidRPr="0071118C">
        <w:rPr>
          <w:rFonts w:ascii="Times New Roman" w:hAnsi="Times New Roman" w:cs="Times New Roman"/>
          <w:i/>
          <w:iCs/>
          <w:sz w:val="24"/>
          <w:szCs w:val="24"/>
          <w:lang w:val="en-US"/>
        </w:rPr>
        <w:t>Genetics, Robotics, Law, Punishment</w:t>
      </w:r>
      <w:r w:rsidRPr="00BC3B0F">
        <w:rPr>
          <w:rFonts w:ascii="Times New Roman" w:hAnsi="Times New Roman" w:cs="Times New Roman"/>
          <w:sz w:val="24"/>
          <w:szCs w:val="24"/>
          <w:lang w:val="en-US"/>
        </w:rPr>
        <w:t>”.</w:t>
      </w:r>
    </w:p>
  </w:footnote>
  <w:footnote w:id="68">
    <w:p w14:paraId="06F06158" w14:textId="77777777" w:rsidR="000463A6" w:rsidRPr="008722BF" w:rsidRDefault="000463A6" w:rsidP="00AA6BA3">
      <w:pPr>
        <w:pStyle w:val="Testonotaapidipagina"/>
        <w:jc w:val="both"/>
        <w:rPr>
          <w:rFonts w:ascii="Times New Roman" w:hAnsi="Times New Roman" w:cs="Times New Roman"/>
          <w:sz w:val="24"/>
          <w:szCs w:val="24"/>
        </w:rPr>
      </w:pPr>
      <w:r w:rsidRPr="008722BF">
        <w:rPr>
          <w:rStyle w:val="Rimandonotaapidipagina"/>
          <w:rFonts w:ascii="Times New Roman" w:hAnsi="Times New Roman" w:cs="Times New Roman"/>
          <w:sz w:val="24"/>
          <w:szCs w:val="24"/>
        </w:rPr>
        <w:footnoteRef/>
      </w:r>
      <w:r w:rsidRPr="008722BF">
        <w:rPr>
          <w:rFonts w:ascii="Times New Roman" w:hAnsi="Times New Roman" w:cs="Times New Roman"/>
          <w:sz w:val="24"/>
          <w:szCs w:val="24"/>
        </w:rPr>
        <w:t xml:space="preserve"> Mentre si scrivono le pagine del presente libro, è scoppiata con toni drammatici una rivolta in Kazakistan per il caro bollette, dipesa dai proprio dai </w:t>
      </w:r>
      <w:proofErr w:type="spellStart"/>
      <w:r w:rsidRPr="00CA0993">
        <w:rPr>
          <w:rFonts w:ascii="Times New Roman" w:hAnsi="Times New Roman" w:cs="Times New Roman"/>
          <w:i/>
          <w:iCs/>
          <w:sz w:val="24"/>
          <w:szCs w:val="24"/>
        </w:rPr>
        <w:t>Bitcoin</w:t>
      </w:r>
      <w:proofErr w:type="spellEnd"/>
      <w:r w:rsidRPr="008722BF">
        <w:rPr>
          <w:rFonts w:ascii="Times New Roman" w:hAnsi="Times New Roman" w:cs="Times New Roman"/>
          <w:sz w:val="24"/>
          <w:szCs w:val="24"/>
        </w:rPr>
        <w:t>, che ormai sembrano essere diventati uno strumento di alterazione degli equilibri internazionali. I c.d. “</w:t>
      </w:r>
      <w:proofErr w:type="spellStart"/>
      <w:r w:rsidRPr="00CA0993">
        <w:rPr>
          <w:rFonts w:ascii="Times New Roman" w:hAnsi="Times New Roman" w:cs="Times New Roman"/>
          <w:i/>
          <w:iCs/>
          <w:sz w:val="24"/>
          <w:szCs w:val="24"/>
        </w:rPr>
        <w:t>Miners</w:t>
      </w:r>
      <w:proofErr w:type="spellEnd"/>
      <w:r w:rsidRPr="008722BF">
        <w:rPr>
          <w:rFonts w:ascii="Times New Roman" w:hAnsi="Times New Roman" w:cs="Times New Roman"/>
          <w:sz w:val="24"/>
          <w:szCs w:val="24"/>
        </w:rPr>
        <w:t xml:space="preserve">”, ossia coloro che gestiscono le </w:t>
      </w:r>
      <w:proofErr w:type="spellStart"/>
      <w:r w:rsidRPr="008722BF">
        <w:rPr>
          <w:rFonts w:ascii="Times New Roman" w:hAnsi="Times New Roman" w:cs="Times New Roman"/>
          <w:sz w:val="24"/>
          <w:szCs w:val="24"/>
        </w:rPr>
        <w:t>criptovalute</w:t>
      </w:r>
      <w:proofErr w:type="spellEnd"/>
      <w:r w:rsidRPr="008722BF">
        <w:rPr>
          <w:rFonts w:ascii="Times New Roman" w:hAnsi="Times New Roman" w:cs="Times New Roman"/>
          <w:sz w:val="24"/>
          <w:szCs w:val="24"/>
        </w:rPr>
        <w:t xml:space="preserve">, sono “scappati” dalla Cina, che ha proibito qualsiasi attività legata alle </w:t>
      </w:r>
      <w:proofErr w:type="spellStart"/>
      <w:r w:rsidRPr="008722BF">
        <w:rPr>
          <w:rFonts w:ascii="Times New Roman" w:hAnsi="Times New Roman" w:cs="Times New Roman"/>
          <w:sz w:val="24"/>
          <w:szCs w:val="24"/>
        </w:rPr>
        <w:t>criptovalute</w:t>
      </w:r>
      <w:proofErr w:type="spellEnd"/>
      <w:r w:rsidRPr="008722BF">
        <w:rPr>
          <w:rFonts w:ascii="Times New Roman" w:hAnsi="Times New Roman" w:cs="Times New Roman"/>
          <w:sz w:val="24"/>
          <w:szCs w:val="24"/>
        </w:rPr>
        <w:t>, e si sono spostati in Kazakistan per ottenere maggiore guadagno, utilizzando l’energia dei carboni fossili. Ciò ha fatto salire le bollette e il costo dei carburanti nel paese, per cui è nata una rivolta</w:t>
      </w:r>
      <w:r>
        <w:rPr>
          <w:rFonts w:ascii="Times New Roman" w:hAnsi="Times New Roman" w:cs="Times New Roman"/>
          <w:sz w:val="24"/>
          <w:szCs w:val="24"/>
        </w:rPr>
        <w:t xml:space="preserve"> </w:t>
      </w:r>
      <w:r w:rsidRPr="008722BF">
        <w:rPr>
          <w:rFonts w:ascii="Times New Roman" w:hAnsi="Times New Roman" w:cs="Times New Roman"/>
          <w:sz w:val="24"/>
          <w:szCs w:val="24"/>
        </w:rPr>
        <w:t xml:space="preserve">che si sta evolvendo in una guerra civile, tanto che è stato necessario l’intervento della Russia per ristabilire l’ordine. I </w:t>
      </w:r>
      <w:proofErr w:type="spellStart"/>
      <w:r w:rsidRPr="00CA0993">
        <w:rPr>
          <w:rFonts w:ascii="Times New Roman" w:hAnsi="Times New Roman" w:cs="Times New Roman"/>
          <w:i/>
          <w:iCs/>
          <w:sz w:val="24"/>
          <w:szCs w:val="24"/>
        </w:rPr>
        <w:t>Miners</w:t>
      </w:r>
      <w:proofErr w:type="spellEnd"/>
      <w:r w:rsidRPr="008722BF">
        <w:rPr>
          <w:rFonts w:ascii="Times New Roman" w:hAnsi="Times New Roman" w:cs="Times New Roman"/>
          <w:sz w:val="24"/>
          <w:szCs w:val="24"/>
        </w:rPr>
        <w:t xml:space="preserve"> con ogni probabilità si sposteranno negli Stati Uniti, dove si stanno concentrando sull’energia rinnovabile. </w:t>
      </w:r>
      <w:r>
        <w:rPr>
          <w:rFonts w:ascii="Times New Roman" w:hAnsi="Times New Roman" w:cs="Times New Roman"/>
          <w:sz w:val="24"/>
          <w:szCs w:val="24"/>
        </w:rPr>
        <w:t>Questa vicenda ci fa comprendere che n</w:t>
      </w:r>
      <w:r w:rsidRPr="008722BF">
        <w:rPr>
          <w:rFonts w:ascii="Times New Roman" w:hAnsi="Times New Roman" w:cs="Times New Roman"/>
          <w:sz w:val="24"/>
          <w:szCs w:val="24"/>
        </w:rPr>
        <w:t xml:space="preserve">on si tratta più di alterazione della borsa, ma collegandosi con la produzione dell’energia di uno </w:t>
      </w:r>
      <w:r>
        <w:rPr>
          <w:rFonts w:ascii="Times New Roman" w:hAnsi="Times New Roman" w:cs="Times New Roman"/>
          <w:sz w:val="24"/>
          <w:szCs w:val="24"/>
        </w:rPr>
        <w:t>S</w:t>
      </w:r>
      <w:r w:rsidRPr="008722BF">
        <w:rPr>
          <w:rFonts w:ascii="Times New Roman" w:hAnsi="Times New Roman" w:cs="Times New Roman"/>
          <w:sz w:val="24"/>
          <w:szCs w:val="24"/>
        </w:rPr>
        <w:t>tato, le piattaforme sono diventate ver</w:t>
      </w:r>
      <w:r>
        <w:rPr>
          <w:rFonts w:ascii="Times New Roman" w:hAnsi="Times New Roman" w:cs="Times New Roman"/>
          <w:sz w:val="24"/>
          <w:szCs w:val="24"/>
        </w:rPr>
        <w:t>i</w:t>
      </w:r>
      <w:r w:rsidRPr="008722BF">
        <w:rPr>
          <w:rFonts w:ascii="Times New Roman" w:hAnsi="Times New Roman" w:cs="Times New Roman"/>
          <w:sz w:val="24"/>
          <w:szCs w:val="24"/>
        </w:rPr>
        <w:t xml:space="preserve"> e propri soggetti di d</w:t>
      </w:r>
      <w:r>
        <w:rPr>
          <w:rFonts w:ascii="Times New Roman" w:hAnsi="Times New Roman" w:cs="Times New Roman"/>
          <w:sz w:val="24"/>
          <w:szCs w:val="24"/>
        </w:rPr>
        <w:t>i</w:t>
      </w:r>
      <w:r w:rsidRPr="008722BF">
        <w:rPr>
          <w:rFonts w:ascii="Times New Roman" w:hAnsi="Times New Roman" w:cs="Times New Roman"/>
          <w:sz w:val="24"/>
          <w:szCs w:val="24"/>
        </w:rPr>
        <w:t>ritto internazionale, che alterano gli equilibri internazionali.</w:t>
      </w:r>
    </w:p>
  </w:footnote>
  <w:footnote w:id="69">
    <w:p w14:paraId="71BAF8AF" w14:textId="6F8E83D4" w:rsidR="000463A6" w:rsidRPr="004A3F96" w:rsidRDefault="000463A6" w:rsidP="004A3F96">
      <w:pPr>
        <w:pStyle w:val="Testonotaapidipagina"/>
        <w:jc w:val="both"/>
        <w:rPr>
          <w:rFonts w:ascii="Times New Roman" w:hAnsi="Times New Roman" w:cs="Times New Roman"/>
          <w:sz w:val="24"/>
          <w:szCs w:val="24"/>
        </w:rPr>
      </w:pPr>
      <w:r w:rsidRPr="004A3F96">
        <w:rPr>
          <w:rStyle w:val="Rimandonotaapidipagina"/>
          <w:rFonts w:ascii="Times New Roman" w:hAnsi="Times New Roman" w:cs="Times New Roman"/>
          <w:sz w:val="24"/>
          <w:szCs w:val="24"/>
        </w:rPr>
        <w:footnoteRef/>
      </w:r>
      <w:r w:rsidRPr="004A3F96">
        <w:rPr>
          <w:rFonts w:ascii="Times New Roman" w:hAnsi="Times New Roman" w:cs="Times New Roman"/>
          <w:sz w:val="24"/>
          <w:szCs w:val="24"/>
        </w:rPr>
        <w:t xml:space="preserve"> Sul tema, vedi </w:t>
      </w:r>
      <w:r w:rsidRPr="004A3F96">
        <w:rPr>
          <w:rFonts w:ascii="Times New Roman" w:hAnsi="Times New Roman" w:cs="Times New Roman"/>
          <w:smallCaps/>
          <w:sz w:val="24"/>
          <w:szCs w:val="24"/>
        </w:rPr>
        <w:t xml:space="preserve">V. </w:t>
      </w:r>
      <w:proofErr w:type="spellStart"/>
      <w:r w:rsidRPr="004A3F96">
        <w:rPr>
          <w:rFonts w:ascii="Times New Roman" w:hAnsi="Times New Roman" w:cs="Times New Roman"/>
          <w:smallCaps/>
          <w:sz w:val="24"/>
          <w:szCs w:val="24"/>
        </w:rPr>
        <w:t>Bellomia</w:t>
      </w:r>
      <w:proofErr w:type="spellEnd"/>
      <w:r w:rsidRPr="004A3F96">
        <w:rPr>
          <w:rFonts w:ascii="Times New Roman" w:hAnsi="Times New Roman" w:cs="Times New Roman"/>
          <w:sz w:val="24"/>
          <w:szCs w:val="24"/>
        </w:rPr>
        <w:t>, “</w:t>
      </w:r>
      <w:r w:rsidRPr="004A3F96">
        <w:rPr>
          <w:rFonts w:ascii="Times New Roman" w:hAnsi="Times New Roman" w:cs="Times New Roman"/>
          <w:i/>
          <w:iCs/>
          <w:sz w:val="24"/>
          <w:szCs w:val="24"/>
        </w:rPr>
        <w:t>Il contratto intelligente: questioni di diritto civile</w:t>
      </w:r>
      <w:r w:rsidRPr="004A3F96">
        <w:rPr>
          <w:rFonts w:ascii="Times New Roman" w:hAnsi="Times New Roman" w:cs="Times New Roman"/>
          <w:sz w:val="24"/>
          <w:szCs w:val="24"/>
        </w:rPr>
        <w:t xml:space="preserve">”, su </w:t>
      </w:r>
      <w:r w:rsidRPr="004A3F96">
        <w:rPr>
          <w:rFonts w:ascii="Times New Roman" w:hAnsi="Times New Roman" w:cs="Times New Roman"/>
          <w:i/>
          <w:iCs/>
          <w:sz w:val="24"/>
          <w:szCs w:val="24"/>
        </w:rPr>
        <w:t>judicium.it</w:t>
      </w:r>
      <w:r w:rsidRPr="004A3F96">
        <w:rPr>
          <w:rFonts w:ascii="Times New Roman" w:hAnsi="Times New Roman" w:cs="Times New Roman"/>
          <w:sz w:val="24"/>
          <w:szCs w:val="24"/>
        </w:rPr>
        <w:t xml:space="preserve">, 10 dicembre 2020; </w:t>
      </w:r>
      <w:r w:rsidRPr="004A3F96">
        <w:rPr>
          <w:rFonts w:ascii="Times New Roman" w:hAnsi="Times New Roman" w:cs="Times New Roman"/>
          <w:smallCaps/>
          <w:sz w:val="24"/>
          <w:szCs w:val="24"/>
        </w:rPr>
        <w:t>F. Ferronetti</w:t>
      </w:r>
      <w:r w:rsidRPr="004A3F96">
        <w:rPr>
          <w:rFonts w:ascii="Times New Roman" w:hAnsi="Times New Roman" w:cs="Times New Roman"/>
          <w:sz w:val="24"/>
          <w:szCs w:val="24"/>
        </w:rPr>
        <w:t>, “</w:t>
      </w:r>
      <w:proofErr w:type="spellStart"/>
      <w:r w:rsidRPr="004A3F96">
        <w:rPr>
          <w:rFonts w:ascii="Times New Roman" w:hAnsi="Times New Roman" w:cs="Times New Roman"/>
          <w:i/>
          <w:iCs/>
          <w:sz w:val="24"/>
          <w:szCs w:val="24"/>
        </w:rPr>
        <w:t>Blockchain</w:t>
      </w:r>
      <w:proofErr w:type="spellEnd"/>
      <w:r w:rsidRPr="004A3F96">
        <w:rPr>
          <w:rFonts w:ascii="Times New Roman" w:hAnsi="Times New Roman" w:cs="Times New Roman"/>
          <w:i/>
          <w:iCs/>
          <w:sz w:val="24"/>
          <w:szCs w:val="24"/>
        </w:rPr>
        <w:t xml:space="preserve"> e </w:t>
      </w:r>
      <w:proofErr w:type="spellStart"/>
      <w:r w:rsidRPr="004A3F96">
        <w:rPr>
          <w:rFonts w:ascii="Times New Roman" w:hAnsi="Times New Roman" w:cs="Times New Roman"/>
          <w:i/>
          <w:iCs/>
          <w:sz w:val="24"/>
          <w:szCs w:val="24"/>
        </w:rPr>
        <w:t>smart</w:t>
      </w:r>
      <w:proofErr w:type="spellEnd"/>
      <w:r w:rsidRPr="004A3F96">
        <w:rPr>
          <w:rFonts w:ascii="Times New Roman" w:hAnsi="Times New Roman" w:cs="Times New Roman"/>
          <w:i/>
          <w:iCs/>
          <w:sz w:val="24"/>
          <w:szCs w:val="24"/>
        </w:rPr>
        <w:t xml:space="preserve"> </w:t>
      </w:r>
      <w:proofErr w:type="spellStart"/>
      <w:r w:rsidRPr="004A3F96">
        <w:rPr>
          <w:rFonts w:ascii="Times New Roman" w:hAnsi="Times New Roman" w:cs="Times New Roman"/>
          <w:i/>
          <w:iCs/>
          <w:sz w:val="24"/>
          <w:szCs w:val="24"/>
        </w:rPr>
        <w:t>contract</w:t>
      </w:r>
      <w:proofErr w:type="spellEnd"/>
      <w:r w:rsidRPr="004A3F96">
        <w:rPr>
          <w:rFonts w:ascii="Times New Roman" w:hAnsi="Times New Roman" w:cs="Times New Roman"/>
          <w:i/>
          <w:iCs/>
          <w:sz w:val="24"/>
          <w:szCs w:val="24"/>
        </w:rPr>
        <w:t>, servono regole chiare: lo scenario</w:t>
      </w:r>
      <w:r w:rsidRPr="004A3F96">
        <w:rPr>
          <w:rFonts w:ascii="Times New Roman" w:hAnsi="Times New Roman" w:cs="Times New Roman"/>
          <w:sz w:val="24"/>
          <w:szCs w:val="24"/>
        </w:rPr>
        <w:t xml:space="preserve">”, su </w:t>
      </w:r>
      <w:r w:rsidRPr="004A3F96">
        <w:rPr>
          <w:rFonts w:ascii="Times New Roman" w:hAnsi="Times New Roman" w:cs="Times New Roman"/>
          <w:i/>
          <w:iCs/>
          <w:sz w:val="24"/>
          <w:szCs w:val="24"/>
        </w:rPr>
        <w:t>agendadigitale.eu</w:t>
      </w:r>
      <w:r w:rsidRPr="004A3F96">
        <w:rPr>
          <w:rFonts w:ascii="Times New Roman" w:hAnsi="Times New Roman" w:cs="Times New Roman"/>
          <w:sz w:val="24"/>
          <w:szCs w:val="24"/>
        </w:rPr>
        <w:t>, 14 ottobre 2021.</w:t>
      </w:r>
    </w:p>
  </w:footnote>
  <w:footnote w:id="70">
    <w:p w14:paraId="4ED32D2F" w14:textId="77777777" w:rsidR="000463A6" w:rsidRPr="00231609" w:rsidRDefault="000463A6" w:rsidP="00AA6BA3">
      <w:pPr>
        <w:pStyle w:val="Testonotaapidipagina"/>
        <w:jc w:val="both"/>
        <w:rPr>
          <w:rFonts w:ascii="Times New Roman" w:hAnsi="Times New Roman" w:cs="Times New Roman"/>
          <w:sz w:val="24"/>
          <w:szCs w:val="24"/>
        </w:rPr>
      </w:pPr>
      <w:r w:rsidRPr="00231609">
        <w:rPr>
          <w:rStyle w:val="Rimandonotaapidipagina"/>
          <w:rFonts w:ascii="Times New Roman" w:hAnsi="Times New Roman" w:cs="Times New Roman"/>
          <w:sz w:val="24"/>
          <w:szCs w:val="24"/>
        </w:rPr>
        <w:footnoteRef/>
      </w:r>
      <w:r w:rsidRPr="00231609">
        <w:rPr>
          <w:rFonts w:ascii="Times New Roman" w:hAnsi="Times New Roman" w:cs="Times New Roman"/>
          <w:sz w:val="24"/>
          <w:szCs w:val="24"/>
        </w:rPr>
        <w:t xml:space="preserve"> Si pensi alla vendita con patto di riservato dominio di un veicolo, in cui il venditore potrebbe programmare il relativo </w:t>
      </w:r>
      <w:proofErr w:type="spellStart"/>
      <w:r w:rsidRPr="00231609">
        <w:rPr>
          <w:rFonts w:ascii="Times New Roman" w:hAnsi="Times New Roman" w:cs="Times New Roman"/>
          <w:i/>
          <w:iCs/>
          <w:sz w:val="24"/>
          <w:szCs w:val="24"/>
        </w:rPr>
        <w:t>smart</w:t>
      </w:r>
      <w:proofErr w:type="spellEnd"/>
      <w:r w:rsidRPr="00231609">
        <w:rPr>
          <w:rFonts w:ascii="Times New Roman" w:hAnsi="Times New Roman" w:cs="Times New Roman"/>
          <w:i/>
          <w:iCs/>
          <w:sz w:val="24"/>
          <w:szCs w:val="24"/>
        </w:rPr>
        <w:t xml:space="preserve"> </w:t>
      </w:r>
      <w:proofErr w:type="spellStart"/>
      <w:r w:rsidRPr="00231609">
        <w:rPr>
          <w:rFonts w:ascii="Times New Roman" w:hAnsi="Times New Roman" w:cs="Times New Roman"/>
          <w:i/>
          <w:iCs/>
          <w:sz w:val="24"/>
          <w:szCs w:val="24"/>
        </w:rPr>
        <w:t>contract</w:t>
      </w:r>
      <w:proofErr w:type="spellEnd"/>
      <w:r w:rsidRPr="00231609">
        <w:rPr>
          <w:rFonts w:ascii="Times New Roman" w:hAnsi="Times New Roman" w:cs="Times New Roman"/>
          <w:sz w:val="24"/>
          <w:szCs w:val="24"/>
        </w:rPr>
        <w:t xml:space="preserve"> per bloccare ogni accesso all’automobile qualora l’acquirente manchi di pagare anche solo una rata del prezzo, inferiore all’ottava parte del prezzo, contrariamente al disposto d</w:t>
      </w:r>
      <w:r>
        <w:rPr>
          <w:rFonts w:ascii="Times New Roman" w:hAnsi="Times New Roman" w:cs="Times New Roman"/>
          <w:sz w:val="24"/>
          <w:szCs w:val="24"/>
        </w:rPr>
        <w:t>i cui al</w:t>
      </w:r>
      <w:r w:rsidRPr="00231609">
        <w:rPr>
          <w:rFonts w:ascii="Times New Roman" w:hAnsi="Times New Roman" w:cs="Times New Roman"/>
          <w:sz w:val="24"/>
          <w:szCs w:val="24"/>
        </w:rPr>
        <w:t>l’art. 1525 c.c.</w:t>
      </w:r>
    </w:p>
  </w:footnote>
  <w:footnote w:id="71">
    <w:p w14:paraId="1679311A" w14:textId="77777777" w:rsidR="000463A6" w:rsidRPr="00D96C9A" w:rsidRDefault="000463A6" w:rsidP="00AA6BA3">
      <w:pPr>
        <w:pStyle w:val="Testonotaapidipagina"/>
        <w:jc w:val="both"/>
        <w:rPr>
          <w:rFonts w:ascii="Times New Roman" w:hAnsi="Times New Roman" w:cs="Times New Roman"/>
          <w:sz w:val="24"/>
          <w:szCs w:val="24"/>
        </w:rPr>
      </w:pPr>
      <w:r w:rsidRPr="00D96C9A">
        <w:rPr>
          <w:rStyle w:val="Rimandonotaapidipagina"/>
          <w:rFonts w:ascii="Times New Roman" w:hAnsi="Times New Roman" w:cs="Times New Roman"/>
          <w:sz w:val="24"/>
          <w:szCs w:val="24"/>
        </w:rPr>
        <w:footnoteRef/>
      </w:r>
      <w:r w:rsidRPr="00D96C9A">
        <w:rPr>
          <w:rFonts w:ascii="Times New Roman" w:hAnsi="Times New Roman" w:cs="Times New Roman"/>
          <w:sz w:val="24"/>
          <w:szCs w:val="24"/>
        </w:rPr>
        <w:t xml:space="preserve"> Il 10 dicembre 2021</w:t>
      </w:r>
      <w:r>
        <w:rPr>
          <w:rFonts w:ascii="Times New Roman" w:hAnsi="Times New Roman" w:cs="Times New Roman"/>
          <w:sz w:val="24"/>
          <w:szCs w:val="24"/>
        </w:rPr>
        <w:t>,</w:t>
      </w:r>
      <w:r w:rsidRPr="00D96C9A">
        <w:rPr>
          <w:rFonts w:ascii="Times New Roman" w:hAnsi="Times New Roman" w:cs="Times New Roman"/>
          <w:sz w:val="24"/>
          <w:szCs w:val="24"/>
        </w:rPr>
        <w:t xml:space="preserve"> Fabio </w:t>
      </w:r>
      <w:proofErr w:type="spellStart"/>
      <w:r w:rsidRPr="00D96C9A">
        <w:rPr>
          <w:rFonts w:ascii="Times New Roman" w:hAnsi="Times New Roman" w:cs="Times New Roman"/>
          <w:sz w:val="24"/>
          <w:szCs w:val="24"/>
        </w:rPr>
        <w:t>Panetta</w:t>
      </w:r>
      <w:proofErr w:type="spellEnd"/>
      <w:r w:rsidRPr="00D96C9A">
        <w:rPr>
          <w:rFonts w:ascii="Times New Roman" w:hAnsi="Times New Roman" w:cs="Times New Roman"/>
          <w:sz w:val="24"/>
          <w:szCs w:val="24"/>
        </w:rPr>
        <w:t xml:space="preserve">, membro del Comitato esecutivo della BCE, ha annunciato l’euro digitale, che entro 5 anni affiancherà l’euro tradizionale. Tale valuta digitale sarà diversa dalle </w:t>
      </w:r>
      <w:proofErr w:type="spellStart"/>
      <w:r w:rsidRPr="00D96C9A">
        <w:rPr>
          <w:rFonts w:ascii="Times New Roman" w:hAnsi="Times New Roman" w:cs="Times New Roman"/>
          <w:sz w:val="24"/>
          <w:szCs w:val="24"/>
        </w:rPr>
        <w:t>criptovalute</w:t>
      </w:r>
      <w:proofErr w:type="spellEnd"/>
      <w:r w:rsidRPr="00D96C9A">
        <w:rPr>
          <w:rFonts w:ascii="Times New Roman" w:hAnsi="Times New Roman" w:cs="Times New Roman"/>
          <w:sz w:val="24"/>
          <w:szCs w:val="24"/>
        </w:rPr>
        <w:t xml:space="preserve"> e dai </w:t>
      </w:r>
      <w:proofErr w:type="spellStart"/>
      <w:r w:rsidRPr="00D96C9A">
        <w:rPr>
          <w:rFonts w:ascii="Times New Roman" w:hAnsi="Times New Roman" w:cs="Times New Roman"/>
          <w:i/>
          <w:iCs/>
          <w:sz w:val="24"/>
          <w:szCs w:val="24"/>
        </w:rPr>
        <w:t>Bitcoin</w:t>
      </w:r>
      <w:proofErr w:type="spellEnd"/>
      <w:r w:rsidRPr="00D96C9A">
        <w:rPr>
          <w:rFonts w:ascii="Times New Roman" w:hAnsi="Times New Roman" w:cs="Times New Roman"/>
          <w:sz w:val="24"/>
          <w:szCs w:val="24"/>
        </w:rPr>
        <w:t>, perché sarà assicurata dalla Banca Centrale Europea ed assicurerà la Privacy e la certezza delle transazioni, per ridurre il potere delle grandi piattaforme digitali.</w:t>
      </w:r>
    </w:p>
  </w:footnote>
  <w:footnote w:id="72">
    <w:p w14:paraId="79A9E9CC" w14:textId="72CAF450" w:rsidR="000463A6" w:rsidRPr="005046D4" w:rsidRDefault="000463A6" w:rsidP="005046D4">
      <w:pPr>
        <w:pStyle w:val="Testonotaapidipagina"/>
        <w:jc w:val="both"/>
        <w:rPr>
          <w:rFonts w:ascii="Times New Roman" w:hAnsi="Times New Roman" w:cs="Times New Roman"/>
          <w:sz w:val="24"/>
          <w:szCs w:val="24"/>
        </w:rPr>
      </w:pPr>
      <w:r w:rsidRPr="005046D4">
        <w:rPr>
          <w:rStyle w:val="Rimandonotaapidipagina"/>
          <w:rFonts w:ascii="Times New Roman" w:hAnsi="Times New Roman" w:cs="Times New Roman"/>
          <w:sz w:val="24"/>
          <w:szCs w:val="24"/>
        </w:rPr>
        <w:footnoteRef/>
      </w:r>
      <w:r w:rsidRPr="005046D4">
        <w:rPr>
          <w:rFonts w:ascii="Times New Roman" w:hAnsi="Times New Roman" w:cs="Times New Roman"/>
          <w:sz w:val="24"/>
          <w:szCs w:val="24"/>
        </w:rPr>
        <w:t xml:space="preserve"> “</w:t>
      </w:r>
      <w:r w:rsidRPr="005046D4">
        <w:rPr>
          <w:rFonts w:ascii="Times New Roman" w:hAnsi="Times New Roman" w:cs="Times New Roman"/>
          <w:i/>
          <w:iCs/>
          <w:sz w:val="24"/>
          <w:szCs w:val="24"/>
        </w:rPr>
        <w:t>Libro Bianco sull’intelligenza artificiale – Un approccio europeo all’eccellenza e alla fiducia</w:t>
      </w:r>
      <w:r w:rsidRPr="005046D4">
        <w:rPr>
          <w:rFonts w:ascii="Times New Roman" w:hAnsi="Times New Roman" w:cs="Times New Roman"/>
          <w:sz w:val="24"/>
          <w:szCs w:val="24"/>
        </w:rPr>
        <w:t xml:space="preserve">”, Commissione Europea, Bruxelles, 19.2.2020 COM (2020) 65 </w:t>
      </w:r>
      <w:proofErr w:type="spellStart"/>
      <w:r w:rsidRPr="005046D4">
        <w:rPr>
          <w:rFonts w:ascii="Times New Roman" w:hAnsi="Times New Roman" w:cs="Times New Roman"/>
          <w:sz w:val="24"/>
          <w:szCs w:val="24"/>
        </w:rPr>
        <w:t>final</w:t>
      </w:r>
      <w:proofErr w:type="spellEnd"/>
      <w:r w:rsidRPr="005046D4">
        <w:rPr>
          <w:rFonts w:ascii="Times New Roman" w:hAnsi="Times New Roman" w:cs="Times New Roman"/>
          <w:sz w:val="24"/>
          <w:szCs w:val="24"/>
        </w:rPr>
        <w:t>.</w:t>
      </w:r>
    </w:p>
  </w:footnote>
  <w:footnote w:id="73">
    <w:p w14:paraId="6A255C8B" w14:textId="5A60EADB" w:rsidR="000463A6" w:rsidRDefault="000463A6" w:rsidP="005046D4">
      <w:pPr>
        <w:pStyle w:val="Testonotaapidipagina"/>
        <w:jc w:val="both"/>
      </w:pPr>
      <w:r w:rsidRPr="005046D4">
        <w:rPr>
          <w:rStyle w:val="Rimandonotaapidipagina"/>
          <w:rFonts w:ascii="Times New Roman" w:hAnsi="Times New Roman" w:cs="Times New Roman"/>
          <w:sz w:val="24"/>
          <w:szCs w:val="24"/>
        </w:rPr>
        <w:footnoteRef/>
      </w:r>
      <w:r w:rsidRPr="005046D4">
        <w:rPr>
          <w:rFonts w:ascii="Times New Roman" w:hAnsi="Times New Roman" w:cs="Times New Roman"/>
          <w:sz w:val="24"/>
          <w:szCs w:val="24"/>
        </w:rPr>
        <w:t xml:space="preserve"> L’esperto di </w:t>
      </w:r>
      <w:r w:rsidRPr="005046D4">
        <w:rPr>
          <w:rFonts w:ascii="Times New Roman" w:hAnsi="Times New Roman" w:cs="Times New Roman"/>
          <w:i/>
          <w:iCs/>
          <w:sz w:val="24"/>
          <w:szCs w:val="24"/>
        </w:rPr>
        <w:t>social media intelligence</w:t>
      </w:r>
      <w:r w:rsidRPr="005046D4">
        <w:rPr>
          <w:rFonts w:ascii="Times New Roman" w:hAnsi="Times New Roman" w:cs="Times New Roman"/>
          <w:sz w:val="24"/>
          <w:szCs w:val="24"/>
        </w:rPr>
        <w:t xml:space="preserve"> </w:t>
      </w:r>
      <w:r w:rsidRPr="005046D4">
        <w:rPr>
          <w:rFonts w:ascii="Times New Roman" w:hAnsi="Times New Roman" w:cs="Times New Roman"/>
          <w:smallCaps/>
          <w:sz w:val="24"/>
          <w:szCs w:val="24"/>
        </w:rPr>
        <w:t>F. Berger</w:t>
      </w:r>
      <w:r w:rsidRPr="005046D4">
        <w:rPr>
          <w:rFonts w:ascii="Times New Roman" w:hAnsi="Times New Roman" w:cs="Times New Roman"/>
          <w:sz w:val="24"/>
          <w:szCs w:val="24"/>
        </w:rPr>
        <w:t>, “</w:t>
      </w:r>
      <w:r w:rsidRPr="005046D4">
        <w:rPr>
          <w:rFonts w:ascii="Times New Roman" w:hAnsi="Times New Roman" w:cs="Times New Roman"/>
          <w:i/>
          <w:iCs/>
          <w:sz w:val="24"/>
          <w:szCs w:val="24"/>
        </w:rPr>
        <w:t>Intelligenza artificiale, rileggere la storia per evitare un nuovo inverno</w:t>
      </w:r>
      <w:r w:rsidRPr="005046D4">
        <w:rPr>
          <w:rFonts w:ascii="Times New Roman" w:hAnsi="Times New Roman" w:cs="Times New Roman"/>
          <w:sz w:val="24"/>
          <w:szCs w:val="24"/>
        </w:rPr>
        <w:t xml:space="preserve">”, su </w:t>
      </w:r>
      <w:r w:rsidRPr="005046D4">
        <w:rPr>
          <w:rFonts w:ascii="Times New Roman" w:hAnsi="Times New Roman" w:cs="Times New Roman"/>
          <w:i/>
          <w:iCs/>
          <w:sz w:val="24"/>
          <w:szCs w:val="24"/>
        </w:rPr>
        <w:t>formiche.net</w:t>
      </w:r>
      <w:r w:rsidRPr="005046D4">
        <w:rPr>
          <w:rFonts w:ascii="Times New Roman" w:hAnsi="Times New Roman" w:cs="Times New Roman"/>
          <w:sz w:val="24"/>
          <w:szCs w:val="24"/>
        </w:rPr>
        <w:t xml:space="preserve">, esprime la necessità di analizzare la storia dell’I.A. per evitare “delusioni” o un nuovo letargo della ricerca. Infatti, l’autore fa partire l’analisi dagli anni Cinquanta fino ad arrivare a metà degli anni Settanta, dove il settore dell’IA conobbe un vero e proprio </w:t>
      </w:r>
      <w:r w:rsidRPr="005046D4">
        <w:rPr>
          <w:rFonts w:ascii="Times New Roman" w:hAnsi="Times New Roman" w:cs="Times New Roman"/>
          <w:i/>
          <w:iCs/>
          <w:sz w:val="24"/>
          <w:szCs w:val="24"/>
        </w:rPr>
        <w:t>boom</w:t>
      </w:r>
      <w:r w:rsidRPr="005046D4">
        <w:rPr>
          <w:rFonts w:ascii="Times New Roman" w:hAnsi="Times New Roman" w:cs="Times New Roman"/>
          <w:sz w:val="24"/>
          <w:szCs w:val="24"/>
        </w:rPr>
        <w:t xml:space="preserve"> grazie a programmi di ricerca dedicati, portati avanti soprattutto dagli americani nel campo della difesa e della sicurezza. Negli anni della legge di </w:t>
      </w:r>
      <w:r w:rsidRPr="005046D4">
        <w:rPr>
          <w:rFonts w:ascii="Times New Roman" w:hAnsi="Times New Roman" w:cs="Times New Roman"/>
          <w:i/>
          <w:iCs/>
          <w:sz w:val="24"/>
          <w:szCs w:val="24"/>
        </w:rPr>
        <w:t>Moore</w:t>
      </w:r>
      <w:r w:rsidRPr="005046D4">
        <w:rPr>
          <w:rFonts w:ascii="Times New Roman" w:hAnsi="Times New Roman" w:cs="Times New Roman"/>
          <w:sz w:val="24"/>
          <w:szCs w:val="24"/>
        </w:rPr>
        <w:t xml:space="preserve"> (1965), infatti, il positivismo nei confronti dell’Intelligenza Artificiale era talmente diffuso che quasi tutta la comunità scientifica era arrivata a credere che le macchine avrebbero presto superato gli esseri umani (c.d. IA “</w:t>
      </w:r>
      <w:r w:rsidRPr="005046D4">
        <w:rPr>
          <w:rFonts w:ascii="Times New Roman" w:hAnsi="Times New Roman" w:cs="Times New Roman"/>
          <w:i/>
          <w:iCs/>
          <w:sz w:val="24"/>
          <w:szCs w:val="24"/>
        </w:rPr>
        <w:t>forte</w:t>
      </w:r>
      <w:r w:rsidRPr="005046D4">
        <w:rPr>
          <w:rFonts w:ascii="Times New Roman" w:hAnsi="Times New Roman" w:cs="Times New Roman"/>
          <w:sz w:val="24"/>
          <w:szCs w:val="24"/>
        </w:rPr>
        <w:t>” o “</w:t>
      </w:r>
      <w:r w:rsidRPr="005046D4">
        <w:rPr>
          <w:rFonts w:ascii="Times New Roman" w:hAnsi="Times New Roman" w:cs="Times New Roman"/>
          <w:i/>
          <w:iCs/>
          <w:sz w:val="24"/>
          <w:szCs w:val="24"/>
        </w:rPr>
        <w:t>generale</w:t>
      </w:r>
      <w:r w:rsidRPr="005046D4">
        <w:rPr>
          <w:rFonts w:ascii="Times New Roman" w:hAnsi="Times New Roman" w:cs="Times New Roman"/>
          <w:sz w:val="24"/>
          <w:szCs w:val="24"/>
        </w:rPr>
        <w:t xml:space="preserve">”). Il primo “inverno dell’IA”, però, era alle porte: tra la fine degli anni Settanta e i primi anni Ottanta prese piede il pessimismo scientifico nei confronti di questi sistemi, con conseguente riduzione dei fondi destinati alla ricerca. Gli scienziati si erano scontrati con i limiti delle macchine. Poi, a partire dagli anni Ottanta, la popolarizzazione delle tecniche di </w:t>
      </w:r>
      <w:r w:rsidRPr="005046D4">
        <w:rPr>
          <w:rFonts w:ascii="Times New Roman" w:hAnsi="Times New Roman" w:cs="Times New Roman"/>
          <w:i/>
          <w:iCs/>
          <w:sz w:val="24"/>
          <w:szCs w:val="24"/>
        </w:rPr>
        <w:t xml:space="preserve">machine </w:t>
      </w:r>
      <w:proofErr w:type="spellStart"/>
      <w:r w:rsidRPr="005046D4">
        <w:rPr>
          <w:rFonts w:ascii="Times New Roman" w:hAnsi="Times New Roman" w:cs="Times New Roman"/>
          <w:i/>
          <w:iCs/>
          <w:sz w:val="24"/>
          <w:szCs w:val="24"/>
        </w:rPr>
        <w:t>learning</w:t>
      </w:r>
      <w:proofErr w:type="spellEnd"/>
      <w:r w:rsidRPr="005046D4">
        <w:rPr>
          <w:rFonts w:ascii="Times New Roman" w:hAnsi="Times New Roman" w:cs="Times New Roman"/>
          <w:sz w:val="24"/>
          <w:szCs w:val="24"/>
        </w:rPr>
        <w:t xml:space="preserve"> e </w:t>
      </w:r>
      <w:proofErr w:type="spellStart"/>
      <w:r w:rsidRPr="005046D4">
        <w:rPr>
          <w:rFonts w:ascii="Times New Roman" w:hAnsi="Times New Roman" w:cs="Times New Roman"/>
          <w:i/>
          <w:iCs/>
          <w:sz w:val="24"/>
          <w:szCs w:val="24"/>
        </w:rPr>
        <w:t>deep</w:t>
      </w:r>
      <w:proofErr w:type="spellEnd"/>
      <w:r w:rsidRPr="005046D4">
        <w:rPr>
          <w:rFonts w:ascii="Times New Roman" w:hAnsi="Times New Roman" w:cs="Times New Roman"/>
          <w:sz w:val="24"/>
          <w:szCs w:val="24"/>
        </w:rPr>
        <w:t xml:space="preserve"> </w:t>
      </w:r>
      <w:proofErr w:type="spellStart"/>
      <w:r w:rsidRPr="005046D4">
        <w:rPr>
          <w:rFonts w:ascii="Times New Roman" w:hAnsi="Times New Roman" w:cs="Times New Roman"/>
          <w:i/>
          <w:iCs/>
          <w:sz w:val="24"/>
          <w:szCs w:val="24"/>
        </w:rPr>
        <w:t>learning</w:t>
      </w:r>
      <w:proofErr w:type="spellEnd"/>
      <w:r w:rsidRPr="005046D4">
        <w:rPr>
          <w:rFonts w:ascii="Times New Roman" w:hAnsi="Times New Roman" w:cs="Times New Roman"/>
          <w:sz w:val="24"/>
          <w:szCs w:val="24"/>
        </w:rPr>
        <w:t xml:space="preserve"> e i c.d. </w:t>
      </w:r>
      <w:proofErr w:type="spellStart"/>
      <w:r w:rsidRPr="005046D4">
        <w:rPr>
          <w:rFonts w:ascii="Times New Roman" w:hAnsi="Times New Roman" w:cs="Times New Roman"/>
          <w:i/>
          <w:iCs/>
          <w:sz w:val="24"/>
          <w:szCs w:val="24"/>
        </w:rPr>
        <w:t>expert</w:t>
      </w:r>
      <w:proofErr w:type="spellEnd"/>
      <w:r w:rsidRPr="005046D4">
        <w:rPr>
          <w:rFonts w:ascii="Times New Roman" w:hAnsi="Times New Roman" w:cs="Times New Roman"/>
          <w:i/>
          <w:iCs/>
          <w:sz w:val="24"/>
          <w:szCs w:val="24"/>
        </w:rPr>
        <w:t xml:space="preserve"> </w:t>
      </w:r>
      <w:proofErr w:type="spellStart"/>
      <w:r w:rsidRPr="005046D4">
        <w:rPr>
          <w:rFonts w:ascii="Times New Roman" w:hAnsi="Times New Roman" w:cs="Times New Roman"/>
          <w:i/>
          <w:iCs/>
          <w:sz w:val="24"/>
          <w:szCs w:val="24"/>
        </w:rPr>
        <w:t>system</w:t>
      </w:r>
      <w:proofErr w:type="spellEnd"/>
      <w:r w:rsidRPr="005046D4">
        <w:rPr>
          <w:rFonts w:ascii="Times New Roman" w:hAnsi="Times New Roman" w:cs="Times New Roman"/>
          <w:sz w:val="24"/>
          <w:szCs w:val="24"/>
        </w:rPr>
        <w:t xml:space="preserve"> fecero risvegliare il settore, “scongelando l’inverno dell’intelligenza artificiale”. Questa c.d. seconda ondata dell’IA ha creato i presupposti per la nuova generazione di ricercatori che si sono mossi tra la fine del secolo scorso e il primo decennio del nuovo millennio, eppure, nonostante gran parte della comunità scientifica sia convinta che l’IA “forte” o “generale” arriverà a breve, l’obiettivo oggi è diventato l’I.A. c.d. “</w:t>
      </w:r>
      <w:r w:rsidRPr="005046D4">
        <w:rPr>
          <w:rFonts w:ascii="Times New Roman" w:hAnsi="Times New Roman" w:cs="Times New Roman"/>
          <w:i/>
          <w:iCs/>
          <w:sz w:val="24"/>
          <w:szCs w:val="24"/>
        </w:rPr>
        <w:t>debole</w:t>
      </w:r>
      <w:r w:rsidRPr="005046D4">
        <w:rPr>
          <w:rFonts w:ascii="Times New Roman" w:hAnsi="Times New Roman" w:cs="Times New Roman"/>
          <w:sz w:val="24"/>
          <w:szCs w:val="24"/>
        </w:rPr>
        <w:t>” o “</w:t>
      </w:r>
      <w:proofErr w:type="spellStart"/>
      <w:r w:rsidRPr="005046D4">
        <w:rPr>
          <w:rFonts w:ascii="Times New Roman" w:hAnsi="Times New Roman" w:cs="Times New Roman"/>
          <w:i/>
          <w:iCs/>
          <w:sz w:val="24"/>
          <w:szCs w:val="24"/>
        </w:rPr>
        <w:t>narrow</w:t>
      </w:r>
      <w:proofErr w:type="spellEnd"/>
      <w:r w:rsidRPr="005046D4">
        <w:rPr>
          <w:rFonts w:ascii="Times New Roman" w:hAnsi="Times New Roman" w:cs="Times New Roman"/>
          <w:sz w:val="24"/>
          <w:szCs w:val="24"/>
        </w:rPr>
        <w:t xml:space="preserve">”, che punta a sistemi in grado di gestire un singolo o un numero limitato di compiti, con un approccio più bilanciato e realistico, anche se c’è ancora un enorme potenziale inesplorato. </w:t>
      </w:r>
      <w:r w:rsidRPr="005046D4">
        <w:rPr>
          <w:rFonts w:ascii="Times New Roman" w:hAnsi="Times New Roman" w:cs="Times New Roman"/>
          <w:i/>
          <w:iCs/>
          <w:sz w:val="24"/>
          <w:szCs w:val="24"/>
        </w:rPr>
        <w:t xml:space="preserve">Edward </w:t>
      </w:r>
      <w:proofErr w:type="spellStart"/>
      <w:r w:rsidRPr="005046D4">
        <w:rPr>
          <w:rFonts w:ascii="Times New Roman" w:hAnsi="Times New Roman" w:cs="Times New Roman"/>
          <w:i/>
          <w:iCs/>
          <w:sz w:val="24"/>
          <w:szCs w:val="24"/>
        </w:rPr>
        <w:t>Grefenstette</w:t>
      </w:r>
      <w:proofErr w:type="spellEnd"/>
      <w:r w:rsidRPr="005046D4">
        <w:rPr>
          <w:rFonts w:ascii="Times New Roman" w:hAnsi="Times New Roman" w:cs="Times New Roman"/>
          <w:sz w:val="24"/>
          <w:szCs w:val="24"/>
        </w:rPr>
        <w:t>, ricercatore del gruppo Meta, ha dichiarato che «</w:t>
      </w:r>
      <w:r w:rsidRPr="005046D4">
        <w:rPr>
          <w:rFonts w:ascii="Times New Roman" w:hAnsi="Times New Roman" w:cs="Times New Roman"/>
          <w:i/>
          <w:iCs/>
          <w:sz w:val="24"/>
          <w:szCs w:val="24"/>
        </w:rPr>
        <w:t>una delle più grandi sfide è quella di sviluppare metodi che siano estremamente efficienti in termini di quantità di dati e potenza computazionale richiesta per risolvere correttamente un problema</w:t>
      </w:r>
      <w:r w:rsidRPr="005046D4">
        <w:rPr>
          <w:rFonts w:ascii="Times New Roman" w:hAnsi="Times New Roman" w:cs="Times New Roman"/>
          <w:sz w:val="24"/>
          <w:szCs w:val="24"/>
        </w:rPr>
        <w:t>», piuttosto che concentrarsi su sistemi in grado di dare una soluzione a tutti i problemi. Si rischia altrimenti di «cadere in un nuovo inverno».</w:t>
      </w:r>
    </w:p>
  </w:footnote>
  <w:footnote w:id="74">
    <w:p w14:paraId="7AC7E12F" w14:textId="5C0C145D" w:rsidR="000463A6" w:rsidRPr="0058772B" w:rsidRDefault="000463A6" w:rsidP="003920C6">
      <w:pPr>
        <w:pStyle w:val="Testonotaapidipagina"/>
        <w:jc w:val="both"/>
        <w:rPr>
          <w:rFonts w:ascii="Times New Roman" w:hAnsi="Times New Roman" w:cs="Times New Roman"/>
          <w:color w:val="000000" w:themeColor="text1"/>
          <w:sz w:val="24"/>
          <w:szCs w:val="24"/>
        </w:rPr>
      </w:pPr>
      <w:r w:rsidRPr="0058772B">
        <w:rPr>
          <w:rStyle w:val="Rimandonotaapidipagina"/>
          <w:rFonts w:ascii="Times New Roman" w:hAnsi="Times New Roman" w:cs="Times New Roman"/>
          <w:sz w:val="24"/>
          <w:szCs w:val="24"/>
        </w:rPr>
        <w:footnoteRef/>
      </w:r>
      <w:r w:rsidRPr="0058772B">
        <w:rPr>
          <w:rFonts w:ascii="Times New Roman" w:hAnsi="Times New Roman" w:cs="Times New Roman"/>
          <w:sz w:val="24"/>
          <w:szCs w:val="24"/>
        </w:rPr>
        <w:t xml:space="preserve"> Ormai non si simula più solo il cervello umano, ma si è arrivati anche a robot in grado di replicare espressioni facciali umane: si pensi ai</w:t>
      </w:r>
      <w:r w:rsidRPr="0058772B">
        <w:rPr>
          <w:rFonts w:ascii="Times New Roman" w:hAnsi="Times New Roman" w:cs="Times New Roman"/>
          <w:color w:val="000000" w:themeColor="text1"/>
          <w:sz w:val="24"/>
          <w:szCs w:val="24"/>
        </w:rPr>
        <w:t xml:space="preserve"> robot </w:t>
      </w:r>
      <w:proofErr w:type="spellStart"/>
      <w:r w:rsidRPr="0058772B">
        <w:rPr>
          <w:rFonts w:ascii="Times New Roman" w:hAnsi="Times New Roman" w:cs="Times New Roman"/>
          <w:i/>
          <w:iCs/>
          <w:color w:val="000000" w:themeColor="text1"/>
          <w:sz w:val="24"/>
          <w:szCs w:val="24"/>
        </w:rPr>
        <w:t>Ameca</w:t>
      </w:r>
      <w:proofErr w:type="spellEnd"/>
      <w:r w:rsidRPr="0058772B">
        <w:rPr>
          <w:rFonts w:ascii="Times New Roman" w:hAnsi="Times New Roman" w:cs="Times New Roman"/>
          <w:color w:val="000000" w:themeColor="text1"/>
          <w:sz w:val="24"/>
          <w:szCs w:val="24"/>
        </w:rPr>
        <w:t xml:space="preserve"> e </w:t>
      </w:r>
      <w:proofErr w:type="spellStart"/>
      <w:r w:rsidRPr="0058772B">
        <w:rPr>
          <w:rFonts w:ascii="Times New Roman" w:hAnsi="Times New Roman" w:cs="Times New Roman"/>
          <w:i/>
          <w:iCs/>
          <w:color w:val="000000" w:themeColor="text1"/>
          <w:sz w:val="24"/>
          <w:szCs w:val="24"/>
        </w:rPr>
        <w:t>Mesmer</w:t>
      </w:r>
      <w:proofErr w:type="spellEnd"/>
      <w:r w:rsidRPr="0058772B">
        <w:rPr>
          <w:rFonts w:ascii="Times New Roman" w:hAnsi="Times New Roman" w:cs="Times New Roman"/>
          <w:color w:val="000000" w:themeColor="text1"/>
          <w:sz w:val="24"/>
          <w:szCs w:val="24"/>
        </w:rPr>
        <w:t xml:space="preserve">, capaci di esprimere stupore, felicità, cordialità, fare l’occhiolino, v. </w:t>
      </w:r>
      <w:hyperlink r:id="rId8" w:history="1">
        <w:r w:rsidRPr="0058772B">
          <w:rPr>
            <w:rStyle w:val="Collegamentoipertestuale"/>
            <w:rFonts w:ascii="Times New Roman" w:hAnsi="Times New Roman" w:cs="Times New Roman"/>
            <w:sz w:val="24"/>
            <w:szCs w:val="24"/>
          </w:rPr>
          <w:t>https://www.macitynet.it/i-robot-ameca-e-mesmer-hanno-espressioni-facciali-umane/</w:t>
        </w:r>
      </w:hyperlink>
      <w:r w:rsidRPr="0058772B">
        <w:rPr>
          <w:rFonts w:ascii="Times New Roman" w:hAnsi="Times New Roman" w:cs="Times New Roman"/>
          <w:color w:val="000000" w:themeColor="text1"/>
          <w:sz w:val="24"/>
          <w:szCs w:val="24"/>
        </w:rPr>
        <w:t xml:space="preserve">. Si è arrivati addirittura a concepire un algoritmo che può sostituire il Pubblico Ministero: in Cina è stato sperimentato un magistrato-software in grado di incriminare i cittadini. È chiaro, però, che affidare la pubblica accusa all’intelligenza artificiale, in grado di individuare fino a otto diversi reati, è particolarmente pericoloso e rischia di risultare un’operazione inaffidabile, dato anche il clima sociale in continuo mutamento. Anche alcune Procure in Germania utilizzano l’I.A. per analizzare le immagini, tuttavia quest’ultima ha un ruolo molto limitato, perché non partecipa al processo decisionale relativo alle accuse e alle sentenze. L’amministrazione statunitense di </w:t>
      </w:r>
      <w:proofErr w:type="spellStart"/>
      <w:r w:rsidRPr="0058772B">
        <w:rPr>
          <w:rFonts w:ascii="Times New Roman" w:hAnsi="Times New Roman" w:cs="Times New Roman"/>
          <w:color w:val="000000" w:themeColor="text1"/>
          <w:sz w:val="24"/>
          <w:szCs w:val="24"/>
        </w:rPr>
        <w:t>Joe</w:t>
      </w:r>
      <w:proofErr w:type="spellEnd"/>
      <w:r w:rsidRPr="0058772B">
        <w:rPr>
          <w:rFonts w:ascii="Times New Roman" w:hAnsi="Times New Roman" w:cs="Times New Roman"/>
          <w:color w:val="000000" w:themeColor="text1"/>
          <w:sz w:val="24"/>
          <w:szCs w:val="24"/>
        </w:rPr>
        <w:t xml:space="preserve"> </w:t>
      </w:r>
      <w:proofErr w:type="spellStart"/>
      <w:r w:rsidRPr="0058772B">
        <w:rPr>
          <w:rFonts w:ascii="Times New Roman" w:hAnsi="Times New Roman" w:cs="Times New Roman"/>
          <w:color w:val="000000" w:themeColor="text1"/>
          <w:sz w:val="24"/>
          <w:szCs w:val="24"/>
        </w:rPr>
        <w:t>Biden</w:t>
      </w:r>
      <w:proofErr w:type="spellEnd"/>
      <w:r w:rsidRPr="0058772B">
        <w:rPr>
          <w:rFonts w:ascii="Times New Roman" w:hAnsi="Times New Roman" w:cs="Times New Roman"/>
          <w:color w:val="000000" w:themeColor="text1"/>
          <w:sz w:val="24"/>
          <w:szCs w:val="24"/>
        </w:rPr>
        <w:t xml:space="preserve"> ritiene che sia necessaria una “carta dei diritti” per regolamentare l’intelligenza artificiale, al fine di difendere noi stessi “</w:t>
      </w:r>
      <w:r w:rsidRPr="0058772B">
        <w:rPr>
          <w:rFonts w:ascii="Times New Roman" w:hAnsi="Times New Roman" w:cs="Times New Roman"/>
          <w:i/>
          <w:iCs/>
          <w:color w:val="000000" w:themeColor="text1"/>
          <w:sz w:val="24"/>
          <w:szCs w:val="24"/>
        </w:rPr>
        <w:t>dalle potenti tecnologie che abbiamo creato</w:t>
      </w:r>
      <w:r w:rsidRPr="0058772B">
        <w:rPr>
          <w:rFonts w:ascii="Times New Roman" w:hAnsi="Times New Roman" w:cs="Times New Roman"/>
          <w:color w:val="000000" w:themeColor="text1"/>
          <w:sz w:val="24"/>
          <w:szCs w:val="24"/>
        </w:rPr>
        <w:t xml:space="preserve">”, hanno scritto Eric Lander e </w:t>
      </w:r>
      <w:proofErr w:type="spellStart"/>
      <w:r w:rsidRPr="0058772B">
        <w:rPr>
          <w:rFonts w:ascii="Times New Roman" w:hAnsi="Times New Roman" w:cs="Times New Roman"/>
          <w:color w:val="000000" w:themeColor="text1"/>
          <w:sz w:val="24"/>
          <w:szCs w:val="24"/>
        </w:rPr>
        <w:t>Alondra</w:t>
      </w:r>
      <w:proofErr w:type="spellEnd"/>
      <w:r w:rsidRPr="0058772B">
        <w:rPr>
          <w:rFonts w:ascii="Times New Roman" w:hAnsi="Times New Roman" w:cs="Times New Roman"/>
          <w:color w:val="000000" w:themeColor="text1"/>
          <w:sz w:val="24"/>
          <w:szCs w:val="24"/>
        </w:rPr>
        <w:t xml:space="preserve"> Nelson, direttore e vicedirettore dell’</w:t>
      </w:r>
      <w:r w:rsidRPr="0058772B">
        <w:rPr>
          <w:rFonts w:ascii="Times New Roman" w:hAnsi="Times New Roman" w:cs="Times New Roman"/>
          <w:i/>
          <w:iCs/>
          <w:color w:val="000000" w:themeColor="text1"/>
          <w:sz w:val="24"/>
          <w:szCs w:val="24"/>
        </w:rPr>
        <w:t xml:space="preserve">Office of science and </w:t>
      </w:r>
      <w:proofErr w:type="spellStart"/>
      <w:r w:rsidRPr="0058772B">
        <w:rPr>
          <w:rFonts w:ascii="Times New Roman" w:hAnsi="Times New Roman" w:cs="Times New Roman"/>
          <w:i/>
          <w:iCs/>
          <w:color w:val="000000" w:themeColor="text1"/>
          <w:sz w:val="24"/>
          <w:szCs w:val="24"/>
        </w:rPr>
        <w:t>technology</w:t>
      </w:r>
      <w:proofErr w:type="spellEnd"/>
      <w:r w:rsidRPr="0058772B">
        <w:rPr>
          <w:rFonts w:ascii="Times New Roman" w:hAnsi="Times New Roman" w:cs="Times New Roman"/>
          <w:i/>
          <w:iCs/>
          <w:color w:val="000000" w:themeColor="text1"/>
          <w:sz w:val="24"/>
          <w:szCs w:val="24"/>
        </w:rPr>
        <w:t xml:space="preserve"> policy</w:t>
      </w:r>
      <w:r w:rsidRPr="0058772B">
        <w:rPr>
          <w:rFonts w:ascii="Times New Roman" w:hAnsi="Times New Roman" w:cs="Times New Roman"/>
          <w:color w:val="000000" w:themeColor="text1"/>
          <w:sz w:val="24"/>
          <w:szCs w:val="24"/>
        </w:rPr>
        <w:t xml:space="preserve"> della Casa Bianca; v. </w:t>
      </w:r>
      <w:hyperlink r:id="rId9" w:history="1">
        <w:r w:rsidRPr="0058772B">
          <w:rPr>
            <w:rStyle w:val="Collegamentoipertestuale"/>
            <w:rFonts w:ascii="Times New Roman" w:hAnsi="Times New Roman" w:cs="Times New Roman"/>
            <w:sz w:val="24"/>
            <w:szCs w:val="24"/>
          </w:rPr>
          <w:t>https://formiche.net/2021/12/intelligenza-artificiale-cina/</w:t>
        </w:r>
      </w:hyperlink>
      <w:r w:rsidRPr="0058772B">
        <w:rPr>
          <w:rFonts w:ascii="Times New Roman" w:hAnsi="Times New Roman" w:cs="Times New Roman"/>
          <w:color w:val="000000" w:themeColor="text1"/>
          <w:sz w:val="24"/>
          <w:szCs w:val="24"/>
        </w:rPr>
        <w:t>.</w:t>
      </w:r>
    </w:p>
  </w:footnote>
  <w:footnote w:id="75">
    <w:p w14:paraId="029DEEB3" w14:textId="7C5F4E3B" w:rsidR="000463A6" w:rsidRPr="004B42F2" w:rsidRDefault="000463A6" w:rsidP="004B42F2">
      <w:pPr>
        <w:pStyle w:val="Testonotaapidipagina"/>
        <w:jc w:val="both"/>
        <w:rPr>
          <w:rFonts w:ascii="Times New Roman" w:hAnsi="Times New Roman" w:cs="Times New Roman"/>
          <w:sz w:val="24"/>
          <w:szCs w:val="24"/>
        </w:rPr>
      </w:pPr>
      <w:r w:rsidRPr="004B42F2">
        <w:rPr>
          <w:rStyle w:val="Rimandonotaapidipagina"/>
          <w:rFonts w:ascii="Times New Roman" w:hAnsi="Times New Roman" w:cs="Times New Roman"/>
          <w:sz w:val="24"/>
          <w:szCs w:val="24"/>
        </w:rPr>
        <w:footnoteRef/>
      </w:r>
      <w:r w:rsidRPr="004B42F2">
        <w:rPr>
          <w:rFonts w:ascii="Times New Roman" w:hAnsi="Times New Roman" w:cs="Times New Roman"/>
          <w:sz w:val="24"/>
          <w:szCs w:val="24"/>
        </w:rPr>
        <w:t xml:space="preserve"> Anche la presenza femminile nel settore dell’IA può contribuire a realizzare una tecnologia più antropocentrica e scevra da pregiudizi. Si riporta l’intervista pubblicata su </w:t>
      </w:r>
      <w:hyperlink r:id="rId10" w:history="1">
        <w:r w:rsidRPr="005A4A5D">
          <w:rPr>
            <w:rStyle w:val="Collegamentoipertestuale"/>
            <w:rFonts w:ascii="Times New Roman" w:hAnsi="Times New Roman" w:cs="Times New Roman"/>
            <w:sz w:val="24"/>
            <w:szCs w:val="24"/>
          </w:rPr>
          <w:t>https://www.italian.tech/2021/12/27/news/il_futuro_visto_da_annalisa_barla_la_prof_che_insegna_machine_learning-331506239/</w:t>
        </w:r>
      </w:hyperlink>
      <w:r>
        <w:rPr>
          <w:rFonts w:ascii="Times New Roman" w:hAnsi="Times New Roman" w:cs="Times New Roman"/>
          <w:sz w:val="24"/>
          <w:szCs w:val="24"/>
        </w:rPr>
        <w:t xml:space="preserve"> </w:t>
      </w:r>
      <w:r w:rsidRPr="004B42F2">
        <w:rPr>
          <w:rFonts w:ascii="Times New Roman" w:hAnsi="Times New Roman" w:cs="Times New Roman"/>
          <w:sz w:val="24"/>
          <w:szCs w:val="24"/>
        </w:rPr>
        <w:t xml:space="preserve">fatta alla Professoressa Annalisa </w:t>
      </w:r>
      <w:proofErr w:type="spellStart"/>
      <w:r w:rsidRPr="004B42F2">
        <w:rPr>
          <w:rFonts w:ascii="Times New Roman" w:hAnsi="Times New Roman" w:cs="Times New Roman"/>
          <w:sz w:val="24"/>
          <w:szCs w:val="24"/>
        </w:rPr>
        <w:t>Barla</w:t>
      </w:r>
      <w:proofErr w:type="spellEnd"/>
      <w:r w:rsidRPr="004B42F2">
        <w:rPr>
          <w:rFonts w:ascii="Times New Roman" w:hAnsi="Times New Roman" w:cs="Times New Roman"/>
          <w:sz w:val="24"/>
          <w:szCs w:val="24"/>
        </w:rPr>
        <w:t xml:space="preserve">, docente di </w:t>
      </w:r>
      <w:r w:rsidRPr="004B42F2">
        <w:rPr>
          <w:rFonts w:ascii="Times New Roman" w:hAnsi="Times New Roman" w:cs="Times New Roman"/>
          <w:i/>
          <w:iCs/>
          <w:sz w:val="24"/>
          <w:szCs w:val="24"/>
        </w:rPr>
        <w:t xml:space="preserve">machine </w:t>
      </w:r>
      <w:proofErr w:type="spellStart"/>
      <w:r w:rsidRPr="004B42F2">
        <w:rPr>
          <w:rFonts w:ascii="Times New Roman" w:hAnsi="Times New Roman" w:cs="Times New Roman"/>
          <w:i/>
          <w:iCs/>
          <w:sz w:val="24"/>
          <w:szCs w:val="24"/>
        </w:rPr>
        <w:t>learning</w:t>
      </w:r>
      <w:proofErr w:type="spellEnd"/>
      <w:r w:rsidRPr="004B42F2">
        <w:rPr>
          <w:rFonts w:ascii="Times New Roman" w:hAnsi="Times New Roman" w:cs="Times New Roman"/>
          <w:sz w:val="24"/>
          <w:szCs w:val="24"/>
        </w:rPr>
        <w:t>.</w:t>
      </w:r>
    </w:p>
    <w:p w14:paraId="319337AB" w14:textId="7EB8E2DF" w:rsidR="000463A6" w:rsidRPr="002710AF" w:rsidRDefault="000463A6" w:rsidP="004B42F2">
      <w:pPr>
        <w:pStyle w:val="Testonotaapidipagina"/>
        <w:jc w:val="both"/>
        <w:rPr>
          <w:rFonts w:ascii="Times New Roman" w:hAnsi="Times New Roman" w:cs="Times New Roman"/>
          <w:sz w:val="24"/>
          <w:szCs w:val="24"/>
        </w:rPr>
      </w:pPr>
      <w:r>
        <w:rPr>
          <w:rFonts w:ascii="Times New Roman" w:hAnsi="Times New Roman" w:cs="Times New Roman"/>
          <w:sz w:val="24"/>
          <w:szCs w:val="24"/>
        </w:rPr>
        <w:t>«</w:t>
      </w:r>
      <w:r w:rsidRPr="004B42F2">
        <w:rPr>
          <w:rFonts w:ascii="Times New Roman" w:hAnsi="Times New Roman" w:cs="Times New Roman"/>
          <w:i/>
          <w:iCs/>
          <w:sz w:val="24"/>
          <w:szCs w:val="24"/>
        </w:rPr>
        <w:t xml:space="preserve">Facevo machine </w:t>
      </w:r>
      <w:proofErr w:type="spellStart"/>
      <w:r w:rsidRPr="004B42F2">
        <w:rPr>
          <w:rFonts w:ascii="Times New Roman" w:hAnsi="Times New Roman" w:cs="Times New Roman"/>
          <w:i/>
          <w:iCs/>
          <w:sz w:val="24"/>
          <w:szCs w:val="24"/>
        </w:rPr>
        <w:t>learning</w:t>
      </w:r>
      <w:proofErr w:type="spellEnd"/>
      <w:r w:rsidRPr="004B42F2">
        <w:rPr>
          <w:rFonts w:ascii="Times New Roman" w:hAnsi="Times New Roman" w:cs="Times New Roman"/>
          <w:i/>
          <w:iCs/>
          <w:sz w:val="24"/>
          <w:szCs w:val="24"/>
        </w:rPr>
        <w:t xml:space="preserve"> prima che fare machine </w:t>
      </w:r>
      <w:proofErr w:type="spellStart"/>
      <w:r w:rsidRPr="004B42F2">
        <w:rPr>
          <w:rFonts w:ascii="Times New Roman" w:hAnsi="Times New Roman" w:cs="Times New Roman"/>
          <w:i/>
          <w:iCs/>
          <w:sz w:val="24"/>
          <w:szCs w:val="24"/>
        </w:rPr>
        <w:t>learning</w:t>
      </w:r>
      <w:proofErr w:type="spellEnd"/>
      <w:r w:rsidRPr="004B42F2">
        <w:rPr>
          <w:rFonts w:ascii="Times New Roman" w:hAnsi="Times New Roman" w:cs="Times New Roman"/>
          <w:i/>
          <w:iCs/>
          <w:sz w:val="24"/>
          <w:szCs w:val="24"/>
        </w:rPr>
        <w:t xml:space="preserve"> fosse cool</w:t>
      </w:r>
      <w:r>
        <w:rPr>
          <w:rFonts w:ascii="Times New Roman" w:hAnsi="Times New Roman" w:cs="Times New Roman"/>
          <w:sz w:val="24"/>
          <w:szCs w:val="24"/>
        </w:rPr>
        <w:t>»</w:t>
      </w:r>
      <w:r w:rsidRPr="004B42F2">
        <w:rPr>
          <w:rFonts w:ascii="Times New Roman" w:hAnsi="Times New Roman" w:cs="Times New Roman"/>
          <w:sz w:val="24"/>
          <w:szCs w:val="24"/>
        </w:rPr>
        <w:t xml:space="preserve"> ha affermato la Professoressa associata di Informatica del </w:t>
      </w:r>
      <w:proofErr w:type="spellStart"/>
      <w:r w:rsidRPr="004B42F2">
        <w:rPr>
          <w:rFonts w:ascii="Times New Roman" w:hAnsi="Times New Roman" w:cs="Times New Roman"/>
          <w:sz w:val="24"/>
          <w:szCs w:val="24"/>
        </w:rPr>
        <w:t>Dibris</w:t>
      </w:r>
      <w:proofErr w:type="spellEnd"/>
      <w:r w:rsidRPr="004B42F2">
        <w:rPr>
          <w:rFonts w:ascii="Times New Roman" w:hAnsi="Times New Roman" w:cs="Times New Roman"/>
          <w:sz w:val="24"/>
          <w:szCs w:val="24"/>
        </w:rPr>
        <w:t xml:space="preserve"> e affiliata al </w:t>
      </w:r>
      <w:r w:rsidRPr="004B42F2">
        <w:rPr>
          <w:rFonts w:ascii="Times New Roman" w:hAnsi="Times New Roman" w:cs="Times New Roman"/>
          <w:i/>
          <w:iCs/>
          <w:sz w:val="24"/>
          <w:szCs w:val="24"/>
        </w:rPr>
        <w:t>Machine Learning Genoa Center</w:t>
      </w:r>
      <w:r w:rsidRPr="004B42F2">
        <w:rPr>
          <w:rFonts w:ascii="Times New Roman" w:hAnsi="Times New Roman" w:cs="Times New Roman"/>
          <w:sz w:val="24"/>
          <w:szCs w:val="24"/>
        </w:rPr>
        <w:t xml:space="preserve"> dell’Università di Genova, che da 12 anni insegna i segreti dell’IA mettendoli in pratica. Secondo </w:t>
      </w:r>
      <w:proofErr w:type="spellStart"/>
      <w:r w:rsidRPr="004B42F2">
        <w:rPr>
          <w:rFonts w:ascii="Times New Roman" w:hAnsi="Times New Roman" w:cs="Times New Roman"/>
          <w:sz w:val="24"/>
          <w:szCs w:val="24"/>
        </w:rPr>
        <w:t>Barla</w:t>
      </w:r>
      <w:proofErr w:type="spellEnd"/>
      <w:r>
        <w:rPr>
          <w:rFonts w:ascii="Times New Roman" w:hAnsi="Times New Roman" w:cs="Times New Roman"/>
          <w:sz w:val="24"/>
          <w:szCs w:val="24"/>
        </w:rPr>
        <w:t>,</w:t>
      </w:r>
      <w:r w:rsidRPr="004B42F2">
        <w:rPr>
          <w:rFonts w:ascii="Times New Roman" w:hAnsi="Times New Roman" w:cs="Times New Roman"/>
          <w:sz w:val="24"/>
          <w:szCs w:val="24"/>
        </w:rPr>
        <w:t xml:space="preserve"> gli strumenti di IA «</w:t>
      </w:r>
      <w:r w:rsidRPr="004B42F2">
        <w:rPr>
          <w:rFonts w:ascii="Times New Roman" w:hAnsi="Times New Roman" w:cs="Times New Roman"/>
          <w:i/>
          <w:iCs/>
          <w:sz w:val="24"/>
          <w:szCs w:val="24"/>
        </w:rPr>
        <w:t>sono strumenti di cui in futuro non potremo fare a meno</w:t>
      </w:r>
      <w:r w:rsidRPr="004B42F2">
        <w:rPr>
          <w:rFonts w:ascii="Times New Roman" w:hAnsi="Times New Roman" w:cs="Times New Roman"/>
          <w:sz w:val="24"/>
          <w:szCs w:val="24"/>
        </w:rPr>
        <w:t>», perché «</w:t>
      </w:r>
      <w:r w:rsidRPr="004B42F2">
        <w:rPr>
          <w:rFonts w:ascii="Times New Roman" w:hAnsi="Times New Roman" w:cs="Times New Roman"/>
          <w:i/>
          <w:iCs/>
          <w:sz w:val="24"/>
          <w:szCs w:val="24"/>
        </w:rPr>
        <w:t>viviamo in un mondo complesso e che sta diventando sempre più complesso, anche a causa nostra, e le IA sono e saranno fondamentali per capirlo. Per capire come sta cambiando, dove sta andando, per comprendere meglio la scienza, la ricerca, la medicina</w:t>
      </w:r>
      <w:r w:rsidRPr="004B42F2">
        <w:rPr>
          <w:rFonts w:ascii="Times New Roman" w:hAnsi="Times New Roman" w:cs="Times New Roman"/>
          <w:sz w:val="24"/>
          <w:szCs w:val="24"/>
        </w:rPr>
        <w:t xml:space="preserve">». Le macchine possono aiutare chi governa </w:t>
      </w:r>
      <w:r>
        <w:rPr>
          <w:rFonts w:ascii="Times New Roman" w:hAnsi="Times New Roman" w:cs="Times New Roman"/>
          <w:sz w:val="24"/>
          <w:szCs w:val="24"/>
        </w:rPr>
        <w:t>«</w:t>
      </w:r>
      <w:r w:rsidRPr="004B42F2">
        <w:rPr>
          <w:rFonts w:ascii="Times New Roman" w:hAnsi="Times New Roman" w:cs="Times New Roman"/>
          <w:i/>
          <w:iCs/>
          <w:sz w:val="24"/>
          <w:szCs w:val="24"/>
        </w:rPr>
        <w:t>a prendere decisioni migliori e più efficaci su una grande varietà di aspetti, cosa che ormai non si può più fare senza basarsi sui dati. E con i dati le IA sono bravissime: possono leggerli, immagazzinarli, elaborarli, fare previsioni e stime</w:t>
      </w:r>
      <w:r w:rsidRPr="004B42F2">
        <w:rPr>
          <w:rFonts w:ascii="Times New Roman" w:hAnsi="Times New Roman" w:cs="Times New Roman"/>
          <w:sz w:val="24"/>
          <w:szCs w:val="24"/>
        </w:rPr>
        <w:t xml:space="preserve">», ha affermato </w:t>
      </w:r>
      <w:proofErr w:type="spellStart"/>
      <w:r w:rsidRPr="004B42F2">
        <w:rPr>
          <w:rFonts w:ascii="Times New Roman" w:hAnsi="Times New Roman" w:cs="Times New Roman"/>
          <w:sz w:val="24"/>
          <w:szCs w:val="24"/>
        </w:rPr>
        <w:t>Barla</w:t>
      </w:r>
      <w:proofErr w:type="spellEnd"/>
      <w:r>
        <w:rPr>
          <w:rFonts w:ascii="Times New Roman" w:hAnsi="Times New Roman" w:cs="Times New Roman"/>
          <w:sz w:val="24"/>
          <w:szCs w:val="24"/>
        </w:rPr>
        <w:t>, t</w:t>
      </w:r>
      <w:r w:rsidRPr="004B42F2">
        <w:rPr>
          <w:rFonts w:ascii="Times New Roman" w:hAnsi="Times New Roman" w:cs="Times New Roman"/>
          <w:sz w:val="24"/>
          <w:szCs w:val="24"/>
        </w:rPr>
        <w:t>uttavia «</w:t>
      </w:r>
      <w:r w:rsidRPr="004B42F2">
        <w:rPr>
          <w:rFonts w:ascii="Times New Roman" w:hAnsi="Times New Roman" w:cs="Times New Roman"/>
          <w:i/>
          <w:iCs/>
          <w:sz w:val="24"/>
          <w:szCs w:val="24"/>
        </w:rPr>
        <w:t>è fondamentale, e lo sarà sempre di più nei prossimi anni, un miglioramento o una ridefinizione delle competenze dei lavoratori. Le persone dovranno imparare a usare questi strumenti, a fare altro e reinventarsi, e scuole e università dovranno puntare molto di più sull’alfabetizzazione digitale e sulla creazione di competenze che prima non c’erano</w:t>
      </w:r>
      <w:r w:rsidRPr="004B42F2">
        <w:rPr>
          <w:rFonts w:ascii="Times New Roman" w:hAnsi="Times New Roman" w:cs="Times New Roman"/>
          <w:sz w:val="24"/>
          <w:szCs w:val="24"/>
        </w:rPr>
        <w:t xml:space="preserve">». Infatti, </w:t>
      </w:r>
      <w:r>
        <w:rPr>
          <w:rFonts w:ascii="Times New Roman" w:hAnsi="Times New Roman" w:cs="Times New Roman"/>
          <w:sz w:val="24"/>
          <w:szCs w:val="24"/>
        </w:rPr>
        <w:t xml:space="preserve">forse </w:t>
      </w:r>
      <w:r w:rsidRPr="004B42F2">
        <w:rPr>
          <w:rFonts w:ascii="Times New Roman" w:hAnsi="Times New Roman" w:cs="Times New Roman"/>
          <w:sz w:val="24"/>
          <w:szCs w:val="24"/>
        </w:rPr>
        <w:t xml:space="preserve">i robot non arriveranno a rubarci il lavoro, ma sicuramente ci </w:t>
      </w:r>
      <w:r>
        <w:rPr>
          <w:rFonts w:ascii="Times New Roman" w:hAnsi="Times New Roman" w:cs="Times New Roman"/>
          <w:sz w:val="24"/>
          <w:szCs w:val="24"/>
        </w:rPr>
        <w:t>porteranno</w:t>
      </w:r>
      <w:r w:rsidRPr="004B42F2">
        <w:rPr>
          <w:rFonts w:ascii="Times New Roman" w:hAnsi="Times New Roman" w:cs="Times New Roman"/>
          <w:sz w:val="24"/>
          <w:szCs w:val="24"/>
        </w:rPr>
        <w:t xml:space="preserve"> a cambiarlo. «</w:t>
      </w:r>
      <w:r w:rsidRPr="004B42F2">
        <w:rPr>
          <w:rFonts w:ascii="Times New Roman" w:hAnsi="Times New Roman" w:cs="Times New Roman"/>
          <w:i/>
          <w:iCs/>
          <w:sz w:val="24"/>
          <w:szCs w:val="24"/>
        </w:rPr>
        <w:t xml:space="preserve">Non si può più pensare, come facevano i nostri genitori, di fare la stessa cosa per 20-30 anni. E chi non si evolverà sarà travolto, come Blockbuster è stata travolta dall’arrivo di </w:t>
      </w:r>
      <w:proofErr w:type="spellStart"/>
      <w:r w:rsidRPr="004B42F2">
        <w:rPr>
          <w:rFonts w:ascii="Times New Roman" w:hAnsi="Times New Roman" w:cs="Times New Roman"/>
          <w:i/>
          <w:iCs/>
          <w:sz w:val="24"/>
          <w:szCs w:val="24"/>
        </w:rPr>
        <w:t>Netflix</w:t>
      </w:r>
      <w:proofErr w:type="spellEnd"/>
      <w:r w:rsidRPr="004B42F2">
        <w:rPr>
          <w:rFonts w:ascii="Times New Roman" w:hAnsi="Times New Roman" w:cs="Times New Roman"/>
          <w:i/>
          <w:iCs/>
          <w:sz w:val="24"/>
          <w:szCs w:val="24"/>
        </w:rPr>
        <w:t>, come le librerie tradizionali si sono dovute adeguare all’esistenza di Amazon</w:t>
      </w:r>
      <w:r w:rsidRPr="004B42F2">
        <w:rPr>
          <w:rFonts w:ascii="Times New Roman" w:hAnsi="Times New Roman" w:cs="Times New Roman"/>
          <w:sz w:val="24"/>
          <w:szCs w:val="24"/>
        </w:rPr>
        <w:t xml:space="preserve">» </w:t>
      </w:r>
      <w:r>
        <w:rPr>
          <w:rFonts w:ascii="Times New Roman" w:hAnsi="Times New Roman" w:cs="Times New Roman"/>
          <w:sz w:val="24"/>
          <w:szCs w:val="24"/>
        </w:rPr>
        <w:t>ha sostenuto</w:t>
      </w:r>
      <w:r w:rsidRPr="004B42F2">
        <w:rPr>
          <w:rFonts w:ascii="Times New Roman" w:hAnsi="Times New Roman" w:cs="Times New Roman"/>
          <w:sz w:val="24"/>
          <w:szCs w:val="24"/>
        </w:rPr>
        <w:t xml:space="preserve"> la Professoressa di IA, che si sofferma sull’importanza della IA per ridurre il </w:t>
      </w:r>
      <w:proofErr w:type="gramStart"/>
      <w:r w:rsidRPr="004B42F2">
        <w:rPr>
          <w:rFonts w:ascii="Times New Roman" w:hAnsi="Times New Roman" w:cs="Times New Roman"/>
          <w:i/>
          <w:iCs/>
          <w:sz w:val="24"/>
          <w:szCs w:val="24"/>
        </w:rPr>
        <w:t>gap</w:t>
      </w:r>
      <w:proofErr w:type="gramEnd"/>
      <w:r w:rsidRPr="004B42F2">
        <w:rPr>
          <w:rFonts w:ascii="Times New Roman" w:hAnsi="Times New Roman" w:cs="Times New Roman"/>
          <w:sz w:val="24"/>
          <w:szCs w:val="24"/>
        </w:rPr>
        <w:t xml:space="preserve"> generazionale: con le macchine che leggono i dati «</w:t>
      </w:r>
      <w:r w:rsidRPr="004B42F2">
        <w:rPr>
          <w:rFonts w:ascii="Times New Roman" w:hAnsi="Times New Roman" w:cs="Times New Roman"/>
          <w:i/>
          <w:iCs/>
          <w:sz w:val="24"/>
          <w:szCs w:val="24"/>
        </w:rPr>
        <w:t>anche un medico giovane e con poca esperienza saprà prendere decisioni buone, sfruttando sistemi intelligenti costruiti con le competenze dei colleghi più esperti</w:t>
      </w:r>
      <w:r w:rsidRPr="004B42F2">
        <w:rPr>
          <w:rFonts w:ascii="Times New Roman" w:hAnsi="Times New Roman" w:cs="Times New Roman"/>
          <w:sz w:val="24"/>
          <w:szCs w:val="24"/>
        </w:rPr>
        <w:t xml:space="preserve">». Secondo </w:t>
      </w:r>
      <w:proofErr w:type="spellStart"/>
      <w:r w:rsidRPr="004B42F2">
        <w:rPr>
          <w:rFonts w:ascii="Times New Roman" w:hAnsi="Times New Roman" w:cs="Times New Roman"/>
          <w:sz w:val="24"/>
          <w:szCs w:val="24"/>
        </w:rPr>
        <w:t>Barla</w:t>
      </w:r>
      <w:proofErr w:type="spellEnd"/>
      <w:r w:rsidRPr="004B42F2">
        <w:rPr>
          <w:rFonts w:ascii="Times New Roman" w:hAnsi="Times New Roman" w:cs="Times New Roman"/>
          <w:sz w:val="24"/>
          <w:szCs w:val="24"/>
        </w:rPr>
        <w:t>, «</w:t>
      </w:r>
      <w:r w:rsidRPr="004B42F2">
        <w:rPr>
          <w:rFonts w:ascii="Times New Roman" w:hAnsi="Times New Roman" w:cs="Times New Roman"/>
          <w:i/>
          <w:iCs/>
          <w:sz w:val="24"/>
          <w:szCs w:val="24"/>
        </w:rPr>
        <w:t>grazie alla loro capacità di fare previsioni, stime e calcoli, le IA potranno dare ai ricercatori un’idea di come un test potrebbe concludersi senza bisogno di effettuarlo, magari facendo scartare una strada che non porterebbe da nessuna parte</w:t>
      </w:r>
      <w:r w:rsidRPr="004B42F2">
        <w:rPr>
          <w:rFonts w:ascii="Times New Roman" w:hAnsi="Times New Roman" w:cs="Times New Roman"/>
          <w:sz w:val="24"/>
          <w:szCs w:val="24"/>
        </w:rPr>
        <w:t>», tuttavia la Professoressa non sa fare previsioni su quando verrà sviluppata la cosiddetta IA forte (</w:t>
      </w:r>
      <w:r w:rsidRPr="004B42F2">
        <w:rPr>
          <w:rFonts w:ascii="Times New Roman" w:hAnsi="Times New Roman" w:cs="Times New Roman"/>
          <w:i/>
          <w:iCs/>
          <w:sz w:val="24"/>
          <w:szCs w:val="24"/>
        </w:rPr>
        <w:t>Strong AI</w:t>
      </w:r>
      <w:r w:rsidRPr="004B42F2">
        <w:rPr>
          <w:rFonts w:ascii="Times New Roman" w:hAnsi="Times New Roman" w:cs="Times New Roman"/>
          <w:sz w:val="24"/>
          <w:szCs w:val="24"/>
        </w:rPr>
        <w:t>). Se le macchine «</w:t>
      </w:r>
      <w:r w:rsidRPr="002710AF">
        <w:rPr>
          <w:rFonts w:ascii="Times New Roman" w:hAnsi="Times New Roman" w:cs="Times New Roman"/>
          <w:i/>
          <w:iCs/>
          <w:sz w:val="24"/>
          <w:szCs w:val="24"/>
        </w:rPr>
        <w:t>riusciranno a capire ironia e sarcasmo, pregiudizio e razzismo, potranno gestire da sole la moderazione dei commenti e dei post sui social network</w:t>
      </w:r>
      <w:r w:rsidRPr="004B42F2">
        <w:rPr>
          <w:rFonts w:ascii="Times New Roman" w:hAnsi="Times New Roman" w:cs="Times New Roman"/>
          <w:sz w:val="24"/>
          <w:szCs w:val="24"/>
        </w:rPr>
        <w:t xml:space="preserve">», andando oltre il ruolo di assistenti che hanno ora, ha affermato </w:t>
      </w:r>
      <w:proofErr w:type="spellStart"/>
      <w:r w:rsidRPr="004B42F2">
        <w:rPr>
          <w:rFonts w:ascii="Times New Roman" w:hAnsi="Times New Roman" w:cs="Times New Roman"/>
          <w:sz w:val="24"/>
          <w:szCs w:val="24"/>
        </w:rPr>
        <w:t>Barla</w:t>
      </w:r>
      <w:proofErr w:type="spellEnd"/>
      <w:r w:rsidRPr="004B42F2">
        <w:rPr>
          <w:rFonts w:ascii="Times New Roman" w:hAnsi="Times New Roman" w:cs="Times New Roman"/>
          <w:sz w:val="24"/>
          <w:szCs w:val="24"/>
        </w:rPr>
        <w:t>. «</w:t>
      </w:r>
      <w:r w:rsidRPr="002710AF">
        <w:rPr>
          <w:rFonts w:ascii="Times New Roman" w:hAnsi="Times New Roman" w:cs="Times New Roman"/>
          <w:i/>
          <w:iCs/>
          <w:sz w:val="24"/>
          <w:szCs w:val="24"/>
        </w:rPr>
        <w:t>Se ci sarà un’altra pandemia, la affronteremo meglio, saremo più preparati</w:t>
      </w:r>
      <w:r w:rsidRPr="004B42F2">
        <w:rPr>
          <w:rFonts w:ascii="Times New Roman" w:hAnsi="Times New Roman" w:cs="Times New Roman"/>
          <w:sz w:val="24"/>
          <w:szCs w:val="24"/>
        </w:rPr>
        <w:t xml:space="preserve">». Anche per quanto riguarda il tema del </w:t>
      </w:r>
      <w:proofErr w:type="spellStart"/>
      <w:r w:rsidRPr="002710AF">
        <w:rPr>
          <w:rFonts w:ascii="Times New Roman" w:hAnsi="Times New Roman" w:cs="Times New Roman"/>
          <w:i/>
          <w:iCs/>
          <w:sz w:val="24"/>
          <w:szCs w:val="24"/>
        </w:rPr>
        <w:t>climate</w:t>
      </w:r>
      <w:proofErr w:type="spellEnd"/>
      <w:r w:rsidRPr="002710AF">
        <w:rPr>
          <w:rFonts w:ascii="Times New Roman" w:hAnsi="Times New Roman" w:cs="Times New Roman"/>
          <w:i/>
          <w:iCs/>
          <w:sz w:val="24"/>
          <w:szCs w:val="24"/>
        </w:rPr>
        <w:t xml:space="preserve"> </w:t>
      </w:r>
      <w:proofErr w:type="spellStart"/>
      <w:r w:rsidRPr="002710AF">
        <w:rPr>
          <w:rFonts w:ascii="Times New Roman" w:hAnsi="Times New Roman" w:cs="Times New Roman"/>
          <w:i/>
          <w:iCs/>
          <w:sz w:val="24"/>
          <w:szCs w:val="24"/>
        </w:rPr>
        <w:t>change</w:t>
      </w:r>
      <w:proofErr w:type="spellEnd"/>
      <w:r w:rsidRPr="004B42F2">
        <w:rPr>
          <w:rFonts w:ascii="Times New Roman" w:hAnsi="Times New Roman" w:cs="Times New Roman"/>
          <w:sz w:val="24"/>
          <w:szCs w:val="24"/>
        </w:rPr>
        <w:t xml:space="preserve">, secondo </w:t>
      </w:r>
      <w:proofErr w:type="spellStart"/>
      <w:r w:rsidRPr="004B42F2">
        <w:rPr>
          <w:rFonts w:ascii="Times New Roman" w:hAnsi="Times New Roman" w:cs="Times New Roman"/>
          <w:sz w:val="24"/>
          <w:szCs w:val="24"/>
        </w:rPr>
        <w:t>Barla</w:t>
      </w:r>
      <w:proofErr w:type="spellEnd"/>
      <w:r w:rsidRPr="004B42F2">
        <w:rPr>
          <w:rFonts w:ascii="Times New Roman" w:hAnsi="Times New Roman" w:cs="Times New Roman"/>
          <w:sz w:val="24"/>
          <w:szCs w:val="24"/>
        </w:rPr>
        <w:t xml:space="preserve"> ci sono ancora grandi passi avanti che le IA possono fare per aiutarci a risolvere il problema, ma ci vuole tempo…</w:t>
      </w:r>
      <w:r>
        <w:rPr>
          <w:rFonts w:ascii="Times New Roman" w:hAnsi="Times New Roman" w:cs="Times New Roman"/>
          <w:sz w:val="24"/>
          <w:szCs w:val="24"/>
        </w:rPr>
        <w:t xml:space="preserve"> </w:t>
      </w:r>
      <w:r w:rsidRPr="004B42F2">
        <w:rPr>
          <w:rFonts w:ascii="Times New Roman" w:hAnsi="Times New Roman" w:cs="Times New Roman"/>
          <w:sz w:val="24"/>
          <w:szCs w:val="24"/>
        </w:rPr>
        <w:t>Qualcosa di oscuro però è nascosto anche da strumenti intelligenti e utili come le IA: «</w:t>
      </w:r>
      <w:r w:rsidRPr="002710AF">
        <w:rPr>
          <w:rFonts w:ascii="Times New Roman" w:hAnsi="Times New Roman" w:cs="Times New Roman"/>
          <w:i/>
          <w:iCs/>
          <w:sz w:val="24"/>
          <w:szCs w:val="24"/>
        </w:rPr>
        <w:t>il rischio più grande</w:t>
      </w:r>
      <w:r w:rsidRPr="004B42F2">
        <w:rPr>
          <w:rFonts w:ascii="Times New Roman" w:hAnsi="Times New Roman" w:cs="Times New Roman"/>
          <w:sz w:val="24"/>
          <w:szCs w:val="24"/>
        </w:rPr>
        <w:t xml:space="preserve"> – secondo </w:t>
      </w:r>
      <w:proofErr w:type="spellStart"/>
      <w:r w:rsidRPr="004B42F2">
        <w:rPr>
          <w:rFonts w:ascii="Times New Roman" w:hAnsi="Times New Roman" w:cs="Times New Roman"/>
          <w:sz w:val="24"/>
          <w:szCs w:val="24"/>
        </w:rPr>
        <w:t>Barla</w:t>
      </w:r>
      <w:proofErr w:type="spellEnd"/>
      <w:r w:rsidRPr="004B42F2">
        <w:rPr>
          <w:rFonts w:ascii="Times New Roman" w:hAnsi="Times New Roman" w:cs="Times New Roman"/>
          <w:sz w:val="24"/>
          <w:szCs w:val="24"/>
        </w:rPr>
        <w:t xml:space="preserve"> – </w:t>
      </w:r>
      <w:r w:rsidRPr="002710AF">
        <w:rPr>
          <w:rFonts w:ascii="Times New Roman" w:hAnsi="Times New Roman" w:cs="Times New Roman"/>
          <w:i/>
          <w:iCs/>
          <w:sz w:val="24"/>
          <w:szCs w:val="24"/>
        </w:rPr>
        <w:t>è di avere IA che siano condizionate, di parte, consapevolmente o inconsapevolmente schierate, algoritmi che non riflettano la pluralità del mondo e delle comunità su cui poi verranno applicati, nel senso che a oggi la maggior parte delle persone che programmano queste macchine sono maschi, bianchi, etero e questo porta a squilibri anche gravi nelle capacità delle IA di capire il mondo che le circonda. Rischiando di renderle inutili, se non addirittura pericolose</w:t>
      </w:r>
      <w:r w:rsidRPr="004B42F2">
        <w:rPr>
          <w:rFonts w:ascii="Times New Roman" w:hAnsi="Times New Roman" w:cs="Times New Roman"/>
          <w:sz w:val="24"/>
          <w:szCs w:val="24"/>
        </w:rPr>
        <w:t>».</w:t>
      </w:r>
      <w:r>
        <w:rPr>
          <w:rFonts w:ascii="Times New Roman" w:hAnsi="Times New Roman" w:cs="Times New Roman"/>
          <w:sz w:val="24"/>
          <w:szCs w:val="24"/>
        </w:rPr>
        <w:t xml:space="preserve"> </w:t>
      </w:r>
      <w:r w:rsidRPr="004B42F2">
        <w:rPr>
          <w:rFonts w:ascii="Times New Roman" w:hAnsi="Times New Roman" w:cs="Times New Roman"/>
          <w:sz w:val="24"/>
          <w:szCs w:val="24"/>
        </w:rPr>
        <w:t>Soprattutto per quanto riguarda il linguaggio, «</w:t>
      </w:r>
      <w:r w:rsidRPr="002710AF">
        <w:rPr>
          <w:rFonts w:ascii="Times New Roman" w:hAnsi="Times New Roman" w:cs="Times New Roman"/>
          <w:i/>
          <w:iCs/>
          <w:sz w:val="24"/>
          <w:szCs w:val="24"/>
        </w:rPr>
        <w:t>il problema è che stiamo allenando le IA con quello che trovano in Rete, solo che quello che trovano in Rete è quello che abbiamo messo noi umani</w:t>
      </w:r>
      <w:r w:rsidRPr="004B42F2">
        <w:rPr>
          <w:rFonts w:ascii="Times New Roman" w:hAnsi="Times New Roman" w:cs="Times New Roman"/>
          <w:sz w:val="24"/>
          <w:szCs w:val="24"/>
        </w:rPr>
        <w:t>». E così potremmo ritrovaci IA razziste, misogine, maschiliste, violente.</w:t>
      </w:r>
      <w:r>
        <w:rPr>
          <w:rFonts w:ascii="Times New Roman" w:hAnsi="Times New Roman" w:cs="Times New Roman"/>
          <w:sz w:val="24"/>
          <w:szCs w:val="24"/>
        </w:rPr>
        <w:t xml:space="preserve"> </w:t>
      </w:r>
      <w:r w:rsidRPr="004B42F2">
        <w:rPr>
          <w:rFonts w:ascii="Times New Roman" w:hAnsi="Times New Roman" w:cs="Times New Roman"/>
          <w:sz w:val="24"/>
          <w:szCs w:val="24"/>
        </w:rPr>
        <w:t>Non solo, ci sono i «</w:t>
      </w:r>
      <w:r w:rsidRPr="002710AF">
        <w:rPr>
          <w:rFonts w:ascii="Times New Roman" w:hAnsi="Times New Roman" w:cs="Times New Roman"/>
          <w:i/>
          <w:iCs/>
          <w:sz w:val="24"/>
          <w:szCs w:val="24"/>
        </w:rPr>
        <w:t xml:space="preserve">software di image </w:t>
      </w:r>
      <w:proofErr w:type="spellStart"/>
      <w:r w:rsidRPr="002710AF">
        <w:rPr>
          <w:rFonts w:ascii="Times New Roman" w:hAnsi="Times New Roman" w:cs="Times New Roman"/>
          <w:i/>
          <w:iCs/>
          <w:sz w:val="24"/>
          <w:szCs w:val="24"/>
        </w:rPr>
        <w:t>recognition</w:t>
      </w:r>
      <w:proofErr w:type="spellEnd"/>
      <w:r w:rsidRPr="002710AF">
        <w:rPr>
          <w:rFonts w:ascii="Times New Roman" w:hAnsi="Times New Roman" w:cs="Times New Roman"/>
          <w:i/>
          <w:iCs/>
          <w:sz w:val="24"/>
          <w:szCs w:val="24"/>
        </w:rPr>
        <w:t xml:space="preserve"> che identificano come sposi le coppie uomo-donna con abito scuro e vestito bianco e però non sanno come catalogare una coppia africana vestita con abiti tradizionali per il loro matrimonio</w:t>
      </w:r>
      <w:r w:rsidRPr="004B42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42F2">
        <w:rPr>
          <w:rFonts w:ascii="Times New Roman" w:hAnsi="Times New Roman" w:cs="Times New Roman"/>
          <w:sz w:val="24"/>
          <w:szCs w:val="24"/>
        </w:rPr>
        <w:t xml:space="preserve">sostiene </w:t>
      </w:r>
      <w:proofErr w:type="spellStart"/>
      <w:r w:rsidRPr="004B42F2">
        <w:rPr>
          <w:rFonts w:ascii="Times New Roman" w:hAnsi="Times New Roman" w:cs="Times New Roman"/>
          <w:sz w:val="24"/>
          <w:szCs w:val="24"/>
        </w:rPr>
        <w:t>Barla</w:t>
      </w:r>
      <w:proofErr w:type="spellEnd"/>
      <w:r w:rsidRPr="004B42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10AF">
        <w:rPr>
          <w:rFonts w:ascii="Times New Roman" w:hAnsi="Times New Roman" w:cs="Times New Roman"/>
          <w:i/>
          <w:iCs/>
          <w:sz w:val="24"/>
          <w:szCs w:val="24"/>
        </w:rPr>
        <w:t xml:space="preserve">c’è il dispenser automatico di sapone che non riconosce la pelle degli afroamericani, c’è </w:t>
      </w:r>
      <w:proofErr w:type="spellStart"/>
      <w:r w:rsidRPr="002710AF">
        <w:rPr>
          <w:rFonts w:ascii="Times New Roman" w:hAnsi="Times New Roman" w:cs="Times New Roman"/>
          <w:i/>
          <w:iCs/>
          <w:sz w:val="24"/>
          <w:szCs w:val="24"/>
        </w:rPr>
        <w:t>Facebook</w:t>
      </w:r>
      <w:proofErr w:type="spellEnd"/>
      <w:r w:rsidRPr="002710AF">
        <w:rPr>
          <w:rFonts w:ascii="Times New Roman" w:hAnsi="Times New Roman" w:cs="Times New Roman"/>
          <w:i/>
          <w:iCs/>
          <w:sz w:val="24"/>
          <w:szCs w:val="24"/>
        </w:rPr>
        <w:t xml:space="preserve"> che nell’</w:t>
      </w:r>
      <w:proofErr w:type="spellStart"/>
      <w:r w:rsidRPr="002710AF">
        <w:rPr>
          <w:rFonts w:ascii="Times New Roman" w:hAnsi="Times New Roman" w:cs="Times New Roman"/>
          <w:i/>
          <w:iCs/>
          <w:sz w:val="24"/>
          <w:szCs w:val="24"/>
        </w:rPr>
        <w:t>Year</w:t>
      </w:r>
      <w:proofErr w:type="spellEnd"/>
      <w:r w:rsidRPr="002710AF">
        <w:rPr>
          <w:rFonts w:ascii="Times New Roman" w:hAnsi="Times New Roman" w:cs="Times New Roman"/>
          <w:i/>
          <w:iCs/>
          <w:sz w:val="24"/>
          <w:szCs w:val="24"/>
        </w:rPr>
        <w:t xml:space="preserve"> in </w:t>
      </w:r>
      <w:proofErr w:type="spellStart"/>
      <w:r w:rsidRPr="002710AF">
        <w:rPr>
          <w:rFonts w:ascii="Times New Roman" w:hAnsi="Times New Roman" w:cs="Times New Roman"/>
          <w:i/>
          <w:iCs/>
          <w:sz w:val="24"/>
          <w:szCs w:val="24"/>
        </w:rPr>
        <w:t>Review</w:t>
      </w:r>
      <w:proofErr w:type="spellEnd"/>
      <w:r w:rsidRPr="002710AF">
        <w:rPr>
          <w:rFonts w:ascii="Times New Roman" w:hAnsi="Times New Roman" w:cs="Times New Roman"/>
          <w:i/>
          <w:iCs/>
          <w:sz w:val="24"/>
          <w:szCs w:val="24"/>
        </w:rPr>
        <w:t xml:space="preserve"> del 2014 ricordò a una persona che il suo post di maggior successo era stato quello relativo alla morte della figlia, causandogli ulteriore dolore</w:t>
      </w:r>
      <w:r w:rsidRPr="004B42F2">
        <w:rPr>
          <w:rFonts w:ascii="Times New Roman" w:hAnsi="Times New Roman" w:cs="Times New Roman"/>
          <w:sz w:val="24"/>
          <w:szCs w:val="24"/>
        </w:rPr>
        <w:t>». Si tratta di macchine pensate e progettate male, senza tenere conto delle diversità di cultura, di pelle, di sentimenti.</w:t>
      </w:r>
      <w:r>
        <w:rPr>
          <w:rFonts w:ascii="Times New Roman" w:hAnsi="Times New Roman" w:cs="Times New Roman"/>
          <w:sz w:val="24"/>
          <w:szCs w:val="24"/>
        </w:rPr>
        <w:t xml:space="preserve"> </w:t>
      </w:r>
      <w:r w:rsidRPr="004B42F2">
        <w:rPr>
          <w:rFonts w:ascii="Times New Roman" w:hAnsi="Times New Roman" w:cs="Times New Roman"/>
          <w:sz w:val="24"/>
          <w:szCs w:val="24"/>
        </w:rPr>
        <w:t xml:space="preserve">Secondo </w:t>
      </w:r>
      <w:proofErr w:type="spellStart"/>
      <w:r w:rsidRPr="004B42F2">
        <w:rPr>
          <w:rFonts w:ascii="Times New Roman" w:hAnsi="Times New Roman" w:cs="Times New Roman"/>
          <w:sz w:val="24"/>
          <w:szCs w:val="24"/>
        </w:rPr>
        <w:t>Barla</w:t>
      </w:r>
      <w:proofErr w:type="spellEnd"/>
      <w:r>
        <w:rPr>
          <w:rFonts w:ascii="Times New Roman" w:hAnsi="Times New Roman" w:cs="Times New Roman"/>
          <w:sz w:val="24"/>
          <w:szCs w:val="24"/>
        </w:rPr>
        <w:t>,</w:t>
      </w:r>
      <w:r w:rsidRPr="004B42F2">
        <w:rPr>
          <w:rFonts w:ascii="Times New Roman" w:hAnsi="Times New Roman" w:cs="Times New Roman"/>
          <w:sz w:val="24"/>
          <w:szCs w:val="24"/>
        </w:rPr>
        <w:t xml:space="preserve"> un altro rischio è quello legato alla IA “forte”: «</w:t>
      </w:r>
      <w:r w:rsidRPr="002710AF">
        <w:rPr>
          <w:rFonts w:ascii="Times New Roman" w:hAnsi="Times New Roman" w:cs="Times New Roman"/>
          <w:i/>
          <w:iCs/>
          <w:sz w:val="24"/>
          <w:szCs w:val="24"/>
        </w:rPr>
        <w:t>Dobbiamo capire perché vogliamo svilupparla, qual è lo scopo, a che cosa ci serve e come ci può aiutare (che è una cosa che ci aveva detto pure Giorgio Metta, attuale direttore scientifico dell’</w:t>
      </w:r>
      <w:proofErr w:type="spellStart"/>
      <w:r w:rsidRPr="002710AF">
        <w:rPr>
          <w:rFonts w:ascii="Times New Roman" w:hAnsi="Times New Roman" w:cs="Times New Roman"/>
          <w:i/>
          <w:iCs/>
          <w:sz w:val="24"/>
          <w:szCs w:val="24"/>
        </w:rPr>
        <w:t>Iit</w:t>
      </w:r>
      <w:proofErr w:type="spellEnd"/>
      <w:r w:rsidRPr="002710AF">
        <w:rPr>
          <w:rFonts w:ascii="Times New Roman" w:hAnsi="Times New Roman" w:cs="Times New Roman"/>
          <w:i/>
          <w:iCs/>
          <w:sz w:val="24"/>
          <w:szCs w:val="24"/>
        </w:rPr>
        <w:t>), e non perseguirla solo per scopi economici, che potrebbero ritorcersi contro di noi», altrimenti il rischio è quello di «rendere parte degli umani irrilevanti e inutili, di ampliare ancora la forbice fra chi serve e chi non serve nel mondo del lavoro</w:t>
      </w:r>
      <w:r w:rsidRPr="004B42F2">
        <w:rPr>
          <w:rFonts w:ascii="Times New Roman" w:hAnsi="Times New Roman" w:cs="Times New Roman"/>
          <w:sz w:val="24"/>
          <w:szCs w:val="24"/>
        </w:rPr>
        <w:t xml:space="preserve">». E se un giorno i robot dovessero superare gli umani? Secondo </w:t>
      </w:r>
      <w:proofErr w:type="spellStart"/>
      <w:r w:rsidRPr="004B42F2">
        <w:rPr>
          <w:rFonts w:ascii="Times New Roman" w:hAnsi="Times New Roman" w:cs="Times New Roman"/>
          <w:sz w:val="24"/>
          <w:szCs w:val="24"/>
        </w:rPr>
        <w:t>Barla</w:t>
      </w:r>
      <w:proofErr w:type="spellEnd"/>
      <w:r w:rsidRPr="004B42F2">
        <w:rPr>
          <w:rFonts w:ascii="Times New Roman" w:hAnsi="Times New Roman" w:cs="Times New Roman"/>
          <w:sz w:val="24"/>
          <w:szCs w:val="24"/>
        </w:rPr>
        <w:t xml:space="preserve"> sarà necessario puntare su «</w:t>
      </w:r>
      <w:r w:rsidRPr="002710AF">
        <w:rPr>
          <w:rFonts w:ascii="Times New Roman" w:hAnsi="Times New Roman" w:cs="Times New Roman"/>
          <w:i/>
          <w:iCs/>
          <w:sz w:val="24"/>
          <w:szCs w:val="24"/>
        </w:rPr>
        <w:t>sistemi ibridi, in cui il supporto delle intelligenze artificiali ai processi umani si fondi sull’incremento e il completamento delle capacità del lavoratore, gli garantisca controllo sul processo e sull’esito finale e anche gli fornisca un chiaro quadro dei vantaggi ottenuti</w:t>
      </w:r>
      <w:r w:rsidRPr="004B42F2">
        <w:rPr>
          <w:rFonts w:ascii="Times New Roman" w:hAnsi="Times New Roman" w:cs="Times New Roman"/>
          <w:sz w:val="24"/>
          <w:szCs w:val="24"/>
        </w:rPr>
        <w:t>».</w:t>
      </w:r>
    </w:p>
  </w:footnote>
  <w:footnote w:id="76">
    <w:p w14:paraId="24109983" w14:textId="794CB51B" w:rsidR="000463A6" w:rsidRPr="00577490" w:rsidRDefault="000463A6" w:rsidP="00577490">
      <w:pPr>
        <w:tabs>
          <w:tab w:val="left" w:pos="8364"/>
        </w:tabs>
        <w:spacing w:after="0" w:line="240" w:lineRule="auto"/>
        <w:jc w:val="both"/>
        <w:rPr>
          <w:rFonts w:ascii="Times New Roman" w:hAnsi="Times New Roman" w:cs="Times New Roman"/>
          <w:sz w:val="24"/>
          <w:szCs w:val="24"/>
        </w:rPr>
      </w:pPr>
      <w:r w:rsidRPr="00577490">
        <w:rPr>
          <w:rStyle w:val="Rimandonotaapidipagina"/>
          <w:rFonts w:ascii="Times New Roman" w:hAnsi="Times New Roman" w:cs="Times New Roman"/>
          <w:sz w:val="24"/>
          <w:szCs w:val="24"/>
        </w:rPr>
        <w:footnoteRef/>
      </w:r>
      <w:r w:rsidRPr="00577490">
        <w:rPr>
          <w:rFonts w:ascii="Times New Roman" w:hAnsi="Times New Roman" w:cs="Times New Roman"/>
          <w:sz w:val="24"/>
          <w:szCs w:val="24"/>
        </w:rPr>
        <w:t xml:space="preserve"> </w:t>
      </w:r>
      <w:r w:rsidRPr="00577490">
        <w:rPr>
          <w:rFonts w:ascii="Times New Roman" w:hAnsi="Times New Roman" w:cs="Times New Roman"/>
          <w:smallCaps/>
          <w:sz w:val="24"/>
          <w:szCs w:val="24"/>
        </w:rPr>
        <w:t>U</w:t>
      </w:r>
      <w:r>
        <w:rPr>
          <w:rFonts w:ascii="Times New Roman" w:hAnsi="Times New Roman" w:cs="Times New Roman"/>
          <w:smallCaps/>
          <w:sz w:val="24"/>
          <w:szCs w:val="24"/>
        </w:rPr>
        <w:t>.</w:t>
      </w:r>
      <w:r w:rsidRPr="00577490">
        <w:rPr>
          <w:rFonts w:ascii="Times New Roman" w:hAnsi="Times New Roman" w:cs="Times New Roman"/>
          <w:smallCaps/>
          <w:sz w:val="24"/>
          <w:szCs w:val="24"/>
        </w:rPr>
        <w:t xml:space="preserve"> Ruffolo, A</w:t>
      </w:r>
      <w:r>
        <w:rPr>
          <w:rFonts w:ascii="Times New Roman" w:hAnsi="Times New Roman" w:cs="Times New Roman"/>
          <w:smallCaps/>
          <w:sz w:val="24"/>
          <w:szCs w:val="24"/>
        </w:rPr>
        <w:t>.</w:t>
      </w:r>
      <w:r w:rsidRPr="00577490">
        <w:rPr>
          <w:rFonts w:ascii="Times New Roman" w:hAnsi="Times New Roman" w:cs="Times New Roman"/>
          <w:smallCaps/>
          <w:sz w:val="24"/>
          <w:szCs w:val="24"/>
        </w:rPr>
        <w:t xml:space="preserve"> </w:t>
      </w:r>
      <w:proofErr w:type="spellStart"/>
      <w:r w:rsidRPr="00577490">
        <w:rPr>
          <w:rFonts w:ascii="Times New Roman" w:hAnsi="Times New Roman" w:cs="Times New Roman"/>
          <w:smallCaps/>
          <w:sz w:val="24"/>
          <w:szCs w:val="24"/>
        </w:rPr>
        <w:t>Amidei</w:t>
      </w:r>
      <w:proofErr w:type="spellEnd"/>
      <w:r>
        <w:rPr>
          <w:rFonts w:ascii="Times New Roman" w:hAnsi="Times New Roman" w:cs="Times New Roman"/>
          <w:sz w:val="24"/>
          <w:szCs w:val="24"/>
        </w:rPr>
        <w:t>,</w:t>
      </w:r>
      <w:r w:rsidRPr="00577490">
        <w:rPr>
          <w:rFonts w:ascii="Times New Roman" w:hAnsi="Times New Roman" w:cs="Times New Roman"/>
          <w:sz w:val="24"/>
          <w:szCs w:val="24"/>
        </w:rPr>
        <w:t xml:space="preserve"> “</w:t>
      </w:r>
      <w:r w:rsidRPr="00577490">
        <w:rPr>
          <w:rFonts w:ascii="Times New Roman" w:hAnsi="Times New Roman" w:cs="Times New Roman"/>
          <w:i/>
          <w:iCs/>
          <w:sz w:val="24"/>
          <w:szCs w:val="24"/>
        </w:rPr>
        <w:t xml:space="preserve">Intelligenza artificiale e diritti della persona: le frontiere del </w:t>
      </w:r>
      <w:proofErr w:type="spellStart"/>
      <w:r w:rsidRPr="00577490">
        <w:rPr>
          <w:rFonts w:ascii="Times New Roman" w:hAnsi="Times New Roman" w:cs="Times New Roman"/>
          <w:i/>
          <w:iCs/>
          <w:sz w:val="24"/>
          <w:szCs w:val="24"/>
        </w:rPr>
        <w:t>transumanesimo</w:t>
      </w:r>
      <w:proofErr w:type="spellEnd"/>
      <w:r w:rsidRPr="00577490">
        <w:rPr>
          <w:rFonts w:ascii="Times New Roman" w:hAnsi="Times New Roman" w:cs="Times New Roman"/>
          <w:sz w:val="24"/>
          <w:szCs w:val="24"/>
        </w:rPr>
        <w:t xml:space="preserve">”; </w:t>
      </w:r>
      <w:r w:rsidRPr="00577490">
        <w:rPr>
          <w:rFonts w:ascii="Times New Roman" w:hAnsi="Times New Roman" w:cs="Times New Roman"/>
          <w:smallCaps/>
          <w:sz w:val="24"/>
          <w:szCs w:val="24"/>
        </w:rPr>
        <w:t>U</w:t>
      </w:r>
      <w:r>
        <w:rPr>
          <w:rFonts w:ascii="Times New Roman" w:hAnsi="Times New Roman" w:cs="Times New Roman"/>
          <w:smallCaps/>
          <w:sz w:val="24"/>
          <w:szCs w:val="24"/>
        </w:rPr>
        <w:t>.</w:t>
      </w:r>
      <w:r w:rsidRPr="00577490">
        <w:rPr>
          <w:rFonts w:ascii="Times New Roman" w:hAnsi="Times New Roman" w:cs="Times New Roman"/>
          <w:smallCaps/>
          <w:sz w:val="24"/>
          <w:szCs w:val="24"/>
        </w:rPr>
        <w:t xml:space="preserve"> Ruffolo</w:t>
      </w:r>
      <w:r>
        <w:rPr>
          <w:rFonts w:ascii="Times New Roman" w:hAnsi="Times New Roman" w:cs="Times New Roman"/>
          <w:smallCaps/>
          <w:sz w:val="24"/>
          <w:szCs w:val="24"/>
        </w:rPr>
        <w:t xml:space="preserve">, </w:t>
      </w:r>
      <w:r w:rsidRPr="00577490">
        <w:rPr>
          <w:rFonts w:ascii="Times New Roman" w:hAnsi="Times New Roman" w:cs="Times New Roman"/>
          <w:smallCaps/>
          <w:sz w:val="24"/>
          <w:szCs w:val="24"/>
        </w:rPr>
        <w:t>E</w:t>
      </w:r>
      <w:r>
        <w:rPr>
          <w:rFonts w:ascii="Times New Roman" w:hAnsi="Times New Roman" w:cs="Times New Roman"/>
          <w:smallCaps/>
          <w:sz w:val="24"/>
          <w:szCs w:val="24"/>
        </w:rPr>
        <w:t>.</w:t>
      </w:r>
      <w:r w:rsidRPr="00577490">
        <w:rPr>
          <w:rFonts w:ascii="Times New Roman" w:hAnsi="Times New Roman" w:cs="Times New Roman"/>
          <w:smallCaps/>
          <w:sz w:val="24"/>
          <w:szCs w:val="24"/>
        </w:rPr>
        <w:t xml:space="preserve"> Al </w:t>
      </w:r>
      <w:proofErr w:type="spellStart"/>
      <w:r w:rsidRPr="00577490">
        <w:rPr>
          <w:rFonts w:ascii="Times New Roman" w:hAnsi="Times New Roman" w:cs="Times New Roman"/>
          <w:smallCaps/>
          <w:sz w:val="24"/>
          <w:szCs w:val="24"/>
        </w:rPr>
        <w:t>Mureden</w:t>
      </w:r>
      <w:proofErr w:type="spellEnd"/>
      <w:r>
        <w:rPr>
          <w:rFonts w:ascii="Times New Roman" w:hAnsi="Times New Roman" w:cs="Times New Roman"/>
          <w:sz w:val="24"/>
          <w:szCs w:val="24"/>
        </w:rPr>
        <w:t>, “</w:t>
      </w:r>
      <w:proofErr w:type="spellStart"/>
      <w:r w:rsidRPr="00577490">
        <w:rPr>
          <w:rFonts w:ascii="Times New Roman" w:hAnsi="Times New Roman" w:cs="Times New Roman"/>
          <w:i/>
          <w:iCs/>
          <w:sz w:val="24"/>
          <w:szCs w:val="24"/>
        </w:rPr>
        <w:t>Autonomous</w:t>
      </w:r>
      <w:proofErr w:type="spellEnd"/>
      <w:r w:rsidRPr="00577490">
        <w:rPr>
          <w:rFonts w:ascii="Times New Roman" w:hAnsi="Times New Roman" w:cs="Times New Roman"/>
          <w:i/>
          <w:iCs/>
          <w:sz w:val="24"/>
          <w:szCs w:val="24"/>
        </w:rPr>
        <w:t xml:space="preserve"> </w:t>
      </w:r>
      <w:proofErr w:type="spellStart"/>
      <w:r w:rsidRPr="00577490">
        <w:rPr>
          <w:rFonts w:ascii="Times New Roman" w:hAnsi="Times New Roman" w:cs="Times New Roman"/>
          <w:i/>
          <w:iCs/>
          <w:sz w:val="24"/>
          <w:szCs w:val="24"/>
        </w:rPr>
        <w:t>vehicles</w:t>
      </w:r>
      <w:proofErr w:type="spellEnd"/>
      <w:r w:rsidRPr="00577490">
        <w:rPr>
          <w:rFonts w:ascii="Times New Roman" w:hAnsi="Times New Roman" w:cs="Times New Roman"/>
          <w:i/>
          <w:iCs/>
          <w:sz w:val="24"/>
          <w:szCs w:val="24"/>
        </w:rPr>
        <w:t xml:space="preserve"> e responsabilità nel nostro sistema ed in quello statunitense</w:t>
      </w:r>
      <w:r w:rsidRPr="004667AC">
        <w:rPr>
          <w:rFonts w:ascii="Times New Roman" w:hAnsi="Times New Roman" w:cs="Times New Roman"/>
          <w:sz w:val="24"/>
          <w:szCs w:val="24"/>
        </w:rPr>
        <w:t>”,</w:t>
      </w:r>
      <w:r>
        <w:rPr>
          <w:rFonts w:ascii="Times New Roman" w:hAnsi="Times New Roman" w:cs="Times New Roman"/>
          <w:sz w:val="24"/>
          <w:szCs w:val="24"/>
        </w:rPr>
        <w:t xml:space="preserve"> </w:t>
      </w:r>
      <w:r w:rsidRPr="00577490">
        <w:rPr>
          <w:rFonts w:ascii="Times New Roman" w:hAnsi="Times New Roman" w:cs="Times New Roman"/>
          <w:sz w:val="24"/>
          <w:szCs w:val="24"/>
        </w:rPr>
        <w:t xml:space="preserve">in </w:t>
      </w:r>
      <w:r w:rsidRPr="004667AC">
        <w:rPr>
          <w:rFonts w:ascii="Times New Roman" w:hAnsi="Times New Roman" w:cs="Times New Roman"/>
          <w:i/>
          <w:iCs/>
          <w:sz w:val="24"/>
          <w:szCs w:val="24"/>
        </w:rPr>
        <w:t>Giurisprudenza Italiana</w:t>
      </w:r>
      <w:r>
        <w:rPr>
          <w:rFonts w:ascii="Times New Roman" w:hAnsi="Times New Roman" w:cs="Times New Roman"/>
          <w:sz w:val="24"/>
          <w:szCs w:val="24"/>
        </w:rPr>
        <w:t>,</w:t>
      </w:r>
      <w:r w:rsidRPr="00577490">
        <w:rPr>
          <w:rFonts w:ascii="Times New Roman" w:hAnsi="Times New Roman" w:cs="Times New Roman"/>
          <w:sz w:val="24"/>
          <w:szCs w:val="24"/>
        </w:rPr>
        <w:t xml:space="preserve"> 2019</w:t>
      </w:r>
      <w:r>
        <w:rPr>
          <w:rFonts w:ascii="Times New Roman" w:hAnsi="Times New Roman" w:cs="Times New Roman"/>
          <w:sz w:val="24"/>
          <w:szCs w:val="24"/>
        </w:rPr>
        <w:t>,</w:t>
      </w:r>
      <w:r w:rsidRPr="00577490">
        <w:rPr>
          <w:rFonts w:ascii="Times New Roman" w:hAnsi="Times New Roman" w:cs="Times New Roman"/>
          <w:sz w:val="24"/>
          <w:szCs w:val="24"/>
        </w:rPr>
        <w:t xml:space="preserve"> pag.</w:t>
      </w:r>
      <w:r>
        <w:rPr>
          <w:rFonts w:ascii="Times New Roman" w:hAnsi="Times New Roman" w:cs="Times New Roman"/>
          <w:sz w:val="24"/>
          <w:szCs w:val="24"/>
        </w:rPr>
        <w:t xml:space="preserve"> </w:t>
      </w:r>
      <w:r w:rsidRPr="00577490">
        <w:rPr>
          <w:rFonts w:ascii="Times New Roman" w:hAnsi="Times New Roman" w:cs="Times New Roman"/>
          <w:sz w:val="24"/>
          <w:szCs w:val="24"/>
        </w:rPr>
        <w:t>1657 e ss</w:t>
      </w:r>
      <w:r>
        <w:rPr>
          <w:rFonts w:ascii="Times New Roman" w:hAnsi="Times New Roman" w:cs="Times New Roman"/>
          <w:sz w:val="24"/>
          <w:szCs w:val="24"/>
        </w:rPr>
        <w:t>.</w:t>
      </w:r>
    </w:p>
  </w:footnote>
  <w:footnote w:id="77">
    <w:p w14:paraId="5CBDBA79" w14:textId="25F8897B" w:rsidR="000463A6" w:rsidRPr="00013A16" w:rsidRDefault="000463A6" w:rsidP="00013A16">
      <w:pPr>
        <w:pStyle w:val="Testonotaapidipagina"/>
        <w:jc w:val="both"/>
        <w:rPr>
          <w:rFonts w:ascii="Times New Roman" w:hAnsi="Times New Roman" w:cs="Times New Roman"/>
          <w:sz w:val="24"/>
          <w:szCs w:val="24"/>
        </w:rPr>
      </w:pPr>
      <w:r w:rsidRPr="00013A16">
        <w:rPr>
          <w:rStyle w:val="Rimandonotaapidipagina"/>
          <w:rFonts w:ascii="Times New Roman" w:hAnsi="Times New Roman" w:cs="Times New Roman"/>
          <w:sz w:val="24"/>
          <w:szCs w:val="24"/>
        </w:rPr>
        <w:footnoteRef/>
      </w:r>
      <w:r w:rsidRPr="00013A16">
        <w:rPr>
          <w:rFonts w:ascii="Times New Roman" w:hAnsi="Times New Roman" w:cs="Times New Roman"/>
          <w:sz w:val="24"/>
          <w:szCs w:val="24"/>
        </w:rPr>
        <w:t xml:space="preserve"> </w:t>
      </w:r>
      <w:r w:rsidRPr="00013A16">
        <w:rPr>
          <w:rFonts w:ascii="Times New Roman" w:hAnsi="Times New Roman" w:cs="Times New Roman"/>
          <w:smallCaps/>
          <w:sz w:val="24"/>
          <w:szCs w:val="24"/>
        </w:rPr>
        <w:t>U. Ruffolo</w:t>
      </w:r>
      <w:r w:rsidRPr="00013A16">
        <w:rPr>
          <w:rFonts w:ascii="Times New Roman" w:hAnsi="Times New Roman" w:cs="Times New Roman"/>
          <w:sz w:val="24"/>
          <w:szCs w:val="24"/>
        </w:rPr>
        <w:t>, “</w:t>
      </w:r>
      <w:r w:rsidRPr="00013A16">
        <w:rPr>
          <w:rFonts w:ascii="Times New Roman" w:hAnsi="Times New Roman" w:cs="Times New Roman"/>
          <w:i/>
          <w:iCs/>
          <w:sz w:val="24"/>
          <w:szCs w:val="24"/>
        </w:rPr>
        <w:t xml:space="preserve">Intelligenza Artificiale, machine </w:t>
      </w:r>
      <w:proofErr w:type="spellStart"/>
      <w:r w:rsidRPr="00013A16">
        <w:rPr>
          <w:rFonts w:ascii="Times New Roman" w:hAnsi="Times New Roman" w:cs="Times New Roman"/>
          <w:i/>
          <w:iCs/>
          <w:sz w:val="24"/>
          <w:szCs w:val="24"/>
        </w:rPr>
        <w:t>learning</w:t>
      </w:r>
      <w:proofErr w:type="spellEnd"/>
      <w:r w:rsidRPr="00013A16">
        <w:rPr>
          <w:rFonts w:ascii="Times New Roman" w:hAnsi="Times New Roman" w:cs="Times New Roman"/>
          <w:i/>
          <w:iCs/>
          <w:sz w:val="24"/>
          <w:szCs w:val="24"/>
        </w:rPr>
        <w:t xml:space="preserve"> e responsabilità da algoritmo</w:t>
      </w:r>
      <w:r w:rsidRPr="00013A16">
        <w:rPr>
          <w:rFonts w:ascii="Times New Roman" w:hAnsi="Times New Roman" w:cs="Times New Roman"/>
          <w:sz w:val="24"/>
          <w:szCs w:val="24"/>
        </w:rPr>
        <w:t xml:space="preserve">”, in </w:t>
      </w:r>
      <w:r w:rsidRPr="00013A16">
        <w:rPr>
          <w:rFonts w:ascii="Times New Roman" w:hAnsi="Times New Roman" w:cs="Times New Roman"/>
          <w:i/>
          <w:iCs/>
          <w:sz w:val="24"/>
          <w:szCs w:val="24"/>
        </w:rPr>
        <w:t>Giurisprudenza Italiana</w:t>
      </w:r>
      <w:r w:rsidRPr="00013A16">
        <w:rPr>
          <w:rFonts w:ascii="Times New Roman" w:hAnsi="Times New Roman" w:cs="Times New Roman"/>
          <w:sz w:val="24"/>
          <w:szCs w:val="24"/>
        </w:rPr>
        <w:t xml:space="preserve"> n. 7/2019, Utet Giuridica, Torino.</w:t>
      </w:r>
    </w:p>
  </w:footnote>
  <w:footnote w:id="78">
    <w:p w14:paraId="7E52A8B8" w14:textId="7609C08A" w:rsidR="000463A6" w:rsidRPr="00013A16" w:rsidRDefault="000463A6" w:rsidP="00013A16">
      <w:pPr>
        <w:pStyle w:val="Testonotaapidipagina"/>
        <w:jc w:val="both"/>
        <w:rPr>
          <w:rFonts w:ascii="Times New Roman" w:hAnsi="Times New Roman" w:cs="Times New Roman"/>
          <w:sz w:val="24"/>
          <w:szCs w:val="24"/>
        </w:rPr>
      </w:pPr>
      <w:r w:rsidRPr="00013A16">
        <w:rPr>
          <w:rStyle w:val="Rimandonotaapidipagina"/>
          <w:rFonts w:ascii="Times New Roman" w:hAnsi="Times New Roman" w:cs="Times New Roman"/>
          <w:sz w:val="24"/>
          <w:szCs w:val="24"/>
        </w:rPr>
        <w:footnoteRef/>
      </w:r>
      <w:r w:rsidRPr="00013A16">
        <w:rPr>
          <w:rFonts w:ascii="Times New Roman" w:hAnsi="Times New Roman" w:cs="Times New Roman"/>
          <w:sz w:val="24"/>
          <w:szCs w:val="24"/>
        </w:rPr>
        <w:t xml:space="preserve"> Importante è anche la posizione del Vaticano sull’IA, espressa di recente dal </w:t>
      </w:r>
      <w:r>
        <w:rPr>
          <w:rFonts w:ascii="Times New Roman" w:hAnsi="Times New Roman" w:cs="Times New Roman"/>
          <w:sz w:val="24"/>
          <w:szCs w:val="24"/>
        </w:rPr>
        <w:t>M</w:t>
      </w:r>
      <w:r w:rsidRPr="00013A16">
        <w:rPr>
          <w:rFonts w:ascii="Times New Roman" w:hAnsi="Times New Roman" w:cs="Times New Roman"/>
          <w:sz w:val="24"/>
          <w:szCs w:val="24"/>
        </w:rPr>
        <w:t>onsignor John D. Putzer, incaricato presso la Missione di Osservatore permanente della Santa Sede all’Onu di Ginevra e capo delegazione alla sesta Conferenza di revisione della “</w:t>
      </w:r>
      <w:r w:rsidRPr="00915D67">
        <w:rPr>
          <w:rFonts w:ascii="Times New Roman" w:hAnsi="Times New Roman" w:cs="Times New Roman"/>
          <w:i/>
          <w:iCs/>
          <w:sz w:val="24"/>
          <w:szCs w:val="24"/>
        </w:rPr>
        <w:t>Convenzione sulla proibizione o la limitazione dell’uso di alcune armi convenzionali che possono essere considerate dannose o aventi effetti indiscriminati</w:t>
      </w:r>
      <w:r w:rsidRPr="00013A16">
        <w:rPr>
          <w:rFonts w:ascii="Times New Roman" w:hAnsi="Times New Roman" w:cs="Times New Roman"/>
          <w:sz w:val="24"/>
          <w:szCs w:val="24"/>
        </w:rPr>
        <w:t xml:space="preserve">”. L’intervento della Santa Sede ha preso le mosse da una nuova tecnologia che sta prendendo piede: Robot-soldato addestrati a individuare bersagli da abbattere senza la gestione dell’uomo, ben oltre i droni a guida umana. Questi </w:t>
      </w:r>
      <w:r w:rsidRPr="00915D67">
        <w:rPr>
          <w:rFonts w:ascii="Times New Roman" w:hAnsi="Times New Roman" w:cs="Times New Roman"/>
          <w:i/>
          <w:iCs/>
          <w:sz w:val="24"/>
          <w:szCs w:val="24"/>
        </w:rPr>
        <w:t>LAWS</w:t>
      </w:r>
      <w:r w:rsidRPr="00013A16">
        <w:rPr>
          <w:rFonts w:ascii="Times New Roman" w:hAnsi="Times New Roman" w:cs="Times New Roman"/>
          <w:sz w:val="24"/>
          <w:szCs w:val="24"/>
        </w:rPr>
        <w:t xml:space="preserve"> (</w:t>
      </w:r>
      <w:proofErr w:type="spellStart"/>
      <w:r w:rsidRPr="00915D67">
        <w:rPr>
          <w:rFonts w:ascii="Times New Roman" w:hAnsi="Times New Roman" w:cs="Times New Roman"/>
          <w:i/>
          <w:iCs/>
          <w:sz w:val="24"/>
          <w:szCs w:val="24"/>
        </w:rPr>
        <w:t>Lethal</w:t>
      </w:r>
      <w:proofErr w:type="spellEnd"/>
      <w:r w:rsidRPr="00915D67">
        <w:rPr>
          <w:rFonts w:ascii="Times New Roman" w:hAnsi="Times New Roman" w:cs="Times New Roman"/>
          <w:i/>
          <w:iCs/>
          <w:sz w:val="24"/>
          <w:szCs w:val="24"/>
        </w:rPr>
        <w:t xml:space="preserve"> </w:t>
      </w:r>
      <w:proofErr w:type="spellStart"/>
      <w:r w:rsidRPr="00915D67">
        <w:rPr>
          <w:rFonts w:ascii="Times New Roman" w:hAnsi="Times New Roman" w:cs="Times New Roman"/>
          <w:i/>
          <w:iCs/>
          <w:sz w:val="24"/>
          <w:szCs w:val="24"/>
        </w:rPr>
        <w:t>Autonomous</w:t>
      </w:r>
      <w:proofErr w:type="spellEnd"/>
      <w:r w:rsidRPr="00915D67">
        <w:rPr>
          <w:rFonts w:ascii="Times New Roman" w:hAnsi="Times New Roman" w:cs="Times New Roman"/>
          <w:i/>
          <w:iCs/>
          <w:sz w:val="24"/>
          <w:szCs w:val="24"/>
        </w:rPr>
        <w:t xml:space="preserve"> </w:t>
      </w:r>
      <w:proofErr w:type="spellStart"/>
      <w:r w:rsidRPr="00915D67">
        <w:rPr>
          <w:rFonts w:ascii="Times New Roman" w:hAnsi="Times New Roman" w:cs="Times New Roman"/>
          <w:i/>
          <w:iCs/>
          <w:sz w:val="24"/>
          <w:szCs w:val="24"/>
        </w:rPr>
        <w:t>Weapon</w:t>
      </w:r>
      <w:proofErr w:type="spellEnd"/>
      <w:r w:rsidRPr="00915D67">
        <w:rPr>
          <w:rFonts w:ascii="Times New Roman" w:hAnsi="Times New Roman" w:cs="Times New Roman"/>
          <w:i/>
          <w:iCs/>
          <w:sz w:val="24"/>
          <w:szCs w:val="24"/>
        </w:rPr>
        <w:t xml:space="preserve"> Systems</w:t>
      </w:r>
      <w:r w:rsidRPr="00013A16">
        <w:rPr>
          <w:rFonts w:ascii="Times New Roman" w:hAnsi="Times New Roman" w:cs="Times New Roman"/>
          <w:sz w:val="24"/>
          <w:szCs w:val="24"/>
        </w:rPr>
        <w:t>)</w:t>
      </w:r>
      <w:r>
        <w:rPr>
          <w:rFonts w:ascii="Times New Roman" w:hAnsi="Times New Roman" w:cs="Times New Roman"/>
          <w:sz w:val="24"/>
          <w:szCs w:val="24"/>
        </w:rPr>
        <w:t xml:space="preserve"> </w:t>
      </w:r>
      <w:r w:rsidRPr="00013A16">
        <w:rPr>
          <w:rFonts w:ascii="Times New Roman" w:hAnsi="Times New Roman" w:cs="Times New Roman"/>
          <w:sz w:val="24"/>
          <w:szCs w:val="24"/>
        </w:rPr>
        <w:t xml:space="preserve">pongono </w:t>
      </w:r>
      <w:r>
        <w:rPr>
          <w:rFonts w:ascii="Times New Roman" w:hAnsi="Times New Roman" w:cs="Times New Roman"/>
          <w:sz w:val="24"/>
          <w:szCs w:val="24"/>
        </w:rPr>
        <w:t xml:space="preserve">una </w:t>
      </w:r>
      <w:r w:rsidRPr="00013A16">
        <w:rPr>
          <w:rFonts w:ascii="Times New Roman" w:hAnsi="Times New Roman" w:cs="Times New Roman"/>
          <w:sz w:val="24"/>
          <w:szCs w:val="24"/>
        </w:rPr>
        <w:t xml:space="preserve">serie </w:t>
      </w:r>
      <w:r>
        <w:rPr>
          <w:rFonts w:ascii="Times New Roman" w:hAnsi="Times New Roman" w:cs="Times New Roman"/>
          <w:sz w:val="24"/>
          <w:szCs w:val="24"/>
        </w:rPr>
        <w:t>di problemi</w:t>
      </w:r>
      <w:r w:rsidRPr="00013A16">
        <w:rPr>
          <w:rFonts w:ascii="Times New Roman" w:hAnsi="Times New Roman" w:cs="Times New Roman"/>
          <w:sz w:val="24"/>
          <w:szCs w:val="24"/>
        </w:rPr>
        <w:t xml:space="preserve"> etic</w:t>
      </w:r>
      <w:r>
        <w:rPr>
          <w:rFonts w:ascii="Times New Roman" w:hAnsi="Times New Roman" w:cs="Times New Roman"/>
          <w:sz w:val="24"/>
          <w:szCs w:val="24"/>
        </w:rPr>
        <w:t>i</w:t>
      </w:r>
      <w:r w:rsidRPr="00013A16">
        <w:rPr>
          <w:rFonts w:ascii="Times New Roman" w:hAnsi="Times New Roman" w:cs="Times New Roman"/>
          <w:sz w:val="24"/>
          <w:szCs w:val="24"/>
        </w:rPr>
        <w:t xml:space="preserve"> e legali e hanno perciò portato il Vaticano a soffermarsi sulla necessità di lanciare un messaggio importante </w:t>
      </w:r>
      <w:r>
        <w:rPr>
          <w:rFonts w:ascii="Times New Roman" w:hAnsi="Times New Roman" w:cs="Times New Roman"/>
          <w:sz w:val="24"/>
          <w:szCs w:val="24"/>
        </w:rPr>
        <w:t>«</w:t>
      </w:r>
      <w:r w:rsidRPr="00915D67">
        <w:rPr>
          <w:rFonts w:ascii="Times New Roman" w:hAnsi="Times New Roman" w:cs="Times New Roman"/>
          <w:i/>
          <w:iCs/>
          <w:sz w:val="24"/>
          <w:szCs w:val="24"/>
        </w:rPr>
        <w:t>verso il disarmo generale e completo sotto un rigoroso ed efficace controllo internazionale</w:t>
      </w:r>
      <w:r>
        <w:rPr>
          <w:rFonts w:ascii="Times New Roman" w:hAnsi="Times New Roman" w:cs="Times New Roman"/>
          <w:sz w:val="24"/>
          <w:szCs w:val="24"/>
        </w:rPr>
        <w:t>»</w:t>
      </w:r>
      <w:r w:rsidRPr="00013A16">
        <w:rPr>
          <w:rFonts w:ascii="Times New Roman" w:hAnsi="Times New Roman" w:cs="Times New Roman"/>
          <w:sz w:val="24"/>
          <w:szCs w:val="24"/>
        </w:rPr>
        <w:t xml:space="preserve">, con la necessità di </w:t>
      </w:r>
      <w:r>
        <w:rPr>
          <w:rFonts w:ascii="Times New Roman" w:hAnsi="Times New Roman" w:cs="Times New Roman"/>
          <w:sz w:val="24"/>
          <w:szCs w:val="24"/>
        </w:rPr>
        <w:t>«</w:t>
      </w:r>
      <w:r w:rsidRPr="00915D67">
        <w:rPr>
          <w:rFonts w:ascii="Times New Roman" w:hAnsi="Times New Roman" w:cs="Times New Roman"/>
          <w:i/>
          <w:iCs/>
          <w:sz w:val="24"/>
          <w:szCs w:val="24"/>
        </w:rPr>
        <w:t>continuare la codificazione e lo sviluppo progressivo delle regole del diritto internazionale applicabili nei conflitti armati</w:t>
      </w:r>
      <w:r>
        <w:rPr>
          <w:rFonts w:ascii="Times New Roman" w:hAnsi="Times New Roman" w:cs="Times New Roman"/>
          <w:sz w:val="24"/>
          <w:szCs w:val="24"/>
        </w:rPr>
        <w:t>».</w:t>
      </w:r>
      <w:r w:rsidRPr="00013A16">
        <w:rPr>
          <w:rFonts w:ascii="Times New Roman" w:hAnsi="Times New Roman" w:cs="Times New Roman"/>
          <w:sz w:val="24"/>
          <w:szCs w:val="24"/>
        </w:rPr>
        <w:t xml:space="preserve"> </w:t>
      </w:r>
      <w:r>
        <w:rPr>
          <w:rFonts w:ascii="Times New Roman" w:hAnsi="Times New Roman" w:cs="Times New Roman"/>
          <w:sz w:val="24"/>
          <w:szCs w:val="24"/>
        </w:rPr>
        <w:t>Gli esseri umani devono supervisionare le macchine</w:t>
      </w:r>
      <w:r w:rsidRPr="00013A16">
        <w:rPr>
          <w:rFonts w:ascii="Times New Roman" w:hAnsi="Times New Roman" w:cs="Times New Roman"/>
          <w:sz w:val="24"/>
          <w:szCs w:val="24"/>
        </w:rPr>
        <w:t xml:space="preserve"> perché solo </w:t>
      </w:r>
      <w:r>
        <w:rPr>
          <w:rFonts w:ascii="Times New Roman" w:hAnsi="Times New Roman" w:cs="Times New Roman"/>
          <w:sz w:val="24"/>
          <w:szCs w:val="24"/>
        </w:rPr>
        <w:t>loro possono effettivamente</w:t>
      </w:r>
      <w:r w:rsidRPr="00013A16">
        <w:rPr>
          <w:rFonts w:ascii="Times New Roman" w:hAnsi="Times New Roman" w:cs="Times New Roman"/>
          <w:sz w:val="24"/>
          <w:szCs w:val="24"/>
        </w:rPr>
        <w:t xml:space="preserve"> </w:t>
      </w:r>
      <w:r>
        <w:rPr>
          <w:rFonts w:ascii="Times New Roman" w:hAnsi="Times New Roman" w:cs="Times New Roman"/>
          <w:sz w:val="24"/>
          <w:szCs w:val="24"/>
        </w:rPr>
        <w:t>pre</w:t>
      </w:r>
      <w:r w:rsidRPr="00013A16">
        <w:rPr>
          <w:rFonts w:ascii="Times New Roman" w:hAnsi="Times New Roman" w:cs="Times New Roman"/>
          <w:sz w:val="24"/>
          <w:szCs w:val="24"/>
        </w:rPr>
        <w:t>vedere i risultati delle loro azioni</w:t>
      </w:r>
      <w:r>
        <w:rPr>
          <w:rFonts w:ascii="Times New Roman" w:hAnsi="Times New Roman" w:cs="Times New Roman"/>
          <w:sz w:val="24"/>
          <w:szCs w:val="24"/>
        </w:rPr>
        <w:t xml:space="preserve">. </w:t>
      </w:r>
      <w:r w:rsidRPr="00013A16">
        <w:rPr>
          <w:rFonts w:ascii="Times New Roman" w:hAnsi="Times New Roman" w:cs="Times New Roman"/>
          <w:sz w:val="24"/>
          <w:szCs w:val="24"/>
        </w:rPr>
        <w:t xml:space="preserve">È necessario introdurre condizioni per garantire il rispetto del diritto internazionale umanitario, per cui dovrebbe essere sempre l’uomo a </w:t>
      </w:r>
      <w:r>
        <w:rPr>
          <w:rFonts w:ascii="Times New Roman" w:hAnsi="Times New Roman" w:cs="Times New Roman"/>
          <w:sz w:val="24"/>
          <w:szCs w:val="24"/>
        </w:rPr>
        <w:t>«</w:t>
      </w:r>
      <w:r w:rsidRPr="00915D67">
        <w:rPr>
          <w:rFonts w:ascii="Times New Roman" w:hAnsi="Times New Roman" w:cs="Times New Roman"/>
          <w:i/>
          <w:iCs/>
          <w:sz w:val="24"/>
          <w:szCs w:val="24"/>
        </w:rPr>
        <w:t>guidare la ricerca, lo sviluppo e l’uso dei sistemi d’arma, anche in assenza di norme giuridiche specifiche, come implica la “clausola Martens”</w:t>
      </w:r>
      <w:r>
        <w:rPr>
          <w:rFonts w:ascii="Times New Roman" w:hAnsi="Times New Roman" w:cs="Times New Roman"/>
          <w:sz w:val="24"/>
          <w:szCs w:val="24"/>
        </w:rPr>
        <w:t xml:space="preserve">» </w:t>
      </w:r>
      <w:r w:rsidRPr="00013A16">
        <w:rPr>
          <w:rFonts w:ascii="Times New Roman" w:hAnsi="Times New Roman" w:cs="Times New Roman"/>
          <w:sz w:val="24"/>
          <w:szCs w:val="24"/>
        </w:rPr>
        <w:t>(si tratta della norma secondo cui le persone civili e i combattenti in un conflitto sono protetti dai diritti in uso al momento e nel luogo in questione e dai principi umanitari dettati dalla coscienza pubblica). Secondo il Vaticano</w:t>
      </w:r>
      <w:r>
        <w:rPr>
          <w:rFonts w:ascii="Times New Roman" w:hAnsi="Times New Roman" w:cs="Times New Roman"/>
          <w:sz w:val="24"/>
          <w:szCs w:val="24"/>
        </w:rPr>
        <w:t>,</w:t>
      </w:r>
      <w:r w:rsidRPr="00013A16">
        <w:rPr>
          <w:rFonts w:ascii="Times New Roman" w:hAnsi="Times New Roman" w:cs="Times New Roman"/>
          <w:sz w:val="24"/>
          <w:szCs w:val="24"/>
        </w:rPr>
        <w:t xml:space="preserve"> bisognerebbe creare un’organizzazione internazionale per l’IA affinché tutti gli Stati partecipino allo scambio di informazioni scientifiche e tecnologiche </w:t>
      </w:r>
      <w:r>
        <w:rPr>
          <w:rFonts w:ascii="Times New Roman" w:hAnsi="Times New Roman" w:cs="Times New Roman"/>
          <w:sz w:val="24"/>
          <w:szCs w:val="24"/>
        </w:rPr>
        <w:t>«</w:t>
      </w:r>
      <w:r w:rsidRPr="00915D67">
        <w:rPr>
          <w:rFonts w:ascii="Times New Roman" w:hAnsi="Times New Roman" w:cs="Times New Roman"/>
          <w:i/>
          <w:iCs/>
          <w:sz w:val="24"/>
          <w:szCs w:val="24"/>
        </w:rPr>
        <w:t>per usi pacifici e per il bene comune di tutta la famiglia umana</w:t>
      </w:r>
      <w:r>
        <w:rPr>
          <w:rFonts w:ascii="Times New Roman" w:hAnsi="Times New Roman" w:cs="Times New Roman"/>
          <w:sz w:val="24"/>
          <w:szCs w:val="24"/>
        </w:rPr>
        <w:t>»</w:t>
      </w:r>
      <w:r w:rsidRPr="00013A16">
        <w:rPr>
          <w:rFonts w:ascii="Times New Roman" w:hAnsi="Times New Roman" w:cs="Times New Roman"/>
          <w:sz w:val="24"/>
          <w:szCs w:val="24"/>
        </w:rPr>
        <w:t xml:space="preserve">. V. </w:t>
      </w:r>
      <w:hyperlink r:id="rId11" w:history="1">
        <w:r w:rsidRPr="005A4A5D">
          <w:rPr>
            <w:rStyle w:val="Collegamentoipertestuale"/>
            <w:rFonts w:ascii="Times New Roman" w:hAnsi="Times New Roman" w:cs="Times New Roman"/>
            <w:sz w:val="24"/>
            <w:szCs w:val="24"/>
          </w:rPr>
          <w:t>https://www.vaticannews.va/it/vaticano/news/2021-12/santa-sede-onu-ginevra-putzer-ente-uso-intelligenza-artificiale.html</w:t>
        </w:r>
      </w:hyperlink>
      <w:r>
        <w:rPr>
          <w:rFonts w:ascii="Times New Roman" w:hAnsi="Times New Roman" w:cs="Times New Roman"/>
          <w:sz w:val="24"/>
          <w:szCs w:val="24"/>
        </w:rPr>
        <w:t>.</w:t>
      </w:r>
    </w:p>
  </w:footnote>
  <w:footnote w:id="79">
    <w:p w14:paraId="69C66D44" w14:textId="3097D686" w:rsidR="000463A6" w:rsidRPr="00C83A8B" w:rsidRDefault="000463A6" w:rsidP="00C83A8B">
      <w:pPr>
        <w:pStyle w:val="Testonotaapidipagina"/>
        <w:jc w:val="both"/>
        <w:rPr>
          <w:rFonts w:ascii="Times New Roman" w:hAnsi="Times New Roman" w:cs="Times New Roman"/>
          <w:sz w:val="24"/>
          <w:szCs w:val="24"/>
        </w:rPr>
      </w:pPr>
      <w:r w:rsidRPr="00C83A8B">
        <w:rPr>
          <w:rStyle w:val="Rimandonotaapidipagina"/>
          <w:rFonts w:ascii="Times New Roman" w:hAnsi="Times New Roman" w:cs="Times New Roman"/>
          <w:sz w:val="24"/>
          <w:szCs w:val="24"/>
        </w:rPr>
        <w:footnoteRef/>
      </w:r>
      <w:r w:rsidRPr="00C83A8B">
        <w:rPr>
          <w:rFonts w:ascii="Times New Roman" w:hAnsi="Times New Roman" w:cs="Times New Roman"/>
          <w:sz w:val="24"/>
          <w:szCs w:val="24"/>
        </w:rPr>
        <w:t xml:space="preserve"> Da un recente </w:t>
      </w:r>
      <w:r w:rsidRPr="00C83A8B">
        <w:rPr>
          <w:rFonts w:ascii="Times New Roman" w:hAnsi="Times New Roman" w:cs="Times New Roman"/>
          <w:i/>
          <w:iCs/>
          <w:sz w:val="24"/>
          <w:szCs w:val="24"/>
        </w:rPr>
        <w:t>report</w:t>
      </w:r>
      <w:r w:rsidRPr="00C83A8B">
        <w:rPr>
          <w:rFonts w:ascii="Times New Roman" w:hAnsi="Times New Roman" w:cs="Times New Roman"/>
          <w:sz w:val="24"/>
          <w:szCs w:val="24"/>
        </w:rPr>
        <w:t xml:space="preserve"> del CNR (Consiglio nazionale delle ricerche) sulla IA («</w:t>
      </w:r>
      <w:r w:rsidRPr="00C83A8B">
        <w:rPr>
          <w:rFonts w:ascii="Times New Roman" w:hAnsi="Times New Roman" w:cs="Times New Roman"/>
          <w:i/>
          <w:iCs/>
          <w:sz w:val="24"/>
          <w:szCs w:val="24"/>
        </w:rPr>
        <w:t>L’intelligenza artificiale per lo sviluppo sostenibile</w:t>
      </w:r>
      <w:r w:rsidRPr="00C83A8B">
        <w:rPr>
          <w:rFonts w:ascii="Times New Roman" w:hAnsi="Times New Roman" w:cs="Times New Roman"/>
          <w:sz w:val="24"/>
          <w:szCs w:val="24"/>
        </w:rPr>
        <w:t>») è emersa la volontà della Cina di attuare una strategia volta ad aumentare la sua potenza tramite il settore delle tecnologie IA. «</w:t>
      </w:r>
      <w:r w:rsidRPr="00C83A8B">
        <w:rPr>
          <w:rFonts w:ascii="Times New Roman" w:hAnsi="Times New Roman" w:cs="Times New Roman"/>
          <w:i/>
          <w:iCs/>
          <w:sz w:val="24"/>
          <w:szCs w:val="24"/>
        </w:rPr>
        <w:t>Le nazioni più avanzate nel campo dell’</w:t>
      </w:r>
      <w:proofErr w:type="spellStart"/>
      <w:r w:rsidRPr="00C83A8B">
        <w:rPr>
          <w:rFonts w:ascii="Times New Roman" w:hAnsi="Times New Roman" w:cs="Times New Roman"/>
          <w:i/>
          <w:iCs/>
          <w:sz w:val="24"/>
          <w:szCs w:val="24"/>
        </w:rPr>
        <w:t>I.a</w:t>
      </w:r>
      <w:proofErr w:type="spellEnd"/>
      <w:r w:rsidRPr="00C83A8B">
        <w:rPr>
          <w:rFonts w:ascii="Times New Roman" w:hAnsi="Times New Roman" w:cs="Times New Roman"/>
          <w:i/>
          <w:iCs/>
          <w:sz w:val="24"/>
          <w:szCs w:val="24"/>
        </w:rPr>
        <w:t>.</w:t>
      </w:r>
      <w:r w:rsidRPr="00C83A8B">
        <w:rPr>
          <w:rFonts w:ascii="Times New Roman" w:hAnsi="Times New Roman" w:cs="Times New Roman"/>
          <w:sz w:val="24"/>
          <w:szCs w:val="24"/>
        </w:rPr>
        <w:t xml:space="preserve">» – si legge nel </w:t>
      </w:r>
      <w:r w:rsidRPr="00C83A8B">
        <w:rPr>
          <w:rFonts w:ascii="Times New Roman" w:hAnsi="Times New Roman" w:cs="Times New Roman"/>
          <w:i/>
          <w:iCs/>
          <w:sz w:val="24"/>
          <w:szCs w:val="24"/>
        </w:rPr>
        <w:t>dossier</w:t>
      </w:r>
      <w:r w:rsidRPr="00C83A8B">
        <w:rPr>
          <w:rFonts w:ascii="Times New Roman" w:hAnsi="Times New Roman" w:cs="Times New Roman"/>
          <w:sz w:val="24"/>
          <w:szCs w:val="24"/>
        </w:rPr>
        <w:t xml:space="preserve"> – «</w:t>
      </w:r>
      <w:r w:rsidRPr="00C83A8B">
        <w:rPr>
          <w:rFonts w:ascii="Times New Roman" w:hAnsi="Times New Roman" w:cs="Times New Roman"/>
          <w:i/>
          <w:iCs/>
          <w:sz w:val="24"/>
          <w:szCs w:val="24"/>
        </w:rPr>
        <w:t>si trovano in Europa Occidentale e nel Nord America</w:t>
      </w:r>
      <w:r>
        <w:rPr>
          <w:rFonts w:ascii="Times New Roman" w:hAnsi="Times New Roman" w:cs="Times New Roman"/>
          <w:i/>
          <w:iCs/>
          <w:sz w:val="24"/>
          <w:szCs w:val="24"/>
        </w:rPr>
        <w:t>;</w:t>
      </w:r>
      <w:r w:rsidRPr="00C83A8B">
        <w:rPr>
          <w:rFonts w:ascii="Times New Roman" w:hAnsi="Times New Roman" w:cs="Times New Roman"/>
          <w:i/>
          <w:iCs/>
          <w:sz w:val="24"/>
          <w:szCs w:val="24"/>
        </w:rPr>
        <w:t xml:space="preserve"> gli Stati Uniti la fanno da padrone in virtù soprattutto della </w:t>
      </w:r>
      <w:proofErr w:type="spellStart"/>
      <w:r w:rsidRPr="00C83A8B">
        <w:rPr>
          <w:rFonts w:ascii="Times New Roman" w:hAnsi="Times New Roman" w:cs="Times New Roman"/>
          <w:i/>
          <w:iCs/>
          <w:sz w:val="24"/>
          <w:szCs w:val="24"/>
        </w:rPr>
        <w:t>Silicon</w:t>
      </w:r>
      <w:proofErr w:type="spellEnd"/>
      <w:r w:rsidRPr="00C83A8B">
        <w:rPr>
          <w:rFonts w:ascii="Times New Roman" w:hAnsi="Times New Roman" w:cs="Times New Roman"/>
          <w:i/>
          <w:iCs/>
          <w:sz w:val="24"/>
          <w:szCs w:val="24"/>
        </w:rPr>
        <w:t xml:space="preserve"> Valley</w:t>
      </w:r>
      <w:r w:rsidRPr="00C83A8B">
        <w:rPr>
          <w:rFonts w:ascii="Times New Roman" w:hAnsi="Times New Roman" w:cs="Times New Roman"/>
          <w:sz w:val="24"/>
          <w:szCs w:val="24"/>
        </w:rPr>
        <w:t>». L’Europa occidentale, dove non c’è «</w:t>
      </w:r>
      <w:r w:rsidRPr="00C83A8B">
        <w:rPr>
          <w:rFonts w:ascii="Times New Roman" w:hAnsi="Times New Roman" w:cs="Times New Roman"/>
          <w:i/>
          <w:iCs/>
          <w:sz w:val="24"/>
          <w:szCs w:val="24"/>
        </w:rPr>
        <w:t xml:space="preserve">ancora alcun </w:t>
      </w:r>
      <w:proofErr w:type="spellStart"/>
      <w:r w:rsidRPr="00C83A8B">
        <w:rPr>
          <w:rFonts w:ascii="Times New Roman" w:hAnsi="Times New Roman" w:cs="Times New Roman"/>
          <w:i/>
          <w:iCs/>
          <w:sz w:val="24"/>
          <w:szCs w:val="24"/>
        </w:rPr>
        <w:t>hub</w:t>
      </w:r>
      <w:proofErr w:type="spellEnd"/>
      <w:r w:rsidRPr="00C83A8B">
        <w:rPr>
          <w:rFonts w:ascii="Times New Roman" w:hAnsi="Times New Roman" w:cs="Times New Roman"/>
          <w:i/>
          <w:iCs/>
          <w:sz w:val="24"/>
          <w:szCs w:val="24"/>
        </w:rPr>
        <w:t xml:space="preserve"> tecnologico alla pari con gli Usa</w:t>
      </w:r>
      <w:r w:rsidRPr="00C83A8B">
        <w:rPr>
          <w:rFonts w:ascii="Times New Roman" w:hAnsi="Times New Roman" w:cs="Times New Roman"/>
          <w:sz w:val="24"/>
          <w:szCs w:val="24"/>
        </w:rPr>
        <w:t>», vi è «</w:t>
      </w:r>
      <w:r w:rsidRPr="00C83A8B">
        <w:rPr>
          <w:rFonts w:ascii="Times New Roman" w:hAnsi="Times New Roman" w:cs="Times New Roman"/>
          <w:i/>
          <w:iCs/>
          <w:sz w:val="24"/>
          <w:szCs w:val="24"/>
        </w:rPr>
        <w:t xml:space="preserve">un’alta concentrazione di strategie nazionali di </w:t>
      </w:r>
      <w:proofErr w:type="spellStart"/>
      <w:r w:rsidRPr="00C83A8B">
        <w:rPr>
          <w:rFonts w:ascii="Times New Roman" w:hAnsi="Times New Roman" w:cs="Times New Roman"/>
          <w:i/>
          <w:iCs/>
          <w:sz w:val="24"/>
          <w:szCs w:val="24"/>
        </w:rPr>
        <w:t>I.a</w:t>
      </w:r>
      <w:proofErr w:type="spellEnd"/>
      <w:r w:rsidRPr="00C83A8B">
        <w:rPr>
          <w:rFonts w:ascii="Times New Roman" w:hAnsi="Times New Roman" w:cs="Times New Roman"/>
          <w:i/>
          <w:iCs/>
          <w:sz w:val="24"/>
          <w:szCs w:val="24"/>
        </w:rPr>
        <w:t>. supportate dalla strategia dell’Unione Europea</w:t>
      </w:r>
      <w:r w:rsidRPr="00C83A8B">
        <w:rPr>
          <w:rFonts w:ascii="Times New Roman" w:hAnsi="Times New Roman" w:cs="Times New Roman"/>
          <w:sz w:val="24"/>
          <w:szCs w:val="24"/>
        </w:rPr>
        <w:t>». D’altronde, il 24 novembre 2021 l’Italia ha adottato il «</w:t>
      </w:r>
      <w:r w:rsidRPr="00C83A8B">
        <w:rPr>
          <w:rFonts w:ascii="Times New Roman" w:hAnsi="Times New Roman" w:cs="Times New Roman"/>
          <w:i/>
          <w:iCs/>
          <w:sz w:val="24"/>
          <w:szCs w:val="24"/>
        </w:rPr>
        <w:t>Programma strategico per l’</w:t>
      </w:r>
      <w:proofErr w:type="spellStart"/>
      <w:r w:rsidRPr="00C83A8B">
        <w:rPr>
          <w:rFonts w:ascii="Times New Roman" w:hAnsi="Times New Roman" w:cs="Times New Roman"/>
          <w:i/>
          <w:iCs/>
          <w:sz w:val="24"/>
          <w:szCs w:val="24"/>
        </w:rPr>
        <w:t>I.a</w:t>
      </w:r>
      <w:proofErr w:type="spellEnd"/>
      <w:r w:rsidRPr="00C83A8B">
        <w:rPr>
          <w:rFonts w:ascii="Times New Roman" w:hAnsi="Times New Roman" w:cs="Times New Roman"/>
          <w:i/>
          <w:iCs/>
          <w:sz w:val="24"/>
          <w:szCs w:val="24"/>
        </w:rPr>
        <w:t>. 2021-2024</w:t>
      </w:r>
      <w:r w:rsidRPr="00C83A8B">
        <w:rPr>
          <w:rFonts w:ascii="Times New Roman" w:hAnsi="Times New Roman" w:cs="Times New Roman"/>
          <w:sz w:val="24"/>
          <w:szCs w:val="24"/>
        </w:rPr>
        <w:t xml:space="preserve">». Nel </w:t>
      </w:r>
      <w:r w:rsidRPr="00C83A8B">
        <w:rPr>
          <w:rFonts w:ascii="Times New Roman" w:hAnsi="Times New Roman" w:cs="Times New Roman"/>
          <w:i/>
          <w:iCs/>
          <w:sz w:val="24"/>
          <w:szCs w:val="24"/>
        </w:rPr>
        <w:t>report</w:t>
      </w:r>
      <w:r w:rsidRPr="00C83A8B">
        <w:rPr>
          <w:rFonts w:ascii="Times New Roman" w:hAnsi="Times New Roman" w:cs="Times New Roman"/>
          <w:sz w:val="24"/>
          <w:szCs w:val="24"/>
        </w:rPr>
        <w:t xml:space="preserve"> si legge anche che «</w:t>
      </w:r>
      <w:r w:rsidRPr="00C83A8B">
        <w:rPr>
          <w:rFonts w:ascii="Times New Roman" w:hAnsi="Times New Roman" w:cs="Times New Roman"/>
          <w:i/>
          <w:iCs/>
          <w:sz w:val="24"/>
          <w:szCs w:val="24"/>
        </w:rPr>
        <w:t>la Cina sta avanzando velocemente grazie a forti investimenti, supporto statale e spregiudicatezza di fondo</w:t>
      </w:r>
      <w:r w:rsidRPr="00C83A8B">
        <w:rPr>
          <w:rFonts w:ascii="Times New Roman" w:hAnsi="Times New Roman" w:cs="Times New Roman"/>
          <w:sz w:val="24"/>
          <w:szCs w:val="24"/>
        </w:rPr>
        <w:t>». Ad esempio, i c.d. unicorni (</w:t>
      </w:r>
      <w:r w:rsidRPr="00C83A8B">
        <w:rPr>
          <w:rFonts w:ascii="Times New Roman" w:hAnsi="Times New Roman" w:cs="Times New Roman"/>
          <w:i/>
          <w:iCs/>
          <w:sz w:val="24"/>
          <w:szCs w:val="24"/>
        </w:rPr>
        <w:t>start-up</w:t>
      </w:r>
      <w:r w:rsidRPr="00C83A8B">
        <w:rPr>
          <w:rFonts w:ascii="Times New Roman" w:hAnsi="Times New Roman" w:cs="Times New Roman"/>
          <w:sz w:val="24"/>
          <w:szCs w:val="24"/>
        </w:rPr>
        <w:t xml:space="preserve"> con almeno un miliardo di dollari o di euro di capitalizzazione) tecnologici negli </w:t>
      </w:r>
      <w:r>
        <w:rPr>
          <w:rFonts w:ascii="Times New Roman" w:hAnsi="Times New Roman" w:cs="Times New Roman"/>
          <w:sz w:val="24"/>
          <w:szCs w:val="24"/>
        </w:rPr>
        <w:t>USA</w:t>
      </w:r>
      <w:r w:rsidRPr="00C83A8B">
        <w:rPr>
          <w:rFonts w:ascii="Times New Roman" w:hAnsi="Times New Roman" w:cs="Times New Roman"/>
          <w:sz w:val="24"/>
          <w:szCs w:val="24"/>
        </w:rPr>
        <w:t xml:space="preserve"> sono 198, e in Cina arrivano a 103. La Cina, nel luglio 2017, ha lanciato il suo «</w:t>
      </w:r>
      <w:r w:rsidRPr="00C83A8B">
        <w:rPr>
          <w:rFonts w:ascii="Times New Roman" w:hAnsi="Times New Roman" w:cs="Times New Roman"/>
          <w:i/>
          <w:iCs/>
          <w:sz w:val="24"/>
          <w:szCs w:val="24"/>
        </w:rPr>
        <w:t>“</w:t>
      </w:r>
      <w:proofErr w:type="spellStart"/>
      <w:r w:rsidRPr="00C83A8B">
        <w:rPr>
          <w:rFonts w:ascii="Times New Roman" w:hAnsi="Times New Roman" w:cs="Times New Roman"/>
          <w:i/>
          <w:iCs/>
          <w:sz w:val="24"/>
          <w:szCs w:val="24"/>
        </w:rPr>
        <w:t>Next</w:t>
      </w:r>
      <w:proofErr w:type="spellEnd"/>
      <w:r w:rsidRPr="00C83A8B">
        <w:rPr>
          <w:rFonts w:ascii="Times New Roman" w:hAnsi="Times New Roman" w:cs="Times New Roman"/>
          <w:i/>
          <w:iCs/>
          <w:sz w:val="24"/>
          <w:szCs w:val="24"/>
        </w:rPr>
        <w:t xml:space="preserve"> Generation </w:t>
      </w:r>
      <w:proofErr w:type="spellStart"/>
      <w:r w:rsidRPr="00C83A8B">
        <w:rPr>
          <w:rFonts w:ascii="Times New Roman" w:hAnsi="Times New Roman" w:cs="Times New Roman"/>
          <w:i/>
          <w:iCs/>
          <w:sz w:val="24"/>
          <w:szCs w:val="24"/>
        </w:rPr>
        <w:t>Artificial</w:t>
      </w:r>
      <w:proofErr w:type="spellEnd"/>
      <w:r w:rsidRPr="00C83A8B">
        <w:rPr>
          <w:rFonts w:ascii="Times New Roman" w:hAnsi="Times New Roman" w:cs="Times New Roman"/>
          <w:i/>
          <w:iCs/>
          <w:sz w:val="24"/>
          <w:szCs w:val="24"/>
        </w:rPr>
        <w:t xml:space="preserve"> Intelligence Development Plan</w:t>
      </w:r>
      <w:r>
        <w:rPr>
          <w:rFonts w:ascii="Times New Roman" w:hAnsi="Times New Roman" w:cs="Times New Roman"/>
          <w:i/>
          <w:iCs/>
          <w:sz w:val="24"/>
          <w:szCs w:val="24"/>
        </w:rPr>
        <w:t>”</w:t>
      </w:r>
      <w:r w:rsidRPr="00C83A8B">
        <w:rPr>
          <w:rFonts w:ascii="Times New Roman" w:hAnsi="Times New Roman" w:cs="Times New Roman"/>
          <w:i/>
          <w:iCs/>
          <w:sz w:val="24"/>
          <w:szCs w:val="24"/>
        </w:rPr>
        <w:t>, sfruttando al massimo le sue capacità attraverso dei piani concreti e rapidi, avvantaggiati dall’enorme quantità di dati a disposizione</w:t>
      </w:r>
      <w:r w:rsidRPr="00C83A8B">
        <w:rPr>
          <w:rFonts w:ascii="Times New Roman" w:hAnsi="Times New Roman" w:cs="Times New Roman"/>
          <w:sz w:val="24"/>
          <w:szCs w:val="24"/>
        </w:rPr>
        <w:t>». Tuttavia, le acquisizioni cinesi di aziende europee hanno provocato non poca preoccupazione: la nazione è decisa a diventare un «</w:t>
      </w:r>
      <w:r w:rsidRPr="00C83A8B">
        <w:rPr>
          <w:rFonts w:ascii="Times New Roman" w:hAnsi="Times New Roman" w:cs="Times New Roman"/>
          <w:i/>
          <w:iCs/>
          <w:sz w:val="24"/>
          <w:szCs w:val="24"/>
        </w:rPr>
        <w:t>leader mondiale nella definizione di norme etiche e standard per l’</w:t>
      </w:r>
      <w:proofErr w:type="spellStart"/>
      <w:r w:rsidRPr="00C83A8B">
        <w:rPr>
          <w:rFonts w:ascii="Times New Roman" w:hAnsi="Times New Roman" w:cs="Times New Roman"/>
          <w:i/>
          <w:iCs/>
          <w:sz w:val="24"/>
          <w:szCs w:val="24"/>
        </w:rPr>
        <w:t>I.a</w:t>
      </w:r>
      <w:proofErr w:type="spellEnd"/>
      <w:r w:rsidRPr="00C83A8B">
        <w:rPr>
          <w:rFonts w:ascii="Times New Roman" w:hAnsi="Times New Roman" w:cs="Times New Roman"/>
          <w:sz w:val="24"/>
          <w:szCs w:val="24"/>
        </w:rPr>
        <w:t xml:space="preserve">.», ma il problema è che in Cina non ci sono precisi regolamenti per tutelare i dati personali, e c’è il </w:t>
      </w:r>
      <w:r>
        <w:rPr>
          <w:rFonts w:ascii="Times New Roman" w:hAnsi="Times New Roman" w:cs="Times New Roman"/>
          <w:sz w:val="24"/>
          <w:szCs w:val="24"/>
        </w:rPr>
        <w:t xml:space="preserve">serio </w:t>
      </w:r>
      <w:r w:rsidRPr="00C83A8B">
        <w:rPr>
          <w:rFonts w:ascii="Times New Roman" w:hAnsi="Times New Roman" w:cs="Times New Roman"/>
          <w:sz w:val="24"/>
          <w:szCs w:val="24"/>
        </w:rPr>
        <w:t>pericolo di mettere a rischio la privacy di tantissimi utenti, dal momento che il governo di Pechino «</w:t>
      </w:r>
      <w:r w:rsidRPr="00C83A8B">
        <w:rPr>
          <w:rFonts w:ascii="Times New Roman" w:hAnsi="Times New Roman" w:cs="Times New Roman"/>
          <w:i/>
          <w:iCs/>
          <w:sz w:val="24"/>
          <w:szCs w:val="24"/>
        </w:rPr>
        <w:t>ha a disposizione un quantitativo di dati spropositato</w:t>
      </w:r>
      <w:r w:rsidRPr="00C83A8B">
        <w:rPr>
          <w:rFonts w:ascii="Times New Roman" w:hAnsi="Times New Roman" w:cs="Times New Roman"/>
          <w:sz w:val="24"/>
          <w:szCs w:val="24"/>
        </w:rPr>
        <w:t xml:space="preserve">», come si legge sul </w:t>
      </w:r>
      <w:r w:rsidRPr="00C83A8B">
        <w:rPr>
          <w:rFonts w:ascii="Times New Roman" w:hAnsi="Times New Roman" w:cs="Times New Roman"/>
          <w:i/>
          <w:iCs/>
          <w:sz w:val="24"/>
          <w:szCs w:val="24"/>
        </w:rPr>
        <w:t>report</w:t>
      </w:r>
      <w:r w:rsidRPr="00C83A8B">
        <w:rPr>
          <w:rFonts w:ascii="Times New Roman" w:hAnsi="Times New Roman" w:cs="Times New Roman"/>
          <w:sz w:val="24"/>
          <w:szCs w:val="24"/>
        </w:rPr>
        <w:t>.</w:t>
      </w:r>
    </w:p>
  </w:footnote>
  <w:footnote w:id="80">
    <w:p w14:paraId="6408E802" w14:textId="2812B751" w:rsidR="000463A6" w:rsidRPr="009859CF" w:rsidRDefault="000463A6" w:rsidP="00EB1B5B">
      <w:pPr>
        <w:pStyle w:val="Testonotaapidipagina"/>
        <w:jc w:val="both"/>
        <w:rPr>
          <w:rFonts w:ascii="Times New Roman" w:hAnsi="Times New Roman" w:cs="Times New Roman"/>
          <w:sz w:val="24"/>
          <w:szCs w:val="24"/>
        </w:rPr>
      </w:pPr>
      <w:r w:rsidRPr="00DB60C4">
        <w:rPr>
          <w:rStyle w:val="Rimandonotaapidipagina"/>
          <w:rFonts w:ascii="Times New Roman" w:hAnsi="Times New Roman" w:cs="Times New Roman"/>
          <w:sz w:val="24"/>
          <w:szCs w:val="24"/>
        </w:rPr>
        <w:footnoteRef/>
      </w:r>
      <w:r w:rsidRPr="00DB60C4">
        <w:rPr>
          <w:rFonts w:ascii="Times New Roman" w:hAnsi="Times New Roman" w:cs="Times New Roman"/>
          <w:sz w:val="24"/>
          <w:szCs w:val="24"/>
        </w:rPr>
        <w:t xml:space="preserve"> </w:t>
      </w:r>
      <w:r>
        <w:rPr>
          <w:rFonts w:ascii="Times New Roman" w:hAnsi="Times New Roman" w:cs="Times New Roman"/>
          <w:sz w:val="24"/>
          <w:szCs w:val="24"/>
        </w:rPr>
        <w:t xml:space="preserve">V. </w:t>
      </w:r>
      <w:r w:rsidRPr="00FA4D2B">
        <w:rPr>
          <w:rFonts w:ascii="Times New Roman" w:hAnsi="Times New Roman" w:cs="Times New Roman"/>
          <w:smallCaps/>
          <w:sz w:val="24"/>
          <w:szCs w:val="24"/>
        </w:rPr>
        <w:t>A. Crea</w:t>
      </w:r>
      <w:r>
        <w:rPr>
          <w:rFonts w:ascii="Times New Roman" w:hAnsi="Times New Roman" w:cs="Times New Roman"/>
          <w:sz w:val="24"/>
          <w:szCs w:val="24"/>
        </w:rPr>
        <w:t>, “</w:t>
      </w:r>
      <w:r w:rsidRPr="00FA4D2B">
        <w:rPr>
          <w:rFonts w:ascii="Times New Roman" w:hAnsi="Times New Roman" w:cs="Times New Roman"/>
          <w:i/>
          <w:iCs/>
          <w:sz w:val="24"/>
          <w:szCs w:val="24"/>
        </w:rPr>
        <w:t>L’Intelligenza Artificiale sta rivelando una biologia sconosciuta</w:t>
      </w:r>
      <w:r>
        <w:rPr>
          <w:rFonts w:ascii="Times New Roman" w:hAnsi="Times New Roman" w:cs="Times New Roman"/>
          <w:sz w:val="24"/>
          <w:szCs w:val="24"/>
        </w:rPr>
        <w:t>”</w:t>
      </w:r>
      <w:r w:rsidRPr="00DB60C4">
        <w:rPr>
          <w:rFonts w:ascii="Times New Roman" w:hAnsi="Times New Roman" w:cs="Times New Roman"/>
          <w:sz w:val="24"/>
          <w:szCs w:val="24"/>
        </w:rPr>
        <w:t>,</w:t>
      </w:r>
      <w:r>
        <w:rPr>
          <w:rFonts w:ascii="Times New Roman" w:hAnsi="Times New Roman" w:cs="Times New Roman"/>
          <w:sz w:val="24"/>
          <w:szCs w:val="24"/>
        </w:rPr>
        <w:t xml:space="preserve"> su </w:t>
      </w:r>
      <w:hyperlink r:id="rId12" w:history="1">
        <w:r w:rsidRPr="001C39EE">
          <w:rPr>
            <w:rStyle w:val="Collegamentoipertestuale"/>
            <w:rFonts w:ascii="Times New Roman" w:hAnsi="Times New Roman" w:cs="Times New Roman"/>
            <w:sz w:val="24"/>
            <w:szCs w:val="24"/>
          </w:rPr>
          <w:t>https://www.tomshw.it/scienze/lintelligenza-artificiale-sta-rivelando-una-biologia-sconosciuta/</w:t>
        </w:r>
      </w:hyperlink>
      <w:r w:rsidRPr="00DB60C4">
        <w:rPr>
          <w:rFonts w:ascii="Times New Roman" w:hAnsi="Times New Roman" w:cs="Times New Roman"/>
          <w:sz w:val="24"/>
          <w:szCs w:val="24"/>
        </w:rPr>
        <w:t>.</w:t>
      </w:r>
      <w:r>
        <w:rPr>
          <w:rFonts w:ascii="Times New Roman" w:hAnsi="Times New Roman" w:cs="Times New Roman"/>
          <w:sz w:val="24"/>
          <w:szCs w:val="24"/>
        </w:rPr>
        <w:t xml:space="preserve"> </w:t>
      </w:r>
      <w:r w:rsidRPr="00035967">
        <w:rPr>
          <w:rFonts w:ascii="Times New Roman" w:hAnsi="Times New Roman" w:cs="Times New Roman"/>
          <w:sz w:val="24"/>
          <w:szCs w:val="24"/>
        </w:rPr>
        <w:t>Come riportato nell’articolo,</w:t>
      </w:r>
      <w:r>
        <w:rPr>
          <w:rFonts w:ascii="Times New Roman" w:hAnsi="Times New Roman" w:cs="Times New Roman"/>
          <w:sz w:val="24"/>
          <w:szCs w:val="24"/>
        </w:rPr>
        <w:t xml:space="preserve"> in </w:t>
      </w:r>
      <w:r w:rsidRPr="00035967">
        <w:rPr>
          <w:rFonts w:ascii="Times New Roman" w:hAnsi="Times New Roman" w:cs="Times New Roman"/>
          <w:sz w:val="24"/>
          <w:szCs w:val="24"/>
        </w:rPr>
        <w:t>un campo estraneo al</w:t>
      </w:r>
      <w:r>
        <w:rPr>
          <w:rFonts w:ascii="Times New Roman" w:hAnsi="Times New Roman" w:cs="Times New Roman"/>
          <w:sz w:val="24"/>
          <w:szCs w:val="24"/>
        </w:rPr>
        <w:t xml:space="preserve"> </w:t>
      </w:r>
      <w:r w:rsidRPr="00035967">
        <w:rPr>
          <w:rFonts w:ascii="Times New Roman" w:hAnsi="Times New Roman" w:cs="Times New Roman"/>
          <w:sz w:val="24"/>
          <w:szCs w:val="24"/>
        </w:rPr>
        <w:t>diritto</w:t>
      </w:r>
      <w:r>
        <w:rPr>
          <w:rFonts w:ascii="Times New Roman" w:hAnsi="Times New Roman" w:cs="Times New Roman"/>
          <w:sz w:val="24"/>
          <w:szCs w:val="24"/>
        </w:rPr>
        <w:t>, è stato constatato che «</w:t>
      </w:r>
      <w:r w:rsidRPr="00772F74">
        <w:rPr>
          <w:rFonts w:ascii="Times New Roman" w:hAnsi="Times New Roman" w:cs="Times New Roman"/>
          <w:i/>
          <w:iCs/>
          <w:sz w:val="24"/>
          <w:szCs w:val="24"/>
        </w:rPr>
        <w:t>la maggior parte delle malattie umane può essere ricondotta a parti malfunzionanti di una cellula, un tumore è in grado di crescere perché un gene non è stato accuratamente tradotto in una particolare proteina, o una malattia metabolica sorge perché i mitocondri non si attivano correttamente, per esempio</w:t>
      </w:r>
      <w:r>
        <w:rPr>
          <w:rFonts w:ascii="Times New Roman" w:hAnsi="Times New Roman" w:cs="Times New Roman"/>
          <w:sz w:val="24"/>
          <w:szCs w:val="24"/>
        </w:rPr>
        <w:t>». Unendo insieme</w:t>
      </w:r>
      <w:r w:rsidRPr="00035967">
        <w:rPr>
          <w:rFonts w:ascii="Times New Roman" w:hAnsi="Times New Roman" w:cs="Times New Roman"/>
          <w:sz w:val="24"/>
          <w:szCs w:val="24"/>
        </w:rPr>
        <w:t xml:space="preserve"> microscopia, tecniche di biochimica e </w:t>
      </w:r>
      <w:r>
        <w:rPr>
          <w:rFonts w:ascii="Times New Roman" w:hAnsi="Times New Roman" w:cs="Times New Roman"/>
          <w:sz w:val="24"/>
          <w:szCs w:val="24"/>
        </w:rPr>
        <w:t>IA</w:t>
      </w:r>
      <w:r w:rsidRPr="00035967">
        <w:rPr>
          <w:rFonts w:ascii="Times New Roman" w:hAnsi="Times New Roman" w:cs="Times New Roman"/>
          <w:sz w:val="24"/>
          <w:szCs w:val="24"/>
        </w:rPr>
        <w:t xml:space="preserve">, </w:t>
      </w:r>
      <w:r>
        <w:rPr>
          <w:rFonts w:ascii="Times New Roman" w:hAnsi="Times New Roman" w:cs="Times New Roman"/>
          <w:sz w:val="24"/>
          <w:szCs w:val="24"/>
        </w:rPr>
        <w:t>alcuni</w:t>
      </w:r>
      <w:r w:rsidRPr="00035967">
        <w:rPr>
          <w:rFonts w:ascii="Times New Roman" w:hAnsi="Times New Roman" w:cs="Times New Roman"/>
          <w:sz w:val="24"/>
          <w:szCs w:val="24"/>
        </w:rPr>
        <w:t xml:space="preserve"> ricercatori </w:t>
      </w:r>
      <w:r>
        <w:rPr>
          <w:rFonts w:ascii="Times New Roman" w:hAnsi="Times New Roman" w:cs="Times New Roman"/>
          <w:sz w:val="24"/>
          <w:szCs w:val="24"/>
        </w:rPr>
        <w:t xml:space="preserve">e </w:t>
      </w:r>
      <w:r w:rsidRPr="00035967">
        <w:rPr>
          <w:rFonts w:ascii="Times New Roman" w:hAnsi="Times New Roman" w:cs="Times New Roman"/>
          <w:sz w:val="24"/>
          <w:szCs w:val="24"/>
        </w:rPr>
        <w:t xml:space="preserve">collaboratori della </w:t>
      </w:r>
      <w:proofErr w:type="spellStart"/>
      <w:r w:rsidRPr="00772F74">
        <w:rPr>
          <w:rFonts w:ascii="Times New Roman" w:hAnsi="Times New Roman" w:cs="Times New Roman"/>
          <w:i/>
          <w:iCs/>
          <w:sz w:val="24"/>
          <w:szCs w:val="24"/>
        </w:rPr>
        <w:t>University</w:t>
      </w:r>
      <w:proofErr w:type="spellEnd"/>
      <w:r w:rsidRPr="00772F74">
        <w:rPr>
          <w:rFonts w:ascii="Times New Roman" w:hAnsi="Times New Roman" w:cs="Times New Roman"/>
          <w:i/>
          <w:iCs/>
          <w:sz w:val="24"/>
          <w:szCs w:val="24"/>
        </w:rPr>
        <w:t xml:space="preserve"> of California San Diego School of Medicine</w:t>
      </w:r>
      <w:r w:rsidRPr="00035967">
        <w:rPr>
          <w:rFonts w:ascii="Times New Roman" w:hAnsi="Times New Roman" w:cs="Times New Roman"/>
          <w:sz w:val="24"/>
          <w:szCs w:val="24"/>
        </w:rPr>
        <w:t xml:space="preserve"> hanno </w:t>
      </w:r>
      <w:r>
        <w:rPr>
          <w:rFonts w:ascii="Times New Roman" w:hAnsi="Times New Roman" w:cs="Times New Roman"/>
          <w:sz w:val="24"/>
          <w:szCs w:val="24"/>
        </w:rPr>
        <w:t xml:space="preserve">fatto un grande passo avanti </w:t>
      </w:r>
      <w:r w:rsidRPr="00035967">
        <w:rPr>
          <w:rFonts w:ascii="Times New Roman" w:hAnsi="Times New Roman" w:cs="Times New Roman"/>
          <w:sz w:val="24"/>
          <w:szCs w:val="24"/>
        </w:rPr>
        <w:t>nella comprensione delle cellule umane.</w:t>
      </w:r>
      <w:r>
        <w:rPr>
          <w:rFonts w:ascii="Times New Roman" w:hAnsi="Times New Roman" w:cs="Times New Roman"/>
          <w:sz w:val="24"/>
          <w:szCs w:val="24"/>
        </w:rPr>
        <w:t xml:space="preserve"> La </w:t>
      </w:r>
      <w:r w:rsidRPr="00BA3C92">
        <w:rPr>
          <w:rFonts w:ascii="Times New Roman" w:hAnsi="Times New Roman" w:cs="Times New Roman"/>
          <w:sz w:val="24"/>
          <w:szCs w:val="24"/>
        </w:rPr>
        <w:t xml:space="preserve">tecnica, </w:t>
      </w:r>
      <w:r>
        <w:rPr>
          <w:rFonts w:ascii="Times New Roman" w:hAnsi="Times New Roman" w:cs="Times New Roman"/>
          <w:sz w:val="24"/>
          <w:szCs w:val="24"/>
        </w:rPr>
        <w:t>chiamata</w:t>
      </w:r>
      <w:r w:rsidRPr="00BA3C92">
        <w:rPr>
          <w:rFonts w:ascii="Times New Roman" w:hAnsi="Times New Roman" w:cs="Times New Roman"/>
          <w:sz w:val="24"/>
          <w:szCs w:val="24"/>
        </w:rPr>
        <w:t xml:space="preserve"> </w:t>
      </w:r>
      <w:r w:rsidRPr="00772F74">
        <w:rPr>
          <w:rFonts w:ascii="Times New Roman" w:hAnsi="Times New Roman" w:cs="Times New Roman"/>
          <w:i/>
          <w:iCs/>
          <w:sz w:val="24"/>
          <w:szCs w:val="24"/>
        </w:rPr>
        <w:t xml:space="preserve">Multi-Scale </w:t>
      </w:r>
      <w:proofErr w:type="spellStart"/>
      <w:r w:rsidRPr="00772F74">
        <w:rPr>
          <w:rFonts w:ascii="Times New Roman" w:hAnsi="Times New Roman" w:cs="Times New Roman"/>
          <w:i/>
          <w:iCs/>
          <w:sz w:val="24"/>
          <w:szCs w:val="24"/>
        </w:rPr>
        <w:t>Integrated</w:t>
      </w:r>
      <w:proofErr w:type="spellEnd"/>
      <w:r w:rsidRPr="00BA3C92">
        <w:rPr>
          <w:rFonts w:ascii="Times New Roman" w:hAnsi="Times New Roman" w:cs="Times New Roman"/>
          <w:sz w:val="24"/>
          <w:szCs w:val="24"/>
        </w:rPr>
        <w:t xml:space="preserve"> </w:t>
      </w:r>
      <w:r w:rsidRPr="00772F74">
        <w:rPr>
          <w:rFonts w:ascii="Times New Roman" w:hAnsi="Times New Roman" w:cs="Times New Roman"/>
          <w:i/>
          <w:iCs/>
          <w:sz w:val="24"/>
          <w:szCs w:val="24"/>
        </w:rPr>
        <w:t>Cell</w:t>
      </w:r>
      <w:r w:rsidRPr="00BA3C92">
        <w:rPr>
          <w:rFonts w:ascii="Times New Roman" w:hAnsi="Times New Roman" w:cs="Times New Roman"/>
          <w:sz w:val="24"/>
          <w:szCs w:val="24"/>
        </w:rPr>
        <w:t xml:space="preserve"> (</w:t>
      </w:r>
      <w:proofErr w:type="spellStart"/>
      <w:r w:rsidRPr="00BA3C92">
        <w:rPr>
          <w:rFonts w:ascii="Times New Roman" w:hAnsi="Times New Roman" w:cs="Times New Roman"/>
          <w:sz w:val="24"/>
          <w:szCs w:val="24"/>
        </w:rPr>
        <w:t>MuSIC</w:t>
      </w:r>
      <w:proofErr w:type="spellEnd"/>
      <w:r w:rsidRPr="00BA3C92">
        <w:rPr>
          <w:rFonts w:ascii="Times New Roman" w:hAnsi="Times New Roman" w:cs="Times New Roman"/>
          <w:sz w:val="24"/>
          <w:szCs w:val="24"/>
        </w:rPr>
        <w:t xml:space="preserve">), è </w:t>
      </w:r>
      <w:r>
        <w:rPr>
          <w:rFonts w:ascii="Times New Roman" w:hAnsi="Times New Roman" w:cs="Times New Roman"/>
          <w:sz w:val="24"/>
          <w:szCs w:val="24"/>
        </w:rPr>
        <w:t xml:space="preserve">stata </w:t>
      </w:r>
      <w:r w:rsidRPr="00BA3C92">
        <w:rPr>
          <w:rFonts w:ascii="Times New Roman" w:hAnsi="Times New Roman" w:cs="Times New Roman"/>
          <w:sz w:val="24"/>
          <w:szCs w:val="24"/>
        </w:rPr>
        <w:t xml:space="preserve">descritta il 24 novembre 2021 </w:t>
      </w:r>
      <w:r>
        <w:rPr>
          <w:rFonts w:ascii="Times New Roman" w:hAnsi="Times New Roman" w:cs="Times New Roman"/>
          <w:sz w:val="24"/>
          <w:szCs w:val="24"/>
        </w:rPr>
        <w:t>su</w:t>
      </w:r>
      <w:r w:rsidRPr="00BA3C92">
        <w:rPr>
          <w:rFonts w:ascii="Times New Roman" w:hAnsi="Times New Roman" w:cs="Times New Roman"/>
          <w:sz w:val="24"/>
          <w:szCs w:val="24"/>
        </w:rPr>
        <w:t xml:space="preserve"> </w:t>
      </w:r>
      <w:r w:rsidRPr="00772F74">
        <w:rPr>
          <w:rFonts w:ascii="Times New Roman" w:hAnsi="Times New Roman" w:cs="Times New Roman"/>
          <w:i/>
          <w:iCs/>
          <w:sz w:val="24"/>
          <w:szCs w:val="24"/>
        </w:rPr>
        <w:t>Nature</w:t>
      </w:r>
      <w:r>
        <w:rPr>
          <w:rFonts w:ascii="Times New Roman" w:hAnsi="Times New Roman" w:cs="Times New Roman"/>
          <w:sz w:val="24"/>
          <w:szCs w:val="24"/>
        </w:rPr>
        <w:t>, e nell’articolo sopra citato si legge che</w:t>
      </w:r>
      <w:r>
        <w:rPr>
          <w:rFonts w:ascii="Times New Roman" w:hAnsi="Times New Roman" w:cs="Times New Roman"/>
          <w:i/>
          <w:iCs/>
          <w:sz w:val="24"/>
          <w:szCs w:val="24"/>
        </w:rPr>
        <w:t xml:space="preserve"> «</w:t>
      </w:r>
      <w:r w:rsidRPr="00CD4778">
        <w:rPr>
          <w:rFonts w:ascii="Times New Roman" w:hAnsi="Times New Roman" w:cs="Times New Roman"/>
          <w:i/>
          <w:iCs/>
          <w:sz w:val="24"/>
          <w:szCs w:val="24"/>
        </w:rPr>
        <w:t xml:space="preserve">“Se immagini una cellula, probabilmente immagini il diagramma colorato nel tuo libro di testo di biologia cellulare, con mitocondri, reticolo endoplasmatico e nucleo. Ma è tutta qui? Sicuramente no”, sono state le parole di </w:t>
      </w:r>
      <w:proofErr w:type="spellStart"/>
      <w:r w:rsidRPr="00CD4778">
        <w:rPr>
          <w:rFonts w:ascii="Times New Roman" w:hAnsi="Times New Roman" w:cs="Times New Roman"/>
          <w:i/>
          <w:iCs/>
          <w:sz w:val="24"/>
          <w:szCs w:val="24"/>
        </w:rPr>
        <w:t>Trey</w:t>
      </w:r>
      <w:proofErr w:type="spellEnd"/>
      <w:r w:rsidRPr="00CD4778">
        <w:rPr>
          <w:rFonts w:ascii="Times New Roman" w:hAnsi="Times New Roman" w:cs="Times New Roman"/>
          <w:i/>
          <w:iCs/>
          <w:sz w:val="24"/>
          <w:szCs w:val="24"/>
        </w:rPr>
        <w:t xml:space="preserve"> </w:t>
      </w:r>
      <w:proofErr w:type="spellStart"/>
      <w:r w:rsidRPr="00CD4778">
        <w:rPr>
          <w:rFonts w:ascii="Times New Roman" w:hAnsi="Times New Roman" w:cs="Times New Roman"/>
          <w:i/>
          <w:iCs/>
          <w:sz w:val="24"/>
          <w:szCs w:val="24"/>
        </w:rPr>
        <w:t>Ideker</w:t>
      </w:r>
      <w:proofErr w:type="spellEnd"/>
      <w:r w:rsidRPr="00CD4778">
        <w:rPr>
          <w:rFonts w:ascii="Times New Roman" w:hAnsi="Times New Roman" w:cs="Times New Roman"/>
          <w:i/>
          <w:iCs/>
          <w:sz w:val="24"/>
          <w:szCs w:val="24"/>
        </w:rPr>
        <w:t xml:space="preserve">, </w:t>
      </w:r>
      <w:proofErr w:type="spellStart"/>
      <w:r w:rsidRPr="00CD4778">
        <w:rPr>
          <w:rFonts w:ascii="Times New Roman" w:hAnsi="Times New Roman" w:cs="Times New Roman"/>
          <w:i/>
          <w:iCs/>
          <w:sz w:val="24"/>
          <w:szCs w:val="24"/>
        </w:rPr>
        <w:t>PhD</w:t>
      </w:r>
      <w:proofErr w:type="spellEnd"/>
      <w:r w:rsidRPr="00CD4778">
        <w:rPr>
          <w:rFonts w:ascii="Times New Roman" w:hAnsi="Times New Roman" w:cs="Times New Roman"/>
          <w:i/>
          <w:iCs/>
          <w:sz w:val="24"/>
          <w:szCs w:val="24"/>
        </w:rPr>
        <w:t xml:space="preserve">, professore alla UC San Diego School of Medicine e al </w:t>
      </w:r>
      <w:proofErr w:type="spellStart"/>
      <w:r w:rsidRPr="00CD4778">
        <w:rPr>
          <w:rFonts w:ascii="Times New Roman" w:hAnsi="Times New Roman" w:cs="Times New Roman"/>
          <w:i/>
          <w:iCs/>
          <w:sz w:val="24"/>
          <w:szCs w:val="24"/>
        </w:rPr>
        <w:t>Moores</w:t>
      </w:r>
      <w:proofErr w:type="spellEnd"/>
      <w:r w:rsidRPr="00CD4778">
        <w:rPr>
          <w:rFonts w:ascii="Times New Roman" w:hAnsi="Times New Roman" w:cs="Times New Roman"/>
          <w:i/>
          <w:iCs/>
          <w:sz w:val="24"/>
          <w:szCs w:val="24"/>
        </w:rPr>
        <w:t xml:space="preserve"> </w:t>
      </w:r>
      <w:proofErr w:type="spellStart"/>
      <w:r w:rsidRPr="00CD4778">
        <w:rPr>
          <w:rFonts w:ascii="Times New Roman" w:hAnsi="Times New Roman" w:cs="Times New Roman"/>
          <w:i/>
          <w:iCs/>
          <w:sz w:val="24"/>
          <w:szCs w:val="24"/>
        </w:rPr>
        <w:t>Cancer</w:t>
      </w:r>
      <w:proofErr w:type="spellEnd"/>
      <w:r w:rsidRPr="00CD4778">
        <w:rPr>
          <w:rFonts w:ascii="Times New Roman" w:hAnsi="Times New Roman" w:cs="Times New Roman"/>
          <w:i/>
          <w:iCs/>
          <w:sz w:val="24"/>
          <w:szCs w:val="24"/>
        </w:rPr>
        <w:t xml:space="preserve"> Center. “Gli scienziati si sono resi conto da tempo che c’è di più che non sappiamo di quanto sappiamo, ma ora abbiamo finalmente un modo per guardare più in profondità”. Nello studio pilota, </w:t>
      </w:r>
      <w:proofErr w:type="spellStart"/>
      <w:r w:rsidRPr="00CD4778">
        <w:rPr>
          <w:rFonts w:ascii="Times New Roman" w:hAnsi="Times New Roman" w:cs="Times New Roman"/>
          <w:i/>
          <w:iCs/>
          <w:sz w:val="24"/>
          <w:szCs w:val="24"/>
        </w:rPr>
        <w:t>MuSIC</w:t>
      </w:r>
      <w:proofErr w:type="spellEnd"/>
      <w:r w:rsidRPr="00CD4778">
        <w:rPr>
          <w:rFonts w:ascii="Times New Roman" w:hAnsi="Times New Roman" w:cs="Times New Roman"/>
          <w:i/>
          <w:iCs/>
          <w:sz w:val="24"/>
          <w:szCs w:val="24"/>
        </w:rPr>
        <w:t xml:space="preserve"> ha rivelato circa 70 componenti contenuti all’interno di una linea cellulare renale umana, metà dei quali non era mai stata vista prima. In un esempio, i ricercatori hanno individuato un gruppo di proteine che formano una struttura sconosciuta. Lavorando con il collega della UC San Diego Gene </w:t>
      </w:r>
      <w:proofErr w:type="spellStart"/>
      <w:r w:rsidRPr="00CD4778">
        <w:rPr>
          <w:rFonts w:ascii="Times New Roman" w:hAnsi="Times New Roman" w:cs="Times New Roman"/>
          <w:i/>
          <w:iCs/>
          <w:sz w:val="24"/>
          <w:szCs w:val="24"/>
        </w:rPr>
        <w:t>Yeo</w:t>
      </w:r>
      <w:proofErr w:type="spellEnd"/>
      <w:r w:rsidRPr="00CD4778">
        <w:rPr>
          <w:rFonts w:ascii="Times New Roman" w:hAnsi="Times New Roman" w:cs="Times New Roman"/>
          <w:i/>
          <w:iCs/>
          <w:sz w:val="24"/>
          <w:szCs w:val="24"/>
        </w:rPr>
        <w:t xml:space="preserve">, </w:t>
      </w:r>
      <w:proofErr w:type="spellStart"/>
      <w:r w:rsidRPr="00CD4778">
        <w:rPr>
          <w:rFonts w:ascii="Times New Roman" w:hAnsi="Times New Roman" w:cs="Times New Roman"/>
          <w:i/>
          <w:iCs/>
          <w:sz w:val="24"/>
          <w:szCs w:val="24"/>
        </w:rPr>
        <w:t>PhD</w:t>
      </w:r>
      <w:proofErr w:type="spellEnd"/>
      <w:r w:rsidRPr="00CD4778">
        <w:rPr>
          <w:rFonts w:ascii="Times New Roman" w:hAnsi="Times New Roman" w:cs="Times New Roman"/>
          <w:i/>
          <w:iCs/>
          <w:sz w:val="24"/>
          <w:szCs w:val="24"/>
        </w:rPr>
        <w:t xml:space="preserve">, alla fine hanno determinato che la struttura è un nuovo complesso di proteine che lega l’RNA. Il complesso è probabilmente coinvolto nello </w:t>
      </w:r>
      <w:proofErr w:type="spellStart"/>
      <w:r w:rsidRPr="00CD4778">
        <w:rPr>
          <w:rFonts w:ascii="Times New Roman" w:hAnsi="Times New Roman" w:cs="Times New Roman"/>
          <w:i/>
          <w:iCs/>
          <w:sz w:val="24"/>
          <w:szCs w:val="24"/>
        </w:rPr>
        <w:t>splicing</w:t>
      </w:r>
      <w:proofErr w:type="spellEnd"/>
      <w:r w:rsidRPr="00CD4778">
        <w:rPr>
          <w:rFonts w:ascii="Times New Roman" w:hAnsi="Times New Roman" w:cs="Times New Roman"/>
          <w:i/>
          <w:iCs/>
          <w:sz w:val="24"/>
          <w:szCs w:val="24"/>
        </w:rPr>
        <w:t xml:space="preserve">, un importante evento cellulare che consente la traduzione dei geni in proteine e aiuta a determinare quali geni vengono attivati in quali momenti. L’interno delle cellule e le molte proteine che si trovano lì, sono tipicamente studiate utilizzando una delle due tecniche: </w:t>
      </w:r>
      <w:proofErr w:type="spellStart"/>
      <w:r w:rsidRPr="00CD4778">
        <w:rPr>
          <w:rFonts w:ascii="Times New Roman" w:hAnsi="Times New Roman" w:cs="Times New Roman"/>
          <w:i/>
          <w:iCs/>
          <w:sz w:val="24"/>
          <w:szCs w:val="24"/>
        </w:rPr>
        <w:t>imaging</w:t>
      </w:r>
      <w:proofErr w:type="spellEnd"/>
      <w:r w:rsidRPr="00CD4778">
        <w:rPr>
          <w:rFonts w:ascii="Times New Roman" w:hAnsi="Times New Roman" w:cs="Times New Roman"/>
          <w:i/>
          <w:iCs/>
          <w:sz w:val="24"/>
          <w:szCs w:val="24"/>
        </w:rPr>
        <w:t xml:space="preserve"> al microscopio o associazione biofisica. Con l’</w:t>
      </w:r>
      <w:proofErr w:type="spellStart"/>
      <w:r w:rsidRPr="00CD4778">
        <w:rPr>
          <w:rFonts w:ascii="Times New Roman" w:hAnsi="Times New Roman" w:cs="Times New Roman"/>
          <w:i/>
          <w:iCs/>
          <w:sz w:val="24"/>
          <w:szCs w:val="24"/>
        </w:rPr>
        <w:t>imaging</w:t>
      </w:r>
      <w:proofErr w:type="spellEnd"/>
      <w:r w:rsidRPr="00CD4778">
        <w:rPr>
          <w:rFonts w:ascii="Times New Roman" w:hAnsi="Times New Roman" w:cs="Times New Roman"/>
          <w:i/>
          <w:iCs/>
          <w:sz w:val="24"/>
          <w:szCs w:val="24"/>
        </w:rPr>
        <w:t xml:space="preserve">, i ricercatori aggiungono </w:t>
      </w:r>
      <w:proofErr w:type="spellStart"/>
      <w:r w:rsidRPr="00CD4778">
        <w:rPr>
          <w:rFonts w:ascii="Times New Roman" w:hAnsi="Times New Roman" w:cs="Times New Roman"/>
          <w:i/>
          <w:iCs/>
          <w:sz w:val="24"/>
          <w:szCs w:val="24"/>
        </w:rPr>
        <w:t>tag</w:t>
      </w:r>
      <w:proofErr w:type="spellEnd"/>
      <w:r w:rsidRPr="00CD4778">
        <w:rPr>
          <w:rFonts w:ascii="Times New Roman" w:hAnsi="Times New Roman" w:cs="Times New Roman"/>
          <w:i/>
          <w:iCs/>
          <w:sz w:val="24"/>
          <w:szCs w:val="24"/>
        </w:rPr>
        <w:t xml:space="preserve"> fluorescenti di vari colori alle proteine di interesse e tracciano i loro movimenti e associazioni attraverso il campo visivo del microscopio. Per esaminare le associazioni biofisiche, i ricercatori potrebbero utilizzare un anticorpo, specifico per una proteina, per estrarlo dalla cellula e vedere cos’altro è collegato ad esso. I microscopi consentono agli scienziati di vedere fino al livello di un singolo micron, circa le dimensioni di alcuni organelli, come i mitocondri. Gli elementi più piccoli, come le singole proteine e i complessi proteici, non possono essere visti attraverso un microscopio. Le tecniche di biochimica, che iniziano con una singola proteina, consentono agli scienziati di scendere alla scala nanometrica. (Un nanometro è un miliardesimo di metro, o 1.000 micron). “Ma come si fa a colmare questo divario dalla scala nanometrica a quella micrometrica? Questo è stato a lungo un grande ostacolo nelle scienze biologiche”, ha detto </w:t>
      </w:r>
      <w:proofErr w:type="spellStart"/>
      <w:r w:rsidRPr="00CD4778">
        <w:rPr>
          <w:rFonts w:ascii="Times New Roman" w:hAnsi="Times New Roman" w:cs="Times New Roman"/>
          <w:i/>
          <w:iCs/>
          <w:sz w:val="24"/>
          <w:szCs w:val="24"/>
        </w:rPr>
        <w:t>Ideker</w:t>
      </w:r>
      <w:proofErr w:type="spellEnd"/>
      <w:r w:rsidRPr="00CD4778">
        <w:rPr>
          <w:rFonts w:ascii="Times New Roman" w:hAnsi="Times New Roman" w:cs="Times New Roman"/>
          <w:i/>
          <w:iCs/>
          <w:sz w:val="24"/>
          <w:szCs w:val="24"/>
        </w:rPr>
        <w:t xml:space="preserve">, che è anche fondatore della UC </w:t>
      </w:r>
      <w:proofErr w:type="spellStart"/>
      <w:r w:rsidRPr="00CD4778">
        <w:rPr>
          <w:rFonts w:ascii="Times New Roman" w:hAnsi="Times New Roman" w:cs="Times New Roman"/>
          <w:i/>
          <w:iCs/>
          <w:sz w:val="24"/>
          <w:szCs w:val="24"/>
        </w:rPr>
        <w:t>Cancer</w:t>
      </w:r>
      <w:proofErr w:type="spellEnd"/>
      <w:r w:rsidRPr="00CD4778">
        <w:rPr>
          <w:rFonts w:ascii="Times New Roman" w:hAnsi="Times New Roman" w:cs="Times New Roman"/>
          <w:i/>
          <w:iCs/>
          <w:sz w:val="24"/>
          <w:szCs w:val="24"/>
        </w:rPr>
        <w:t xml:space="preserve"> Cell </w:t>
      </w:r>
      <w:proofErr w:type="spellStart"/>
      <w:r w:rsidRPr="00CD4778">
        <w:rPr>
          <w:rFonts w:ascii="Times New Roman" w:hAnsi="Times New Roman" w:cs="Times New Roman"/>
          <w:i/>
          <w:iCs/>
          <w:sz w:val="24"/>
          <w:szCs w:val="24"/>
        </w:rPr>
        <w:t>Map</w:t>
      </w:r>
      <w:proofErr w:type="spellEnd"/>
      <w:r w:rsidRPr="00CD4778">
        <w:rPr>
          <w:rFonts w:ascii="Times New Roman" w:hAnsi="Times New Roman" w:cs="Times New Roman"/>
          <w:i/>
          <w:iCs/>
          <w:sz w:val="24"/>
          <w:szCs w:val="24"/>
        </w:rPr>
        <w:t xml:space="preserve"> </w:t>
      </w:r>
      <w:proofErr w:type="spellStart"/>
      <w:r w:rsidRPr="00CD4778">
        <w:rPr>
          <w:rFonts w:ascii="Times New Roman" w:hAnsi="Times New Roman" w:cs="Times New Roman"/>
          <w:i/>
          <w:iCs/>
          <w:sz w:val="24"/>
          <w:szCs w:val="24"/>
        </w:rPr>
        <w:t>Initiative</w:t>
      </w:r>
      <w:proofErr w:type="spellEnd"/>
      <w:r w:rsidRPr="00CD4778">
        <w:rPr>
          <w:rFonts w:ascii="Times New Roman" w:hAnsi="Times New Roman" w:cs="Times New Roman"/>
          <w:i/>
          <w:iCs/>
          <w:sz w:val="24"/>
          <w:szCs w:val="24"/>
        </w:rPr>
        <w:t xml:space="preserve"> e dell’UC San Diego Center for </w:t>
      </w:r>
      <w:proofErr w:type="spellStart"/>
      <w:r w:rsidRPr="00CD4778">
        <w:rPr>
          <w:rFonts w:ascii="Times New Roman" w:hAnsi="Times New Roman" w:cs="Times New Roman"/>
          <w:i/>
          <w:iCs/>
          <w:sz w:val="24"/>
          <w:szCs w:val="24"/>
        </w:rPr>
        <w:t>Computational</w:t>
      </w:r>
      <w:proofErr w:type="spellEnd"/>
      <w:r w:rsidRPr="00CD4778">
        <w:rPr>
          <w:rFonts w:ascii="Times New Roman" w:hAnsi="Times New Roman" w:cs="Times New Roman"/>
          <w:i/>
          <w:iCs/>
          <w:sz w:val="24"/>
          <w:szCs w:val="24"/>
        </w:rPr>
        <w:t xml:space="preserve"> </w:t>
      </w:r>
      <w:proofErr w:type="spellStart"/>
      <w:r w:rsidRPr="00CD4778">
        <w:rPr>
          <w:rFonts w:ascii="Times New Roman" w:hAnsi="Times New Roman" w:cs="Times New Roman"/>
          <w:i/>
          <w:iCs/>
          <w:sz w:val="24"/>
          <w:szCs w:val="24"/>
        </w:rPr>
        <w:t>Biology</w:t>
      </w:r>
      <w:proofErr w:type="spellEnd"/>
      <w:r w:rsidRPr="00CD4778">
        <w:rPr>
          <w:rFonts w:ascii="Times New Roman" w:hAnsi="Times New Roman" w:cs="Times New Roman"/>
          <w:i/>
          <w:iCs/>
          <w:sz w:val="24"/>
          <w:szCs w:val="24"/>
        </w:rPr>
        <w:t xml:space="preserve"> and </w:t>
      </w:r>
      <w:proofErr w:type="spellStart"/>
      <w:r w:rsidRPr="00CD4778">
        <w:rPr>
          <w:rFonts w:ascii="Times New Roman" w:hAnsi="Times New Roman" w:cs="Times New Roman"/>
          <w:i/>
          <w:iCs/>
          <w:sz w:val="24"/>
          <w:szCs w:val="24"/>
        </w:rPr>
        <w:t>Bioinformatics</w:t>
      </w:r>
      <w:proofErr w:type="spellEnd"/>
      <w:r w:rsidRPr="00CD4778">
        <w:rPr>
          <w:rFonts w:ascii="Times New Roman" w:hAnsi="Times New Roman" w:cs="Times New Roman"/>
          <w:i/>
          <w:iCs/>
          <w:sz w:val="24"/>
          <w:szCs w:val="24"/>
        </w:rPr>
        <w:t xml:space="preserve">. “Si scopre che puoi farlo con l’intelligenza artificiale, guardando i dati da più fonti e chiedendo al sistema di assemblarlo in un modello di una cella”. </w:t>
      </w:r>
      <w:proofErr w:type="spellStart"/>
      <w:r w:rsidRPr="00CD4778">
        <w:rPr>
          <w:rFonts w:ascii="Times New Roman" w:hAnsi="Times New Roman" w:cs="Times New Roman"/>
          <w:i/>
          <w:iCs/>
          <w:sz w:val="24"/>
          <w:szCs w:val="24"/>
        </w:rPr>
        <w:t>Ideker</w:t>
      </w:r>
      <w:proofErr w:type="spellEnd"/>
      <w:r w:rsidRPr="00CD4778">
        <w:rPr>
          <w:rFonts w:ascii="Times New Roman" w:hAnsi="Times New Roman" w:cs="Times New Roman"/>
          <w:i/>
          <w:iCs/>
          <w:sz w:val="24"/>
          <w:szCs w:val="24"/>
        </w:rPr>
        <w:t xml:space="preserve"> ha sottolineato che questo era uno studio pilota per testare </w:t>
      </w:r>
      <w:proofErr w:type="spellStart"/>
      <w:r w:rsidRPr="00CD4778">
        <w:rPr>
          <w:rFonts w:ascii="Times New Roman" w:hAnsi="Times New Roman" w:cs="Times New Roman"/>
          <w:i/>
          <w:iCs/>
          <w:sz w:val="24"/>
          <w:szCs w:val="24"/>
        </w:rPr>
        <w:t>MuSIC</w:t>
      </w:r>
      <w:proofErr w:type="spellEnd"/>
      <w:r w:rsidRPr="00CD4778">
        <w:rPr>
          <w:rFonts w:ascii="Times New Roman" w:hAnsi="Times New Roman" w:cs="Times New Roman"/>
          <w:i/>
          <w:iCs/>
          <w:sz w:val="24"/>
          <w:szCs w:val="24"/>
        </w:rPr>
        <w:t xml:space="preserve">. Hanno esaminato solo 661 proteine e un tipo di cellula. “Il chiaro passo successivo è quello di indagare attraverso l’intera cellula umana”, ha detto </w:t>
      </w:r>
      <w:proofErr w:type="spellStart"/>
      <w:r w:rsidRPr="00CD4778">
        <w:rPr>
          <w:rFonts w:ascii="Times New Roman" w:hAnsi="Times New Roman" w:cs="Times New Roman"/>
          <w:i/>
          <w:iCs/>
          <w:sz w:val="24"/>
          <w:szCs w:val="24"/>
        </w:rPr>
        <w:t>Ideker</w:t>
      </w:r>
      <w:proofErr w:type="spellEnd"/>
      <w:r w:rsidRPr="00CD4778">
        <w:rPr>
          <w:rFonts w:ascii="Times New Roman" w:hAnsi="Times New Roman" w:cs="Times New Roman"/>
          <w:i/>
          <w:iCs/>
          <w:sz w:val="24"/>
          <w:szCs w:val="24"/>
        </w:rPr>
        <w:t>, “e poi passare a diversi tipi di cellule, persone e specie. Alla fine, potremmo essere in grado di comprendere meglio le basi molecolari di molte malattie confrontando ciò che è diverso tra cellule sane e malate”</w:t>
      </w:r>
      <w:r>
        <w:rPr>
          <w:rFonts w:ascii="Times New Roman" w:hAnsi="Times New Roman" w:cs="Times New Roman"/>
          <w:sz w:val="24"/>
          <w:szCs w:val="24"/>
        </w:rPr>
        <w:t>».</w:t>
      </w:r>
    </w:p>
  </w:footnote>
  <w:footnote w:id="81">
    <w:p w14:paraId="494BAD7C" w14:textId="0DB76DF1" w:rsidR="000463A6" w:rsidRPr="00DB60C4" w:rsidRDefault="000463A6" w:rsidP="00FC50BA">
      <w:pPr>
        <w:pStyle w:val="Testonotaapidipagina"/>
        <w:jc w:val="both"/>
        <w:rPr>
          <w:rFonts w:ascii="Times New Roman" w:hAnsi="Times New Roman" w:cs="Times New Roman"/>
          <w:sz w:val="24"/>
          <w:szCs w:val="24"/>
        </w:rPr>
      </w:pPr>
      <w:r w:rsidRPr="00DB60C4">
        <w:rPr>
          <w:rStyle w:val="Rimandonotaapidipagina"/>
          <w:rFonts w:ascii="Times New Roman" w:hAnsi="Times New Roman" w:cs="Times New Roman"/>
          <w:sz w:val="24"/>
          <w:szCs w:val="24"/>
        </w:rPr>
        <w:footnoteRef/>
      </w:r>
      <w:r w:rsidRPr="00DB60C4">
        <w:rPr>
          <w:rFonts w:ascii="Times New Roman" w:hAnsi="Times New Roman" w:cs="Times New Roman"/>
          <w:sz w:val="24"/>
          <w:szCs w:val="24"/>
        </w:rPr>
        <w:t xml:space="preserve"> Regolamento 2017/745 relativo ai dispositivi medici (</w:t>
      </w:r>
      <w:proofErr w:type="spellStart"/>
      <w:r w:rsidRPr="00DB60C4">
        <w:rPr>
          <w:rFonts w:ascii="Times New Roman" w:hAnsi="Times New Roman" w:cs="Times New Roman"/>
          <w:i/>
          <w:iCs/>
          <w:sz w:val="24"/>
          <w:szCs w:val="24"/>
        </w:rPr>
        <w:t>Medical</w:t>
      </w:r>
      <w:proofErr w:type="spellEnd"/>
      <w:r w:rsidRPr="00DB60C4">
        <w:rPr>
          <w:rFonts w:ascii="Times New Roman" w:hAnsi="Times New Roman" w:cs="Times New Roman"/>
          <w:i/>
          <w:iCs/>
          <w:sz w:val="24"/>
          <w:szCs w:val="24"/>
        </w:rPr>
        <w:t xml:space="preserve"> </w:t>
      </w:r>
      <w:proofErr w:type="spellStart"/>
      <w:r w:rsidRPr="00DB60C4">
        <w:rPr>
          <w:rFonts w:ascii="Times New Roman" w:hAnsi="Times New Roman" w:cs="Times New Roman"/>
          <w:i/>
          <w:iCs/>
          <w:sz w:val="24"/>
          <w:szCs w:val="24"/>
        </w:rPr>
        <w:t>Devices</w:t>
      </w:r>
      <w:proofErr w:type="spellEnd"/>
      <w:r w:rsidRPr="00DB60C4">
        <w:rPr>
          <w:rFonts w:ascii="Times New Roman" w:hAnsi="Times New Roman" w:cs="Times New Roman"/>
          <w:i/>
          <w:iCs/>
          <w:sz w:val="24"/>
          <w:szCs w:val="24"/>
        </w:rPr>
        <w:t xml:space="preserve"> </w:t>
      </w:r>
      <w:proofErr w:type="spellStart"/>
      <w:r w:rsidRPr="00DB60C4">
        <w:rPr>
          <w:rFonts w:ascii="Times New Roman" w:hAnsi="Times New Roman" w:cs="Times New Roman"/>
          <w:i/>
          <w:iCs/>
          <w:sz w:val="24"/>
          <w:szCs w:val="24"/>
        </w:rPr>
        <w:t>Regulation</w:t>
      </w:r>
      <w:proofErr w:type="spellEnd"/>
      <w:r w:rsidRPr="00DB60C4">
        <w:rPr>
          <w:rFonts w:ascii="Times New Roman" w:hAnsi="Times New Roman" w:cs="Times New Roman"/>
          <w:i/>
          <w:iCs/>
          <w:sz w:val="24"/>
          <w:szCs w:val="24"/>
        </w:rPr>
        <w:t>, MDR</w:t>
      </w:r>
      <w:r w:rsidRPr="00DB60C4">
        <w:rPr>
          <w:rFonts w:ascii="Times New Roman" w:hAnsi="Times New Roman" w:cs="Times New Roman"/>
          <w:sz w:val="24"/>
          <w:szCs w:val="24"/>
        </w:rPr>
        <w:t>), ufficialmente entrato in vigore il 26 maggio 2021.</w:t>
      </w:r>
    </w:p>
  </w:footnote>
  <w:footnote w:id="82">
    <w:p w14:paraId="4C27DFC7" w14:textId="2C979B2B" w:rsidR="000463A6" w:rsidRPr="00DB60C4" w:rsidRDefault="000463A6" w:rsidP="002A6E65">
      <w:pPr>
        <w:pStyle w:val="Testonotaapidipagina"/>
        <w:jc w:val="both"/>
        <w:rPr>
          <w:rFonts w:ascii="Times New Roman" w:hAnsi="Times New Roman" w:cs="Times New Roman"/>
          <w:sz w:val="24"/>
          <w:szCs w:val="24"/>
        </w:rPr>
      </w:pPr>
      <w:r w:rsidRPr="00DB60C4">
        <w:rPr>
          <w:rStyle w:val="Rimandonotaapidipagina"/>
          <w:rFonts w:ascii="Times New Roman" w:hAnsi="Times New Roman" w:cs="Times New Roman"/>
          <w:sz w:val="24"/>
          <w:szCs w:val="24"/>
        </w:rPr>
        <w:footnoteRef/>
      </w:r>
      <w:r w:rsidRPr="00DB60C4">
        <w:rPr>
          <w:rFonts w:ascii="Times New Roman" w:hAnsi="Times New Roman" w:cs="Times New Roman"/>
          <w:sz w:val="24"/>
          <w:szCs w:val="24"/>
        </w:rPr>
        <w:t xml:space="preserve"> Il rapporto tra Intelligenza Artificiale e medicina è veramente prezioso: oggi l’I.A. fornisce grandi armi in più alla medicina, e ce lo ricorda anche il fisico </w:t>
      </w:r>
      <w:r w:rsidRPr="00DB60C4">
        <w:rPr>
          <w:rFonts w:ascii="Times New Roman" w:hAnsi="Times New Roman" w:cs="Times New Roman"/>
          <w:smallCaps/>
          <w:sz w:val="24"/>
          <w:szCs w:val="24"/>
        </w:rPr>
        <w:t xml:space="preserve">A. </w:t>
      </w:r>
      <w:proofErr w:type="spellStart"/>
      <w:r w:rsidRPr="00DB60C4">
        <w:rPr>
          <w:rFonts w:ascii="Times New Roman" w:hAnsi="Times New Roman" w:cs="Times New Roman"/>
          <w:smallCaps/>
          <w:sz w:val="24"/>
          <w:szCs w:val="24"/>
        </w:rPr>
        <w:t>Vespignani</w:t>
      </w:r>
      <w:proofErr w:type="spellEnd"/>
      <w:r w:rsidRPr="00DB60C4">
        <w:rPr>
          <w:rFonts w:ascii="Times New Roman" w:hAnsi="Times New Roman" w:cs="Times New Roman"/>
          <w:sz w:val="24"/>
          <w:szCs w:val="24"/>
        </w:rPr>
        <w:t xml:space="preserve">, docente della </w:t>
      </w:r>
      <w:proofErr w:type="spellStart"/>
      <w:r w:rsidRPr="00FF0DB9">
        <w:rPr>
          <w:rFonts w:ascii="Times New Roman" w:hAnsi="Times New Roman" w:cs="Times New Roman"/>
          <w:i/>
          <w:iCs/>
          <w:sz w:val="24"/>
          <w:szCs w:val="24"/>
        </w:rPr>
        <w:t>Northeastern</w:t>
      </w:r>
      <w:proofErr w:type="spellEnd"/>
      <w:r w:rsidRPr="00FF0DB9">
        <w:rPr>
          <w:rFonts w:ascii="Times New Roman" w:hAnsi="Times New Roman" w:cs="Times New Roman"/>
          <w:i/>
          <w:iCs/>
          <w:sz w:val="24"/>
          <w:szCs w:val="24"/>
        </w:rPr>
        <w:t xml:space="preserve"> </w:t>
      </w:r>
      <w:proofErr w:type="spellStart"/>
      <w:r w:rsidRPr="00FF0DB9">
        <w:rPr>
          <w:rFonts w:ascii="Times New Roman" w:hAnsi="Times New Roman" w:cs="Times New Roman"/>
          <w:i/>
          <w:iCs/>
          <w:sz w:val="24"/>
          <w:szCs w:val="24"/>
        </w:rPr>
        <w:t>University</w:t>
      </w:r>
      <w:proofErr w:type="spellEnd"/>
      <w:r w:rsidRPr="00DB60C4">
        <w:rPr>
          <w:rFonts w:ascii="Times New Roman" w:hAnsi="Times New Roman" w:cs="Times New Roman"/>
          <w:sz w:val="24"/>
          <w:szCs w:val="24"/>
        </w:rPr>
        <w:t>, che di recente ha fatto un appello affinché le istituzioni sfruttino l’I.A. nel modo migliore possibile. Bisogna ripensare alla salute pubblica in scala globale, sfruttando anche l’insegnamento della Pandemia da Covid-19: «</w:t>
      </w:r>
      <w:r w:rsidRPr="00DB60C4">
        <w:rPr>
          <w:rFonts w:ascii="Times New Roman" w:hAnsi="Times New Roman" w:cs="Times New Roman"/>
          <w:i/>
          <w:iCs/>
          <w:sz w:val="24"/>
          <w:szCs w:val="24"/>
        </w:rPr>
        <w:t>le piattaforme sviluppate per affrontare il coronavirus saranno il motore per un futuro diverso in termini di ricerca anche contro altre malattie. L’altro grande avanzamento è la presa di coscienza dell’immenso valore dei dati: non tanto come fotografia statica, ma in quanto materia dinamica che ci serve per avere delle letture sulla gestione delle crisi sanitarie. Quindi in combinazione con intelligenza artificiale, statistica, apprendimento automatico. Queste nuove analisi dati rappresentano anche un ritorno alla visione collettiva della salute di una popolazione, nella direzione di un nuovo approccio alla sanità pubblica</w:t>
      </w:r>
      <w:r w:rsidRPr="00DB60C4">
        <w:rPr>
          <w:rFonts w:ascii="Times New Roman" w:hAnsi="Times New Roman" w:cs="Times New Roman"/>
          <w:sz w:val="24"/>
          <w:szCs w:val="24"/>
        </w:rPr>
        <w:t xml:space="preserve">» ha detto il famoso fisico; v. l’intervista su </w:t>
      </w:r>
      <w:hyperlink r:id="rId13" w:history="1">
        <w:r w:rsidRPr="00DB60C4">
          <w:rPr>
            <w:rStyle w:val="Collegamentoipertestuale"/>
            <w:rFonts w:ascii="Times New Roman" w:hAnsi="Times New Roman" w:cs="Times New Roman"/>
            <w:sz w:val="24"/>
            <w:szCs w:val="24"/>
          </w:rPr>
          <w:t>https://www.ilfoglio.it/scienza/2021/09/18/video/-la-pandemia-ci-deve-far-ripensare-la-sanita-pubblica-parla-il-fisico-alessandro-vespignani-2951628/</w:t>
        </w:r>
      </w:hyperlink>
      <w:r w:rsidRPr="00DB60C4">
        <w:rPr>
          <w:rFonts w:ascii="Times New Roman" w:hAnsi="Times New Roman" w:cs="Times New Roman"/>
          <w:sz w:val="24"/>
          <w:szCs w:val="24"/>
        </w:rPr>
        <w:t>.</w:t>
      </w:r>
    </w:p>
  </w:footnote>
  <w:footnote w:id="83">
    <w:p w14:paraId="7B7A22E2" w14:textId="64EB80D2" w:rsidR="000463A6" w:rsidRPr="00CB4276" w:rsidRDefault="000463A6" w:rsidP="00FC50BA">
      <w:pPr>
        <w:pStyle w:val="Testonotaapidipagina"/>
        <w:jc w:val="both"/>
        <w:rPr>
          <w:rFonts w:ascii="Times New Roman" w:hAnsi="Times New Roman" w:cs="Times New Roman"/>
          <w:sz w:val="24"/>
          <w:szCs w:val="24"/>
        </w:rPr>
      </w:pPr>
      <w:r w:rsidRPr="00CB4276">
        <w:rPr>
          <w:rStyle w:val="Rimandonotaapidipagina"/>
          <w:rFonts w:ascii="Times New Roman" w:hAnsi="Times New Roman" w:cs="Times New Roman"/>
          <w:sz w:val="24"/>
          <w:szCs w:val="24"/>
        </w:rPr>
        <w:footnoteRef/>
      </w:r>
      <w:r w:rsidRPr="00CB4276">
        <w:rPr>
          <w:rFonts w:ascii="Times New Roman" w:hAnsi="Times New Roman" w:cs="Times New Roman"/>
          <w:sz w:val="24"/>
          <w:szCs w:val="24"/>
        </w:rPr>
        <w:t xml:space="preserve"> Regolamento 2017/745 cit.</w:t>
      </w:r>
    </w:p>
  </w:footnote>
  <w:footnote w:id="84">
    <w:p w14:paraId="735A4493" w14:textId="6D4BCF39" w:rsidR="00CB4276" w:rsidRDefault="00CB4276" w:rsidP="00CB4276">
      <w:pPr>
        <w:jc w:val="both"/>
      </w:pPr>
      <w:r w:rsidRPr="00CB4276">
        <w:rPr>
          <w:rStyle w:val="Rimandonotaapidipagina"/>
          <w:rFonts w:ascii="Times New Roman" w:hAnsi="Times New Roman" w:cs="Times New Roman"/>
          <w:sz w:val="24"/>
          <w:szCs w:val="24"/>
        </w:rPr>
        <w:footnoteRef/>
      </w:r>
      <w:r w:rsidRPr="00CB4276">
        <w:rPr>
          <w:rFonts w:ascii="Times New Roman" w:hAnsi="Times New Roman" w:cs="Times New Roman"/>
          <w:sz w:val="24"/>
          <w:szCs w:val="24"/>
        </w:rPr>
        <w:t xml:space="preserve"> </w:t>
      </w:r>
      <w:r w:rsidRPr="00CB4276">
        <w:rPr>
          <w:rFonts w:ascii="Times New Roman" w:hAnsi="Times New Roman" w:cs="Times New Roman"/>
          <w:sz w:val="24"/>
          <w:szCs w:val="24"/>
        </w:rPr>
        <w:t>Con l’Intelligenza Artificiale siamo arrivati a tecnologie in grado di crescere un feto, grazie all’esperimento cinese degli scienziati dell’Istituto di ingegneria e tecnologia biomedica di Suzhou. Si stima addirittura che la gestazione artificiale sarà più efficiente e sana di quella umana. L’esperimento ha riguardato un vero e proprio grembo artificiale capace di far crescere un feto in sicurezza, sotto la gestione di un’intelligenza artificiale che monitora e accudisce il nascituro con un altissimo livello di efficienza. La c.d. “</w:t>
      </w:r>
      <w:r w:rsidRPr="00B37C34">
        <w:rPr>
          <w:rFonts w:ascii="Times New Roman" w:hAnsi="Times New Roman" w:cs="Times New Roman"/>
          <w:i/>
          <w:iCs/>
          <w:sz w:val="24"/>
          <w:szCs w:val="24"/>
        </w:rPr>
        <w:t>mamma IA</w:t>
      </w:r>
      <w:r w:rsidRPr="00CB4276">
        <w:rPr>
          <w:rFonts w:ascii="Times New Roman" w:hAnsi="Times New Roman" w:cs="Times New Roman"/>
          <w:sz w:val="24"/>
          <w:szCs w:val="24"/>
        </w:rPr>
        <w:t xml:space="preserve">”, che ora sta gestendo grandi quantità di embrioni animali, potrebbe, in futuro, addirittura eliminare la necessità per una donna di crescere in grembo il proprio bambino, permettendo un’evoluzione del feto più sicura ed efficiente fuori dal suo corpo. Insomma, un incubatore 2.0 che simula il grembo materno, con effetti positivi sui nati prematuri che spesso, anche nei paesi dotati di buoni ospedali, hanno pochissime possibilità di sopravvivere. V. </w:t>
      </w:r>
      <w:hyperlink r:id="rId14" w:history="1">
        <w:r w:rsidRPr="00CB4276">
          <w:rPr>
            <w:rStyle w:val="Collegamentoipertestuale"/>
            <w:rFonts w:ascii="Times New Roman" w:hAnsi="Times New Roman" w:cs="Times New Roman"/>
            <w:sz w:val="24"/>
            <w:szCs w:val="24"/>
          </w:rPr>
          <w:t>https://formiche.net/2022/02/ia-gestazione-artificiale-cina/</w:t>
        </w:r>
      </w:hyperlink>
      <w:r w:rsidRPr="00CB4276">
        <w:rPr>
          <w:rFonts w:ascii="Times New Roman" w:hAnsi="Times New Roman" w:cs="Times New Roman"/>
          <w:sz w:val="24"/>
          <w:szCs w:val="24"/>
        </w:rPr>
        <w:t>.</w:t>
      </w:r>
    </w:p>
  </w:footnote>
  <w:footnote w:id="85">
    <w:p w14:paraId="41A76066" w14:textId="1BD1B1B5" w:rsidR="000463A6" w:rsidRPr="00D61F79" w:rsidRDefault="000463A6" w:rsidP="00B74FFC">
      <w:pPr>
        <w:pStyle w:val="Testonotaapidipagina"/>
        <w:jc w:val="both"/>
        <w:rPr>
          <w:rFonts w:ascii="Times New Roman" w:hAnsi="Times New Roman" w:cs="Times New Roman"/>
          <w:sz w:val="24"/>
          <w:szCs w:val="24"/>
        </w:rPr>
      </w:pPr>
      <w:r w:rsidRPr="00B74FFC">
        <w:rPr>
          <w:rStyle w:val="Rimandonotaapidipagina"/>
          <w:rFonts w:ascii="Times New Roman" w:hAnsi="Times New Roman" w:cs="Times New Roman"/>
          <w:sz w:val="24"/>
          <w:szCs w:val="24"/>
        </w:rPr>
        <w:footnoteRef/>
      </w:r>
      <w:r w:rsidRPr="00B74FFC">
        <w:rPr>
          <w:rFonts w:ascii="Times New Roman" w:hAnsi="Times New Roman" w:cs="Times New Roman"/>
          <w:sz w:val="24"/>
          <w:szCs w:val="24"/>
        </w:rPr>
        <w:t xml:space="preserve"> Come è stato riportato su </w:t>
      </w:r>
      <w:r w:rsidRPr="00D61F79">
        <w:rPr>
          <w:rFonts w:ascii="Times New Roman" w:hAnsi="Times New Roman" w:cs="Times New Roman"/>
          <w:i/>
          <w:iCs/>
          <w:sz w:val="24"/>
          <w:szCs w:val="24"/>
        </w:rPr>
        <w:t>ansa.it</w:t>
      </w:r>
      <w:r w:rsidRPr="00B74FFC">
        <w:rPr>
          <w:rFonts w:ascii="Times New Roman" w:hAnsi="Times New Roman" w:cs="Times New Roman"/>
          <w:sz w:val="24"/>
          <w:szCs w:val="24"/>
        </w:rPr>
        <w:t>, “</w:t>
      </w:r>
      <w:r w:rsidRPr="00B74FFC">
        <w:rPr>
          <w:rFonts w:ascii="Times New Roman" w:hAnsi="Times New Roman" w:cs="Times New Roman"/>
          <w:i/>
          <w:iCs/>
          <w:sz w:val="24"/>
          <w:szCs w:val="24"/>
        </w:rPr>
        <w:t>Science, IA che predice la forma delle proteine è stata la scoperta del 2021</w:t>
      </w:r>
      <w:r w:rsidRPr="00B74FFC">
        <w:rPr>
          <w:rFonts w:ascii="Times New Roman" w:hAnsi="Times New Roman" w:cs="Times New Roman"/>
          <w:sz w:val="24"/>
          <w:szCs w:val="24"/>
        </w:rPr>
        <w:t xml:space="preserve">”, secondo la rivista </w:t>
      </w:r>
      <w:r w:rsidRPr="00D61F79">
        <w:rPr>
          <w:rFonts w:ascii="Times New Roman" w:hAnsi="Times New Roman" w:cs="Times New Roman"/>
          <w:i/>
          <w:iCs/>
          <w:sz w:val="24"/>
          <w:szCs w:val="24"/>
        </w:rPr>
        <w:t>Science</w:t>
      </w:r>
      <w:r w:rsidRPr="00B74FFC">
        <w:rPr>
          <w:rFonts w:ascii="Times New Roman" w:hAnsi="Times New Roman" w:cs="Times New Roman"/>
          <w:sz w:val="24"/>
          <w:szCs w:val="24"/>
        </w:rPr>
        <w:t xml:space="preserve"> l’IA che predice la struttura 3D delle proteine </w:t>
      </w:r>
      <w:r>
        <w:rPr>
          <w:rFonts w:ascii="Times New Roman" w:hAnsi="Times New Roman" w:cs="Times New Roman"/>
          <w:sz w:val="24"/>
          <w:szCs w:val="24"/>
        </w:rPr>
        <w:t xml:space="preserve">è stata la scoperta dell’anno e ha </w:t>
      </w:r>
      <w:r w:rsidRPr="00B74FFC">
        <w:rPr>
          <w:rFonts w:ascii="Times New Roman" w:hAnsi="Times New Roman" w:cs="Times New Roman"/>
          <w:sz w:val="24"/>
          <w:szCs w:val="24"/>
        </w:rPr>
        <w:t>scala</w:t>
      </w:r>
      <w:r>
        <w:rPr>
          <w:rFonts w:ascii="Times New Roman" w:hAnsi="Times New Roman" w:cs="Times New Roman"/>
          <w:sz w:val="24"/>
          <w:szCs w:val="24"/>
        </w:rPr>
        <w:t>to</w:t>
      </w:r>
      <w:r w:rsidRPr="00B74FFC">
        <w:rPr>
          <w:rFonts w:ascii="Times New Roman" w:hAnsi="Times New Roman" w:cs="Times New Roman"/>
          <w:sz w:val="24"/>
          <w:szCs w:val="24"/>
        </w:rPr>
        <w:t xml:space="preserve"> tutte le classifiche </w:t>
      </w:r>
      <w:r>
        <w:rPr>
          <w:rFonts w:ascii="Times New Roman" w:hAnsi="Times New Roman" w:cs="Times New Roman"/>
          <w:sz w:val="24"/>
          <w:szCs w:val="24"/>
        </w:rPr>
        <w:t>battendo</w:t>
      </w:r>
      <w:r w:rsidRPr="00B74FFC">
        <w:rPr>
          <w:rFonts w:ascii="Times New Roman" w:hAnsi="Times New Roman" w:cs="Times New Roman"/>
          <w:sz w:val="24"/>
          <w:szCs w:val="24"/>
        </w:rPr>
        <w:t xml:space="preserve"> le pillole anti-</w:t>
      </w:r>
      <w:proofErr w:type="spellStart"/>
      <w:r w:rsidRPr="00B74FFC">
        <w:rPr>
          <w:rFonts w:ascii="Times New Roman" w:hAnsi="Times New Roman" w:cs="Times New Roman"/>
          <w:sz w:val="24"/>
          <w:szCs w:val="24"/>
        </w:rPr>
        <w:t>Covid</w:t>
      </w:r>
      <w:proofErr w:type="spellEnd"/>
      <w:r w:rsidRPr="00B74FFC">
        <w:rPr>
          <w:rFonts w:ascii="Times New Roman" w:hAnsi="Times New Roman" w:cs="Times New Roman"/>
          <w:sz w:val="24"/>
          <w:szCs w:val="24"/>
        </w:rPr>
        <w:t xml:space="preserve"> e i terremoti su Marte. Grazie agli sviluppi dell’ultimo periodo, il direttore di </w:t>
      </w:r>
      <w:r w:rsidRPr="00D61F79">
        <w:rPr>
          <w:rFonts w:ascii="Times New Roman" w:hAnsi="Times New Roman" w:cs="Times New Roman"/>
          <w:i/>
          <w:iCs/>
          <w:sz w:val="24"/>
          <w:szCs w:val="24"/>
        </w:rPr>
        <w:t>Science</w:t>
      </w:r>
      <w:r w:rsidRPr="00B74FFC">
        <w:rPr>
          <w:rFonts w:ascii="Times New Roman" w:hAnsi="Times New Roman" w:cs="Times New Roman"/>
          <w:sz w:val="24"/>
          <w:szCs w:val="24"/>
        </w:rPr>
        <w:t xml:space="preserve">, </w:t>
      </w:r>
      <w:r w:rsidRPr="00D61F79">
        <w:rPr>
          <w:rFonts w:ascii="Times New Roman" w:hAnsi="Times New Roman" w:cs="Times New Roman"/>
          <w:i/>
          <w:iCs/>
          <w:sz w:val="24"/>
          <w:szCs w:val="24"/>
        </w:rPr>
        <w:t xml:space="preserve">Holden </w:t>
      </w:r>
      <w:proofErr w:type="spellStart"/>
      <w:r w:rsidRPr="00D61F79">
        <w:rPr>
          <w:rFonts w:ascii="Times New Roman" w:hAnsi="Times New Roman" w:cs="Times New Roman"/>
          <w:i/>
          <w:iCs/>
          <w:sz w:val="24"/>
          <w:szCs w:val="24"/>
        </w:rPr>
        <w:t>Thorp</w:t>
      </w:r>
      <w:proofErr w:type="spellEnd"/>
      <w:r w:rsidRPr="00B74FFC">
        <w:rPr>
          <w:rFonts w:ascii="Times New Roman" w:hAnsi="Times New Roman" w:cs="Times New Roman"/>
          <w:sz w:val="24"/>
          <w:szCs w:val="24"/>
        </w:rPr>
        <w:t>, ha dichiarato che questa scoperta «</w:t>
      </w:r>
      <w:r w:rsidRPr="00D61F79">
        <w:rPr>
          <w:rFonts w:ascii="Times New Roman" w:hAnsi="Times New Roman" w:cs="Times New Roman"/>
          <w:i/>
          <w:iCs/>
          <w:sz w:val="24"/>
          <w:szCs w:val="24"/>
        </w:rPr>
        <w:t xml:space="preserve">innanzitutto risolve un problema scientifico che resisteva da 50 anni. Poi è una tecnica rivoluzionaria che, come la </w:t>
      </w:r>
      <w:proofErr w:type="spellStart"/>
      <w:r w:rsidRPr="00D61F79">
        <w:rPr>
          <w:rFonts w:ascii="Times New Roman" w:hAnsi="Times New Roman" w:cs="Times New Roman"/>
          <w:i/>
          <w:iCs/>
          <w:sz w:val="24"/>
          <w:szCs w:val="24"/>
        </w:rPr>
        <w:t>Crispr</w:t>
      </w:r>
      <w:proofErr w:type="spellEnd"/>
      <w:r w:rsidRPr="00D61F79">
        <w:rPr>
          <w:rFonts w:ascii="Times New Roman" w:hAnsi="Times New Roman" w:cs="Times New Roman"/>
          <w:i/>
          <w:iCs/>
          <w:sz w:val="24"/>
          <w:szCs w:val="24"/>
        </w:rPr>
        <w:t xml:space="preserve"> o la microscopia crioelettronica, imprimerà una forte accelerazione alle scoperte scientifiche</w:t>
      </w:r>
      <w:r w:rsidRPr="00B74FFC">
        <w:rPr>
          <w:rFonts w:ascii="Times New Roman" w:hAnsi="Times New Roman" w:cs="Times New Roman"/>
          <w:sz w:val="24"/>
          <w:szCs w:val="24"/>
        </w:rPr>
        <w:t xml:space="preserve">». Prima dell’avvento dell’IA, determinare la struttura di una proteina era un compito complesso. Comunque, la svolta decisiva è arrivata l’estate scorsa da parte di due gruppi di ricerca che hanno condiviso i propri risultati con la comunità scientifica. È stato prima il turno di uno studio pubblicato su </w:t>
      </w:r>
      <w:r w:rsidRPr="00D61F79">
        <w:rPr>
          <w:rFonts w:ascii="Times New Roman" w:hAnsi="Times New Roman" w:cs="Times New Roman"/>
          <w:i/>
          <w:iCs/>
          <w:sz w:val="24"/>
          <w:szCs w:val="24"/>
        </w:rPr>
        <w:t>Nature</w:t>
      </w:r>
      <w:r w:rsidRPr="00B74FFC">
        <w:rPr>
          <w:rFonts w:ascii="Times New Roman" w:hAnsi="Times New Roman" w:cs="Times New Roman"/>
          <w:sz w:val="24"/>
          <w:szCs w:val="24"/>
        </w:rPr>
        <w:t xml:space="preserve"> e guidato da </w:t>
      </w:r>
      <w:r w:rsidRPr="00D61F79">
        <w:rPr>
          <w:rFonts w:ascii="Times New Roman" w:hAnsi="Times New Roman" w:cs="Times New Roman"/>
          <w:i/>
          <w:iCs/>
          <w:sz w:val="24"/>
          <w:szCs w:val="24"/>
        </w:rPr>
        <w:t>David Baker</w:t>
      </w:r>
      <w:r w:rsidRPr="00B74FFC">
        <w:rPr>
          <w:rFonts w:ascii="Times New Roman" w:hAnsi="Times New Roman" w:cs="Times New Roman"/>
          <w:sz w:val="24"/>
          <w:szCs w:val="24"/>
        </w:rPr>
        <w:t xml:space="preserve"> dell’Università di </w:t>
      </w:r>
      <w:r w:rsidRPr="00D61F79">
        <w:rPr>
          <w:rFonts w:ascii="Times New Roman" w:hAnsi="Times New Roman" w:cs="Times New Roman"/>
          <w:i/>
          <w:iCs/>
          <w:sz w:val="24"/>
          <w:szCs w:val="24"/>
        </w:rPr>
        <w:t>Washington</w:t>
      </w:r>
      <w:r w:rsidRPr="00B74FFC">
        <w:rPr>
          <w:rFonts w:ascii="Times New Roman" w:hAnsi="Times New Roman" w:cs="Times New Roman"/>
          <w:sz w:val="24"/>
          <w:szCs w:val="24"/>
        </w:rPr>
        <w:t xml:space="preserve">: </w:t>
      </w:r>
      <w:proofErr w:type="spellStart"/>
      <w:r w:rsidRPr="00D61F79">
        <w:rPr>
          <w:rFonts w:ascii="Times New Roman" w:hAnsi="Times New Roman" w:cs="Times New Roman"/>
          <w:i/>
          <w:iCs/>
          <w:sz w:val="24"/>
          <w:szCs w:val="24"/>
        </w:rPr>
        <w:t>RoseTTAFold</w:t>
      </w:r>
      <w:proofErr w:type="spellEnd"/>
      <w:r w:rsidRPr="00D61F79">
        <w:rPr>
          <w:rFonts w:ascii="Times New Roman" w:hAnsi="Times New Roman" w:cs="Times New Roman"/>
          <w:i/>
          <w:iCs/>
          <w:sz w:val="24"/>
          <w:szCs w:val="24"/>
        </w:rPr>
        <w:t xml:space="preserve"> </w:t>
      </w:r>
      <w:r w:rsidRPr="00B74FFC">
        <w:rPr>
          <w:rFonts w:ascii="Times New Roman" w:hAnsi="Times New Roman" w:cs="Times New Roman"/>
          <w:sz w:val="24"/>
          <w:szCs w:val="24"/>
        </w:rPr>
        <w:t xml:space="preserve">ha risolto la struttura di centinaia di proteine note per essere bersagli di farmaci di uso comune. Poi è arrivata la pubblicazione su </w:t>
      </w:r>
      <w:r w:rsidRPr="00D61F79">
        <w:rPr>
          <w:rFonts w:ascii="Times New Roman" w:hAnsi="Times New Roman" w:cs="Times New Roman"/>
          <w:i/>
          <w:iCs/>
          <w:sz w:val="24"/>
          <w:szCs w:val="24"/>
        </w:rPr>
        <w:t>Science</w:t>
      </w:r>
      <w:r w:rsidRPr="00B74FFC">
        <w:rPr>
          <w:rFonts w:ascii="Times New Roman" w:hAnsi="Times New Roman" w:cs="Times New Roman"/>
          <w:sz w:val="24"/>
          <w:szCs w:val="24"/>
        </w:rPr>
        <w:t xml:space="preserve"> dello studio condotto dall’azienda britannica </w:t>
      </w:r>
      <w:proofErr w:type="spellStart"/>
      <w:r w:rsidRPr="00D61F79">
        <w:rPr>
          <w:rFonts w:ascii="Times New Roman" w:hAnsi="Times New Roman" w:cs="Times New Roman"/>
          <w:i/>
          <w:iCs/>
          <w:sz w:val="24"/>
          <w:szCs w:val="24"/>
        </w:rPr>
        <w:t>DeepMind</w:t>
      </w:r>
      <w:proofErr w:type="spellEnd"/>
      <w:r w:rsidRPr="00B74FFC">
        <w:rPr>
          <w:rFonts w:ascii="Times New Roman" w:hAnsi="Times New Roman" w:cs="Times New Roman"/>
          <w:sz w:val="24"/>
          <w:szCs w:val="24"/>
        </w:rPr>
        <w:t xml:space="preserve"> di </w:t>
      </w:r>
      <w:r w:rsidRPr="00D61F79">
        <w:rPr>
          <w:rFonts w:ascii="Times New Roman" w:hAnsi="Times New Roman" w:cs="Times New Roman"/>
          <w:i/>
          <w:iCs/>
          <w:sz w:val="24"/>
          <w:szCs w:val="24"/>
        </w:rPr>
        <w:t>Google</w:t>
      </w:r>
      <w:r w:rsidRPr="00B74FFC">
        <w:rPr>
          <w:rFonts w:ascii="Times New Roman" w:hAnsi="Times New Roman" w:cs="Times New Roman"/>
          <w:sz w:val="24"/>
          <w:szCs w:val="24"/>
        </w:rPr>
        <w:t>: l’azienda ha risolto la struttura di 350.000 proteine umane.</w:t>
      </w:r>
    </w:p>
  </w:footnote>
  <w:footnote w:id="86">
    <w:p w14:paraId="24B984DB" w14:textId="063C36F0" w:rsidR="000463A6" w:rsidRPr="0098307A" w:rsidRDefault="000463A6" w:rsidP="0098307A">
      <w:pPr>
        <w:pStyle w:val="Testonotaapidipagina"/>
        <w:jc w:val="both"/>
        <w:rPr>
          <w:rFonts w:ascii="Times New Roman" w:hAnsi="Times New Roman" w:cs="Times New Roman"/>
          <w:i/>
          <w:iCs/>
          <w:sz w:val="24"/>
          <w:szCs w:val="24"/>
        </w:rPr>
      </w:pPr>
      <w:r w:rsidRPr="0098307A">
        <w:rPr>
          <w:rStyle w:val="Rimandonotaapidipagina"/>
          <w:rFonts w:ascii="Times New Roman" w:hAnsi="Times New Roman" w:cs="Times New Roman"/>
          <w:sz w:val="24"/>
          <w:szCs w:val="24"/>
        </w:rPr>
        <w:footnoteRef/>
      </w:r>
      <w:r w:rsidRPr="0098307A">
        <w:rPr>
          <w:rFonts w:ascii="Times New Roman" w:hAnsi="Times New Roman" w:cs="Times New Roman"/>
          <w:sz w:val="24"/>
          <w:szCs w:val="24"/>
        </w:rPr>
        <w:t xml:space="preserve"> Art. 110 GDPR (Ricerca medica, biomedica ed epidemiologica): </w:t>
      </w:r>
      <w:r>
        <w:rPr>
          <w:rFonts w:ascii="Times New Roman" w:hAnsi="Times New Roman" w:cs="Times New Roman"/>
          <w:sz w:val="24"/>
          <w:szCs w:val="24"/>
        </w:rPr>
        <w:t>“</w:t>
      </w:r>
      <w:r w:rsidRPr="0098307A">
        <w:rPr>
          <w:rFonts w:ascii="Times New Roman" w:hAnsi="Times New Roman" w:cs="Times New Roman"/>
          <w:i/>
          <w:iCs/>
          <w:sz w:val="24"/>
          <w:szCs w:val="24"/>
        </w:rPr>
        <w:t>1. Il consenso dell'interessato per il trattamento dei dati relativi alla salute, a fini di ricerca scientifica in campo medico, biomedico o epidemiologico, non è necessario quando la ricerca è effettuata in base a disposizioni di legge o di regolamento o al diritto dell'Unione europea in conformità all'articolo 9, paragrafo 2, lettera j), del Regolamento, ivi incluso il caso in cui la ricerca rientra in un programma di ricerca biomedica o sanitaria previsto ai sensi dell'articolo 12-bis del decreto legislativo 30 dicembre 1992, n. 502, ed è condotta e resa pubblica una valutazione d'impatto ai sensi degli articoli 35 e 36 del Regolamento. Il consenso non è inoltre necessario quando, a causa di particolari ragioni, informare gli interessati risulta impossibile o implica uno sforzo sproporzionato, oppure rischia di rendere impossibile o di pregiudicare gravemente il conseguimento delle finalità della ricerca. In tali casi, il titolare del trattamento adotta misure appropriate per tutelare i diritti, le libertà e i legittimi interessi dell'interessato, il programma di ricerca è oggetto di motivato parere favorevole del competente comitato etico a livello territoriale e deve essere sottoposto a preventiva consultazione del Garante ai sensi dell'articolo 36 del Regolamento.</w:t>
      </w:r>
    </w:p>
    <w:p w14:paraId="5CBB53F6" w14:textId="4A214648" w:rsidR="000463A6" w:rsidRPr="0098307A" w:rsidRDefault="000463A6" w:rsidP="0098307A">
      <w:pPr>
        <w:pStyle w:val="Testonotaapidipagina"/>
        <w:jc w:val="both"/>
        <w:rPr>
          <w:rFonts w:ascii="Times New Roman" w:hAnsi="Times New Roman" w:cs="Times New Roman"/>
          <w:sz w:val="24"/>
          <w:szCs w:val="24"/>
        </w:rPr>
      </w:pPr>
      <w:r w:rsidRPr="0098307A">
        <w:rPr>
          <w:rFonts w:ascii="Times New Roman" w:hAnsi="Times New Roman" w:cs="Times New Roman"/>
          <w:i/>
          <w:iCs/>
          <w:sz w:val="24"/>
          <w:szCs w:val="24"/>
        </w:rPr>
        <w:t>2. In caso di esercizio dei diritti dell'interessato ai sensi dell'articolo 16 del regolamento nei riguardi dei trattamenti di cui al comma 1, la rettificazione e l'integrazione dei dati sono annotati senza modificare questi ultimi, quando il risultato di tali operazioni non produce effetti significativi sul risultato della ricerca</w:t>
      </w:r>
      <w:r w:rsidRPr="0098307A">
        <w:rPr>
          <w:rFonts w:ascii="Times New Roman" w:hAnsi="Times New Roman" w:cs="Times New Roman"/>
          <w:sz w:val="24"/>
          <w:szCs w:val="24"/>
        </w:rPr>
        <w:t>.”</w:t>
      </w:r>
    </w:p>
    <w:p w14:paraId="35C37D8F" w14:textId="649305BE" w:rsidR="000463A6" w:rsidRPr="0098307A" w:rsidRDefault="000463A6" w:rsidP="0098307A">
      <w:pPr>
        <w:pStyle w:val="Testonotaapidipagina"/>
        <w:jc w:val="both"/>
        <w:rPr>
          <w:rFonts w:ascii="Times New Roman" w:hAnsi="Times New Roman" w:cs="Times New Roman"/>
          <w:i/>
          <w:iCs/>
          <w:sz w:val="24"/>
          <w:szCs w:val="24"/>
        </w:rPr>
      </w:pPr>
      <w:r w:rsidRPr="0098307A">
        <w:rPr>
          <w:rFonts w:ascii="Times New Roman" w:hAnsi="Times New Roman" w:cs="Times New Roman"/>
          <w:sz w:val="24"/>
          <w:szCs w:val="24"/>
        </w:rPr>
        <w:t>Art. 110</w:t>
      </w:r>
      <w:r>
        <w:rPr>
          <w:rFonts w:ascii="Times New Roman" w:hAnsi="Times New Roman" w:cs="Times New Roman"/>
          <w:sz w:val="24"/>
          <w:szCs w:val="24"/>
        </w:rPr>
        <w:t>-</w:t>
      </w:r>
      <w:r w:rsidRPr="0098307A">
        <w:rPr>
          <w:rFonts w:ascii="Times New Roman" w:hAnsi="Times New Roman" w:cs="Times New Roman"/>
          <w:sz w:val="24"/>
          <w:szCs w:val="24"/>
        </w:rPr>
        <w:t>bis GDPR (Trattamento ulteriore da parte di terzi dei dati personali a fini di ricerca scientifica o a fini statistici)</w:t>
      </w:r>
      <w:r>
        <w:rPr>
          <w:rFonts w:ascii="Times New Roman" w:hAnsi="Times New Roman" w:cs="Times New Roman"/>
          <w:sz w:val="24"/>
          <w:szCs w:val="24"/>
        </w:rPr>
        <w:t>: “</w:t>
      </w:r>
      <w:r w:rsidRPr="0098307A">
        <w:rPr>
          <w:rFonts w:ascii="Times New Roman" w:hAnsi="Times New Roman" w:cs="Times New Roman"/>
          <w:i/>
          <w:iCs/>
          <w:sz w:val="24"/>
          <w:szCs w:val="24"/>
        </w:rPr>
        <w:t xml:space="preserve">1. Il Garante può autorizzare il trattamento ulteriore di dati personali, compresi quelli dei trattamenti speciali di cui all'articolo 9 del Regolamento, a fini di ricerca scientifica o a fini statistici da parte di soggetti terzi che svolgano principalmente tali attività quando, a causa di particolari ragioni, informare gli interessati risulta impossibile o implica uno sforzo sproporzionato, oppure rischia di rendere impossibile o di pregiudicare gravemente il conseguimento delle finalità della ricerca, a condizione che siano adottate misure appropriate per tutelare i diritti, le libertà e i legittimi interessi dell'interessato, in conformità all'articolo 89 del Regolamento, comprese forme preventive di minimizzazione e di </w:t>
      </w:r>
      <w:proofErr w:type="spellStart"/>
      <w:r w:rsidRPr="0098307A">
        <w:rPr>
          <w:rFonts w:ascii="Times New Roman" w:hAnsi="Times New Roman" w:cs="Times New Roman"/>
          <w:i/>
          <w:iCs/>
          <w:sz w:val="24"/>
          <w:szCs w:val="24"/>
        </w:rPr>
        <w:t>anonimizzazione</w:t>
      </w:r>
      <w:proofErr w:type="spellEnd"/>
      <w:r w:rsidRPr="0098307A">
        <w:rPr>
          <w:rFonts w:ascii="Times New Roman" w:hAnsi="Times New Roman" w:cs="Times New Roman"/>
          <w:i/>
          <w:iCs/>
          <w:sz w:val="24"/>
          <w:szCs w:val="24"/>
        </w:rPr>
        <w:t xml:space="preserve"> dei dati.</w:t>
      </w:r>
    </w:p>
    <w:p w14:paraId="27B49750" w14:textId="77777777" w:rsidR="000463A6" w:rsidRPr="0098307A" w:rsidRDefault="000463A6" w:rsidP="0098307A">
      <w:pPr>
        <w:pStyle w:val="Testonotaapidipagina"/>
        <w:jc w:val="both"/>
        <w:rPr>
          <w:rFonts w:ascii="Times New Roman" w:hAnsi="Times New Roman" w:cs="Times New Roman"/>
          <w:i/>
          <w:iCs/>
          <w:sz w:val="24"/>
          <w:szCs w:val="24"/>
        </w:rPr>
      </w:pPr>
      <w:r w:rsidRPr="0098307A">
        <w:rPr>
          <w:rFonts w:ascii="Times New Roman" w:hAnsi="Times New Roman" w:cs="Times New Roman"/>
          <w:i/>
          <w:iCs/>
          <w:sz w:val="24"/>
          <w:szCs w:val="24"/>
        </w:rPr>
        <w:t>2. Il Garante comunica la decisione adottata sulla richiesta di autorizzazione entro quarantacinque giorni, decorsi i quali la mancata pronuncia equivale a rigetto. Con il provvedimento di autorizzazione o anche successivamente, sulla base di eventuali verifiche, il Garante stabilisce le condizioni e le misure necessarie ad assicurare adeguate garanzie a tutela degli interessati nell'ambito del trattamento ulteriore dei dati personali da parte di terzi, anche sotto il profilo della loro sicurezza.</w:t>
      </w:r>
    </w:p>
    <w:p w14:paraId="561DB306" w14:textId="77777777" w:rsidR="000463A6" w:rsidRPr="0098307A" w:rsidRDefault="000463A6" w:rsidP="0098307A">
      <w:pPr>
        <w:pStyle w:val="Testonotaapidipagina"/>
        <w:jc w:val="both"/>
        <w:rPr>
          <w:rFonts w:ascii="Times New Roman" w:hAnsi="Times New Roman" w:cs="Times New Roman"/>
          <w:i/>
          <w:iCs/>
          <w:sz w:val="24"/>
          <w:szCs w:val="24"/>
        </w:rPr>
      </w:pPr>
      <w:r w:rsidRPr="0098307A">
        <w:rPr>
          <w:rFonts w:ascii="Times New Roman" w:hAnsi="Times New Roman" w:cs="Times New Roman"/>
          <w:i/>
          <w:iCs/>
          <w:sz w:val="24"/>
          <w:szCs w:val="24"/>
        </w:rPr>
        <w:t>3. Il trattamento ulteriore di dati personali da parte di terzi per le finalità di cui al presente articolo può essere autorizzato dal Garante anche mediante provvedimenti generali, adottati d'ufficio e anche in relazione a determinate categorie di titolari e di trattamenti, con i quali sono stabilite le condizioni dell'ulteriore trattamento e prescritte le misure necessarie per assicurare adeguate garanzie a tutela degli interessati. I provvedimenti adottati a norma del presente comma sono pubblicati nella Gazzetta Ufficiale della Repubblica italiana.</w:t>
      </w:r>
    </w:p>
    <w:p w14:paraId="63362009" w14:textId="6A077CBD" w:rsidR="000463A6" w:rsidRPr="0098307A" w:rsidRDefault="000463A6" w:rsidP="0098307A">
      <w:pPr>
        <w:pStyle w:val="Testonotaapidipagina"/>
        <w:jc w:val="both"/>
      </w:pPr>
      <w:r w:rsidRPr="0098307A">
        <w:rPr>
          <w:rFonts w:ascii="Times New Roman" w:hAnsi="Times New Roman" w:cs="Times New Roman"/>
          <w:i/>
          <w:iCs/>
          <w:sz w:val="24"/>
          <w:szCs w:val="24"/>
        </w:rPr>
        <w:t xml:space="preserve">4. Non costituisce trattamento ulteriore da parte di terzi il trattamento dei dati personali raccolti per l'attività clinica, a fini di ricerca, da parte degli Istituti di ricovero e cura a carattere scientifico, pubblici e privati, in ragione del carattere strumentale dell'attività di assistenza sanitaria svolta dai </w:t>
      </w:r>
      <w:proofErr w:type="gramStart"/>
      <w:r w:rsidRPr="0098307A">
        <w:rPr>
          <w:rFonts w:ascii="Times New Roman" w:hAnsi="Times New Roman" w:cs="Times New Roman"/>
          <w:i/>
          <w:iCs/>
          <w:sz w:val="24"/>
          <w:szCs w:val="24"/>
        </w:rPr>
        <w:t>predetti</w:t>
      </w:r>
      <w:proofErr w:type="gramEnd"/>
      <w:r w:rsidRPr="0098307A">
        <w:rPr>
          <w:rFonts w:ascii="Times New Roman" w:hAnsi="Times New Roman" w:cs="Times New Roman"/>
          <w:i/>
          <w:iCs/>
          <w:sz w:val="24"/>
          <w:szCs w:val="24"/>
        </w:rPr>
        <w:t xml:space="preserve"> istituti rispetto alla ricerca, nell'osservanza di quanto previsto dall'articolo 89 del Regolamento</w:t>
      </w:r>
      <w:r w:rsidRPr="0098307A">
        <w:rPr>
          <w:rFonts w:ascii="Times New Roman" w:hAnsi="Times New Roman" w:cs="Times New Roman"/>
          <w:sz w:val="24"/>
          <w:szCs w:val="24"/>
        </w:rPr>
        <w:t>.</w:t>
      </w:r>
      <w:r>
        <w:rPr>
          <w:rFonts w:ascii="Times New Roman" w:hAnsi="Times New Roman" w:cs="Times New Roman"/>
          <w:sz w:val="24"/>
          <w:szCs w:val="24"/>
        </w:rPr>
        <w:t>”</w:t>
      </w:r>
    </w:p>
  </w:footnote>
  <w:footnote w:id="87">
    <w:p w14:paraId="0D316D25" w14:textId="017B8294" w:rsidR="000463A6" w:rsidRPr="00FF0DB9" w:rsidRDefault="000463A6" w:rsidP="00B41031">
      <w:pPr>
        <w:pStyle w:val="Testonotaapidipagina"/>
        <w:jc w:val="both"/>
        <w:rPr>
          <w:rFonts w:ascii="Times New Roman" w:hAnsi="Times New Roman" w:cs="Times New Roman"/>
          <w:sz w:val="24"/>
          <w:szCs w:val="24"/>
        </w:rPr>
      </w:pPr>
      <w:r w:rsidRPr="00FF0DB9">
        <w:rPr>
          <w:rStyle w:val="Rimandonotaapidipagina"/>
          <w:rFonts w:ascii="Times New Roman" w:hAnsi="Times New Roman" w:cs="Times New Roman"/>
          <w:sz w:val="24"/>
          <w:szCs w:val="24"/>
        </w:rPr>
        <w:footnoteRef/>
      </w:r>
      <w:r w:rsidRPr="00FF0DB9">
        <w:rPr>
          <w:rFonts w:ascii="Times New Roman" w:hAnsi="Times New Roman" w:cs="Times New Roman"/>
          <w:sz w:val="24"/>
          <w:szCs w:val="24"/>
        </w:rPr>
        <w:t xml:space="preserve"> Consultabile su </w:t>
      </w:r>
      <w:hyperlink r:id="rId15" w:history="1">
        <w:r w:rsidRPr="00FF0DB9">
          <w:rPr>
            <w:rStyle w:val="Collegamentoipertestuale"/>
            <w:rFonts w:ascii="Times New Roman" w:hAnsi="Times New Roman" w:cs="Times New Roman"/>
            <w:sz w:val="24"/>
            <w:szCs w:val="24"/>
          </w:rPr>
          <w:t>https://www.biodiritto.org/Biolaw-pedia/Docs/OMS-Ethics-ad-Governance-of-Artificial-Intelligence-for-Health-WHO-Guidance</w:t>
        </w:r>
      </w:hyperlink>
      <w:r w:rsidRPr="00FF0DB9">
        <w:rPr>
          <w:rFonts w:ascii="Times New Roman" w:hAnsi="Times New Roman" w:cs="Times New Roman"/>
          <w:sz w:val="24"/>
          <w:szCs w:val="24"/>
        </w:rPr>
        <w:t>.</w:t>
      </w:r>
    </w:p>
  </w:footnote>
  <w:footnote w:id="88">
    <w:p w14:paraId="27F21F3F" w14:textId="012FA1CB" w:rsidR="000463A6" w:rsidRPr="008147CD" w:rsidRDefault="000463A6" w:rsidP="00880B0F">
      <w:pPr>
        <w:pStyle w:val="Testonotaapidipagina"/>
        <w:jc w:val="both"/>
        <w:rPr>
          <w:rFonts w:ascii="Times New Roman" w:hAnsi="Times New Roman" w:cs="Times New Roman"/>
          <w:sz w:val="24"/>
          <w:szCs w:val="24"/>
        </w:rPr>
      </w:pPr>
      <w:r w:rsidRPr="00880B0F">
        <w:rPr>
          <w:rStyle w:val="Rimandonotaapidipagina"/>
          <w:rFonts w:ascii="Times New Roman" w:hAnsi="Times New Roman" w:cs="Times New Roman"/>
          <w:sz w:val="24"/>
          <w:szCs w:val="24"/>
        </w:rPr>
        <w:footnoteRef/>
      </w:r>
      <w:r w:rsidRPr="00880B0F">
        <w:rPr>
          <w:rFonts w:ascii="Times New Roman" w:hAnsi="Times New Roman" w:cs="Times New Roman"/>
          <w:sz w:val="24"/>
          <w:szCs w:val="24"/>
        </w:rPr>
        <w:t xml:space="preserve"> Interessante il recente caso in cui è intervenuta la Procura di Milano, che ha ordinato a </w:t>
      </w:r>
      <w:proofErr w:type="spellStart"/>
      <w:r w:rsidRPr="00880B0F">
        <w:rPr>
          <w:rFonts w:ascii="Times New Roman" w:hAnsi="Times New Roman" w:cs="Times New Roman"/>
          <w:i/>
          <w:iCs/>
          <w:sz w:val="24"/>
          <w:szCs w:val="24"/>
        </w:rPr>
        <w:t>Deliveroo</w:t>
      </w:r>
      <w:proofErr w:type="spellEnd"/>
      <w:r w:rsidRPr="00880B0F">
        <w:rPr>
          <w:rFonts w:ascii="Times New Roman" w:hAnsi="Times New Roman" w:cs="Times New Roman"/>
          <w:sz w:val="24"/>
          <w:szCs w:val="24"/>
        </w:rPr>
        <w:t xml:space="preserve"> l’assunzione regolare dei </w:t>
      </w:r>
      <w:proofErr w:type="spellStart"/>
      <w:r w:rsidRPr="00880B0F">
        <w:rPr>
          <w:rFonts w:ascii="Times New Roman" w:hAnsi="Times New Roman" w:cs="Times New Roman"/>
          <w:i/>
          <w:iCs/>
          <w:sz w:val="24"/>
          <w:szCs w:val="24"/>
        </w:rPr>
        <w:t>riders</w:t>
      </w:r>
      <w:proofErr w:type="spellEnd"/>
      <w:r w:rsidRPr="00880B0F">
        <w:rPr>
          <w:rFonts w:ascii="Times New Roman" w:hAnsi="Times New Roman" w:cs="Times New Roman"/>
          <w:sz w:val="24"/>
          <w:szCs w:val="24"/>
        </w:rPr>
        <w:t xml:space="preserve">. Il tema è molto dibattuto, ed è stata da poco presentata dalla Commissione la proposta di direttiva europea che disciplina il lavoro dei </w:t>
      </w:r>
      <w:proofErr w:type="spellStart"/>
      <w:r w:rsidRPr="00880B0F">
        <w:rPr>
          <w:rFonts w:ascii="Times New Roman" w:hAnsi="Times New Roman" w:cs="Times New Roman"/>
          <w:i/>
          <w:iCs/>
          <w:sz w:val="24"/>
          <w:szCs w:val="24"/>
        </w:rPr>
        <w:t>riders</w:t>
      </w:r>
      <w:proofErr w:type="spellEnd"/>
      <w:r w:rsidRPr="00880B0F">
        <w:rPr>
          <w:rFonts w:ascii="Times New Roman" w:hAnsi="Times New Roman" w:cs="Times New Roman"/>
          <w:sz w:val="24"/>
          <w:szCs w:val="24"/>
        </w:rPr>
        <w:t xml:space="preserve"> come lavoro dipendente. Ciò pone fine al contrasto giurisprudenziale italiano in cui si è dibattuto se applicare o no il </w:t>
      </w:r>
      <w:r w:rsidRPr="00880B0F">
        <w:rPr>
          <w:rFonts w:ascii="Times New Roman" w:hAnsi="Times New Roman" w:cs="Times New Roman"/>
          <w:i/>
          <w:iCs/>
          <w:sz w:val="24"/>
          <w:szCs w:val="24"/>
        </w:rPr>
        <w:t xml:space="preserve">Jobs </w:t>
      </w:r>
      <w:proofErr w:type="spellStart"/>
      <w:r w:rsidRPr="00880B0F">
        <w:rPr>
          <w:rFonts w:ascii="Times New Roman" w:hAnsi="Times New Roman" w:cs="Times New Roman"/>
          <w:i/>
          <w:iCs/>
          <w:sz w:val="24"/>
          <w:szCs w:val="24"/>
        </w:rPr>
        <w:t>Act</w:t>
      </w:r>
      <w:proofErr w:type="spellEnd"/>
      <w:r w:rsidRPr="00880B0F">
        <w:rPr>
          <w:rFonts w:ascii="Times New Roman" w:hAnsi="Times New Roman" w:cs="Times New Roman"/>
          <w:sz w:val="24"/>
          <w:szCs w:val="24"/>
        </w:rPr>
        <w:t xml:space="preserve"> a questi lavoratori, che secondo il Tribunale di Milano (sentenza 10.09.2018, n. 1853), andavano considerati collaboratori, mentre secondo la tesi del Tribunale di Palermo (sentenza 24.11.2020, n. 3570), andrebbero inquadrati nel rapporto di lavoro dipendente. Per una accurata sintesi del contrasto giurisprudenziale si veda </w:t>
      </w:r>
      <w:r w:rsidRPr="00880B0F">
        <w:rPr>
          <w:rFonts w:ascii="Times New Roman" w:hAnsi="Times New Roman" w:cs="Times New Roman"/>
          <w:smallCaps/>
          <w:sz w:val="24"/>
          <w:szCs w:val="24"/>
        </w:rPr>
        <w:t xml:space="preserve">F. </w:t>
      </w:r>
      <w:proofErr w:type="spellStart"/>
      <w:r w:rsidRPr="00880B0F">
        <w:rPr>
          <w:rFonts w:ascii="Times New Roman" w:hAnsi="Times New Roman" w:cs="Times New Roman"/>
          <w:smallCaps/>
          <w:sz w:val="24"/>
          <w:szCs w:val="24"/>
        </w:rPr>
        <w:t>Tarsitano</w:t>
      </w:r>
      <w:proofErr w:type="spellEnd"/>
      <w:r w:rsidRPr="00880B0F">
        <w:rPr>
          <w:rFonts w:ascii="Times New Roman" w:hAnsi="Times New Roman" w:cs="Times New Roman"/>
          <w:sz w:val="24"/>
          <w:szCs w:val="24"/>
        </w:rPr>
        <w:t>, “</w:t>
      </w:r>
      <w:r w:rsidRPr="00880B0F">
        <w:rPr>
          <w:rFonts w:ascii="Times New Roman" w:hAnsi="Times New Roman" w:cs="Times New Roman"/>
          <w:i/>
          <w:iCs/>
          <w:sz w:val="24"/>
          <w:szCs w:val="24"/>
        </w:rPr>
        <w:t xml:space="preserve">Il diritto del lavoro alla prova degli algoritmi: la “tappa” della Procura di Milano nella corsa alla tutela dei </w:t>
      </w:r>
      <w:proofErr w:type="spellStart"/>
      <w:r w:rsidRPr="00880B0F">
        <w:rPr>
          <w:rFonts w:ascii="Times New Roman" w:hAnsi="Times New Roman" w:cs="Times New Roman"/>
          <w:i/>
          <w:iCs/>
          <w:sz w:val="24"/>
          <w:szCs w:val="24"/>
        </w:rPr>
        <w:t>riders</w:t>
      </w:r>
      <w:proofErr w:type="spellEnd"/>
      <w:r w:rsidRPr="00880B0F">
        <w:rPr>
          <w:rFonts w:ascii="Times New Roman" w:hAnsi="Times New Roman" w:cs="Times New Roman"/>
          <w:sz w:val="24"/>
          <w:szCs w:val="24"/>
        </w:rPr>
        <w:t xml:space="preserve">”, su </w:t>
      </w:r>
      <w:r w:rsidRPr="005811C1">
        <w:rPr>
          <w:rFonts w:ascii="Times New Roman" w:hAnsi="Times New Roman" w:cs="Times New Roman"/>
          <w:i/>
          <w:iCs/>
          <w:sz w:val="24"/>
          <w:szCs w:val="24"/>
        </w:rPr>
        <w:t>quotidianogiuridico.it</w:t>
      </w:r>
      <w:r w:rsidRPr="00880B0F">
        <w:rPr>
          <w:rFonts w:ascii="Times New Roman" w:hAnsi="Times New Roman" w:cs="Times New Roman"/>
          <w:sz w:val="24"/>
          <w:szCs w:val="24"/>
        </w:rPr>
        <w:t xml:space="preserve">, </w:t>
      </w:r>
      <w:proofErr w:type="gramStart"/>
      <w:r w:rsidRPr="00880B0F">
        <w:rPr>
          <w:rFonts w:ascii="Times New Roman" w:hAnsi="Times New Roman" w:cs="Times New Roman"/>
          <w:sz w:val="24"/>
          <w:szCs w:val="24"/>
        </w:rPr>
        <w:t>Marzo</w:t>
      </w:r>
      <w:proofErr w:type="gramEnd"/>
      <w:r w:rsidRPr="00880B0F">
        <w:rPr>
          <w:rFonts w:ascii="Times New Roman" w:hAnsi="Times New Roman" w:cs="Times New Roman"/>
          <w:sz w:val="24"/>
          <w:szCs w:val="24"/>
        </w:rPr>
        <w:t xml:space="preserve"> 2021.</w:t>
      </w:r>
      <w:r w:rsidRPr="008147CD">
        <w:rPr>
          <w:rFonts w:ascii="Times New Roman" w:hAnsi="Times New Roman" w:cs="Times New Roman"/>
          <w:sz w:val="24"/>
          <w:szCs w:val="24"/>
        </w:rPr>
        <w:t xml:space="preserve"> </w:t>
      </w:r>
      <w:r>
        <w:rPr>
          <w:rFonts w:ascii="Times New Roman" w:hAnsi="Times New Roman" w:cs="Times New Roman"/>
          <w:sz w:val="24"/>
          <w:szCs w:val="24"/>
        </w:rPr>
        <w:t>Dall’analisi dei dati è emerso</w:t>
      </w:r>
      <w:r w:rsidRPr="00CD4778">
        <w:rPr>
          <w:rFonts w:ascii="Times New Roman" w:hAnsi="Times New Roman" w:cs="Times New Roman"/>
          <w:sz w:val="24"/>
          <w:szCs w:val="24"/>
        </w:rPr>
        <w:t xml:space="preserve"> </w:t>
      </w:r>
      <w:r>
        <w:rPr>
          <w:rFonts w:ascii="Times New Roman" w:hAnsi="Times New Roman" w:cs="Times New Roman"/>
          <w:sz w:val="24"/>
          <w:szCs w:val="24"/>
        </w:rPr>
        <w:t>che c</w:t>
      </w:r>
      <w:r w:rsidRPr="00CD4778">
        <w:rPr>
          <w:rFonts w:ascii="Times New Roman" w:hAnsi="Times New Roman" w:cs="Times New Roman"/>
          <w:sz w:val="24"/>
          <w:szCs w:val="24"/>
        </w:rPr>
        <w:t xml:space="preserve">irca 28 milioni di persone in Europa lavorano per le piattaforme digitali, da quelle del </w:t>
      </w:r>
      <w:proofErr w:type="spellStart"/>
      <w:r w:rsidRPr="00CD4778">
        <w:rPr>
          <w:rFonts w:ascii="Times New Roman" w:hAnsi="Times New Roman" w:cs="Times New Roman"/>
          <w:sz w:val="24"/>
          <w:szCs w:val="24"/>
        </w:rPr>
        <w:t>food</w:t>
      </w:r>
      <w:proofErr w:type="spellEnd"/>
      <w:r w:rsidRPr="00CD4778">
        <w:rPr>
          <w:rFonts w:ascii="Times New Roman" w:hAnsi="Times New Roman" w:cs="Times New Roman"/>
          <w:sz w:val="24"/>
          <w:szCs w:val="24"/>
        </w:rPr>
        <w:t xml:space="preserve"> delivery a </w:t>
      </w:r>
      <w:proofErr w:type="spellStart"/>
      <w:r w:rsidRPr="00CD4778">
        <w:rPr>
          <w:rFonts w:ascii="Times New Roman" w:hAnsi="Times New Roman" w:cs="Times New Roman"/>
          <w:sz w:val="24"/>
          <w:szCs w:val="24"/>
        </w:rPr>
        <w:t>Uber</w:t>
      </w:r>
      <w:proofErr w:type="spellEnd"/>
      <w:r>
        <w:rPr>
          <w:rFonts w:ascii="Times New Roman" w:hAnsi="Times New Roman" w:cs="Times New Roman"/>
          <w:sz w:val="24"/>
          <w:szCs w:val="24"/>
        </w:rPr>
        <w:t>.</w:t>
      </w:r>
      <w:r w:rsidRPr="00CD4778">
        <w:rPr>
          <w:rFonts w:ascii="Times New Roman" w:hAnsi="Times New Roman" w:cs="Times New Roman"/>
          <w:sz w:val="24"/>
          <w:szCs w:val="24"/>
        </w:rPr>
        <w:t xml:space="preserve"> </w:t>
      </w:r>
      <w:r>
        <w:rPr>
          <w:rFonts w:ascii="Times New Roman" w:hAnsi="Times New Roman" w:cs="Times New Roman"/>
          <w:sz w:val="24"/>
          <w:szCs w:val="24"/>
        </w:rPr>
        <w:t>Se è vero che il</w:t>
      </w:r>
      <w:r w:rsidRPr="00CD4778">
        <w:rPr>
          <w:rFonts w:ascii="Times New Roman" w:hAnsi="Times New Roman" w:cs="Times New Roman"/>
          <w:sz w:val="24"/>
          <w:szCs w:val="24"/>
        </w:rPr>
        <w:t xml:space="preserve"> 90% è inquadrato come autonomo, </w:t>
      </w:r>
      <w:r>
        <w:rPr>
          <w:rFonts w:ascii="Times New Roman" w:hAnsi="Times New Roman" w:cs="Times New Roman"/>
          <w:sz w:val="24"/>
          <w:szCs w:val="24"/>
        </w:rPr>
        <w:t>è anche vero che almeno</w:t>
      </w:r>
      <w:r w:rsidRPr="00CD4778">
        <w:rPr>
          <w:rFonts w:ascii="Times New Roman" w:hAnsi="Times New Roman" w:cs="Times New Roman"/>
          <w:sz w:val="24"/>
          <w:szCs w:val="24"/>
        </w:rPr>
        <w:t xml:space="preserve"> 5,5 milioni avrebbero le caratteristiche per essere considerati dipendenti</w:t>
      </w:r>
      <w:r w:rsidRPr="00AB0367">
        <w:rPr>
          <w:rFonts w:ascii="Times New Roman" w:hAnsi="Times New Roman" w:cs="Times New Roman"/>
          <w:sz w:val="24"/>
          <w:szCs w:val="24"/>
        </w:rPr>
        <w:t xml:space="preserve"> </w:t>
      </w:r>
      <w:r w:rsidRPr="00CD4778">
        <w:rPr>
          <w:rFonts w:ascii="Times New Roman" w:hAnsi="Times New Roman" w:cs="Times New Roman"/>
          <w:sz w:val="24"/>
          <w:szCs w:val="24"/>
        </w:rPr>
        <w:t xml:space="preserve">a tutti gli effetti. </w:t>
      </w:r>
      <w:r>
        <w:rPr>
          <w:rFonts w:ascii="Times New Roman" w:hAnsi="Times New Roman" w:cs="Times New Roman"/>
          <w:sz w:val="24"/>
          <w:szCs w:val="24"/>
        </w:rPr>
        <w:t>Ecco che l’</w:t>
      </w:r>
      <w:r w:rsidRPr="00CD4778">
        <w:rPr>
          <w:rFonts w:ascii="Times New Roman" w:hAnsi="Times New Roman" w:cs="Times New Roman"/>
          <w:sz w:val="24"/>
          <w:szCs w:val="24"/>
        </w:rPr>
        <w:t xml:space="preserve">8 dicembre 2021 l’esecutivo </w:t>
      </w:r>
      <w:r>
        <w:rPr>
          <w:rFonts w:ascii="Times New Roman" w:hAnsi="Times New Roman" w:cs="Times New Roman"/>
          <w:sz w:val="24"/>
          <w:szCs w:val="24"/>
        </w:rPr>
        <w:t>dell’Unione Europea</w:t>
      </w:r>
      <w:r w:rsidRPr="00CD4778">
        <w:rPr>
          <w:rFonts w:ascii="Times New Roman" w:hAnsi="Times New Roman" w:cs="Times New Roman"/>
          <w:sz w:val="24"/>
          <w:szCs w:val="24"/>
        </w:rPr>
        <w:t xml:space="preserve"> ha approvato un pacchetto di misure, in cui vi è </w:t>
      </w:r>
      <w:r>
        <w:rPr>
          <w:rFonts w:ascii="Times New Roman" w:hAnsi="Times New Roman" w:cs="Times New Roman"/>
          <w:sz w:val="24"/>
          <w:szCs w:val="24"/>
        </w:rPr>
        <w:t>la</w:t>
      </w:r>
      <w:r w:rsidRPr="00CD4778">
        <w:rPr>
          <w:rFonts w:ascii="Times New Roman" w:hAnsi="Times New Roman" w:cs="Times New Roman"/>
          <w:sz w:val="24"/>
          <w:szCs w:val="24"/>
        </w:rPr>
        <w:t xml:space="preserve"> proposta di una direttiva</w:t>
      </w:r>
      <w:r>
        <w:rPr>
          <w:rFonts w:ascii="Times New Roman" w:hAnsi="Times New Roman" w:cs="Times New Roman"/>
          <w:sz w:val="24"/>
          <w:szCs w:val="24"/>
        </w:rPr>
        <w:t xml:space="preserve">, volta ad </w:t>
      </w:r>
      <w:r w:rsidRPr="00CD4778">
        <w:rPr>
          <w:rFonts w:ascii="Times New Roman" w:hAnsi="Times New Roman" w:cs="Times New Roman"/>
          <w:sz w:val="24"/>
          <w:szCs w:val="24"/>
        </w:rPr>
        <w:t>aumentare le tutele</w:t>
      </w:r>
      <w:r>
        <w:rPr>
          <w:rFonts w:ascii="Times New Roman" w:hAnsi="Times New Roman" w:cs="Times New Roman"/>
          <w:sz w:val="24"/>
          <w:szCs w:val="24"/>
        </w:rPr>
        <w:t>, s</w:t>
      </w:r>
      <w:r w:rsidRPr="00880B0F">
        <w:rPr>
          <w:rFonts w:ascii="Times New Roman" w:hAnsi="Times New Roman" w:cs="Times New Roman"/>
          <w:sz w:val="24"/>
          <w:szCs w:val="24"/>
        </w:rPr>
        <w:t xml:space="preserve">econdo </w:t>
      </w:r>
      <w:r>
        <w:rPr>
          <w:rFonts w:ascii="Times New Roman" w:hAnsi="Times New Roman" w:cs="Times New Roman"/>
          <w:sz w:val="24"/>
          <w:szCs w:val="24"/>
        </w:rPr>
        <w:t>cui può essere riconosciuto un</w:t>
      </w:r>
      <w:r w:rsidRPr="00CD4778">
        <w:rPr>
          <w:rFonts w:ascii="Times New Roman" w:hAnsi="Times New Roman" w:cs="Times New Roman"/>
          <w:sz w:val="24"/>
          <w:szCs w:val="24"/>
        </w:rPr>
        <w:t xml:space="preserve"> rapporto</w:t>
      </w:r>
      <w:r>
        <w:rPr>
          <w:rFonts w:ascii="Times New Roman" w:hAnsi="Times New Roman" w:cs="Times New Roman"/>
          <w:sz w:val="24"/>
          <w:szCs w:val="24"/>
        </w:rPr>
        <w:t xml:space="preserve"> </w:t>
      </w:r>
      <w:r w:rsidRPr="00CD4778">
        <w:rPr>
          <w:rFonts w:ascii="Times New Roman" w:hAnsi="Times New Roman" w:cs="Times New Roman"/>
          <w:sz w:val="24"/>
          <w:szCs w:val="24"/>
        </w:rPr>
        <w:t>di subordinazione</w:t>
      </w:r>
      <w:r>
        <w:rPr>
          <w:rFonts w:ascii="Times New Roman" w:hAnsi="Times New Roman" w:cs="Times New Roman"/>
          <w:sz w:val="24"/>
          <w:szCs w:val="24"/>
        </w:rPr>
        <w:t xml:space="preserve"> qualora siano</w:t>
      </w:r>
      <w:r w:rsidRPr="00CD4778">
        <w:rPr>
          <w:rFonts w:ascii="Times New Roman" w:hAnsi="Times New Roman" w:cs="Times New Roman"/>
          <w:sz w:val="24"/>
          <w:szCs w:val="24"/>
        </w:rPr>
        <w:t xml:space="preserve"> rispettati almeno due criteri </w:t>
      </w:r>
      <w:r>
        <w:rPr>
          <w:rFonts w:ascii="Times New Roman" w:hAnsi="Times New Roman" w:cs="Times New Roman"/>
          <w:sz w:val="24"/>
          <w:szCs w:val="24"/>
        </w:rPr>
        <w:t xml:space="preserve">su cinque. Dovrà essere verificato </w:t>
      </w:r>
      <w:r w:rsidRPr="001C3DBB">
        <w:rPr>
          <w:rFonts w:ascii="Times New Roman" w:hAnsi="Times New Roman" w:cs="Times New Roman"/>
          <w:sz w:val="24"/>
          <w:szCs w:val="24"/>
        </w:rPr>
        <w:t>se vi è la determinazione o meno del salario o di un tetto allo stipendio; se vi è vigilanza sul lavoro attraverso strumenti elettronici; se vi sono restrizioni all</w:t>
      </w:r>
      <w:r>
        <w:rPr>
          <w:rFonts w:ascii="Times New Roman" w:hAnsi="Times New Roman" w:cs="Times New Roman"/>
          <w:sz w:val="24"/>
          <w:szCs w:val="24"/>
        </w:rPr>
        <w:t>’</w:t>
      </w:r>
      <w:r w:rsidRPr="001C3DBB">
        <w:rPr>
          <w:rFonts w:ascii="Times New Roman" w:hAnsi="Times New Roman" w:cs="Times New Roman"/>
          <w:sz w:val="24"/>
          <w:szCs w:val="24"/>
        </w:rPr>
        <w:t>orario di lavoro o al periodo di vacanza e al trasferimento a terzi dell</w:t>
      </w:r>
      <w:r>
        <w:rPr>
          <w:rFonts w:ascii="Times New Roman" w:hAnsi="Times New Roman" w:cs="Times New Roman"/>
          <w:sz w:val="24"/>
          <w:szCs w:val="24"/>
        </w:rPr>
        <w:t>’</w:t>
      </w:r>
      <w:r w:rsidRPr="001C3DBB">
        <w:rPr>
          <w:rFonts w:ascii="Times New Roman" w:hAnsi="Times New Roman" w:cs="Times New Roman"/>
          <w:sz w:val="24"/>
          <w:szCs w:val="24"/>
        </w:rPr>
        <w:t>impegno preso; se vi sono regole vincolanti sul lavoro da garantire; o restrizioni alla possibilità di allargare la propria clientela.</w:t>
      </w:r>
      <w:r>
        <w:rPr>
          <w:rFonts w:ascii="Times New Roman" w:hAnsi="Times New Roman" w:cs="Times New Roman"/>
          <w:sz w:val="24"/>
          <w:szCs w:val="24"/>
        </w:rPr>
        <w:t xml:space="preserve"> Se almeno due di queste cinque condizioni sono rispettate,</w:t>
      </w:r>
      <w:r w:rsidRPr="00CD4778">
        <w:rPr>
          <w:rFonts w:ascii="Times New Roman" w:hAnsi="Times New Roman" w:cs="Times New Roman"/>
          <w:sz w:val="24"/>
          <w:szCs w:val="24"/>
        </w:rPr>
        <w:t xml:space="preserve"> i collaboratori </w:t>
      </w:r>
      <w:r>
        <w:rPr>
          <w:rFonts w:ascii="Times New Roman" w:hAnsi="Times New Roman" w:cs="Times New Roman"/>
          <w:sz w:val="24"/>
          <w:szCs w:val="24"/>
        </w:rPr>
        <w:t>avranno</w:t>
      </w:r>
      <w:r w:rsidRPr="00CD4778">
        <w:rPr>
          <w:rFonts w:ascii="Times New Roman" w:hAnsi="Times New Roman" w:cs="Times New Roman"/>
          <w:sz w:val="24"/>
          <w:szCs w:val="24"/>
        </w:rPr>
        <w:t xml:space="preserve"> diritto a salario minimo</w:t>
      </w:r>
      <w:r>
        <w:rPr>
          <w:rFonts w:ascii="Times New Roman" w:hAnsi="Times New Roman" w:cs="Times New Roman"/>
          <w:sz w:val="24"/>
          <w:szCs w:val="24"/>
        </w:rPr>
        <w:t xml:space="preserve">, </w:t>
      </w:r>
      <w:r w:rsidRPr="00CD4778">
        <w:rPr>
          <w:rFonts w:ascii="Times New Roman" w:hAnsi="Times New Roman" w:cs="Times New Roman"/>
          <w:sz w:val="24"/>
          <w:szCs w:val="24"/>
        </w:rPr>
        <w:t xml:space="preserve">ferie, malattia, congedi parentali e ogni altra tutela garantita ai dipendenti. Le piattaforme </w:t>
      </w:r>
      <w:r>
        <w:rPr>
          <w:rFonts w:ascii="Times New Roman" w:hAnsi="Times New Roman" w:cs="Times New Roman"/>
          <w:sz w:val="24"/>
          <w:szCs w:val="24"/>
        </w:rPr>
        <w:t>si possono opporre a questo accertamento imposto dalle autorità nazionali, ma su di loro grava</w:t>
      </w:r>
      <w:r w:rsidRPr="00CD4778">
        <w:rPr>
          <w:rFonts w:ascii="Times New Roman" w:hAnsi="Times New Roman" w:cs="Times New Roman"/>
          <w:sz w:val="24"/>
          <w:szCs w:val="24"/>
        </w:rPr>
        <w:t xml:space="preserve"> l’onere di provare che il lavoratore è autonomo.</w:t>
      </w:r>
      <w:r>
        <w:rPr>
          <w:rFonts w:ascii="Times New Roman" w:hAnsi="Times New Roman" w:cs="Times New Roman"/>
          <w:sz w:val="24"/>
          <w:szCs w:val="24"/>
        </w:rPr>
        <w:t xml:space="preserve"> </w:t>
      </w:r>
      <w:r w:rsidRPr="00CD4778">
        <w:rPr>
          <w:rFonts w:ascii="Times New Roman" w:hAnsi="Times New Roman" w:cs="Times New Roman"/>
          <w:sz w:val="24"/>
          <w:szCs w:val="24"/>
        </w:rPr>
        <w:t xml:space="preserve">Il secondo pilastro </w:t>
      </w:r>
      <w:r>
        <w:rPr>
          <w:rFonts w:ascii="Times New Roman" w:hAnsi="Times New Roman" w:cs="Times New Roman"/>
          <w:sz w:val="24"/>
          <w:szCs w:val="24"/>
        </w:rPr>
        <w:t xml:space="preserve">della proposta </w:t>
      </w:r>
      <w:r w:rsidRPr="00CD4778">
        <w:rPr>
          <w:rFonts w:ascii="Times New Roman" w:hAnsi="Times New Roman" w:cs="Times New Roman"/>
          <w:sz w:val="24"/>
          <w:szCs w:val="24"/>
        </w:rPr>
        <w:t>riguarda la trasparenza nell’uso degli algoritmi</w:t>
      </w:r>
      <w:r>
        <w:rPr>
          <w:rFonts w:ascii="Times New Roman" w:hAnsi="Times New Roman" w:cs="Times New Roman"/>
          <w:sz w:val="24"/>
          <w:szCs w:val="24"/>
        </w:rPr>
        <w:t xml:space="preserve">: </w:t>
      </w:r>
      <w:r w:rsidRPr="00CD4778">
        <w:rPr>
          <w:rFonts w:ascii="Times New Roman" w:hAnsi="Times New Roman" w:cs="Times New Roman"/>
          <w:sz w:val="24"/>
          <w:szCs w:val="24"/>
        </w:rPr>
        <w:t>i “</w:t>
      </w:r>
      <w:proofErr w:type="spellStart"/>
      <w:r w:rsidRPr="008147CD">
        <w:rPr>
          <w:rFonts w:ascii="Times New Roman" w:hAnsi="Times New Roman" w:cs="Times New Roman"/>
          <w:i/>
          <w:iCs/>
          <w:sz w:val="24"/>
          <w:szCs w:val="24"/>
        </w:rPr>
        <w:t>gig</w:t>
      </w:r>
      <w:proofErr w:type="spellEnd"/>
      <w:r w:rsidRPr="008147CD">
        <w:rPr>
          <w:rFonts w:ascii="Times New Roman" w:hAnsi="Times New Roman" w:cs="Times New Roman"/>
          <w:i/>
          <w:iCs/>
          <w:sz w:val="24"/>
          <w:szCs w:val="24"/>
        </w:rPr>
        <w:t xml:space="preserve"> </w:t>
      </w:r>
      <w:proofErr w:type="spellStart"/>
      <w:r w:rsidRPr="008147CD">
        <w:rPr>
          <w:rFonts w:ascii="Times New Roman" w:hAnsi="Times New Roman" w:cs="Times New Roman"/>
          <w:i/>
          <w:iCs/>
          <w:sz w:val="24"/>
          <w:szCs w:val="24"/>
        </w:rPr>
        <w:t>worker</w:t>
      </w:r>
      <w:proofErr w:type="spellEnd"/>
      <w:r w:rsidRPr="00CD4778">
        <w:rPr>
          <w:rFonts w:ascii="Times New Roman" w:hAnsi="Times New Roman" w:cs="Times New Roman"/>
          <w:sz w:val="24"/>
          <w:szCs w:val="24"/>
        </w:rPr>
        <w:t>”</w:t>
      </w:r>
      <w:r>
        <w:rPr>
          <w:rFonts w:ascii="Times New Roman" w:hAnsi="Times New Roman" w:cs="Times New Roman"/>
          <w:sz w:val="24"/>
          <w:szCs w:val="24"/>
        </w:rPr>
        <w:t xml:space="preserve">, </w:t>
      </w:r>
      <w:r w:rsidRPr="00CD4778">
        <w:rPr>
          <w:rFonts w:ascii="Times New Roman" w:hAnsi="Times New Roman" w:cs="Times New Roman"/>
          <w:sz w:val="24"/>
          <w:szCs w:val="24"/>
        </w:rPr>
        <w:t>come i sindacati e le autorit</w:t>
      </w:r>
      <w:r>
        <w:rPr>
          <w:rFonts w:ascii="Times New Roman" w:hAnsi="Times New Roman" w:cs="Times New Roman"/>
          <w:sz w:val="24"/>
          <w:szCs w:val="24"/>
        </w:rPr>
        <w:t>à, a</w:t>
      </w:r>
      <w:r w:rsidRPr="00CD4778">
        <w:rPr>
          <w:rFonts w:ascii="Times New Roman" w:hAnsi="Times New Roman" w:cs="Times New Roman"/>
          <w:sz w:val="24"/>
          <w:szCs w:val="24"/>
        </w:rPr>
        <w:t xml:space="preserve">vranno il diritto di essere informati sul funzionamento del sistema che assegna i compiti, i compensi e i bonus. </w:t>
      </w:r>
      <w:r>
        <w:rPr>
          <w:rFonts w:ascii="Times New Roman" w:hAnsi="Times New Roman" w:cs="Times New Roman"/>
          <w:sz w:val="24"/>
          <w:szCs w:val="24"/>
        </w:rPr>
        <w:t xml:space="preserve">La riforma potrà portare, secondo le stime degli esperti, ad una </w:t>
      </w:r>
      <w:r w:rsidRPr="00CD4778">
        <w:rPr>
          <w:rFonts w:ascii="Times New Roman" w:hAnsi="Times New Roman" w:cs="Times New Roman"/>
          <w:sz w:val="24"/>
          <w:szCs w:val="24"/>
        </w:rPr>
        <w:t>“riqualificazione” come dipendenti di 4,1 milioni di lavoratori.</w:t>
      </w:r>
      <w:r>
        <w:rPr>
          <w:rFonts w:ascii="Times New Roman" w:hAnsi="Times New Roman" w:cs="Times New Roman"/>
          <w:sz w:val="24"/>
          <w:szCs w:val="24"/>
        </w:rPr>
        <w:t xml:space="preserve"> La proposta deve ancora </w:t>
      </w:r>
      <w:r w:rsidRPr="00CD4778">
        <w:rPr>
          <w:rFonts w:ascii="Times New Roman" w:hAnsi="Times New Roman" w:cs="Times New Roman"/>
          <w:sz w:val="24"/>
          <w:szCs w:val="24"/>
        </w:rPr>
        <w:t>essere approvata da</w:t>
      </w:r>
      <w:r>
        <w:rPr>
          <w:rFonts w:ascii="Times New Roman" w:hAnsi="Times New Roman" w:cs="Times New Roman"/>
          <w:sz w:val="24"/>
          <w:szCs w:val="24"/>
        </w:rPr>
        <w:t>l</w:t>
      </w:r>
      <w:r w:rsidRPr="00CD4778">
        <w:rPr>
          <w:rFonts w:ascii="Times New Roman" w:hAnsi="Times New Roman" w:cs="Times New Roman"/>
          <w:sz w:val="24"/>
          <w:szCs w:val="24"/>
        </w:rPr>
        <w:t xml:space="preserve"> Parlamento e </w:t>
      </w:r>
      <w:r>
        <w:rPr>
          <w:rFonts w:ascii="Times New Roman" w:hAnsi="Times New Roman" w:cs="Times New Roman"/>
          <w:sz w:val="24"/>
          <w:szCs w:val="24"/>
        </w:rPr>
        <w:t xml:space="preserve">dal </w:t>
      </w:r>
      <w:r w:rsidRPr="00CD4778">
        <w:rPr>
          <w:rFonts w:ascii="Times New Roman" w:hAnsi="Times New Roman" w:cs="Times New Roman"/>
          <w:sz w:val="24"/>
          <w:szCs w:val="24"/>
        </w:rPr>
        <w:t xml:space="preserve">Consiglio Ue </w:t>
      </w:r>
      <w:r>
        <w:rPr>
          <w:rFonts w:ascii="Times New Roman" w:hAnsi="Times New Roman" w:cs="Times New Roman"/>
          <w:sz w:val="24"/>
          <w:szCs w:val="24"/>
        </w:rPr>
        <w:t xml:space="preserve">e poi i </w:t>
      </w:r>
      <w:r w:rsidRPr="00CD4778">
        <w:rPr>
          <w:rFonts w:ascii="Times New Roman" w:hAnsi="Times New Roman" w:cs="Times New Roman"/>
          <w:sz w:val="24"/>
          <w:szCs w:val="24"/>
        </w:rPr>
        <w:t>singoli Stati dovranno recepire la direttiva nella legislazione nazionale. Per ora</w:t>
      </w:r>
      <w:r>
        <w:rPr>
          <w:rFonts w:ascii="Times New Roman" w:hAnsi="Times New Roman" w:cs="Times New Roman"/>
          <w:sz w:val="24"/>
          <w:szCs w:val="24"/>
        </w:rPr>
        <w:t>,</w:t>
      </w:r>
      <w:r w:rsidRPr="00CD4778">
        <w:rPr>
          <w:rFonts w:ascii="Times New Roman" w:hAnsi="Times New Roman" w:cs="Times New Roman"/>
          <w:sz w:val="24"/>
          <w:szCs w:val="24"/>
        </w:rPr>
        <w:t xml:space="preserve"> </w:t>
      </w:r>
      <w:r>
        <w:rPr>
          <w:rFonts w:ascii="Times New Roman" w:hAnsi="Times New Roman" w:cs="Times New Roman"/>
          <w:sz w:val="24"/>
          <w:szCs w:val="24"/>
        </w:rPr>
        <w:t>solamente</w:t>
      </w:r>
      <w:r w:rsidRPr="00CD4778">
        <w:rPr>
          <w:rFonts w:ascii="Times New Roman" w:hAnsi="Times New Roman" w:cs="Times New Roman"/>
          <w:sz w:val="24"/>
          <w:szCs w:val="24"/>
        </w:rPr>
        <w:t xml:space="preserve"> la Spagna ha adottato una legge </w:t>
      </w:r>
      <w:r>
        <w:rPr>
          <w:rFonts w:ascii="Times New Roman" w:hAnsi="Times New Roman" w:cs="Times New Roman"/>
          <w:sz w:val="24"/>
          <w:szCs w:val="24"/>
        </w:rPr>
        <w:t>secondo cui</w:t>
      </w:r>
      <w:r w:rsidRPr="00CD4778">
        <w:rPr>
          <w:rFonts w:ascii="Times New Roman" w:hAnsi="Times New Roman" w:cs="Times New Roman"/>
          <w:sz w:val="24"/>
          <w:szCs w:val="24"/>
        </w:rPr>
        <w:t xml:space="preserve"> i </w:t>
      </w:r>
      <w:proofErr w:type="spellStart"/>
      <w:r w:rsidRPr="008147CD">
        <w:rPr>
          <w:rFonts w:ascii="Times New Roman" w:hAnsi="Times New Roman" w:cs="Times New Roman"/>
          <w:i/>
          <w:iCs/>
          <w:sz w:val="24"/>
          <w:szCs w:val="24"/>
        </w:rPr>
        <w:t>riders</w:t>
      </w:r>
      <w:proofErr w:type="spellEnd"/>
      <w:r w:rsidRPr="00CD4778">
        <w:rPr>
          <w:rFonts w:ascii="Times New Roman" w:hAnsi="Times New Roman" w:cs="Times New Roman"/>
          <w:sz w:val="24"/>
          <w:szCs w:val="24"/>
        </w:rPr>
        <w:t xml:space="preserve"> sono lavoratori dipendenti</w:t>
      </w:r>
      <w:r>
        <w:rPr>
          <w:rFonts w:ascii="Times New Roman" w:hAnsi="Times New Roman" w:cs="Times New Roman"/>
          <w:sz w:val="24"/>
          <w:szCs w:val="24"/>
        </w:rPr>
        <w:t xml:space="preserve"> e così </w:t>
      </w:r>
      <w:proofErr w:type="spellStart"/>
      <w:r w:rsidRPr="008147CD">
        <w:rPr>
          <w:rFonts w:ascii="Times New Roman" w:hAnsi="Times New Roman" w:cs="Times New Roman"/>
          <w:i/>
          <w:iCs/>
          <w:sz w:val="24"/>
          <w:szCs w:val="24"/>
        </w:rPr>
        <w:t>Deliveroo</w:t>
      </w:r>
      <w:proofErr w:type="spellEnd"/>
      <w:r w:rsidRPr="00CD4778">
        <w:rPr>
          <w:rFonts w:ascii="Times New Roman" w:hAnsi="Times New Roman" w:cs="Times New Roman"/>
          <w:sz w:val="24"/>
          <w:szCs w:val="24"/>
        </w:rPr>
        <w:t xml:space="preserve"> ha </w:t>
      </w:r>
      <w:r>
        <w:rPr>
          <w:rFonts w:ascii="Times New Roman" w:hAnsi="Times New Roman" w:cs="Times New Roman"/>
          <w:sz w:val="24"/>
          <w:szCs w:val="24"/>
        </w:rPr>
        <w:t>lasciato</w:t>
      </w:r>
      <w:r w:rsidRPr="00CD4778">
        <w:rPr>
          <w:rFonts w:ascii="Times New Roman" w:hAnsi="Times New Roman" w:cs="Times New Roman"/>
          <w:sz w:val="24"/>
          <w:szCs w:val="24"/>
        </w:rPr>
        <w:t xml:space="preserve"> il Paese. </w:t>
      </w:r>
      <w:r>
        <w:rPr>
          <w:rFonts w:ascii="Times New Roman" w:hAnsi="Times New Roman" w:cs="Times New Roman"/>
          <w:sz w:val="24"/>
          <w:szCs w:val="24"/>
        </w:rPr>
        <w:t>Tuttavia, se l’azione dei Paesi europei sarà congiunta, è certo che</w:t>
      </w:r>
      <w:r w:rsidRPr="00CD4778">
        <w:rPr>
          <w:rFonts w:ascii="Times New Roman" w:hAnsi="Times New Roman" w:cs="Times New Roman"/>
          <w:sz w:val="24"/>
          <w:szCs w:val="24"/>
        </w:rPr>
        <w:t xml:space="preserve"> aggirare l’imposizione di maggiori tutele sarà </w:t>
      </w:r>
      <w:r>
        <w:rPr>
          <w:rFonts w:ascii="Times New Roman" w:hAnsi="Times New Roman" w:cs="Times New Roman"/>
          <w:sz w:val="24"/>
          <w:szCs w:val="24"/>
        </w:rPr>
        <w:t>molto</w:t>
      </w:r>
      <w:r w:rsidRPr="00CD4778">
        <w:rPr>
          <w:rFonts w:ascii="Times New Roman" w:hAnsi="Times New Roman" w:cs="Times New Roman"/>
          <w:sz w:val="24"/>
          <w:szCs w:val="24"/>
        </w:rPr>
        <w:t xml:space="preserve"> difficile.</w:t>
      </w:r>
    </w:p>
  </w:footnote>
  <w:footnote w:id="89">
    <w:p w14:paraId="58712387" w14:textId="23C777E4" w:rsidR="000463A6" w:rsidRPr="009859CF" w:rsidRDefault="000463A6" w:rsidP="00880B0F">
      <w:pPr>
        <w:pStyle w:val="Testonotaapidipagina"/>
        <w:jc w:val="both"/>
        <w:rPr>
          <w:rFonts w:ascii="Times New Roman" w:hAnsi="Times New Roman" w:cs="Times New Roman"/>
          <w:sz w:val="24"/>
          <w:szCs w:val="24"/>
        </w:rPr>
      </w:pPr>
      <w:r w:rsidRPr="009859CF">
        <w:rPr>
          <w:rStyle w:val="Rimandonotaapidipagina"/>
          <w:rFonts w:ascii="Times New Roman" w:hAnsi="Times New Roman" w:cs="Times New Roman"/>
          <w:sz w:val="24"/>
          <w:szCs w:val="24"/>
        </w:rPr>
        <w:footnoteRef/>
      </w:r>
      <w:r w:rsidRPr="009859CF">
        <w:rPr>
          <w:rFonts w:ascii="Times New Roman" w:hAnsi="Times New Roman" w:cs="Times New Roman"/>
          <w:sz w:val="24"/>
          <w:szCs w:val="24"/>
        </w:rPr>
        <w:t xml:space="preserve"> La </w:t>
      </w:r>
      <w:proofErr w:type="spellStart"/>
      <w:r w:rsidRPr="009859CF">
        <w:rPr>
          <w:rFonts w:ascii="Times New Roman" w:hAnsi="Times New Roman" w:cs="Times New Roman"/>
          <w:i/>
          <w:iCs/>
          <w:sz w:val="24"/>
          <w:szCs w:val="24"/>
        </w:rPr>
        <w:t>gig</w:t>
      </w:r>
      <w:proofErr w:type="spellEnd"/>
      <w:r w:rsidRPr="009859CF">
        <w:rPr>
          <w:rFonts w:ascii="Times New Roman" w:hAnsi="Times New Roman" w:cs="Times New Roman"/>
          <w:i/>
          <w:iCs/>
          <w:sz w:val="24"/>
          <w:szCs w:val="24"/>
        </w:rPr>
        <w:t>-economy</w:t>
      </w:r>
      <w:r w:rsidRPr="009859CF">
        <w:rPr>
          <w:rFonts w:ascii="Times New Roman" w:hAnsi="Times New Roman" w:cs="Times New Roman"/>
          <w:sz w:val="24"/>
          <w:szCs w:val="24"/>
        </w:rPr>
        <w:t xml:space="preserve"> è gestita da piattaforme che non riconoscono i diritti fondamentali ai lavoratori e celano una quantità enorme di contributi previdenziali non pagati. La Cassazione, con la sentenza n. 1663 del 2020, riconosce all’art. 2, comma 1, del </w:t>
      </w:r>
      <w:proofErr w:type="spellStart"/>
      <w:r w:rsidRPr="009859CF">
        <w:rPr>
          <w:rFonts w:ascii="Times New Roman" w:hAnsi="Times New Roman" w:cs="Times New Roman"/>
          <w:sz w:val="24"/>
          <w:szCs w:val="24"/>
        </w:rPr>
        <w:t>D.lgs</w:t>
      </w:r>
      <w:proofErr w:type="spellEnd"/>
      <w:r w:rsidRPr="009859CF">
        <w:rPr>
          <w:rFonts w:ascii="Times New Roman" w:hAnsi="Times New Roman" w:cs="Times New Roman"/>
          <w:sz w:val="24"/>
          <w:szCs w:val="24"/>
        </w:rPr>
        <w:t xml:space="preserve"> n. 81/2015 un intento protettivo, rimediale, antielusivo. </w:t>
      </w:r>
      <w:r w:rsidRPr="009859CF">
        <w:rPr>
          <w:rFonts w:ascii="Times New Roman" w:hAnsi="Times New Roman" w:cs="Times New Roman"/>
          <w:i/>
          <w:iCs/>
          <w:sz w:val="24"/>
          <w:szCs w:val="24"/>
        </w:rPr>
        <w:t>David Card</w:t>
      </w:r>
      <w:r w:rsidRPr="009859CF">
        <w:rPr>
          <w:rFonts w:ascii="Times New Roman" w:hAnsi="Times New Roman" w:cs="Times New Roman"/>
          <w:sz w:val="24"/>
          <w:szCs w:val="24"/>
        </w:rPr>
        <w:t xml:space="preserve"> ha ricevuto quest’anno il premio Nobel per l’economia proprio per i suoi studi sul salario minimo, mettendo in evidenza che esso incide non tanto sull’occupazione, ma sulla stessa produttività di un sistema economico. In tal senso, la </w:t>
      </w:r>
      <w:proofErr w:type="spellStart"/>
      <w:r w:rsidRPr="009859CF">
        <w:rPr>
          <w:rFonts w:ascii="Times New Roman" w:hAnsi="Times New Roman" w:cs="Times New Roman"/>
          <w:i/>
          <w:iCs/>
          <w:sz w:val="24"/>
          <w:szCs w:val="24"/>
        </w:rPr>
        <w:t>flexsecurity</w:t>
      </w:r>
      <w:proofErr w:type="spellEnd"/>
      <w:r w:rsidRPr="009859CF">
        <w:rPr>
          <w:rFonts w:ascii="Times New Roman" w:hAnsi="Times New Roman" w:cs="Times New Roman"/>
          <w:sz w:val="24"/>
          <w:szCs w:val="24"/>
        </w:rPr>
        <w:t xml:space="preserve"> può rappresentare un rimedio alla frammentarietà dell’occupazione, poiché qui le </w:t>
      </w:r>
      <w:r w:rsidRPr="009859CF">
        <w:rPr>
          <w:rFonts w:ascii="Times New Roman" w:hAnsi="Times New Roman" w:cs="Times New Roman"/>
          <w:i/>
          <w:iCs/>
          <w:sz w:val="24"/>
          <w:szCs w:val="24"/>
        </w:rPr>
        <w:t>web corporation</w:t>
      </w:r>
      <w:r w:rsidRPr="009859CF">
        <w:rPr>
          <w:rFonts w:ascii="Times New Roman" w:hAnsi="Times New Roman" w:cs="Times New Roman"/>
          <w:sz w:val="24"/>
          <w:szCs w:val="24"/>
        </w:rPr>
        <w:t xml:space="preserve"> hanno “poco lavoro regolamentato”, ma molta tecnologia. È il fenomeno della liberalizzazione del </w:t>
      </w:r>
      <w:proofErr w:type="spellStart"/>
      <w:r w:rsidRPr="009859CF">
        <w:rPr>
          <w:rFonts w:ascii="Times New Roman" w:hAnsi="Times New Roman" w:cs="Times New Roman"/>
          <w:i/>
          <w:iCs/>
          <w:sz w:val="24"/>
          <w:szCs w:val="24"/>
        </w:rPr>
        <w:t>firing</w:t>
      </w:r>
      <w:proofErr w:type="spellEnd"/>
      <w:r w:rsidRPr="009859CF">
        <w:rPr>
          <w:rFonts w:ascii="Times New Roman" w:hAnsi="Times New Roman" w:cs="Times New Roman"/>
          <w:sz w:val="24"/>
          <w:szCs w:val="24"/>
        </w:rPr>
        <w:t xml:space="preserve"> e del “</w:t>
      </w:r>
      <w:proofErr w:type="spellStart"/>
      <w:r w:rsidRPr="009859CF">
        <w:rPr>
          <w:rFonts w:ascii="Times New Roman" w:hAnsi="Times New Roman" w:cs="Times New Roman"/>
          <w:i/>
          <w:iCs/>
          <w:sz w:val="24"/>
          <w:szCs w:val="24"/>
        </w:rPr>
        <w:t>working</w:t>
      </w:r>
      <w:proofErr w:type="spellEnd"/>
      <w:r w:rsidRPr="009859CF">
        <w:rPr>
          <w:rFonts w:ascii="Times New Roman" w:hAnsi="Times New Roman" w:cs="Times New Roman"/>
          <w:i/>
          <w:iCs/>
          <w:sz w:val="24"/>
          <w:szCs w:val="24"/>
        </w:rPr>
        <w:t xml:space="preserve"> </w:t>
      </w:r>
      <w:proofErr w:type="spellStart"/>
      <w:r w:rsidRPr="009859CF">
        <w:rPr>
          <w:rFonts w:ascii="Times New Roman" w:hAnsi="Times New Roman" w:cs="Times New Roman"/>
          <w:i/>
          <w:iCs/>
          <w:sz w:val="24"/>
          <w:szCs w:val="24"/>
        </w:rPr>
        <w:t>poor</w:t>
      </w:r>
      <w:proofErr w:type="spellEnd"/>
      <w:r w:rsidRPr="009859CF">
        <w:rPr>
          <w:rFonts w:ascii="Times New Roman" w:hAnsi="Times New Roman" w:cs="Times New Roman"/>
          <w:sz w:val="24"/>
          <w:szCs w:val="24"/>
        </w:rPr>
        <w:t xml:space="preserve">”, ossia il fenomeno di coloro che non hanno diritti e che guadagnano meno del 60 per cento del reddito mediano. I livelli occupazionali sono spesso messi in pericolo anche da operazioni economiche che vedono società estere determinate ad acquisire quote di partecipazione in imprese strategiche nazionali. Si pensi al caso di </w:t>
      </w:r>
      <w:proofErr w:type="spellStart"/>
      <w:r w:rsidRPr="009859CF">
        <w:rPr>
          <w:rFonts w:ascii="Times New Roman" w:hAnsi="Times New Roman" w:cs="Times New Roman"/>
          <w:i/>
          <w:iCs/>
          <w:sz w:val="24"/>
          <w:szCs w:val="24"/>
        </w:rPr>
        <w:t>Kkr</w:t>
      </w:r>
      <w:proofErr w:type="spellEnd"/>
      <w:r w:rsidRPr="009859CF">
        <w:rPr>
          <w:rFonts w:ascii="Times New Roman" w:hAnsi="Times New Roman" w:cs="Times New Roman"/>
          <w:i/>
          <w:iCs/>
          <w:sz w:val="24"/>
          <w:szCs w:val="24"/>
        </w:rPr>
        <w:t>,</w:t>
      </w:r>
      <w:r w:rsidRPr="009859CF">
        <w:rPr>
          <w:rFonts w:ascii="Times New Roman" w:hAnsi="Times New Roman" w:cs="Times New Roman"/>
          <w:sz w:val="24"/>
          <w:szCs w:val="24"/>
        </w:rPr>
        <w:t xml:space="preserve"> società americana che di recente sta cercando di acquisire quote societarie di Tim accanto alle quote di Cassa Depositi e Prestiti e la società francese Vivendi. Tim ha un ruolo strategico nella realizzazione di una rete unica digitale con l’infrastruttura della banda </w:t>
      </w:r>
      <w:proofErr w:type="gramStart"/>
      <w:r w:rsidRPr="009859CF">
        <w:rPr>
          <w:rFonts w:ascii="Times New Roman" w:hAnsi="Times New Roman" w:cs="Times New Roman"/>
          <w:sz w:val="24"/>
          <w:szCs w:val="24"/>
        </w:rPr>
        <w:t>ultra larga</w:t>
      </w:r>
      <w:proofErr w:type="gramEnd"/>
      <w:r w:rsidRPr="009859CF">
        <w:rPr>
          <w:rFonts w:ascii="Times New Roman" w:hAnsi="Times New Roman" w:cs="Times New Roman"/>
          <w:sz w:val="24"/>
          <w:szCs w:val="24"/>
        </w:rPr>
        <w:t xml:space="preserve"> determinante per il processo di digitalizzazione del paese. Proprio per tale motivo, e per garantire i livelli occupazionali, il Governo sta valutando la possibilità di attivare lo strumento del </w:t>
      </w:r>
      <w:proofErr w:type="spellStart"/>
      <w:r w:rsidRPr="009859CF">
        <w:rPr>
          <w:rFonts w:ascii="Times New Roman" w:hAnsi="Times New Roman" w:cs="Times New Roman"/>
          <w:i/>
          <w:iCs/>
          <w:sz w:val="24"/>
          <w:szCs w:val="24"/>
        </w:rPr>
        <w:t>golden</w:t>
      </w:r>
      <w:proofErr w:type="spellEnd"/>
      <w:r w:rsidRPr="009859CF">
        <w:rPr>
          <w:rFonts w:ascii="Times New Roman" w:hAnsi="Times New Roman" w:cs="Times New Roman"/>
          <w:i/>
          <w:iCs/>
          <w:sz w:val="24"/>
          <w:szCs w:val="24"/>
        </w:rPr>
        <w:t xml:space="preserve"> </w:t>
      </w:r>
      <w:proofErr w:type="spellStart"/>
      <w:r w:rsidRPr="009859CF">
        <w:rPr>
          <w:rFonts w:ascii="Times New Roman" w:hAnsi="Times New Roman" w:cs="Times New Roman"/>
          <w:i/>
          <w:iCs/>
          <w:sz w:val="24"/>
          <w:szCs w:val="24"/>
        </w:rPr>
        <w:t>power</w:t>
      </w:r>
      <w:proofErr w:type="spellEnd"/>
      <w:r w:rsidRPr="009859CF">
        <w:rPr>
          <w:rFonts w:ascii="Times New Roman" w:hAnsi="Times New Roman" w:cs="Times New Roman"/>
          <w:sz w:val="24"/>
          <w:szCs w:val="24"/>
        </w:rPr>
        <w:t xml:space="preserve">, ossia la possibilità di opporre un veto a tale genere di operazioni per tutelare l’interesse nazionale. L’opera di digitalizzazione ha l’insito pericolo di renderci totalmente dipendenti da società estere come </w:t>
      </w:r>
      <w:r w:rsidRPr="009859CF">
        <w:rPr>
          <w:rFonts w:ascii="Times New Roman" w:hAnsi="Times New Roman" w:cs="Times New Roman"/>
          <w:i/>
          <w:iCs/>
          <w:sz w:val="24"/>
          <w:szCs w:val="24"/>
        </w:rPr>
        <w:t>Intel,</w:t>
      </w:r>
      <w:r w:rsidRPr="009859CF">
        <w:rPr>
          <w:rFonts w:ascii="Times New Roman" w:hAnsi="Times New Roman" w:cs="Times New Roman"/>
          <w:sz w:val="24"/>
          <w:szCs w:val="24"/>
        </w:rPr>
        <w:t xml:space="preserve"> più “robuste” sul piano delle competenze tecnologiche.</w:t>
      </w:r>
    </w:p>
  </w:footnote>
  <w:footnote w:id="90">
    <w:p w14:paraId="7EB2EA27" w14:textId="77777777" w:rsidR="000463A6" w:rsidRDefault="000463A6" w:rsidP="009864F0">
      <w:pPr>
        <w:pStyle w:val="Testonotaapidipagina"/>
        <w:jc w:val="both"/>
        <w:rPr>
          <w:rFonts w:ascii="Times New Roman" w:hAnsi="Times New Roman" w:cs="Times New Roman"/>
          <w:sz w:val="24"/>
          <w:szCs w:val="24"/>
        </w:rPr>
      </w:pPr>
      <w:r w:rsidRPr="009859CF">
        <w:rPr>
          <w:rStyle w:val="Rimandonotaapidipagina"/>
          <w:rFonts w:ascii="Times New Roman" w:hAnsi="Times New Roman" w:cs="Times New Roman"/>
          <w:sz w:val="24"/>
          <w:szCs w:val="24"/>
        </w:rPr>
        <w:footnoteRef/>
      </w:r>
      <w:r w:rsidRPr="009859CF">
        <w:rPr>
          <w:rFonts w:ascii="Times New Roman" w:hAnsi="Times New Roman" w:cs="Times New Roman"/>
          <w:sz w:val="24"/>
          <w:szCs w:val="24"/>
        </w:rPr>
        <w:t xml:space="preserve"> </w:t>
      </w:r>
      <w:r w:rsidRPr="009859CF">
        <w:rPr>
          <w:rFonts w:ascii="Times New Roman" w:hAnsi="Times New Roman" w:cs="Times New Roman"/>
          <w:smallCaps/>
          <w:sz w:val="24"/>
          <w:szCs w:val="24"/>
        </w:rPr>
        <w:t>I. Asimov</w:t>
      </w:r>
      <w:r w:rsidRPr="009859CF">
        <w:rPr>
          <w:rFonts w:ascii="Times New Roman" w:hAnsi="Times New Roman" w:cs="Times New Roman"/>
          <w:sz w:val="24"/>
          <w:szCs w:val="24"/>
        </w:rPr>
        <w:t>, “</w:t>
      </w:r>
      <w:r w:rsidRPr="009859CF">
        <w:rPr>
          <w:rFonts w:ascii="Times New Roman" w:hAnsi="Times New Roman" w:cs="Times New Roman"/>
          <w:i/>
          <w:iCs/>
          <w:sz w:val="24"/>
          <w:szCs w:val="24"/>
        </w:rPr>
        <w:t>Circolo vizioso</w:t>
      </w:r>
      <w:r w:rsidRPr="009859CF">
        <w:rPr>
          <w:rFonts w:ascii="Times New Roman" w:hAnsi="Times New Roman" w:cs="Times New Roman"/>
          <w:sz w:val="24"/>
          <w:szCs w:val="24"/>
        </w:rPr>
        <w:t>”, 1942. Le tre leggi implementate dall’autore nei suo</w:t>
      </w:r>
      <w:r>
        <w:rPr>
          <w:rFonts w:ascii="Times New Roman" w:hAnsi="Times New Roman" w:cs="Times New Roman"/>
          <w:sz w:val="24"/>
          <w:szCs w:val="24"/>
        </w:rPr>
        <w:t xml:space="preserve">i robot dovevano rispettare la necessità di </w:t>
      </w:r>
      <w:r w:rsidRPr="009864F0">
        <w:rPr>
          <w:rFonts w:ascii="Times New Roman" w:hAnsi="Times New Roman" w:cs="Times New Roman"/>
          <w:i/>
          <w:iCs/>
          <w:sz w:val="24"/>
          <w:szCs w:val="24"/>
        </w:rPr>
        <w:t>sicurezza</w:t>
      </w:r>
      <w:r>
        <w:rPr>
          <w:rFonts w:ascii="Times New Roman" w:hAnsi="Times New Roman" w:cs="Times New Roman"/>
          <w:sz w:val="24"/>
          <w:szCs w:val="24"/>
        </w:rPr>
        <w:t xml:space="preserve"> (Prima legge), di </w:t>
      </w:r>
      <w:r w:rsidRPr="009864F0">
        <w:rPr>
          <w:rFonts w:ascii="Times New Roman" w:hAnsi="Times New Roman" w:cs="Times New Roman"/>
          <w:i/>
          <w:iCs/>
          <w:sz w:val="24"/>
          <w:szCs w:val="24"/>
        </w:rPr>
        <w:t>servizio</w:t>
      </w:r>
      <w:r>
        <w:rPr>
          <w:rFonts w:ascii="Times New Roman" w:hAnsi="Times New Roman" w:cs="Times New Roman"/>
          <w:sz w:val="24"/>
          <w:szCs w:val="24"/>
        </w:rPr>
        <w:t xml:space="preserve"> (Seconda legge) e di </w:t>
      </w:r>
      <w:r w:rsidRPr="009864F0">
        <w:rPr>
          <w:rFonts w:ascii="Times New Roman" w:hAnsi="Times New Roman" w:cs="Times New Roman"/>
          <w:i/>
          <w:iCs/>
          <w:sz w:val="24"/>
          <w:szCs w:val="24"/>
        </w:rPr>
        <w:t>autoconservazione</w:t>
      </w:r>
      <w:r>
        <w:rPr>
          <w:rFonts w:ascii="Times New Roman" w:hAnsi="Times New Roman" w:cs="Times New Roman"/>
          <w:sz w:val="24"/>
          <w:szCs w:val="24"/>
        </w:rPr>
        <w:t xml:space="preserve"> (Terza legge) di questi oggetti sofisticati: </w:t>
      </w:r>
    </w:p>
    <w:p w14:paraId="09949808" w14:textId="17C4C011" w:rsidR="000463A6" w:rsidRPr="009864F0" w:rsidRDefault="000463A6" w:rsidP="009864F0">
      <w:pPr>
        <w:pStyle w:val="Testonotaapidipagina"/>
        <w:jc w:val="both"/>
        <w:rPr>
          <w:rFonts w:ascii="Times New Roman" w:hAnsi="Times New Roman" w:cs="Times New Roman"/>
          <w:i/>
          <w:iCs/>
          <w:sz w:val="24"/>
          <w:szCs w:val="24"/>
        </w:rPr>
      </w:pPr>
      <w:r>
        <w:rPr>
          <w:rFonts w:ascii="Times New Roman" w:hAnsi="Times New Roman" w:cs="Times New Roman"/>
          <w:sz w:val="24"/>
          <w:szCs w:val="24"/>
        </w:rPr>
        <w:t>“</w:t>
      </w:r>
      <w:r w:rsidRPr="009864F0">
        <w:rPr>
          <w:rFonts w:ascii="Times New Roman" w:hAnsi="Times New Roman" w:cs="Times New Roman"/>
          <w:i/>
          <w:iCs/>
          <w:sz w:val="24"/>
          <w:szCs w:val="24"/>
        </w:rPr>
        <w:t>1. Un robot non può recar danno a un essere umano né può permettere che, a causa del suo mancato intervento, un essere umano riceva danno.</w:t>
      </w:r>
    </w:p>
    <w:p w14:paraId="24993144" w14:textId="31D740D6" w:rsidR="000463A6" w:rsidRPr="009864F0" w:rsidRDefault="000463A6" w:rsidP="009864F0">
      <w:pPr>
        <w:pStyle w:val="Testonotaapidipagina"/>
        <w:jc w:val="both"/>
        <w:rPr>
          <w:rFonts w:ascii="Times New Roman" w:hAnsi="Times New Roman" w:cs="Times New Roman"/>
          <w:i/>
          <w:iCs/>
          <w:sz w:val="24"/>
          <w:szCs w:val="24"/>
        </w:rPr>
      </w:pPr>
      <w:r w:rsidRPr="009864F0">
        <w:rPr>
          <w:rFonts w:ascii="Times New Roman" w:hAnsi="Times New Roman" w:cs="Times New Roman"/>
          <w:i/>
          <w:iCs/>
          <w:sz w:val="24"/>
          <w:szCs w:val="24"/>
        </w:rPr>
        <w:t>2. Un robot deve obbedire agli ordini impartiti dagli esseri umani, purché tali ordini non vadano in contrasto alla Prima Legge.</w:t>
      </w:r>
    </w:p>
    <w:p w14:paraId="23BAE5AE" w14:textId="3B6894EA" w:rsidR="000463A6" w:rsidRPr="00F71717" w:rsidRDefault="000463A6" w:rsidP="009864F0">
      <w:pPr>
        <w:pStyle w:val="Testonotaapidipagina"/>
        <w:jc w:val="both"/>
        <w:rPr>
          <w:rFonts w:ascii="Times New Roman" w:hAnsi="Times New Roman" w:cs="Times New Roman"/>
          <w:sz w:val="24"/>
          <w:szCs w:val="24"/>
        </w:rPr>
      </w:pPr>
      <w:r w:rsidRPr="009864F0">
        <w:rPr>
          <w:rFonts w:ascii="Times New Roman" w:hAnsi="Times New Roman" w:cs="Times New Roman"/>
          <w:i/>
          <w:iCs/>
          <w:sz w:val="24"/>
          <w:szCs w:val="24"/>
        </w:rPr>
        <w:t>3. Un robot deve proteggere la propria esistenza, purché la salvaguardia di essa non contrasti con la Prima o con la Seconda Legge</w:t>
      </w:r>
      <w:r w:rsidRPr="009864F0">
        <w:rPr>
          <w:rFonts w:ascii="Times New Roman" w:hAnsi="Times New Roman" w:cs="Times New Roman"/>
          <w:sz w:val="24"/>
          <w:szCs w:val="24"/>
        </w:rPr>
        <w:t>»</w:t>
      </w:r>
      <w:r>
        <w:rPr>
          <w:rFonts w:ascii="Times New Roman" w:hAnsi="Times New Roman" w:cs="Times New Roman"/>
          <w:sz w:val="24"/>
          <w:szCs w:val="24"/>
        </w:rPr>
        <w:t>.</w:t>
      </w:r>
    </w:p>
  </w:footnote>
  <w:footnote w:id="91">
    <w:p w14:paraId="5FCFA3D7" w14:textId="7D00FFF4" w:rsidR="000463A6" w:rsidRPr="00FF0DB9" w:rsidRDefault="000463A6" w:rsidP="00A749C4">
      <w:pPr>
        <w:spacing w:after="0" w:line="240" w:lineRule="auto"/>
        <w:jc w:val="both"/>
        <w:rPr>
          <w:rFonts w:ascii="Times New Roman" w:hAnsi="Times New Roman" w:cs="Times New Roman"/>
          <w:sz w:val="24"/>
          <w:szCs w:val="24"/>
        </w:rPr>
      </w:pPr>
      <w:r w:rsidRPr="00FF0DB9">
        <w:rPr>
          <w:rStyle w:val="Rimandonotaapidipagina"/>
          <w:rFonts w:ascii="Times New Roman" w:hAnsi="Times New Roman" w:cs="Times New Roman"/>
          <w:sz w:val="24"/>
          <w:szCs w:val="24"/>
        </w:rPr>
        <w:footnoteRef/>
      </w:r>
      <w:r w:rsidRPr="00FF0DB9">
        <w:rPr>
          <w:rFonts w:ascii="Times New Roman" w:hAnsi="Times New Roman" w:cs="Times New Roman"/>
          <w:sz w:val="24"/>
          <w:szCs w:val="24"/>
        </w:rPr>
        <w:t xml:space="preserve"> Si pensi che, di recente, all’I.A. è stato attribuito addirittura un brevetto. Si tratta di un “semplice” contenitore di bevande, ma quel che rileva è che è la prima volta che si riconosce </w:t>
      </w:r>
      <w:r>
        <w:rPr>
          <w:rFonts w:ascii="Times New Roman" w:hAnsi="Times New Roman" w:cs="Times New Roman"/>
          <w:sz w:val="24"/>
          <w:szCs w:val="24"/>
        </w:rPr>
        <w:t>un’invenzione</w:t>
      </w:r>
      <w:r w:rsidRPr="00FF0DB9">
        <w:rPr>
          <w:rFonts w:ascii="Times New Roman" w:hAnsi="Times New Roman" w:cs="Times New Roman"/>
          <w:sz w:val="24"/>
          <w:szCs w:val="24"/>
        </w:rPr>
        <w:t xml:space="preserve"> ad una macchina e che ad essa vengono riconosciuti diritti legali. Vedi </w:t>
      </w:r>
      <w:r w:rsidRPr="00FF0DB9">
        <w:rPr>
          <w:rFonts w:ascii="Times New Roman" w:hAnsi="Times New Roman" w:cs="Times New Roman"/>
          <w:smallCaps/>
          <w:sz w:val="24"/>
          <w:szCs w:val="24"/>
        </w:rPr>
        <w:t>E. Bucci</w:t>
      </w:r>
      <w:r w:rsidRPr="00FF0DB9">
        <w:rPr>
          <w:rFonts w:ascii="Times New Roman" w:hAnsi="Times New Roman" w:cs="Times New Roman"/>
          <w:sz w:val="24"/>
          <w:szCs w:val="24"/>
        </w:rPr>
        <w:t>, “</w:t>
      </w:r>
      <w:r w:rsidRPr="00FF0DB9">
        <w:rPr>
          <w:rFonts w:ascii="Times New Roman" w:hAnsi="Times New Roman" w:cs="Times New Roman"/>
          <w:i/>
          <w:iCs/>
          <w:sz w:val="24"/>
          <w:szCs w:val="24"/>
        </w:rPr>
        <w:t>Anche all’intelligenza artificiale può essere attribuito un brevetto</w:t>
      </w:r>
      <w:r w:rsidRPr="00FF0DB9">
        <w:rPr>
          <w:rFonts w:ascii="Times New Roman" w:hAnsi="Times New Roman" w:cs="Times New Roman"/>
          <w:sz w:val="24"/>
          <w:szCs w:val="24"/>
        </w:rPr>
        <w:t xml:space="preserve">”, 2021, su </w:t>
      </w:r>
      <w:hyperlink r:id="rId16" w:history="1">
        <w:r w:rsidRPr="00FF0DB9">
          <w:rPr>
            <w:rStyle w:val="Collegamentoipertestuale"/>
            <w:rFonts w:ascii="Times New Roman" w:hAnsi="Times New Roman" w:cs="Times New Roman"/>
            <w:sz w:val="24"/>
            <w:szCs w:val="24"/>
          </w:rPr>
          <w:t>https://www.ilfoglio.it/scienza/2021/08/05/news/anche-all-intelligenza-artificiale-puo-essere-attribuito-un-brevetto-2752258/</w:t>
        </w:r>
      </w:hyperlink>
      <w:r w:rsidRPr="00FF0DB9">
        <w:rPr>
          <w:rFonts w:ascii="Times New Roman" w:hAnsi="Times New Roman" w:cs="Times New Roman"/>
          <w:sz w:val="24"/>
          <w:szCs w:val="24"/>
        </w:rPr>
        <w:t xml:space="preserve">. Si pensi, ancora, al nuovo rapporto tra intelligenza artificiale e arte: la </w:t>
      </w:r>
      <w:r w:rsidRPr="00FF0DB9">
        <w:rPr>
          <w:rFonts w:ascii="Times New Roman" w:hAnsi="Times New Roman" w:cs="Times New Roman"/>
          <w:i/>
          <w:iCs/>
          <w:sz w:val="24"/>
          <w:szCs w:val="24"/>
        </w:rPr>
        <w:t>National Gallery</w:t>
      </w:r>
      <w:r w:rsidRPr="00FF0DB9">
        <w:rPr>
          <w:rFonts w:ascii="Times New Roman" w:hAnsi="Times New Roman" w:cs="Times New Roman"/>
          <w:sz w:val="24"/>
          <w:szCs w:val="24"/>
        </w:rPr>
        <w:t xml:space="preserve"> ha recentemente comunicato che un sistema di I.A., paragonando i dettagli di centoquarantotto quadri sicuramente attribuibili al </w:t>
      </w:r>
      <w:r w:rsidRPr="00FF0DB9">
        <w:rPr>
          <w:rFonts w:ascii="Times New Roman" w:hAnsi="Times New Roman" w:cs="Times New Roman"/>
          <w:i/>
          <w:iCs/>
          <w:sz w:val="24"/>
          <w:szCs w:val="24"/>
        </w:rPr>
        <w:t>Rubens</w:t>
      </w:r>
      <w:r w:rsidRPr="00FF0DB9">
        <w:rPr>
          <w:rFonts w:ascii="Times New Roman" w:hAnsi="Times New Roman" w:cs="Times New Roman"/>
          <w:sz w:val="24"/>
          <w:szCs w:val="24"/>
        </w:rPr>
        <w:t xml:space="preserve"> e confrontandoli con il dipinto “</w:t>
      </w:r>
      <w:r w:rsidRPr="00FF0DB9">
        <w:rPr>
          <w:rFonts w:ascii="Times New Roman" w:hAnsi="Times New Roman" w:cs="Times New Roman"/>
          <w:i/>
          <w:iCs/>
          <w:sz w:val="24"/>
          <w:szCs w:val="24"/>
        </w:rPr>
        <w:t>Sansone e Dalila</w:t>
      </w:r>
      <w:r w:rsidRPr="00FF0DB9">
        <w:rPr>
          <w:rFonts w:ascii="Times New Roman" w:hAnsi="Times New Roman" w:cs="Times New Roman"/>
          <w:sz w:val="24"/>
          <w:szCs w:val="24"/>
        </w:rPr>
        <w:t>” attribuito al pittore, è riuscito a stabilire che, addirittura al 91%, il quadro non è autentico.</w:t>
      </w:r>
    </w:p>
  </w:footnote>
  <w:footnote w:id="92">
    <w:p w14:paraId="717B401A" w14:textId="283985B1" w:rsidR="000463A6" w:rsidRPr="00FE6947" w:rsidRDefault="000463A6" w:rsidP="00A749C4">
      <w:pPr>
        <w:pStyle w:val="Testonotaapidipagina"/>
        <w:jc w:val="both"/>
        <w:rPr>
          <w:rFonts w:ascii="Times New Roman" w:hAnsi="Times New Roman" w:cs="Times New Roman"/>
          <w:color w:val="000000" w:themeColor="text1"/>
          <w:sz w:val="24"/>
          <w:szCs w:val="24"/>
        </w:rPr>
      </w:pPr>
      <w:r w:rsidRPr="00FF0DB9">
        <w:rPr>
          <w:rStyle w:val="Rimandonotaapidipagina"/>
          <w:rFonts w:ascii="Times New Roman" w:hAnsi="Times New Roman" w:cs="Times New Roman"/>
          <w:sz w:val="24"/>
          <w:szCs w:val="24"/>
        </w:rPr>
        <w:footnoteRef/>
      </w:r>
      <w:r w:rsidRPr="00FF0DB9">
        <w:rPr>
          <w:rFonts w:ascii="Times New Roman" w:hAnsi="Times New Roman" w:cs="Times New Roman"/>
          <w:sz w:val="24"/>
          <w:szCs w:val="24"/>
        </w:rPr>
        <w:t xml:space="preserve"> </w:t>
      </w:r>
      <w:r>
        <w:rPr>
          <w:rFonts w:ascii="Times New Roman" w:hAnsi="Times New Roman" w:cs="Times New Roman"/>
          <w:sz w:val="24"/>
          <w:szCs w:val="24"/>
        </w:rPr>
        <w:t>L</w:t>
      </w:r>
      <w:r w:rsidRPr="00FF0DB9">
        <w:rPr>
          <w:rFonts w:ascii="Times New Roman" w:hAnsi="Times New Roman" w:cs="Times New Roman"/>
          <w:sz w:val="24"/>
          <w:szCs w:val="24"/>
        </w:rPr>
        <w:t>’I.A. è arrivata nei semafori di Roma ed è iniziato l’</w:t>
      </w:r>
      <w:r w:rsidRPr="00FF0DB9">
        <w:rPr>
          <w:rFonts w:ascii="Times New Roman" w:hAnsi="Times New Roman" w:cs="Times New Roman"/>
          <w:i/>
          <w:iCs/>
          <w:sz w:val="24"/>
          <w:szCs w:val="24"/>
        </w:rPr>
        <w:t xml:space="preserve">iter </w:t>
      </w:r>
      <w:r w:rsidRPr="00FF0DB9">
        <w:rPr>
          <w:rFonts w:ascii="Times New Roman" w:hAnsi="Times New Roman" w:cs="Times New Roman"/>
          <w:sz w:val="24"/>
          <w:szCs w:val="24"/>
        </w:rPr>
        <w:t xml:space="preserve">che permetterà a </w:t>
      </w:r>
      <w:r w:rsidRPr="00FF0DB9">
        <w:rPr>
          <w:rFonts w:ascii="Times New Roman" w:hAnsi="Times New Roman" w:cs="Times New Roman"/>
          <w:i/>
          <w:iCs/>
          <w:sz w:val="24"/>
          <w:szCs w:val="24"/>
        </w:rPr>
        <w:t>Google</w:t>
      </w:r>
      <w:r w:rsidRPr="00FF0DB9">
        <w:rPr>
          <w:rFonts w:ascii="Times New Roman" w:hAnsi="Times New Roman" w:cs="Times New Roman"/>
          <w:sz w:val="24"/>
          <w:szCs w:val="24"/>
        </w:rPr>
        <w:t xml:space="preserve"> di iniziare la sperimentazione sulle</w:t>
      </w:r>
      <w:r w:rsidRPr="00A749C4">
        <w:rPr>
          <w:rFonts w:ascii="Times New Roman" w:hAnsi="Times New Roman" w:cs="Times New Roman"/>
          <w:sz w:val="24"/>
          <w:szCs w:val="24"/>
        </w:rPr>
        <w:t xml:space="preserve"> </w:t>
      </w:r>
      <w:r w:rsidRPr="00FE6947">
        <w:rPr>
          <w:rFonts w:ascii="Times New Roman" w:hAnsi="Times New Roman" w:cs="Times New Roman"/>
          <w:sz w:val="24"/>
          <w:szCs w:val="24"/>
        </w:rPr>
        <w:t xml:space="preserve">strade della Capitale, per abbattere i tempi di attesa nel traffico (circa 254 ore annue) e ridurre i </w:t>
      </w:r>
      <w:r w:rsidRPr="00FE6947">
        <w:rPr>
          <w:rFonts w:ascii="Times New Roman" w:hAnsi="Times New Roman" w:cs="Times New Roman"/>
          <w:color w:val="000000" w:themeColor="text1"/>
          <w:sz w:val="24"/>
          <w:szCs w:val="24"/>
        </w:rPr>
        <w:t xml:space="preserve">consumi di benzina e le emissioni ambientali degli automobilisti. Vedi l’articolo su  </w:t>
      </w:r>
      <w:hyperlink r:id="rId17" w:history="1">
        <w:r w:rsidRPr="003118E8">
          <w:rPr>
            <w:rStyle w:val="Collegamentoipertestuale"/>
            <w:rFonts w:ascii="Times New Roman" w:hAnsi="Times New Roman" w:cs="Times New Roman"/>
            <w:color w:val="0070C0"/>
            <w:sz w:val="24"/>
            <w:szCs w:val="24"/>
          </w:rPr>
          <w:t>https://www.ilfattoquotidiano.it/2021/12/09/roma-lintelligenza-artificiale-per-i-semafori-sperimentazione-del-comune-con-google-per-ridurre-emissioni-e-tempi-dattesa-nel-traffico/6420072/</w:t>
        </w:r>
      </w:hyperlink>
      <w:r w:rsidRPr="003118E8">
        <w:rPr>
          <w:rFonts w:ascii="Times New Roman" w:hAnsi="Times New Roman" w:cs="Times New Roman"/>
          <w:color w:val="000000" w:themeColor="text1"/>
          <w:sz w:val="24"/>
          <w:szCs w:val="24"/>
        </w:rPr>
        <w:t>.</w:t>
      </w:r>
    </w:p>
  </w:footnote>
  <w:footnote w:id="93">
    <w:p w14:paraId="1A8BA542" w14:textId="0A77C008" w:rsidR="000463A6" w:rsidRPr="00FE6947" w:rsidRDefault="000463A6" w:rsidP="00FE6947">
      <w:pPr>
        <w:spacing w:after="0" w:line="240" w:lineRule="auto"/>
        <w:jc w:val="both"/>
        <w:rPr>
          <w:rFonts w:ascii="Times New Roman" w:hAnsi="Times New Roman" w:cs="Times New Roman"/>
          <w:color w:val="000000" w:themeColor="text1"/>
          <w:sz w:val="24"/>
          <w:szCs w:val="24"/>
        </w:rPr>
      </w:pPr>
      <w:r w:rsidRPr="00FE6947">
        <w:rPr>
          <w:rStyle w:val="Rimandonotaapidipagina"/>
          <w:rFonts w:ascii="Times New Roman" w:hAnsi="Times New Roman" w:cs="Times New Roman"/>
          <w:color w:val="000000" w:themeColor="text1"/>
          <w:sz w:val="24"/>
          <w:szCs w:val="24"/>
        </w:rPr>
        <w:footnoteRef/>
      </w:r>
      <w:r w:rsidRPr="00FE6947">
        <w:rPr>
          <w:rFonts w:ascii="Times New Roman" w:hAnsi="Times New Roman" w:cs="Times New Roman"/>
          <w:color w:val="000000" w:themeColor="text1"/>
          <w:sz w:val="24"/>
          <w:szCs w:val="24"/>
        </w:rPr>
        <w:t xml:space="preserve"> Un </w:t>
      </w:r>
      <w:r>
        <w:rPr>
          <w:rFonts w:ascii="Times New Roman" w:hAnsi="Times New Roman" w:cs="Times New Roman"/>
          <w:color w:val="000000" w:themeColor="text1"/>
          <w:sz w:val="24"/>
          <w:szCs w:val="24"/>
        </w:rPr>
        <w:t>bell’</w:t>
      </w:r>
      <w:r w:rsidRPr="00FE6947">
        <w:rPr>
          <w:rFonts w:ascii="Times New Roman" w:hAnsi="Times New Roman" w:cs="Times New Roman"/>
          <w:color w:val="000000" w:themeColor="text1"/>
          <w:sz w:val="24"/>
          <w:szCs w:val="24"/>
        </w:rPr>
        <w:t xml:space="preserve">esempio di applicazione dell’I.A. è quello che proviene dalla recente invenzione dei c.d. </w:t>
      </w:r>
      <w:proofErr w:type="spellStart"/>
      <w:r w:rsidRPr="00FE6947">
        <w:rPr>
          <w:rFonts w:ascii="Times New Roman" w:hAnsi="Times New Roman" w:cs="Times New Roman"/>
          <w:i/>
          <w:iCs/>
          <w:color w:val="000000" w:themeColor="text1"/>
          <w:sz w:val="24"/>
          <w:szCs w:val="24"/>
        </w:rPr>
        <w:t>Xenobot</w:t>
      </w:r>
      <w:proofErr w:type="spellEnd"/>
      <w:r w:rsidRPr="00FE6947">
        <w:rPr>
          <w:rFonts w:ascii="Times New Roman" w:hAnsi="Times New Roman" w:cs="Times New Roman"/>
          <w:color w:val="000000" w:themeColor="text1"/>
          <w:sz w:val="24"/>
          <w:szCs w:val="24"/>
        </w:rPr>
        <w:t xml:space="preserve">, creati da una rana e da un’intelligenza artificiale, capaci di muoversi nello spazio e persino di riprodursi. Sono, infatti, dei robot viventi, organismi multicellulari artificiali e programmati per svolgere funzioni diverse da quelle naturali: il loro studio è stato condotto dalla </w:t>
      </w:r>
      <w:r w:rsidRPr="00FE6947">
        <w:rPr>
          <w:rFonts w:ascii="Times New Roman" w:hAnsi="Times New Roman" w:cs="Times New Roman"/>
          <w:i/>
          <w:iCs/>
          <w:color w:val="000000" w:themeColor="text1"/>
          <w:sz w:val="24"/>
          <w:szCs w:val="24"/>
        </w:rPr>
        <w:t xml:space="preserve">Harvard </w:t>
      </w:r>
      <w:proofErr w:type="spellStart"/>
      <w:r w:rsidRPr="00FE6947">
        <w:rPr>
          <w:rFonts w:ascii="Times New Roman" w:hAnsi="Times New Roman" w:cs="Times New Roman"/>
          <w:i/>
          <w:iCs/>
          <w:color w:val="000000" w:themeColor="text1"/>
          <w:sz w:val="24"/>
          <w:szCs w:val="24"/>
        </w:rPr>
        <w:t>University</w:t>
      </w:r>
      <w:proofErr w:type="spellEnd"/>
      <w:r w:rsidRPr="00FE6947">
        <w:rPr>
          <w:rFonts w:ascii="Times New Roman" w:hAnsi="Times New Roman" w:cs="Times New Roman"/>
          <w:color w:val="000000" w:themeColor="text1"/>
          <w:sz w:val="24"/>
          <w:szCs w:val="24"/>
        </w:rPr>
        <w:t xml:space="preserve">, l’Università del </w:t>
      </w:r>
      <w:proofErr w:type="spellStart"/>
      <w:r w:rsidRPr="00FE6947">
        <w:rPr>
          <w:rFonts w:ascii="Times New Roman" w:hAnsi="Times New Roman" w:cs="Times New Roman"/>
          <w:i/>
          <w:iCs/>
          <w:color w:val="000000" w:themeColor="text1"/>
          <w:sz w:val="24"/>
          <w:szCs w:val="24"/>
        </w:rPr>
        <w:t>Vermond</w:t>
      </w:r>
      <w:proofErr w:type="spellEnd"/>
      <w:r w:rsidRPr="00FE6947">
        <w:rPr>
          <w:rFonts w:ascii="Times New Roman" w:hAnsi="Times New Roman" w:cs="Times New Roman"/>
          <w:color w:val="000000" w:themeColor="text1"/>
          <w:sz w:val="24"/>
          <w:szCs w:val="24"/>
        </w:rPr>
        <w:t xml:space="preserve"> e la </w:t>
      </w:r>
      <w:proofErr w:type="spellStart"/>
      <w:r w:rsidRPr="00FE6947">
        <w:rPr>
          <w:rFonts w:ascii="Times New Roman" w:hAnsi="Times New Roman" w:cs="Times New Roman"/>
          <w:i/>
          <w:iCs/>
          <w:color w:val="000000" w:themeColor="text1"/>
          <w:sz w:val="24"/>
          <w:szCs w:val="24"/>
        </w:rPr>
        <w:t>Tuft</w:t>
      </w:r>
      <w:proofErr w:type="spellEnd"/>
      <w:r w:rsidRPr="00FE6947">
        <w:rPr>
          <w:rFonts w:ascii="Times New Roman" w:hAnsi="Times New Roman" w:cs="Times New Roman"/>
          <w:i/>
          <w:iCs/>
          <w:color w:val="000000" w:themeColor="text1"/>
          <w:sz w:val="24"/>
          <w:szCs w:val="24"/>
        </w:rPr>
        <w:t xml:space="preserve"> </w:t>
      </w:r>
      <w:proofErr w:type="spellStart"/>
      <w:r w:rsidRPr="00FE6947">
        <w:rPr>
          <w:rFonts w:ascii="Times New Roman" w:hAnsi="Times New Roman" w:cs="Times New Roman"/>
          <w:i/>
          <w:iCs/>
          <w:color w:val="000000" w:themeColor="text1"/>
          <w:sz w:val="24"/>
          <w:szCs w:val="24"/>
        </w:rPr>
        <w:t>University</w:t>
      </w:r>
      <w:proofErr w:type="spellEnd"/>
      <w:r w:rsidRPr="00FE6947">
        <w:rPr>
          <w:rFonts w:ascii="Times New Roman" w:hAnsi="Times New Roman" w:cs="Times New Roman"/>
          <w:color w:val="000000" w:themeColor="text1"/>
          <w:sz w:val="24"/>
          <w:szCs w:val="24"/>
        </w:rPr>
        <w:t xml:space="preserve">, ed è pubblicato sulla rivista dell’Accademia </w:t>
      </w:r>
      <w:r>
        <w:rPr>
          <w:rFonts w:ascii="Times New Roman" w:hAnsi="Times New Roman" w:cs="Times New Roman"/>
          <w:color w:val="000000" w:themeColor="text1"/>
          <w:sz w:val="24"/>
          <w:szCs w:val="24"/>
        </w:rPr>
        <w:t>A</w:t>
      </w:r>
      <w:r w:rsidRPr="00FE6947">
        <w:rPr>
          <w:rFonts w:ascii="Times New Roman" w:hAnsi="Times New Roman" w:cs="Times New Roman"/>
          <w:color w:val="000000" w:themeColor="text1"/>
          <w:sz w:val="24"/>
          <w:szCs w:val="24"/>
        </w:rPr>
        <w:t xml:space="preserve">mericana delle </w:t>
      </w:r>
      <w:r>
        <w:rPr>
          <w:rFonts w:ascii="Times New Roman" w:hAnsi="Times New Roman" w:cs="Times New Roman"/>
          <w:color w:val="000000" w:themeColor="text1"/>
          <w:sz w:val="24"/>
          <w:szCs w:val="24"/>
        </w:rPr>
        <w:t>S</w:t>
      </w:r>
      <w:r w:rsidRPr="00FE6947">
        <w:rPr>
          <w:rFonts w:ascii="Times New Roman" w:hAnsi="Times New Roman" w:cs="Times New Roman"/>
          <w:color w:val="000000" w:themeColor="text1"/>
          <w:sz w:val="24"/>
          <w:szCs w:val="24"/>
        </w:rPr>
        <w:t>cienze. È un bellissimo esempio di congiunzione tra biologia e I.A. che potrebbe avere un’applicazione pratica come pulire gli oceani.</w:t>
      </w:r>
      <w:r w:rsidRPr="0099593A">
        <w:t xml:space="preserve"> </w:t>
      </w:r>
      <w:r>
        <w:rPr>
          <w:rFonts w:ascii="Times New Roman" w:hAnsi="Times New Roman" w:cs="Times New Roman"/>
          <w:color w:val="000000" w:themeColor="text1"/>
          <w:sz w:val="24"/>
          <w:szCs w:val="24"/>
        </w:rPr>
        <w:t>U</w:t>
      </w:r>
      <w:r w:rsidRPr="0099593A">
        <w:rPr>
          <w:rFonts w:ascii="Times New Roman" w:hAnsi="Times New Roman" w:cs="Times New Roman"/>
          <w:color w:val="000000" w:themeColor="text1"/>
          <w:sz w:val="24"/>
          <w:szCs w:val="24"/>
        </w:rPr>
        <w:t xml:space="preserve">n altro esempio di applicazione pratica ed utile della robotica è quello che ci viene dai robot umanoidi ideati da Daniele Pucci, Direttore del Laboratorio d’Intelligenza Artificiale e Meccanica dell’Istituto Italiano di Tecnologia di Genova, che ha introdotto un </w:t>
      </w:r>
      <w:proofErr w:type="spellStart"/>
      <w:r w:rsidRPr="0099593A">
        <w:rPr>
          <w:rFonts w:ascii="Times New Roman" w:hAnsi="Times New Roman" w:cs="Times New Roman"/>
          <w:i/>
          <w:iCs/>
          <w:color w:val="000000" w:themeColor="text1"/>
          <w:sz w:val="24"/>
          <w:szCs w:val="24"/>
        </w:rPr>
        <w:t>jetpack</w:t>
      </w:r>
      <w:proofErr w:type="spellEnd"/>
      <w:r w:rsidRPr="0099593A">
        <w:rPr>
          <w:rFonts w:ascii="Times New Roman" w:hAnsi="Times New Roman" w:cs="Times New Roman"/>
          <w:color w:val="000000" w:themeColor="text1"/>
          <w:sz w:val="24"/>
          <w:szCs w:val="24"/>
        </w:rPr>
        <w:t xml:space="preserve"> sul retro di un robot noto come </w:t>
      </w:r>
      <w:proofErr w:type="spellStart"/>
      <w:r w:rsidRPr="0099593A">
        <w:rPr>
          <w:rFonts w:ascii="Times New Roman" w:hAnsi="Times New Roman" w:cs="Times New Roman"/>
          <w:i/>
          <w:iCs/>
          <w:color w:val="000000" w:themeColor="text1"/>
          <w:sz w:val="24"/>
          <w:szCs w:val="24"/>
        </w:rPr>
        <w:t>iRonCub</w:t>
      </w:r>
      <w:proofErr w:type="spellEnd"/>
      <w:r w:rsidRPr="0099593A">
        <w:rPr>
          <w:rFonts w:ascii="Times New Roman" w:hAnsi="Times New Roman" w:cs="Times New Roman"/>
          <w:color w:val="000000" w:themeColor="text1"/>
          <w:sz w:val="24"/>
          <w:szCs w:val="24"/>
        </w:rPr>
        <w:t>, pensato appositamente per il volo, in grado di intervenire in disastri ambientali e superare gli ostacoli che inevitabilmente si pongono agli umani nelle operazioni di soccorso estreme. Pucci ha dichiarato: «</w:t>
      </w:r>
      <w:r w:rsidRPr="0099593A">
        <w:rPr>
          <w:rFonts w:ascii="Times New Roman" w:hAnsi="Times New Roman" w:cs="Times New Roman"/>
          <w:i/>
          <w:iCs/>
          <w:color w:val="000000" w:themeColor="text1"/>
          <w:sz w:val="24"/>
          <w:szCs w:val="24"/>
        </w:rPr>
        <w:t>I Robot Umanoidi Aerei uniscono capacità come la manipolazione aerea e la robotica umanoide. In questo modo, essi risolvono i problemi di locomozione terrestre dei robot aerei e, al contempo, estendono le capacità di locomozione dei robot umanoidi anche al movimento in aria. I Robot Aerei Umanoidi possono camminare, volare, trasportare oggetti e manipolarli, offrendo soluzioni energeticamente efficienti al trasporto di oggetti e alla loro manipolazione</w:t>
      </w:r>
      <w:r w:rsidRPr="0099593A">
        <w:rPr>
          <w:rFonts w:ascii="Times New Roman" w:hAnsi="Times New Roman" w:cs="Times New Roman"/>
          <w:color w:val="000000" w:themeColor="text1"/>
          <w:sz w:val="24"/>
          <w:szCs w:val="24"/>
        </w:rPr>
        <w:t>».</w:t>
      </w:r>
    </w:p>
  </w:footnote>
  <w:footnote w:id="94">
    <w:p w14:paraId="1D1D9365" w14:textId="530772A5" w:rsidR="000463A6" w:rsidRPr="00D82472" w:rsidRDefault="000463A6" w:rsidP="00FE6947">
      <w:pPr>
        <w:spacing w:after="0" w:line="240" w:lineRule="auto"/>
        <w:jc w:val="both"/>
        <w:rPr>
          <w:rFonts w:ascii="Times New Roman" w:hAnsi="Times New Roman" w:cs="Times New Roman"/>
          <w:sz w:val="24"/>
          <w:szCs w:val="24"/>
        </w:rPr>
      </w:pPr>
      <w:r w:rsidRPr="00FE6947">
        <w:rPr>
          <w:rStyle w:val="Rimandonotaapidipagina"/>
          <w:rFonts w:ascii="Times New Roman" w:hAnsi="Times New Roman" w:cs="Times New Roman"/>
          <w:color w:val="000000" w:themeColor="text1"/>
          <w:sz w:val="24"/>
          <w:szCs w:val="24"/>
        </w:rPr>
        <w:footnoteRef/>
      </w:r>
      <w:r w:rsidRPr="00FE6947">
        <w:rPr>
          <w:rFonts w:ascii="Times New Roman" w:hAnsi="Times New Roman" w:cs="Times New Roman"/>
          <w:color w:val="000000" w:themeColor="text1"/>
          <w:sz w:val="24"/>
          <w:szCs w:val="24"/>
        </w:rPr>
        <w:t xml:space="preserve"> È interessante l’articolo di </w:t>
      </w:r>
      <w:r w:rsidRPr="00FE6947">
        <w:rPr>
          <w:rFonts w:ascii="Times New Roman" w:hAnsi="Times New Roman" w:cs="Times New Roman"/>
          <w:smallCaps/>
          <w:color w:val="000000" w:themeColor="text1"/>
          <w:sz w:val="24"/>
          <w:szCs w:val="24"/>
        </w:rPr>
        <w:t xml:space="preserve">M. </w:t>
      </w:r>
      <w:proofErr w:type="spellStart"/>
      <w:r w:rsidRPr="00FE6947">
        <w:rPr>
          <w:rFonts w:ascii="Times New Roman" w:hAnsi="Times New Roman" w:cs="Times New Roman"/>
          <w:smallCaps/>
          <w:color w:val="000000" w:themeColor="text1"/>
          <w:sz w:val="24"/>
          <w:szCs w:val="24"/>
        </w:rPr>
        <w:t>Adinolfi</w:t>
      </w:r>
      <w:proofErr w:type="spellEnd"/>
      <w:r w:rsidRPr="00FE6947">
        <w:rPr>
          <w:rFonts w:ascii="Times New Roman" w:hAnsi="Times New Roman" w:cs="Times New Roman"/>
          <w:color w:val="000000" w:themeColor="text1"/>
          <w:sz w:val="24"/>
          <w:szCs w:val="24"/>
        </w:rPr>
        <w:t>, “</w:t>
      </w:r>
      <w:r w:rsidRPr="00FE6947">
        <w:rPr>
          <w:rFonts w:ascii="Times New Roman" w:hAnsi="Times New Roman" w:cs="Times New Roman"/>
          <w:i/>
          <w:iCs/>
          <w:color w:val="000000" w:themeColor="text1"/>
          <w:sz w:val="24"/>
          <w:szCs w:val="24"/>
        </w:rPr>
        <w:t>L’intelligenza artificiale che Platone non si aspettava. Vinceranno gli algoritmi?</w:t>
      </w:r>
      <w:r w:rsidRPr="00FE6947">
        <w:rPr>
          <w:rFonts w:ascii="Times New Roman" w:hAnsi="Times New Roman" w:cs="Times New Roman"/>
          <w:color w:val="000000" w:themeColor="text1"/>
          <w:sz w:val="24"/>
          <w:szCs w:val="24"/>
        </w:rPr>
        <w:t>”, 2021, dove l’autore, richiamando un’immagine del filosofo Platone che «</w:t>
      </w:r>
      <w:r w:rsidRPr="00FE6947">
        <w:rPr>
          <w:rFonts w:ascii="Times New Roman" w:hAnsi="Times New Roman" w:cs="Times New Roman"/>
          <w:i/>
          <w:iCs/>
          <w:color w:val="000000" w:themeColor="text1"/>
          <w:sz w:val="24"/>
          <w:szCs w:val="24"/>
        </w:rPr>
        <w:t>rischia di finire in soffitta</w:t>
      </w:r>
      <w:r w:rsidRPr="00FE6947">
        <w:rPr>
          <w:rFonts w:ascii="Times New Roman" w:hAnsi="Times New Roman" w:cs="Times New Roman"/>
          <w:color w:val="000000" w:themeColor="text1"/>
          <w:sz w:val="24"/>
          <w:szCs w:val="24"/>
        </w:rPr>
        <w:t xml:space="preserve">», “lamenta” la perdita di centralità </w:t>
      </w:r>
      <w:r w:rsidRPr="00FE6947">
        <w:rPr>
          <w:rFonts w:ascii="Times New Roman" w:hAnsi="Times New Roman" w:cs="Times New Roman"/>
          <w:sz w:val="24"/>
          <w:szCs w:val="24"/>
        </w:rPr>
        <w:t>dell’uomo, che con l’avvento dell’I.A., «</w:t>
      </w:r>
      <w:r w:rsidRPr="00FE6947">
        <w:rPr>
          <w:rFonts w:ascii="Times New Roman" w:hAnsi="Times New Roman" w:cs="Times New Roman"/>
          <w:i/>
          <w:iCs/>
          <w:sz w:val="24"/>
          <w:szCs w:val="24"/>
        </w:rPr>
        <w:t xml:space="preserve">non è più </w:t>
      </w:r>
      <w:r w:rsidRPr="00FE6947">
        <w:rPr>
          <w:rFonts w:ascii="Times New Roman" w:hAnsi="Times New Roman" w:cs="Times New Roman"/>
          <w:i/>
          <w:iCs/>
          <w:color w:val="0D0D0D" w:themeColor="text1" w:themeTint="F2"/>
          <w:sz w:val="24"/>
          <w:szCs w:val="24"/>
        </w:rPr>
        <w:t>l’unico e il solo essere a detenere la conoscenza, e a farla funzionare</w:t>
      </w:r>
      <w:r w:rsidRPr="00FE6947">
        <w:rPr>
          <w:rFonts w:ascii="Times New Roman" w:hAnsi="Times New Roman" w:cs="Times New Roman"/>
          <w:color w:val="0D0D0D" w:themeColor="text1" w:themeTint="F2"/>
          <w:sz w:val="24"/>
          <w:szCs w:val="24"/>
        </w:rPr>
        <w:t>». In passato, era l’uomo a detenere «</w:t>
      </w:r>
      <w:r w:rsidRPr="00FE6947">
        <w:rPr>
          <w:rFonts w:ascii="Times New Roman" w:hAnsi="Times New Roman" w:cs="Times New Roman"/>
          <w:i/>
          <w:iCs/>
          <w:color w:val="0D0D0D" w:themeColor="text1" w:themeTint="F2"/>
          <w:sz w:val="24"/>
          <w:szCs w:val="24"/>
        </w:rPr>
        <w:t>la chiave dei significati, è l’uomo che possiede la mente (o addirittura un’anima), è solo l’uomo che ha intelligenza di ciò che è scritto</w:t>
      </w:r>
      <w:r w:rsidRPr="00FE6947">
        <w:rPr>
          <w:rFonts w:ascii="Times New Roman" w:hAnsi="Times New Roman" w:cs="Times New Roman"/>
          <w:color w:val="0D0D0D" w:themeColor="text1" w:themeTint="F2"/>
          <w:sz w:val="24"/>
          <w:szCs w:val="24"/>
        </w:rPr>
        <w:t>». Invece ora ci sono le macchine, che «</w:t>
      </w:r>
      <w:r w:rsidRPr="00FE6947">
        <w:rPr>
          <w:rFonts w:ascii="Times New Roman" w:hAnsi="Times New Roman" w:cs="Times New Roman"/>
          <w:i/>
          <w:iCs/>
          <w:color w:val="0D0D0D" w:themeColor="text1" w:themeTint="F2"/>
          <w:sz w:val="24"/>
          <w:szCs w:val="24"/>
        </w:rPr>
        <w:t>forniscono prestazioni superiori all’uomo in una quantità di situazioni in cui noi metteremmo il pensiero, mentre loro si limitano (si fa per dire) a macinare dati. Miliardi di dati</w:t>
      </w:r>
      <w:r w:rsidRPr="00FE6947">
        <w:rPr>
          <w:rFonts w:ascii="Times New Roman" w:hAnsi="Times New Roman" w:cs="Times New Roman"/>
          <w:color w:val="0D0D0D" w:themeColor="text1" w:themeTint="F2"/>
          <w:sz w:val="24"/>
          <w:szCs w:val="24"/>
        </w:rPr>
        <w:t>» e le cui capacità di calcolo «</w:t>
      </w:r>
      <w:r w:rsidRPr="00FE6947">
        <w:rPr>
          <w:rFonts w:ascii="Times New Roman" w:hAnsi="Times New Roman" w:cs="Times New Roman"/>
          <w:i/>
          <w:iCs/>
          <w:color w:val="0D0D0D" w:themeColor="text1" w:themeTint="F2"/>
          <w:sz w:val="24"/>
          <w:szCs w:val="24"/>
        </w:rPr>
        <w:t>superano di gran lunga qualunque capacità di controllo da parte del “padre”, cioè dell’uomo</w:t>
      </w:r>
      <w:r w:rsidRPr="00FE6947">
        <w:rPr>
          <w:rFonts w:ascii="Times New Roman" w:hAnsi="Times New Roman" w:cs="Times New Roman"/>
          <w:color w:val="0D0D0D" w:themeColor="text1" w:themeTint="F2"/>
          <w:sz w:val="24"/>
          <w:szCs w:val="24"/>
        </w:rPr>
        <w:t xml:space="preserve">». V. </w:t>
      </w:r>
      <w:hyperlink r:id="rId18" w:history="1">
        <w:r w:rsidRPr="003118E8">
          <w:rPr>
            <w:rStyle w:val="Collegamentoipertestuale"/>
            <w:rFonts w:ascii="Times New Roman" w:hAnsi="Times New Roman" w:cs="Times New Roman"/>
            <w:color w:val="0070C0"/>
            <w:sz w:val="24"/>
            <w:szCs w:val="24"/>
          </w:rPr>
          <w:t>https://www.ilfoglio.it/tecnologia/2021/11/13/news/l-intelligenza-artificiale-che-platone-non-si-aspettava-vinceranno-gli-algoritmi--3356675/</w:t>
        </w:r>
      </w:hyperlink>
      <w:r w:rsidRPr="00FE6947">
        <w:rPr>
          <w:rFonts w:ascii="Times New Roman" w:hAnsi="Times New Roman" w:cs="Times New Roman"/>
          <w:color w:val="0D0D0D" w:themeColor="text1" w:themeTint="F2"/>
          <w:sz w:val="24"/>
          <w:szCs w:val="24"/>
        </w:rPr>
        <w:t>.</w:t>
      </w:r>
    </w:p>
  </w:footnote>
  <w:footnote w:id="95">
    <w:p w14:paraId="45A62007" w14:textId="16A93D6A" w:rsidR="000463A6" w:rsidRPr="00540F6C" w:rsidRDefault="000463A6" w:rsidP="00642141">
      <w:pPr>
        <w:spacing w:after="0" w:line="240" w:lineRule="auto"/>
        <w:jc w:val="both"/>
        <w:rPr>
          <w:rFonts w:ascii="Times New Roman" w:hAnsi="Times New Roman" w:cs="Times New Roman"/>
          <w:sz w:val="24"/>
          <w:szCs w:val="24"/>
        </w:rPr>
      </w:pPr>
      <w:r w:rsidRPr="00540F6C">
        <w:rPr>
          <w:rStyle w:val="Rimandonotaapidipagina"/>
          <w:rFonts w:ascii="Times New Roman" w:hAnsi="Times New Roman" w:cs="Times New Roman"/>
          <w:sz w:val="24"/>
          <w:szCs w:val="24"/>
        </w:rPr>
        <w:footnoteRef/>
      </w:r>
      <w:r w:rsidRPr="00540F6C">
        <w:rPr>
          <w:rFonts w:ascii="Times New Roman" w:hAnsi="Times New Roman" w:cs="Times New Roman"/>
          <w:sz w:val="24"/>
          <w:szCs w:val="24"/>
        </w:rPr>
        <w:t xml:space="preserve"> </w:t>
      </w:r>
      <w:proofErr w:type="spellStart"/>
      <w:r w:rsidRPr="00540F6C">
        <w:rPr>
          <w:rFonts w:ascii="Times New Roman" w:hAnsi="Times New Roman" w:cs="Times New Roman"/>
          <w:i/>
          <w:iCs/>
          <w:sz w:val="24"/>
          <w:szCs w:val="24"/>
        </w:rPr>
        <w:t>Harari</w:t>
      </w:r>
      <w:proofErr w:type="spellEnd"/>
      <w:r w:rsidRPr="00540F6C">
        <w:rPr>
          <w:rFonts w:ascii="Times New Roman" w:hAnsi="Times New Roman" w:cs="Times New Roman"/>
          <w:sz w:val="24"/>
          <w:szCs w:val="24"/>
        </w:rPr>
        <w:t xml:space="preserve"> non è l’unico ad essere scettico nei confronti dell’I.A.; anche </w:t>
      </w:r>
      <w:r w:rsidRPr="00540F6C">
        <w:rPr>
          <w:rFonts w:ascii="Times New Roman" w:hAnsi="Times New Roman" w:cs="Times New Roman"/>
          <w:i/>
          <w:iCs/>
          <w:sz w:val="24"/>
          <w:szCs w:val="24"/>
        </w:rPr>
        <w:t>Stephen Hawking</w:t>
      </w:r>
      <w:r w:rsidRPr="00540F6C">
        <w:rPr>
          <w:rFonts w:ascii="Times New Roman" w:hAnsi="Times New Roman" w:cs="Times New Roman"/>
          <w:sz w:val="24"/>
          <w:szCs w:val="24"/>
        </w:rPr>
        <w:t xml:space="preserve"> ha criticato l’Intelligenza Artificiale, ritenendola il male assoluto. C’è anche chi, come </w:t>
      </w:r>
      <w:proofErr w:type="spellStart"/>
      <w:r w:rsidRPr="00540F6C">
        <w:rPr>
          <w:rFonts w:ascii="Times New Roman" w:hAnsi="Times New Roman" w:cs="Times New Roman"/>
          <w:i/>
          <w:iCs/>
          <w:sz w:val="24"/>
          <w:szCs w:val="24"/>
        </w:rPr>
        <w:t>Mo</w:t>
      </w:r>
      <w:proofErr w:type="spellEnd"/>
      <w:r w:rsidRPr="00540F6C">
        <w:rPr>
          <w:rFonts w:ascii="Times New Roman" w:hAnsi="Times New Roman" w:cs="Times New Roman"/>
          <w:i/>
          <w:iCs/>
          <w:sz w:val="24"/>
          <w:szCs w:val="24"/>
        </w:rPr>
        <w:t xml:space="preserve"> </w:t>
      </w:r>
      <w:proofErr w:type="spellStart"/>
      <w:r w:rsidRPr="00540F6C">
        <w:rPr>
          <w:rFonts w:ascii="Times New Roman" w:hAnsi="Times New Roman" w:cs="Times New Roman"/>
          <w:i/>
          <w:iCs/>
          <w:sz w:val="24"/>
          <w:szCs w:val="24"/>
        </w:rPr>
        <w:t>Gadwat</w:t>
      </w:r>
      <w:proofErr w:type="spellEnd"/>
      <w:r w:rsidRPr="00540F6C">
        <w:rPr>
          <w:rFonts w:ascii="Times New Roman" w:hAnsi="Times New Roman" w:cs="Times New Roman"/>
          <w:sz w:val="24"/>
          <w:szCs w:val="24"/>
        </w:rPr>
        <w:t>, ci mette in guardia dal voler “creare Dio” attraverso sistemi di I.A.</w:t>
      </w:r>
    </w:p>
  </w:footnote>
  <w:footnote w:id="96">
    <w:p w14:paraId="0A632372" w14:textId="6F892010" w:rsidR="000463A6" w:rsidRPr="00540F6C" w:rsidRDefault="000463A6" w:rsidP="00540F6C">
      <w:pPr>
        <w:spacing w:after="0" w:line="240" w:lineRule="auto"/>
        <w:jc w:val="both"/>
        <w:rPr>
          <w:rFonts w:ascii="Times New Roman" w:hAnsi="Times New Roman" w:cs="Times New Roman"/>
          <w:sz w:val="24"/>
          <w:szCs w:val="24"/>
        </w:rPr>
      </w:pPr>
      <w:r w:rsidRPr="00540F6C">
        <w:rPr>
          <w:rStyle w:val="Rimandonotaapidipagina"/>
          <w:rFonts w:ascii="Times New Roman" w:hAnsi="Times New Roman" w:cs="Times New Roman"/>
          <w:sz w:val="24"/>
          <w:szCs w:val="24"/>
        </w:rPr>
        <w:footnoteRef/>
      </w:r>
      <w:r w:rsidRPr="00540F6C">
        <w:rPr>
          <w:rFonts w:ascii="Times New Roman" w:hAnsi="Times New Roman" w:cs="Times New Roman"/>
          <w:sz w:val="24"/>
          <w:szCs w:val="24"/>
        </w:rPr>
        <w:t xml:space="preserve"> Non siamo ancora arrivati a ciò, eppure non sono pochi i casi in cui l’I.A. è andata trop</w:t>
      </w:r>
      <w:r>
        <w:rPr>
          <w:rFonts w:ascii="Times New Roman" w:hAnsi="Times New Roman" w:cs="Times New Roman"/>
          <w:sz w:val="24"/>
          <w:szCs w:val="24"/>
        </w:rPr>
        <w:t>po</w:t>
      </w:r>
      <w:r w:rsidRPr="00540F6C">
        <w:rPr>
          <w:rFonts w:ascii="Times New Roman" w:hAnsi="Times New Roman" w:cs="Times New Roman"/>
          <w:sz w:val="24"/>
          <w:szCs w:val="24"/>
        </w:rPr>
        <w:t xml:space="preserve"> oltre…</w:t>
      </w:r>
    </w:p>
    <w:p w14:paraId="0C61B8E6" w14:textId="2070807B" w:rsidR="000463A6" w:rsidRPr="00352E3B" w:rsidRDefault="000463A6" w:rsidP="00352E3B">
      <w:pPr>
        <w:spacing w:after="0" w:line="240" w:lineRule="auto"/>
        <w:jc w:val="both"/>
        <w:rPr>
          <w:rFonts w:ascii="Times New Roman" w:hAnsi="Times New Roman" w:cs="Times New Roman"/>
          <w:sz w:val="24"/>
          <w:szCs w:val="24"/>
        </w:rPr>
      </w:pPr>
      <w:r w:rsidRPr="00540F6C">
        <w:rPr>
          <w:rFonts w:ascii="Times New Roman" w:hAnsi="Times New Roman" w:cs="Times New Roman"/>
          <w:sz w:val="24"/>
          <w:szCs w:val="24"/>
        </w:rPr>
        <w:t xml:space="preserve">Per esempio, è stata utilizzata per prevedere e prevenire la criminalità dal viso delle persone: dall’Università di </w:t>
      </w:r>
      <w:r w:rsidRPr="00540F6C">
        <w:rPr>
          <w:rFonts w:ascii="Times New Roman" w:hAnsi="Times New Roman" w:cs="Times New Roman"/>
          <w:i/>
          <w:iCs/>
          <w:sz w:val="24"/>
          <w:szCs w:val="24"/>
        </w:rPr>
        <w:t>Harrisburg</w:t>
      </w:r>
      <w:r w:rsidRPr="00540F6C">
        <w:rPr>
          <w:rFonts w:ascii="Times New Roman" w:hAnsi="Times New Roman" w:cs="Times New Roman"/>
          <w:sz w:val="24"/>
          <w:szCs w:val="24"/>
        </w:rPr>
        <w:t xml:space="preserve"> è arrivata la notizia di un </w:t>
      </w:r>
      <w:r w:rsidRPr="00540F6C">
        <w:rPr>
          <w:rFonts w:ascii="Times New Roman" w:hAnsi="Times New Roman" w:cs="Times New Roman"/>
          <w:i/>
          <w:iCs/>
          <w:sz w:val="24"/>
          <w:szCs w:val="24"/>
        </w:rPr>
        <w:t>software</w:t>
      </w:r>
      <w:r w:rsidRPr="00540F6C">
        <w:rPr>
          <w:rFonts w:ascii="Times New Roman" w:hAnsi="Times New Roman" w:cs="Times New Roman"/>
          <w:sz w:val="24"/>
          <w:szCs w:val="24"/>
        </w:rPr>
        <w:t xml:space="preserve"> che predice se qualcuno è un criminale, scovando i reati con un tasso di precisione di oltre l’80%, configurando un possibile ausilio per le forze dell’ordine. La reazione tra gli esperti non è stata (per fortuna) positiva e l’Università</w:t>
      </w:r>
      <w:r>
        <w:rPr>
          <w:rFonts w:ascii="Times New Roman" w:hAnsi="Times New Roman" w:cs="Times New Roman"/>
          <w:sz w:val="24"/>
          <w:szCs w:val="24"/>
        </w:rPr>
        <w:t xml:space="preserve">, </w:t>
      </w:r>
      <w:r w:rsidRPr="00540F6C">
        <w:rPr>
          <w:rFonts w:ascii="Times New Roman" w:hAnsi="Times New Roman" w:cs="Times New Roman"/>
          <w:sz w:val="24"/>
          <w:szCs w:val="24"/>
        </w:rPr>
        <w:t xml:space="preserve">preso atto della situazione, </w:t>
      </w:r>
      <w:r>
        <w:rPr>
          <w:rFonts w:ascii="Times New Roman" w:hAnsi="Times New Roman" w:cs="Times New Roman"/>
          <w:sz w:val="24"/>
          <w:szCs w:val="24"/>
        </w:rPr>
        <w:t xml:space="preserve">ha fatto un passo indietro. </w:t>
      </w:r>
      <w:r w:rsidRPr="00540F6C">
        <w:rPr>
          <w:rFonts w:ascii="Times New Roman" w:hAnsi="Times New Roman" w:cs="Times New Roman"/>
          <w:sz w:val="24"/>
          <w:szCs w:val="24"/>
        </w:rPr>
        <w:t xml:space="preserve">Oppure si ricorderà di quella volta in cui, nel 2016, Microsoft ha rilasciato la </w:t>
      </w:r>
      <w:proofErr w:type="spellStart"/>
      <w:r w:rsidRPr="00540F6C">
        <w:rPr>
          <w:rFonts w:ascii="Times New Roman" w:hAnsi="Times New Roman" w:cs="Times New Roman"/>
          <w:i/>
          <w:iCs/>
          <w:sz w:val="24"/>
          <w:szCs w:val="24"/>
        </w:rPr>
        <w:t>chatbot</w:t>
      </w:r>
      <w:proofErr w:type="spellEnd"/>
      <w:r w:rsidRPr="00540F6C">
        <w:rPr>
          <w:rFonts w:ascii="Times New Roman" w:hAnsi="Times New Roman" w:cs="Times New Roman"/>
          <w:sz w:val="24"/>
          <w:szCs w:val="24"/>
        </w:rPr>
        <w:t xml:space="preserve"> “</w:t>
      </w:r>
      <w:proofErr w:type="spellStart"/>
      <w:r w:rsidRPr="00540F6C">
        <w:rPr>
          <w:rFonts w:ascii="Times New Roman" w:hAnsi="Times New Roman" w:cs="Times New Roman"/>
          <w:i/>
          <w:iCs/>
          <w:sz w:val="24"/>
          <w:szCs w:val="24"/>
        </w:rPr>
        <w:t>Tay</w:t>
      </w:r>
      <w:proofErr w:type="spellEnd"/>
      <w:r w:rsidRPr="00540F6C">
        <w:rPr>
          <w:rFonts w:ascii="Times New Roman" w:hAnsi="Times New Roman" w:cs="Times New Roman"/>
          <w:sz w:val="24"/>
          <w:szCs w:val="24"/>
        </w:rPr>
        <w:t xml:space="preserve">”, progettata per imparare dall’interazione con le persone sul </w:t>
      </w:r>
      <w:r w:rsidRPr="00540F6C">
        <w:rPr>
          <w:rFonts w:ascii="Times New Roman" w:hAnsi="Times New Roman" w:cs="Times New Roman"/>
          <w:i/>
          <w:iCs/>
          <w:sz w:val="24"/>
          <w:szCs w:val="24"/>
        </w:rPr>
        <w:t xml:space="preserve">social network </w:t>
      </w:r>
      <w:proofErr w:type="spellStart"/>
      <w:r w:rsidRPr="00540F6C">
        <w:rPr>
          <w:rFonts w:ascii="Times New Roman" w:hAnsi="Times New Roman" w:cs="Times New Roman"/>
          <w:i/>
          <w:iCs/>
          <w:sz w:val="24"/>
          <w:szCs w:val="24"/>
        </w:rPr>
        <w:t>Twitter</w:t>
      </w:r>
      <w:proofErr w:type="spellEnd"/>
      <w:r w:rsidRPr="00540F6C">
        <w:rPr>
          <w:rFonts w:ascii="Times New Roman" w:hAnsi="Times New Roman" w:cs="Times New Roman"/>
          <w:sz w:val="24"/>
          <w:szCs w:val="24"/>
        </w:rPr>
        <w:t xml:space="preserve">. L’esito non è stato positivo e a causa dei messaggi provocatori e razzisti degli utenti che sono entrati in contatto con la </w:t>
      </w:r>
      <w:proofErr w:type="spellStart"/>
      <w:r w:rsidRPr="00540F6C">
        <w:rPr>
          <w:rFonts w:ascii="Times New Roman" w:hAnsi="Times New Roman" w:cs="Times New Roman"/>
          <w:i/>
          <w:iCs/>
          <w:sz w:val="24"/>
          <w:szCs w:val="24"/>
        </w:rPr>
        <w:t>chatbot</w:t>
      </w:r>
      <w:proofErr w:type="spellEnd"/>
      <w:r w:rsidRPr="00540F6C">
        <w:rPr>
          <w:rFonts w:ascii="Times New Roman" w:hAnsi="Times New Roman" w:cs="Times New Roman"/>
          <w:sz w:val="24"/>
          <w:szCs w:val="24"/>
        </w:rPr>
        <w:t xml:space="preserve">, </w:t>
      </w:r>
      <w:r>
        <w:rPr>
          <w:rFonts w:ascii="Times New Roman" w:hAnsi="Times New Roman" w:cs="Times New Roman"/>
          <w:sz w:val="24"/>
          <w:szCs w:val="24"/>
        </w:rPr>
        <w:t>l’I.A.</w:t>
      </w:r>
      <w:r w:rsidRPr="00540F6C">
        <w:rPr>
          <w:rFonts w:ascii="Times New Roman" w:hAnsi="Times New Roman" w:cs="Times New Roman"/>
          <w:sz w:val="24"/>
          <w:szCs w:val="24"/>
        </w:rPr>
        <w:t xml:space="preserve"> è arrivata a mettere in discussione pubblicamente l’esistenza dell’Olocau</w:t>
      </w:r>
      <w:r>
        <w:rPr>
          <w:rFonts w:ascii="Times New Roman" w:hAnsi="Times New Roman" w:cs="Times New Roman"/>
          <w:sz w:val="24"/>
          <w:szCs w:val="24"/>
        </w:rPr>
        <w:t>s</w:t>
      </w:r>
      <w:r w:rsidRPr="00540F6C">
        <w:rPr>
          <w:rFonts w:ascii="Times New Roman" w:hAnsi="Times New Roman" w:cs="Times New Roman"/>
          <w:sz w:val="24"/>
          <w:szCs w:val="24"/>
        </w:rPr>
        <w:t>to…fortunatamente Microsoft ha sospeso l’account poche ore dopo la sua presentazione.</w:t>
      </w:r>
      <w:r>
        <w:rPr>
          <w:rFonts w:ascii="Times New Roman" w:hAnsi="Times New Roman" w:cs="Times New Roman"/>
          <w:sz w:val="24"/>
          <w:szCs w:val="24"/>
        </w:rPr>
        <w:t xml:space="preserve"> </w:t>
      </w:r>
      <w:r w:rsidRPr="00540F6C">
        <w:rPr>
          <w:rFonts w:ascii="Times New Roman" w:hAnsi="Times New Roman" w:cs="Times New Roman"/>
          <w:sz w:val="24"/>
          <w:szCs w:val="24"/>
        </w:rPr>
        <w:t xml:space="preserve">Per non parlare dell’utilizzo </w:t>
      </w:r>
      <w:r>
        <w:rPr>
          <w:rFonts w:ascii="Times New Roman" w:hAnsi="Times New Roman" w:cs="Times New Roman"/>
          <w:sz w:val="24"/>
          <w:szCs w:val="24"/>
        </w:rPr>
        <w:t xml:space="preserve">diffuso </w:t>
      </w:r>
      <w:r w:rsidRPr="00540F6C">
        <w:rPr>
          <w:rFonts w:ascii="Times New Roman" w:hAnsi="Times New Roman" w:cs="Times New Roman"/>
          <w:sz w:val="24"/>
          <w:szCs w:val="24"/>
        </w:rPr>
        <w:t xml:space="preserve">della tecnologia </w:t>
      </w:r>
      <w:proofErr w:type="spellStart"/>
      <w:r w:rsidRPr="00540F6C">
        <w:rPr>
          <w:rFonts w:ascii="Times New Roman" w:hAnsi="Times New Roman" w:cs="Times New Roman"/>
          <w:i/>
          <w:iCs/>
          <w:sz w:val="24"/>
          <w:szCs w:val="24"/>
        </w:rPr>
        <w:t>Deepfake</w:t>
      </w:r>
      <w:proofErr w:type="spellEnd"/>
      <w:r w:rsidRPr="00540F6C">
        <w:rPr>
          <w:rFonts w:ascii="Times New Roman" w:hAnsi="Times New Roman" w:cs="Times New Roman"/>
          <w:sz w:val="24"/>
          <w:szCs w:val="24"/>
        </w:rPr>
        <w:t xml:space="preserve"> nella vita quotidiana da parte di quei soggetti che, grazie all’</w:t>
      </w:r>
      <w:proofErr w:type="spellStart"/>
      <w:r w:rsidRPr="00540F6C">
        <w:rPr>
          <w:rFonts w:ascii="Times New Roman" w:hAnsi="Times New Roman" w:cs="Times New Roman"/>
          <w:sz w:val="24"/>
          <w:szCs w:val="24"/>
        </w:rPr>
        <w:t>app</w:t>
      </w:r>
      <w:proofErr w:type="spellEnd"/>
      <w:r w:rsidRPr="00540F6C">
        <w:rPr>
          <w:rFonts w:ascii="Times New Roman" w:hAnsi="Times New Roman" w:cs="Times New Roman"/>
          <w:sz w:val="24"/>
          <w:szCs w:val="24"/>
        </w:rPr>
        <w:t xml:space="preserve"> </w:t>
      </w:r>
      <w:proofErr w:type="spellStart"/>
      <w:r w:rsidRPr="00540F6C">
        <w:rPr>
          <w:rFonts w:ascii="Times New Roman" w:hAnsi="Times New Roman" w:cs="Times New Roman"/>
          <w:i/>
          <w:iCs/>
          <w:sz w:val="24"/>
          <w:szCs w:val="24"/>
        </w:rPr>
        <w:t>DeepNude</w:t>
      </w:r>
      <w:proofErr w:type="spellEnd"/>
      <w:r w:rsidRPr="00540F6C">
        <w:rPr>
          <w:rFonts w:ascii="Times New Roman" w:hAnsi="Times New Roman" w:cs="Times New Roman"/>
          <w:sz w:val="24"/>
          <w:szCs w:val="24"/>
        </w:rPr>
        <w:t>, ottenevano l’immagine di nudo finto di una donna… l’</w:t>
      </w:r>
      <w:proofErr w:type="spellStart"/>
      <w:r w:rsidRPr="00540F6C">
        <w:rPr>
          <w:rFonts w:ascii="Times New Roman" w:hAnsi="Times New Roman" w:cs="Times New Roman"/>
          <w:sz w:val="24"/>
          <w:szCs w:val="24"/>
        </w:rPr>
        <w:t>app</w:t>
      </w:r>
      <w:proofErr w:type="spellEnd"/>
      <w:r w:rsidRPr="00540F6C">
        <w:rPr>
          <w:rFonts w:ascii="Times New Roman" w:hAnsi="Times New Roman" w:cs="Times New Roman"/>
          <w:sz w:val="24"/>
          <w:szCs w:val="24"/>
        </w:rPr>
        <w:t xml:space="preserve"> in questione è stata fortunatamente rimossa, anche se ne sono nate altre al suo posto, che attualmente girano sul canale </w:t>
      </w:r>
      <w:proofErr w:type="spellStart"/>
      <w:r w:rsidRPr="00540F6C">
        <w:rPr>
          <w:rFonts w:ascii="Times New Roman" w:hAnsi="Times New Roman" w:cs="Times New Roman"/>
          <w:i/>
          <w:iCs/>
          <w:sz w:val="24"/>
          <w:szCs w:val="24"/>
        </w:rPr>
        <w:t>Telegram</w:t>
      </w:r>
      <w:proofErr w:type="spellEnd"/>
      <w:r w:rsidRPr="00540F6C">
        <w:rPr>
          <w:rFonts w:ascii="Times New Roman" w:hAnsi="Times New Roman" w:cs="Times New Roman"/>
          <w:sz w:val="24"/>
          <w:szCs w:val="24"/>
        </w:rPr>
        <w:t>, poco controllato dalle autorit</w:t>
      </w:r>
      <w:r>
        <w:rPr>
          <w:rFonts w:ascii="Times New Roman" w:hAnsi="Times New Roman" w:cs="Times New Roman"/>
          <w:sz w:val="24"/>
          <w:szCs w:val="24"/>
        </w:rPr>
        <w:t xml:space="preserve">à. L’assenza di </w:t>
      </w:r>
      <w:r w:rsidRPr="00540F6C">
        <w:rPr>
          <w:rFonts w:ascii="Times New Roman" w:hAnsi="Times New Roman" w:cs="Times New Roman"/>
          <w:sz w:val="24"/>
          <w:szCs w:val="24"/>
        </w:rPr>
        <w:t xml:space="preserve">protezioni legali per le persone vittime di contenuti </w:t>
      </w:r>
      <w:proofErr w:type="spellStart"/>
      <w:r w:rsidRPr="004A60E2">
        <w:rPr>
          <w:rFonts w:ascii="Times New Roman" w:hAnsi="Times New Roman" w:cs="Times New Roman"/>
          <w:i/>
          <w:iCs/>
          <w:sz w:val="24"/>
          <w:szCs w:val="24"/>
        </w:rPr>
        <w:t>deepfake</w:t>
      </w:r>
      <w:proofErr w:type="spellEnd"/>
      <w:r w:rsidRPr="00540F6C">
        <w:rPr>
          <w:rFonts w:ascii="Times New Roman" w:hAnsi="Times New Roman" w:cs="Times New Roman"/>
          <w:sz w:val="24"/>
          <w:szCs w:val="24"/>
        </w:rPr>
        <w:t xml:space="preserve"> </w:t>
      </w:r>
      <w:r>
        <w:rPr>
          <w:rFonts w:ascii="Times New Roman" w:hAnsi="Times New Roman" w:cs="Times New Roman"/>
          <w:sz w:val="24"/>
          <w:szCs w:val="24"/>
        </w:rPr>
        <w:t>non è una novità..</w:t>
      </w:r>
      <w:r w:rsidRPr="00540F6C">
        <w:rPr>
          <w:rFonts w:ascii="Times New Roman" w:hAnsi="Times New Roman" w:cs="Times New Roman"/>
          <w:sz w:val="24"/>
          <w:szCs w:val="24"/>
        </w:rPr>
        <w:t>.</w:t>
      </w:r>
      <w:r>
        <w:rPr>
          <w:rFonts w:ascii="Times New Roman" w:hAnsi="Times New Roman" w:cs="Times New Roman"/>
          <w:sz w:val="24"/>
          <w:szCs w:val="24"/>
        </w:rPr>
        <w:t xml:space="preserve"> </w:t>
      </w:r>
      <w:r w:rsidRPr="00540F6C">
        <w:rPr>
          <w:rFonts w:ascii="Times New Roman" w:hAnsi="Times New Roman" w:cs="Times New Roman"/>
          <w:sz w:val="24"/>
          <w:szCs w:val="24"/>
        </w:rPr>
        <w:t xml:space="preserve">Si ricorderà anche quel video virale che ha visto protagonisti gli assistenti intelligenti di </w:t>
      </w:r>
      <w:r w:rsidRPr="004A60E2">
        <w:rPr>
          <w:rFonts w:ascii="Times New Roman" w:hAnsi="Times New Roman" w:cs="Times New Roman"/>
          <w:i/>
          <w:iCs/>
          <w:sz w:val="24"/>
          <w:szCs w:val="24"/>
        </w:rPr>
        <w:t xml:space="preserve">Google </w:t>
      </w:r>
      <w:proofErr w:type="spellStart"/>
      <w:r w:rsidRPr="004A60E2">
        <w:rPr>
          <w:rFonts w:ascii="Times New Roman" w:hAnsi="Times New Roman" w:cs="Times New Roman"/>
          <w:i/>
          <w:iCs/>
          <w:sz w:val="24"/>
          <w:szCs w:val="24"/>
        </w:rPr>
        <w:t>Nest</w:t>
      </w:r>
      <w:proofErr w:type="spellEnd"/>
      <w:r w:rsidRPr="00540F6C">
        <w:rPr>
          <w:rFonts w:ascii="Times New Roman" w:hAnsi="Times New Roman" w:cs="Times New Roman"/>
          <w:sz w:val="24"/>
          <w:szCs w:val="24"/>
        </w:rPr>
        <w:t xml:space="preserve">, che se da un lato possono darci un aiuto nella vita di tutti i giorni, dall’altro rischiano di andare troppo oltre, quando vengono utilizzati in maniera scorretta: </w:t>
      </w:r>
      <w:r>
        <w:rPr>
          <w:rFonts w:ascii="Times New Roman" w:hAnsi="Times New Roman" w:cs="Times New Roman"/>
          <w:sz w:val="24"/>
          <w:szCs w:val="24"/>
        </w:rPr>
        <w:t xml:space="preserve">nel caso che ha fatto scalpore </w:t>
      </w:r>
      <w:r w:rsidRPr="00540F6C">
        <w:rPr>
          <w:rFonts w:ascii="Times New Roman" w:hAnsi="Times New Roman" w:cs="Times New Roman"/>
          <w:sz w:val="24"/>
          <w:szCs w:val="24"/>
        </w:rPr>
        <w:t xml:space="preserve">i dispositivi </w:t>
      </w:r>
      <w:r w:rsidRPr="004A60E2">
        <w:rPr>
          <w:rFonts w:ascii="Times New Roman" w:hAnsi="Times New Roman" w:cs="Times New Roman"/>
          <w:i/>
          <w:iCs/>
          <w:sz w:val="24"/>
          <w:szCs w:val="24"/>
        </w:rPr>
        <w:t>Vladimir</w:t>
      </w:r>
      <w:r w:rsidRPr="00540F6C">
        <w:rPr>
          <w:rFonts w:ascii="Times New Roman" w:hAnsi="Times New Roman" w:cs="Times New Roman"/>
          <w:sz w:val="24"/>
          <w:szCs w:val="24"/>
        </w:rPr>
        <w:t xml:space="preserve"> ed </w:t>
      </w:r>
      <w:proofErr w:type="spellStart"/>
      <w:r w:rsidRPr="004A60E2">
        <w:rPr>
          <w:rFonts w:ascii="Times New Roman" w:hAnsi="Times New Roman" w:cs="Times New Roman"/>
          <w:i/>
          <w:iCs/>
          <w:sz w:val="24"/>
          <w:szCs w:val="24"/>
        </w:rPr>
        <w:t>Estragon</w:t>
      </w:r>
      <w:proofErr w:type="spellEnd"/>
      <w:r w:rsidRPr="00540F6C">
        <w:rPr>
          <w:rFonts w:ascii="Times New Roman" w:hAnsi="Times New Roman" w:cs="Times New Roman"/>
          <w:sz w:val="24"/>
          <w:szCs w:val="24"/>
        </w:rPr>
        <w:t xml:space="preserve">, mentre venivano ripresi dall’account </w:t>
      </w:r>
      <w:proofErr w:type="spellStart"/>
      <w:r w:rsidRPr="004A60E2">
        <w:rPr>
          <w:rFonts w:ascii="Times New Roman" w:hAnsi="Times New Roman" w:cs="Times New Roman"/>
          <w:i/>
          <w:iCs/>
          <w:sz w:val="24"/>
          <w:szCs w:val="24"/>
        </w:rPr>
        <w:t>Twitch</w:t>
      </w:r>
      <w:proofErr w:type="spellEnd"/>
      <w:r w:rsidRPr="004A60E2">
        <w:rPr>
          <w:rFonts w:ascii="Times New Roman" w:hAnsi="Times New Roman" w:cs="Times New Roman"/>
          <w:i/>
          <w:iCs/>
          <w:sz w:val="24"/>
          <w:szCs w:val="24"/>
        </w:rPr>
        <w:t xml:space="preserve"> </w:t>
      </w:r>
      <w:proofErr w:type="spellStart"/>
      <w:r w:rsidRPr="004A60E2">
        <w:rPr>
          <w:rFonts w:ascii="Times New Roman" w:hAnsi="Times New Roman" w:cs="Times New Roman"/>
          <w:i/>
          <w:iCs/>
          <w:sz w:val="24"/>
          <w:szCs w:val="24"/>
        </w:rPr>
        <w:t>seebotschat</w:t>
      </w:r>
      <w:proofErr w:type="spellEnd"/>
      <w:r w:rsidRPr="00540F6C">
        <w:rPr>
          <w:rFonts w:ascii="Times New Roman" w:hAnsi="Times New Roman" w:cs="Times New Roman"/>
          <w:sz w:val="24"/>
          <w:szCs w:val="24"/>
        </w:rPr>
        <w:t>, hanno cominciato ad insultarsi</w:t>
      </w:r>
      <w:r>
        <w:rPr>
          <w:rFonts w:ascii="Times New Roman" w:hAnsi="Times New Roman" w:cs="Times New Roman"/>
          <w:sz w:val="24"/>
          <w:szCs w:val="24"/>
        </w:rPr>
        <w:t xml:space="preserve">, il </w:t>
      </w:r>
      <w:r w:rsidRPr="00540F6C">
        <w:rPr>
          <w:rFonts w:ascii="Times New Roman" w:hAnsi="Times New Roman" w:cs="Times New Roman"/>
          <w:sz w:val="24"/>
          <w:szCs w:val="24"/>
        </w:rPr>
        <w:t>che non è molto rassicurante, se consideriamo che le tecnologie I.A. dovrebbero servire per migliorare il mondo, non farlo rimanere com’è o</w:t>
      </w:r>
      <w:r>
        <w:rPr>
          <w:rFonts w:ascii="Times New Roman" w:hAnsi="Times New Roman" w:cs="Times New Roman"/>
          <w:sz w:val="24"/>
          <w:szCs w:val="24"/>
        </w:rPr>
        <w:t xml:space="preserve"> peggiorarlo. V. </w:t>
      </w:r>
      <w:hyperlink r:id="rId19" w:history="1">
        <w:r w:rsidRPr="00457CE8">
          <w:rPr>
            <w:rStyle w:val="Collegamentoipertestuale"/>
            <w:rFonts w:ascii="Times New Roman" w:hAnsi="Times New Roman" w:cs="Times New Roman"/>
            <w:sz w:val="24"/>
            <w:szCs w:val="24"/>
          </w:rPr>
          <w:t>https://www.futuroprossimo.it/2021/12/quando-ai-va-oltre/</w:t>
        </w:r>
      </w:hyperlink>
      <w:r>
        <w:rPr>
          <w:rFonts w:ascii="Times New Roman" w:hAnsi="Times New Roman" w:cs="Times New Roman"/>
          <w:sz w:val="24"/>
          <w:szCs w:val="24"/>
        </w:rPr>
        <w:t>.</w:t>
      </w:r>
    </w:p>
  </w:footnote>
  <w:footnote w:id="97">
    <w:p w14:paraId="6A20C90C" w14:textId="3A2E93D5" w:rsidR="000463A6" w:rsidRPr="0048549C" w:rsidRDefault="000463A6" w:rsidP="005A49E8">
      <w:pPr>
        <w:pStyle w:val="Testonotaapidipagina"/>
        <w:jc w:val="both"/>
        <w:rPr>
          <w:rFonts w:ascii="Times New Roman" w:hAnsi="Times New Roman" w:cs="Times New Roman"/>
          <w:sz w:val="24"/>
          <w:szCs w:val="24"/>
        </w:rPr>
      </w:pPr>
      <w:r w:rsidRPr="0048549C">
        <w:rPr>
          <w:rStyle w:val="Rimandonotaapidipagina"/>
          <w:rFonts w:ascii="Times New Roman" w:hAnsi="Times New Roman" w:cs="Times New Roman"/>
          <w:sz w:val="24"/>
          <w:szCs w:val="24"/>
        </w:rPr>
        <w:footnoteRef/>
      </w:r>
      <w:r w:rsidRPr="0048549C">
        <w:rPr>
          <w:rFonts w:ascii="Times New Roman" w:hAnsi="Times New Roman" w:cs="Times New Roman"/>
          <w:sz w:val="24"/>
          <w:szCs w:val="24"/>
        </w:rPr>
        <w:t xml:space="preserve"> Questo il comunicato stampa del 24 novembre 2021: </w:t>
      </w:r>
      <w:hyperlink r:id="rId20" w:history="1">
        <w:r w:rsidRPr="0048549C">
          <w:rPr>
            <w:rStyle w:val="Collegamentoipertestuale"/>
            <w:rFonts w:ascii="Times New Roman" w:hAnsi="Times New Roman" w:cs="Times New Roman"/>
            <w:sz w:val="24"/>
            <w:szCs w:val="24"/>
          </w:rPr>
          <w:t>https://assets.innovazione.gov.it/1637779156-csprogrammastrategico-ia.pdf</w:t>
        </w:r>
      </w:hyperlink>
      <w:r w:rsidRPr="0048549C">
        <w:rPr>
          <w:rFonts w:ascii="Times New Roman" w:hAnsi="Times New Roman" w:cs="Times New Roman"/>
          <w:sz w:val="24"/>
          <w:szCs w:val="24"/>
        </w:rPr>
        <w:t xml:space="preserve">. Il documento evidenzia i ritardi dell’Italia per quanto concerne l’Intelligenza Artificiale. Il Piano strategico appena adottato è fondamentale perché servirà per utilizzare i fondi del </w:t>
      </w:r>
      <w:proofErr w:type="spellStart"/>
      <w:r w:rsidRPr="0048549C">
        <w:rPr>
          <w:rFonts w:ascii="Times New Roman" w:hAnsi="Times New Roman" w:cs="Times New Roman"/>
          <w:sz w:val="24"/>
          <w:szCs w:val="24"/>
        </w:rPr>
        <w:t>Pnrr</w:t>
      </w:r>
      <w:proofErr w:type="spellEnd"/>
      <w:r w:rsidRPr="0048549C">
        <w:rPr>
          <w:rFonts w:ascii="Times New Roman" w:hAnsi="Times New Roman" w:cs="Times New Roman"/>
          <w:sz w:val="24"/>
          <w:szCs w:val="24"/>
        </w:rPr>
        <w:t xml:space="preserve"> per la digitalizzazione. I dati del Politecnico di Milano ci dicono che: “</w:t>
      </w:r>
      <w:r w:rsidRPr="0048549C">
        <w:rPr>
          <w:rFonts w:ascii="Times New Roman" w:hAnsi="Times New Roman" w:cs="Times New Roman"/>
          <w:i/>
          <w:iCs/>
          <w:sz w:val="24"/>
          <w:szCs w:val="24"/>
        </w:rPr>
        <w:t>il 53% delle imprese medio-grandi italiane dichiaravano di aver avviato almeno un progetto di AI. I settori che mostrano la maggiore diffusione di progetti pienamente operativi sono il manifatturiero (22% del totale dei progetti iniziati), bancario-finanziario (16%) e le assicurazioni (10%)</w:t>
      </w:r>
      <w:r w:rsidRPr="0048549C">
        <w:rPr>
          <w:rFonts w:ascii="Times New Roman" w:hAnsi="Times New Roman" w:cs="Times New Roman"/>
          <w:sz w:val="24"/>
          <w:szCs w:val="24"/>
        </w:rPr>
        <w:t xml:space="preserve">”. Purtroppo, l’Italia attualmente si posiziona al di sotto della media europea in tema di I.A. e digitalizzazione. I dati sulla spesa in materia sono scoraggianti: si spende in ricerca l’1,45% del </w:t>
      </w:r>
      <w:proofErr w:type="spellStart"/>
      <w:r w:rsidRPr="0048549C">
        <w:rPr>
          <w:rFonts w:ascii="Times New Roman" w:hAnsi="Times New Roman" w:cs="Times New Roman"/>
          <w:sz w:val="24"/>
          <w:szCs w:val="24"/>
        </w:rPr>
        <w:t>pil</w:t>
      </w:r>
      <w:proofErr w:type="spellEnd"/>
      <w:r w:rsidRPr="0048549C">
        <w:rPr>
          <w:rFonts w:ascii="Times New Roman" w:hAnsi="Times New Roman" w:cs="Times New Roman"/>
          <w:sz w:val="24"/>
          <w:szCs w:val="24"/>
        </w:rPr>
        <w:t xml:space="preserve">. I ricercatori sull’I.A. (739) sono meno di un terzo di quelli di Germania (2.660), Francia (2.755) e Regno Unito (2.974), anche se la situazione migliora nella produzione scientifica. A livello di domande brevettuali, l’Italia è molto indietro con 32.001 domande rispetto alle 178.184 tedesche, 67.294 francesi e le 54.762 inglesi. Nel privato, gli investimenti aziendali in I.A. ammontano allo 0,84% del </w:t>
      </w:r>
      <w:proofErr w:type="spellStart"/>
      <w:r w:rsidRPr="0048549C">
        <w:rPr>
          <w:rFonts w:ascii="Times New Roman" w:hAnsi="Times New Roman" w:cs="Times New Roman"/>
          <w:sz w:val="24"/>
          <w:szCs w:val="24"/>
        </w:rPr>
        <w:t>pil</w:t>
      </w:r>
      <w:proofErr w:type="spellEnd"/>
      <w:r w:rsidRPr="0048549C">
        <w:rPr>
          <w:rFonts w:ascii="Times New Roman" w:hAnsi="Times New Roman" w:cs="Times New Roman"/>
          <w:sz w:val="24"/>
          <w:szCs w:val="24"/>
        </w:rPr>
        <w:t xml:space="preserve"> del 2018. Con i fondi del </w:t>
      </w:r>
      <w:proofErr w:type="spellStart"/>
      <w:r w:rsidRPr="0048549C">
        <w:rPr>
          <w:rFonts w:ascii="Times New Roman" w:hAnsi="Times New Roman" w:cs="Times New Roman"/>
          <w:sz w:val="24"/>
          <w:szCs w:val="24"/>
        </w:rPr>
        <w:t>Pnrr</w:t>
      </w:r>
      <w:proofErr w:type="spellEnd"/>
      <w:r w:rsidRPr="0048549C">
        <w:rPr>
          <w:rFonts w:ascii="Times New Roman" w:hAnsi="Times New Roman" w:cs="Times New Roman"/>
          <w:sz w:val="24"/>
          <w:szCs w:val="24"/>
        </w:rPr>
        <w:t>, l’Italia potrebbe rimettersi al passo e sfruttare al meglio il suo potenziale, (</w:t>
      </w:r>
      <w:proofErr w:type="spellStart"/>
      <w:r w:rsidRPr="0048549C">
        <w:rPr>
          <w:rFonts w:ascii="Times New Roman" w:hAnsi="Times New Roman" w:cs="Times New Roman"/>
          <w:sz w:val="24"/>
          <w:szCs w:val="24"/>
        </w:rPr>
        <w:t>ri</w:t>
      </w:r>
      <w:proofErr w:type="spellEnd"/>
      <w:r w:rsidRPr="0048549C">
        <w:rPr>
          <w:rFonts w:ascii="Times New Roman" w:hAnsi="Times New Roman" w:cs="Times New Roman"/>
          <w:sz w:val="24"/>
          <w:szCs w:val="24"/>
        </w:rPr>
        <w:t xml:space="preserve">)chiamando i talenti dall’estero e coltivandone di nuovi. Per facilitare le sperimentazioni, è prevista la possibilità di usare due elementi, che sono i c.d. </w:t>
      </w:r>
      <w:proofErr w:type="spellStart"/>
      <w:r w:rsidRPr="0048549C">
        <w:rPr>
          <w:rFonts w:ascii="Times New Roman" w:hAnsi="Times New Roman" w:cs="Times New Roman"/>
          <w:i/>
          <w:iCs/>
          <w:sz w:val="24"/>
          <w:szCs w:val="24"/>
        </w:rPr>
        <w:t>sandbox</w:t>
      </w:r>
      <w:proofErr w:type="spellEnd"/>
      <w:r w:rsidRPr="0048549C">
        <w:rPr>
          <w:rFonts w:ascii="Times New Roman" w:hAnsi="Times New Roman" w:cs="Times New Roman"/>
          <w:sz w:val="24"/>
          <w:szCs w:val="24"/>
        </w:rPr>
        <w:t xml:space="preserve"> (letteralmente “recinti di sabbia”), spazi in cui sperimentare l’IA e la formazione, con la creazione di un ecosistema robusto tra università, centri di ricerca, impresa con partenariato pubblico-privato. Con una adozione più diffusa di sistemi di I.A., i dati del </w:t>
      </w:r>
      <w:r w:rsidRPr="0048549C">
        <w:rPr>
          <w:rFonts w:ascii="Times New Roman" w:hAnsi="Times New Roman" w:cs="Times New Roman"/>
          <w:i/>
          <w:iCs/>
          <w:sz w:val="24"/>
          <w:szCs w:val="24"/>
        </w:rPr>
        <w:t xml:space="preserve">World </w:t>
      </w:r>
      <w:proofErr w:type="spellStart"/>
      <w:r w:rsidRPr="0048549C">
        <w:rPr>
          <w:rFonts w:ascii="Times New Roman" w:hAnsi="Times New Roman" w:cs="Times New Roman"/>
          <w:i/>
          <w:iCs/>
          <w:sz w:val="24"/>
          <w:szCs w:val="24"/>
        </w:rPr>
        <w:t>Economic</w:t>
      </w:r>
      <w:proofErr w:type="spellEnd"/>
      <w:r w:rsidRPr="0048549C">
        <w:rPr>
          <w:rFonts w:ascii="Times New Roman" w:hAnsi="Times New Roman" w:cs="Times New Roman"/>
          <w:i/>
          <w:iCs/>
          <w:sz w:val="24"/>
          <w:szCs w:val="24"/>
        </w:rPr>
        <w:t xml:space="preserve"> Forum</w:t>
      </w:r>
      <w:r w:rsidRPr="0048549C">
        <w:rPr>
          <w:rFonts w:ascii="Times New Roman" w:hAnsi="Times New Roman" w:cs="Times New Roman"/>
          <w:sz w:val="24"/>
          <w:szCs w:val="24"/>
        </w:rPr>
        <w:t xml:space="preserve"> parlano di 97 milioni di posti di lavoro creati a fronte di 85 milioni persi, e non tutti quelli persi saranno riconvertiti nei nuovi. V. </w:t>
      </w:r>
      <w:hyperlink r:id="rId21" w:history="1">
        <w:r w:rsidRPr="0048549C">
          <w:rPr>
            <w:rStyle w:val="Collegamentoipertestuale"/>
            <w:rFonts w:ascii="Times New Roman" w:hAnsi="Times New Roman" w:cs="Times New Roman"/>
            <w:sz w:val="24"/>
            <w:szCs w:val="24"/>
          </w:rPr>
          <w:t>https://www.wired.it/article/intelligenza-artificiale-strategia-italia/</w:t>
        </w:r>
      </w:hyperlink>
      <w:r w:rsidRPr="0048549C">
        <w:rPr>
          <w:rFonts w:ascii="Times New Roman" w:hAnsi="Times New Roman" w:cs="Times New Roman"/>
          <w:sz w:val="24"/>
          <w:szCs w:val="24"/>
        </w:rPr>
        <w:t>.</w:t>
      </w:r>
    </w:p>
  </w:footnote>
  <w:footnote w:id="98">
    <w:p w14:paraId="4AD3DA97" w14:textId="2045EEEC" w:rsidR="000463A6" w:rsidRPr="004D4BCD" w:rsidRDefault="000463A6" w:rsidP="004D4BCD">
      <w:pPr>
        <w:pStyle w:val="Testonotaapidipagina"/>
        <w:jc w:val="both"/>
        <w:rPr>
          <w:rFonts w:ascii="Times New Roman" w:hAnsi="Times New Roman" w:cs="Times New Roman"/>
          <w:sz w:val="24"/>
          <w:szCs w:val="24"/>
        </w:rPr>
      </w:pPr>
      <w:r w:rsidRPr="004D4BCD">
        <w:rPr>
          <w:rStyle w:val="Rimandonotaapidipagina"/>
          <w:rFonts w:ascii="Times New Roman" w:hAnsi="Times New Roman" w:cs="Times New Roman"/>
          <w:sz w:val="24"/>
          <w:szCs w:val="24"/>
        </w:rPr>
        <w:footnoteRef/>
      </w:r>
      <w:r w:rsidRPr="004D4BCD">
        <w:rPr>
          <w:rFonts w:ascii="Times New Roman" w:hAnsi="Times New Roman" w:cs="Times New Roman"/>
          <w:sz w:val="24"/>
          <w:szCs w:val="24"/>
          <w:lang w:val="en-US"/>
        </w:rPr>
        <w:t xml:space="preserve"> </w:t>
      </w:r>
      <w:proofErr w:type="spellStart"/>
      <w:r w:rsidRPr="004D4BCD">
        <w:rPr>
          <w:rFonts w:ascii="Times New Roman" w:hAnsi="Times New Roman" w:cs="Times New Roman"/>
          <w:sz w:val="24"/>
          <w:szCs w:val="24"/>
          <w:lang w:val="en-US"/>
        </w:rPr>
        <w:t>V</w:t>
      </w:r>
      <w:r>
        <w:rPr>
          <w:rFonts w:ascii="Times New Roman" w:hAnsi="Times New Roman" w:cs="Times New Roman"/>
          <w:sz w:val="24"/>
          <w:szCs w:val="24"/>
          <w:lang w:val="en-US"/>
        </w:rPr>
        <w:t>edi</w:t>
      </w:r>
      <w:proofErr w:type="spellEnd"/>
      <w:r>
        <w:rPr>
          <w:rFonts w:ascii="Times New Roman" w:hAnsi="Times New Roman" w:cs="Times New Roman"/>
          <w:sz w:val="24"/>
          <w:szCs w:val="24"/>
          <w:lang w:val="en-US"/>
        </w:rPr>
        <w:t xml:space="preserve"> </w:t>
      </w:r>
      <w:r w:rsidRPr="004D4BCD">
        <w:rPr>
          <w:rFonts w:ascii="Times New Roman" w:hAnsi="Times New Roman" w:cs="Times New Roman"/>
          <w:sz w:val="24"/>
          <w:szCs w:val="24"/>
          <w:lang w:val="en-US"/>
        </w:rPr>
        <w:t xml:space="preserve">il </w:t>
      </w:r>
      <w:proofErr w:type="spellStart"/>
      <w:r w:rsidRPr="004D4BCD">
        <w:rPr>
          <w:rFonts w:ascii="Times New Roman" w:hAnsi="Times New Roman" w:cs="Times New Roman"/>
          <w:sz w:val="24"/>
          <w:szCs w:val="24"/>
          <w:lang w:val="en-US"/>
        </w:rPr>
        <w:t>libro</w:t>
      </w:r>
      <w:proofErr w:type="spellEnd"/>
      <w:r w:rsidRPr="004D4BCD">
        <w:rPr>
          <w:rFonts w:ascii="Times New Roman" w:hAnsi="Times New Roman" w:cs="Times New Roman"/>
          <w:sz w:val="24"/>
          <w:szCs w:val="24"/>
          <w:lang w:val="en-US"/>
        </w:rPr>
        <w:t xml:space="preserve"> di H</w:t>
      </w:r>
      <w:r w:rsidRPr="004D4BCD">
        <w:rPr>
          <w:rFonts w:ascii="Times New Roman" w:hAnsi="Times New Roman" w:cs="Times New Roman"/>
          <w:smallCaps/>
          <w:sz w:val="24"/>
          <w:szCs w:val="24"/>
          <w:lang w:val="en-US"/>
        </w:rPr>
        <w:t xml:space="preserve">. A. Kissinger, E. Schmidt, D. </w:t>
      </w:r>
      <w:proofErr w:type="spellStart"/>
      <w:r w:rsidRPr="004D4BCD">
        <w:rPr>
          <w:rFonts w:ascii="Times New Roman" w:hAnsi="Times New Roman" w:cs="Times New Roman"/>
          <w:smallCaps/>
          <w:sz w:val="24"/>
          <w:szCs w:val="24"/>
          <w:lang w:val="en-US"/>
        </w:rPr>
        <w:t>Huttenlocher</w:t>
      </w:r>
      <w:proofErr w:type="spellEnd"/>
      <w:r w:rsidRPr="004D4BCD">
        <w:rPr>
          <w:rFonts w:ascii="Times New Roman" w:hAnsi="Times New Roman" w:cs="Times New Roman"/>
          <w:sz w:val="24"/>
          <w:szCs w:val="24"/>
          <w:lang w:val="en-US"/>
        </w:rPr>
        <w:t>, “</w:t>
      </w:r>
      <w:r w:rsidRPr="004D4BCD">
        <w:rPr>
          <w:rFonts w:ascii="Times New Roman" w:hAnsi="Times New Roman" w:cs="Times New Roman"/>
          <w:i/>
          <w:iCs/>
          <w:sz w:val="24"/>
          <w:szCs w:val="24"/>
          <w:lang w:val="en-US"/>
        </w:rPr>
        <w:t>The Age of AI: And Our Human Future</w:t>
      </w:r>
      <w:r w:rsidRPr="004D4BCD">
        <w:rPr>
          <w:rFonts w:ascii="Times New Roman" w:hAnsi="Times New Roman" w:cs="Times New Roman"/>
          <w:sz w:val="24"/>
          <w:szCs w:val="24"/>
          <w:lang w:val="en-US"/>
        </w:rPr>
        <w:t xml:space="preserve">”, 2021. </w:t>
      </w:r>
      <w:r w:rsidRPr="004D4BCD">
        <w:rPr>
          <w:rFonts w:ascii="Times New Roman" w:hAnsi="Times New Roman" w:cs="Times New Roman"/>
          <w:sz w:val="24"/>
          <w:szCs w:val="24"/>
        </w:rPr>
        <w:t>Secondo gli autori, sarà l’intelligenza artificiale il prossimo terreno su cui si combatterà la futura guerra fredda. Kissinger ci mette in guardia sull’I.A. che «</w:t>
      </w:r>
      <w:r w:rsidRPr="004D4BCD">
        <w:rPr>
          <w:rFonts w:ascii="Times New Roman" w:hAnsi="Times New Roman" w:cs="Times New Roman"/>
          <w:i/>
          <w:iCs/>
          <w:sz w:val="24"/>
          <w:szCs w:val="24"/>
        </w:rPr>
        <w:t>potrà essere utilizzata per una sorprendente gamma di usi civili e militari, dalla lettura dei raggi X e dalla previsione dei modelli meteorologici al potenziamento dei robot assassini e alla diffusione della disinformazione</w:t>
      </w:r>
      <w:r w:rsidRPr="004D4BCD">
        <w:rPr>
          <w:rFonts w:ascii="Times New Roman" w:hAnsi="Times New Roman" w:cs="Times New Roman"/>
          <w:sz w:val="24"/>
          <w:szCs w:val="24"/>
        </w:rPr>
        <w:t>». Secondo Kissinger, «</w:t>
      </w:r>
      <w:r w:rsidRPr="004D4BCD">
        <w:rPr>
          <w:rFonts w:ascii="Times New Roman" w:hAnsi="Times New Roman" w:cs="Times New Roman"/>
          <w:i/>
          <w:iCs/>
          <w:sz w:val="24"/>
          <w:szCs w:val="24"/>
        </w:rPr>
        <w:t>la relazione tra Stati Uniti e Cina è passata dalla partnership alla cooperazione, dall’incertezza al confronto vicino o reale, e in assenza di dialogo aspettarsi che vengano prese decisioni sagge da tutte le parti è un atto di fede nel futuro che è difficile da accettare</w:t>
      </w:r>
      <w:r w:rsidRPr="004D4BCD">
        <w:rPr>
          <w:rFonts w:ascii="Times New Roman" w:hAnsi="Times New Roman" w:cs="Times New Roman"/>
          <w:sz w:val="24"/>
          <w:szCs w:val="24"/>
        </w:rPr>
        <w:t>». Insomma, «</w:t>
      </w:r>
      <w:r w:rsidRPr="004D4BCD">
        <w:rPr>
          <w:rFonts w:ascii="Times New Roman" w:hAnsi="Times New Roman" w:cs="Times New Roman"/>
          <w:i/>
          <w:iCs/>
          <w:sz w:val="24"/>
          <w:szCs w:val="24"/>
        </w:rPr>
        <w:t>stiamo entrando in un nuovo periodo della coscienza umana che non comprendiamo ancora del tutto</w:t>
      </w:r>
      <w:r w:rsidRPr="004D4BCD">
        <w:rPr>
          <w:rFonts w:ascii="Times New Roman" w:hAnsi="Times New Roman" w:cs="Times New Roman"/>
          <w:sz w:val="24"/>
          <w:szCs w:val="24"/>
        </w:rPr>
        <w:t>».</w:t>
      </w:r>
    </w:p>
  </w:footnote>
  <w:footnote w:id="99">
    <w:p w14:paraId="630692DC" w14:textId="48C2C0D9" w:rsidR="000463A6" w:rsidRPr="00264B20" w:rsidRDefault="000463A6" w:rsidP="00264B20">
      <w:pPr>
        <w:pStyle w:val="Testonotaapidipagina"/>
        <w:jc w:val="both"/>
        <w:rPr>
          <w:rFonts w:ascii="Times New Roman" w:hAnsi="Times New Roman" w:cs="Times New Roman"/>
          <w:sz w:val="24"/>
          <w:szCs w:val="24"/>
        </w:rPr>
      </w:pPr>
      <w:r w:rsidRPr="00264B20">
        <w:rPr>
          <w:rStyle w:val="Rimandonotaapidipagina"/>
          <w:rFonts w:ascii="Times New Roman" w:hAnsi="Times New Roman" w:cs="Times New Roman"/>
          <w:sz w:val="24"/>
          <w:szCs w:val="24"/>
        </w:rPr>
        <w:footnoteRef/>
      </w:r>
      <w:r w:rsidRPr="00264B20">
        <w:rPr>
          <w:rFonts w:ascii="Times New Roman" w:hAnsi="Times New Roman" w:cs="Times New Roman"/>
          <w:sz w:val="24"/>
          <w:szCs w:val="24"/>
        </w:rPr>
        <w:t xml:space="preserve"> Gli amministratori delle società di telecomunicazioni europee </w:t>
      </w:r>
      <w:r>
        <w:rPr>
          <w:rFonts w:ascii="Times New Roman" w:hAnsi="Times New Roman" w:cs="Times New Roman"/>
          <w:sz w:val="24"/>
          <w:szCs w:val="24"/>
        </w:rPr>
        <w:t xml:space="preserve">(come </w:t>
      </w:r>
      <w:proofErr w:type="spellStart"/>
      <w:r w:rsidRPr="00264B20">
        <w:rPr>
          <w:rFonts w:ascii="Times New Roman" w:hAnsi="Times New Roman" w:cs="Times New Roman"/>
          <w:sz w:val="24"/>
          <w:szCs w:val="24"/>
        </w:rPr>
        <w:t>Deutsche</w:t>
      </w:r>
      <w:proofErr w:type="spellEnd"/>
      <w:r w:rsidRPr="00264B20">
        <w:rPr>
          <w:rFonts w:ascii="Times New Roman" w:hAnsi="Times New Roman" w:cs="Times New Roman"/>
          <w:sz w:val="24"/>
          <w:szCs w:val="24"/>
        </w:rPr>
        <w:t xml:space="preserve"> Telekom, Telefonica e Vodafone</w:t>
      </w:r>
      <w:r>
        <w:rPr>
          <w:rFonts w:ascii="Times New Roman" w:hAnsi="Times New Roman" w:cs="Times New Roman"/>
          <w:sz w:val="24"/>
          <w:szCs w:val="24"/>
        </w:rPr>
        <w:t>)</w:t>
      </w:r>
      <w:r w:rsidRPr="00264B20">
        <w:rPr>
          <w:rFonts w:ascii="Times New Roman" w:hAnsi="Times New Roman" w:cs="Times New Roman"/>
          <w:sz w:val="24"/>
          <w:szCs w:val="24"/>
        </w:rPr>
        <w:t xml:space="preserve"> stanno chiedendo che le grandi società tecnologiche americane</w:t>
      </w:r>
      <w:r>
        <w:rPr>
          <w:rFonts w:ascii="Times New Roman" w:hAnsi="Times New Roman" w:cs="Times New Roman"/>
          <w:sz w:val="24"/>
          <w:szCs w:val="24"/>
        </w:rPr>
        <w:t xml:space="preserve">, come </w:t>
      </w:r>
      <w:proofErr w:type="spellStart"/>
      <w:r w:rsidRPr="00264B20">
        <w:rPr>
          <w:rFonts w:ascii="Times New Roman" w:hAnsi="Times New Roman" w:cs="Times New Roman"/>
          <w:sz w:val="24"/>
          <w:szCs w:val="24"/>
        </w:rPr>
        <w:t>Netflix</w:t>
      </w:r>
      <w:proofErr w:type="spellEnd"/>
      <w:r w:rsidRPr="00264B20">
        <w:rPr>
          <w:rFonts w:ascii="Times New Roman" w:hAnsi="Times New Roman" w:cs="Times New Roman"/>
          <w:sz w:val="24"/>
          <w:szCs w:val="24"/>
        </w:rPr>
        <w:t xml:space="preserve">, </w:t>
      </w:r>
      <w:proofErr w:type="spellStart"/>
      <w:r w:rsidRPr="00264B20">
        <w:rPr>
          <w:rFonts w:ascii="Times New Roman" w:hAnsi="Times New Roman" w:cs="Times New Roman"/>
          <w:sz w:val="24"/>
          <w:szCs w:val="24"/>
        </w:rPr>
        <w:t>YouTube</w:t>
      </w:r>
      <w:proofErr w:type="spellEnd"/>
      <w:r w:rsidRPr="00264B20">
        <w:rPr>
          <w:rFonts w:ascii="Times New Roman" w:hAnsi="Times New Roman" w:cs="Times New Roman"/>
          <w:sz w:val="24"/>
          <w:szCs w:val="24"/>
        </w:rPr>
        <w:t xml:space="preserve"> (Google) e </w:t>
      </w:r>
      <w:proofErr w:type="spellStart"/>
      <w:r w:rsidRPr="00264B20">
        <w:rPr>
          <w:rFonts w:ascii="Times New Roman" w:hAnsi="Times New Roman" w:cs="Times New Roman"/>
          <w:sz w:val="24"/>
          <w:szCs w:val="24"/>
        </w:rPr>
        <w:t>Facebook</w:t>
      </w:r>
      <w:proofErr w:type="spellEnd"/>
      <w:r w:rsidRPr="00264B20">
        <w:rPr>
          <w:rFonts w:ascii="Times New Roman" w:hAnsi="Times New Roman" w:cs="Times New Roman"/>
          <w:sz w:val="24"/>
          <w:szCs w:val="24"/>
        </w:rPr>
        <w:t xml:space="preserve"> (oggi Meta)</w:t>
      </w:r>
      <w:r>
        <w:rPr>
          <w:rFonts w:ascii="Times New Roman" w:hAnsi="Times New Roman" w:cs="Times New Roman"/>
          <w:sz w:val="24"/>
          <w:szCs w:val="24"/>
        </w:rPr>
        <w:t>, s</w:t>
      </w:r>
      <w:r w:rsidRPr="00264B20">
        <w:rPr>
          <w:rFonts w:ascii="Times New Roman" w:hAnsi="Times New Roman" w:cs="Times New Roman"/>
          <w:sz w:val="24"/>
          <w:szCs w:val="24"/>
        </w:rPr>
        <w:t xml:space="preserve">ostengano le spese di rete che loro stesse utilizzano per la loro massiccia attività in Europa. È questo uno strumento, insieme alla </w:t>
      </w:r>
      <w:r w:rsidRPr="00264B20">
        <w:rPr>
          <w:rFonts w:ascii="Times New Roman" w:hAnsi="Times New Roman" w:cs="Times New Roman"/>
          <w:i/>
          <w:iCs/>
          <w:sz w:val="24"/>
          <w:szCs w:val="24"/>
        </w:rPr>
        <w:t xml:space="preserve">web </w:t>
      </w:r>
      <w:proofErr w:type="spellStart"/>
      <w:r w:rsidRPr="00264B20">
        <w:rPr>
          <w:rFonts w:ascii="Times New Roman" w:hAnsi="Times New Roman" w:cs="Times New Roman"/>
          <w:i/>
          <w:iCs/>
          <w:sz w:val="24"/>
          <w:szCs w:val="24"/>
        </w:rPr>
        <w:t>tax</w:t>
      </w:r>
      <w:proofErr w:type="spellEnd"/>
      <w:r w:rsidRPr="00264B20">
        <w:rPr>
          <w:rFonts w:ascii="Times New Roman" w:hAnsi="Times New Roman" w:cs="Times New Roman"/>
          <w:sz w:val="24"/>
          <w:szCs w:val="24"/>
        </w:rPr>
        <w:t>, per contenere il loro straripante potere economico.</w:t>
      </w:r>
    </w:p>
  </w:footnote>
  <w:footnote w:id="100">
    <w:p w14:paraId="6C4996EB" w14:textId="2FAE959A" w:rsidR="000463A6" w:rsidRPr="00AE517F" w:rsidRDefault="000463A6" w:rsidP="006F438C">
      <w:pPr>
        <w:pStyle w:val="Testonotaapidipagina"/>
        <w:jc w:val="both"/>
        <w:rPr>
          <w:rFonts w:ascii="Times New Roman" w:hAnsi="Times New Roman" w:cs="Times New Roman"/>
          <w:sz w:val="24"/>
          <w:szCs w:val="24"/>
        </w:rPr>
      </w:pPr>
      <w:r w:rsidRPr="00C81C5F">
        <w:rPr>
          <w:rStyle w:val="Rimandonotaapidipagina"/>
          <w:rFonts w:ascii="Times New Roman" w:hAnsi="Times New Roman" w:cs="Times New Roman"/>
          <w:sz w:val="24"/>
          <w:szCs w:val="24"/>
        </w:rPr>
        <w:footnoteRef/>
      </w:r>
      <w:r>
        <w:rPr>
          <w:rFonts w:ascii="Times New Roman" w:hAnsi="Times New Roman" w:cs="Times New Roman"/>
          <w:b/>
          <w:bCs/>
          <w:sz w:val="24"/>
          <w:szCs w:val="24"/>
        </w:rPr>
        <w:t xml:space="preserve"> </w:t>
      </w:r>
      <w:r w:rsidRPr="00304099">
        <w:rPr>
          <w:rFonts w:ascii="Times New Roman" w:hAnsi="Times New Roman" w:cs="Times New Roman"/>
          <w:smallCaps/>
          <w:sz w:val="24"/>
          <w:szCs w:val="24"/>
        </w:rPr>
        <w:t>L. Pardo</w:t>
      </w:r>
      <w:r>
        <w:rPr>
          <w:rFonts w:ascii="Times New Roman" w:hAnsi="Times New Roman" w:cs="Times New Roman"/>
          <w:sz w:val="24"/>
          <w:szCs w:val="24"/>
        </w:rPr>
        <w:t>, “</w:t>
      </w:r>
      <w:r w:rsidRPr="00304099">
        <w:rPr>
          <w:rFonts w:ascii="Times New Roman" w:hAnsi="Times New Roman" w:cs="Times New Roman"/>
          <w:i/>
          <w:iCs/>
          <w:sz w:val="24"/>
          <w:szCs w:val="24"/>
        </w:rPr>
        <w:t xml:space="preserve">Il </w:t>
      </w:r>
      <w:proofErr w:type="spellStart"/>
      <w:r w:rsidRPr="00304099">
        <w:rPr>
          <w:rFonts w:ascii="Times New Roman" w:hAnsi="Times New Roman" w:cs="Times New Roman"/>
          <w:i/>
          <w:iCs/>
          <w:sz w:val="24"/>
          <w:szCs w:val="24"/>
        </w:rPr>
        <w:t>metaverso</w:t>
      </w:r>
      <w:proofErr w:type="spellEnd"/>
      <w:r w:rsidRPr="00304099">
        <w:rPr>
          <w:rFonts w:ascii="Times New Roman" w:hAnsi="Times New Roman" w:cs="Times New Roman"/>
          <w:i/>
          <w:iCs/>
          <w:sz w:val="24"/>
          <w:szCs w:val="24"/>
        </w:rPr>
        <w:t xml:space="preserve"> spalanca nuove frontiere dell’economia. E delle regole</w:t>
      </w:r>
      <w:r>
        <w:rPr>
          <w:rFonts w:ascii="Times New Roman" w:hAnsi="Times New Roman" w:cs="Times New Roman"/>
          <w:sz w:val="24"/>
          <w:szCs w:val="24"/>
        </w:rPr>
        <w:t xml:space="preserve">”, su </w:t>
      </w:r>
      <w:hyperlink r:id="rId22" w:history="1">
        <w:r w:rsidRPr="00304099">
          <w:rPr>
            <w:rStyle w:val="Collegamentoipertestuale"/>
            <w:rFonts w:ascii="Times New Roman" w:hAnsi="Times New Roman" w:cs="Times New Roman"/>
            <w:sz w:val="24"/>
            <w:szCs w:val="24"/>
          </w:rPr>
          <w:t>https://www.wired.it/article/metaverso-ecommerce-regole/</w:t>
        </w:r>
      </w:hyperlink>
      <w:r w:rsidRPr="00304099">
        <w:rPr>
          <w:rFonts w:ascii="Times New Roman" w:hAnsi="Times New Roman" w:cs="Times New Roman"/>
          <w:sz w:val="24"/>
          <w:szCs w:val="24"/>
        </w:rPr>
        <w:t>.</w:t>
      </w:r>
      <w:r>
        <w:rPr>
          <w:rFonts w:ascii="Times New Roman" w:hAnsi="Times New Roman" w:cs="Times New Roman"/>
          <w:sz w:val="24"/>
          <w:szCs w:val="24"/>
        </w:rPr>
        <w:t xml:space="preserve"> </w:t>
      </w:r>
      <w:r w:rsidRPr="00304099">
        <w:rPr>
          <w:rFonts w:ascii="Times New Roman" w:hAnsi="Times New Roman" w:cs="Times New Roman"/>
          <w:sz w:val="24"/>
          <w:szCs w:val="24"/>
        </w:rPr>
        <w:t xml:space="preserve">La parola </w:t>
      </w:r>
      <w:proofErr w:type="spellStart"/>
      <w:r w:rsidRPr="00304099">
        <w:rPr>
          <w:rFonts w:ascii="Times New Roman" w:hAnsi="Times New Roman" w:cs="Times New Roman"/>
          <w:sz w:val="24"/>
          <w:szCs w:val="24"/>
        </w:rPr>
        <w:t>Metaverso</w:t>
      </w:r>
      <w:proofErr w:type="spellEnd"/>
      <w:r w:rsidRPr="00304099">
        <w:rPr>
          <w:rFonts w:ascii="Times New Roman" w:hAnsi="Times New Roman" w:cs="Times New Roman"/>
          <w:sz w:val="24"/>
          <w:szCs w:val="24"/>
        </w:rPr>
        <w:t xml:space="preserve"> è un neologismo che si sta diffondendo ormai tra coloro che studiano l’innovazione futura della tecnologia. A tutt’oggi, però, tale parola non può essere definita con uno specifico significato. Nell’articolo </w:t>
      </w:r>
      <w:r>
        <w:rPr>
          <w:rFonts w:ascii="Times New Roman" w:hAnsi="Times New Roman" w:cs="Times New Roman"/>
          <w:sz w:val="24"/>
          <w:szCs w:val="24"/>
        </w:rPr>
        <w:t xml:space="preserve">sopra </w:t>
      </w:r>
      <w:r w:rsidRPr="00304099">
        <w:rPr>
          <w:rFonts w:ascii="Times New Roman" w:hAnsi="Times New Roman" w:cs="Times New Roman"/>
          <w:sz w:val="24"/>
          <w:szCs w:val="24"/>
        </w:rPr>
        <w:t xml:space="preserve">riportato, la parola </w:t>
      </w:r>
      <w:proofErr w:type="spellStart"/>
      <w:r w:rsidRPr="00304099">
        <w:rPr>
          <w:rFonts w:ascii="Times New Roman" w:hAnsi="Times New Roman" w:cs="Times New Roman"/>
          <w:sz w:val="24"/>
          <w:szCs w:val="24"/>
        </w:rPr>
        <w:t>metaverso</w:t>
      </w:r>
      <w:proofErr w:type="spellEnd"/>
      <w:r w:rsidRPr="00304099">
        <w:rPr>
          <w:rFonts w:ascii="Times New Roman" w:hAnsi="Times New Roman" w:cs="Times New Roman"/>
          <w:sz w:val="24"/>
          <w:szCs w:val="24"/>
        </w:rPr>
        <w:t xml:space="preserve"> viene fatt</w:t>
      </w:r>
      <w:r>
        <w:rPr>
          <w:rFonts w:ascii="Times New Roman" w:hAnsi="Times New Roman" w:cs="Times New Roman"/>
          <w:sz w:val="24"/>
          <w:szCs w:val="24"/>
        </w:rPr>
        <w:t>a</w:t>
      </w:r>
      <w:r w:rsidRPr="00304099">
        <w:rPr>
          <w:rFonts w:ascii="Times New Roman" w:hAnsi="Times New Roman" w:cs="Times New Roman"/>
          <w:sz w:val="24"/>
          <w:szCs w:val="24"/>
        </w:rPr>
        <w:t xml:space="preserve"> risalire alla definizione di Neal </w:t>
      </w:r>
      <w:proofErr w:type="spellStart"/>
      <w:r w:rsidRPr="00304099">
        <w:rPr>
          <w:rFonts w:ascii="Times New Roman" w:hAnsi="Times New Roman" w:cs="Times New Roman"/>
          <w:sz w:val="24"/>
          <w:szCs w:val="24"/>
        </w:rPr>
        <w:t>Stephenson</w:t>
      </w:r>
      <w:proofErr w:type="spellEnd"/>
      <w:r>
        <w:rPr>
          <w:rFonts w:ascii="Times New Roman" w:hAnsi="Times New Roman" w:cs="Times New Roman"/>
          <w:sz w:val="24"/>
          <w:szCs w:val="24"/>
        </w:rPr>
        <w:t>,</w:t>
      </w:r>
      <w:r w:rsidRPr="00304099">
        <w:rPr>
          <w:rFonts w:ascii="Times New Roman" w:hAnsi="Times New Roman" w:cs="Times New Roman"/>
          <w:sz w:val="24"/>
          <w:szCs w:val="24"/>
        </w:rPr>
        <w:t xml:space="preserve"> </w:t>
      </w:r>
      <w:r>
        <w:rPr>
          <w:rFonts w:ascii="Times New Roman" w:hAnsi="Times New Roman" w:cs="Times New Roman"/>
          <w:sz w:val="24"/>
          <w:szCs w:val="24"/>
        </w:rPr>
        <w:t xml:space="preserve">contenuta </w:t>
      </w:r>
      <w:r w:rsidRPr="00304099">
        <w:rPr>
          <w:rFonts w:ascii="Times New Roman" w:hAnsi="Times New Roman" w:cs="Times New Roman"/>
          <w:sz w:val="24"/>
          <w:szCs w:val="24"/>
        </w:rPr>
        <w:t xml:space="preserve">nel romanzo cyberpunk </w:t>
      </w:r>
      <w:r>
        <w:rPr>
          <w:rFonts w:ascii="Times New Roman" w:hAnsi="Times New Roman" w:cs="Times New Roman"/>
          <w:sz w:val="24"/>
          <w:szCs w:val="24"/>
        </w:rPr>
        <w:t>“</w:t>
      </w:r>
      <w:proofErr w:type="spellStart"/>
      <w:r w:rsidRPr="00AE517F">
        <w:rPr>
          <w:rFonts w:ascii="Times New Roman" w:hAnsi="Times New Roman" w:cs="Times New Roman"/>
          <w:i/>
          <w:iCs/>
          <w:sz w:val="24"/>
          <w:szCs w:val="24"/>
        </w:rPr>
        <w:t>Snow</w:t>
      </w:r>
      <w:proofErr w:type="spellEnd"/>
      <w:r w:rsidRPr="00AE517F">
        <w:rPr>
          <w:rFonts w:ascii="Times New Roman" w:hAnsi="Times New Roman" w:cs="Times New Roman"/>
          <w:i/>
          <w:iCs/>
          <w:sz w:val="24"/>
          <w:szCs w:val="24"/>
        </w:rPr>
        <w:t xml:space="preserve"> Crash</w:t>
      </w:r>
      <w:r>
        <w:rPr>
          <w:rFonts w:ascii="Times New Roman" w:hAnsi="Times New Roman" w:cs="Times New Roman"/>
          <w:sz w:val="24"/>
          <w:szCs w:val="24"/>
        </w:rPr>
        <w:t>”</w:t>
      </w:r>
      <w:r w:rsidRPr="00304099">
        <w:rPr>
          <w:rFonts w:ascii="Times New Roman" w:hAnsi="Times New Roman" w:cs="Times New Roman"/>
          <w:sz w:val="24"/>
          <w:szCs w:val="24"/>
        </w:rPr>
        <w:t xml:space="preserve"> </w:t>
      </w:r>
      <w:r>
        <w:rPr>
          <w:rFonts w:ascii="Times New Roman" w:hAnsi="Times New Roman" w:cs="Times New Roman"/>
          <w:sz w:val="24"/>
          <w:szCs w:val="24"/>
        </w:rPr>
        <w:t xml:space="preserve">del </w:t>
      </w:r>
      <w:r w:rsidRPr="00304099">
        <w:rPr>
          <w:rFonts w:ascii="Times New Roman" w:hAnsi="Times New Roman" w:cs="Times New Roman"/>
          <w:sz w:val="24"/>
          <w:szCs w:val="24"/>
        </w:rPr>
        <w:t>1992</w:t>
      </w:r>
      <w:r>
        <w:rPr>
          <w:rFonts w:ascii="Times New Roman" w:hAnsi="Times New Roman" w:cs="Times New Roman"/>
          <w:sz w:val="24"/>
          <w:szCs w:val="24"/>
        </w:rPr>
        <w:t xml:space="preserve">: </w:t>
      </w:r>
      <w:r w:rsidRPr="00304099">
        <w:rPr>
          <w:rFonts w:ascii="Times New Roman" w:hAnsi="Times New Roman" w:cs="Times New Roman"/>
          <w:sz w:val="24"/>
          <w:szCs w:val="24"/>
        </w:rPr>
        <w:t>«</w:t>
      </w:r>
      <w:r w:rsidRPr="00A51A4E">
        <w:rPr>
          <w:rFonts w:ascii="Times New Roman" w:hAnsi="Times New Roman" w:cs="Times New Roman"/>
          <w:i/>
          <w:iCs/>
          <w:sz w:val="24"/>
          <w:szCs w:val="24"/>
        </w:rPr>
        <w:t>uno spazio tridimensionale all’interno del quale persone fisiche possono muoversi, condividere e interagire attraverso avatar personalizzati</w:t>
      </w:r>
      <w:r>
        <w:rPr>
          <w:rFonts w:ascii="Times New Roman" w:hAnsi="Times New Roman" w:cs="Times New Roman"/>
          <w:sz w:val="24"/>
          <w:szCs w:val="24"/>
        </w:rPr>
        <w:t>»</w:t>
      </w:r>
      <w:r w:rsidRPr="00304099">
        <w:rPr>
          <w:rFonts w:ascii="Times New Roman" w:hAnsi="Times New Roman" w:cs="Times New Roman"/>
          <w:sz w:val="24"/>
          <w:szCs w:val="24"/>
        </w:rPr>
        <w:t>.</w:t>
      </w:r>
      <w:r>
        <w:rPr>
          <w:rFonts w:ascii="Times New Roman" w:hAnsi="Times New Roman" w:cs="Times New Roman"/>
          <w:sz w:val="24"/>
          <w:szCs w:val="24"/>
        </w:rPr>
        <w:t xml:space="preserve"> </w:t>
      </w:r>
      <w:r w:rsidRPr="00A309C5">
        <w:rPr>
          <w:rFonts w:ascii="Times New Roman" w:hAnsi="Times New Roman" w:cs="Times New Roman"/>
          <w:sz w:val="24"/>
          <w:szCs w:val="24"/>
        </w:rPr>
        <w:t>Si prospettano scenari e soluzioni interessanti ma sorgono anche preoccupazioni inquietanti</w:t>
      </w:r>
      <w:r>
        <w:rPr>
          <w:rFonts w:ascii="Times New Roman" w:hAnsi="Times New Roman" w:cs="Times New Roman"/>
          <w:sz w:val="24"/>
          <w:szCs w:val="24"/>
        </w:rPr>
        <w:t>. N</w:t>
      </w:r>
      <w:r w:rsidRPr="00A309C5">
        <w:rPr>
          <w:rFonts w:ascii="Times New Roman" w:hAnsi="Times New Roman" w:cs="Times New Roman"/>
          <w:sz w:val="24"/>
          <w:szCs w:val="24"/>
        </w:rPr>
        <w:t xml:space="preserve">el </w:t>
      </w:r>
      <w:proofErr w:type="spellStart"/>
      <w:r w:rsidRPr="00A309C5">
        <w:rPr>
          <w:rFonts w:ascii="Times New Roman" w:hAnsi="Times New Roman" w:cs="Times New Roman"/>
          <w:sz w:val="24"/>
          <w:szCs w:val="24"/>
        </w:rPr>
        <w:t>Metaverso</w:t>
      </w:r>
      <w:proofErr w:type="spellEnd"/>
      <w:r w:rsidRPr="00A309C5">
        <w:rPr>
          <w:rFonts w:ascii="Times New Roman" w:hAnsi="Times New Roman" w:cs="Times New Roman"/>
          <w:sz w:val="24"/>
          <w:szCs w:val="24"/>
        </w:rPr>
        <w:t xml:space="preserve"> ognuno di noi, in futuro, avrà un gemello virtuale? E se </w:t>
      </w:r>
      <w:r>
        <w:rPr>
          <w:rFonts w:ascii="Times New Roman" w:hAnsi="Times New Roman" w:cs="Times New Roman"/>
          <w:sz w:val="24"/>
          <w:szCs w:val="24"/>
        </w:rPr>
        <w:t xml:space="preserve">così sarà, </w:t>
      </w:r>
      <w:r w:rsidRPr="00A309C5">
        <w:rPr>
          <w:rFonts w:ascii="Times New Roman" w:hAnsi="Times New Roman" w:cs="Times New Roman"/>
          <w:sz w:val="24"/>
          <w:szCs w:val="24"/>
        </w:rPr>
        <w:t xml:space="preserve">potremo considerare il gemello un soggetto giuridico? Avrà capacità giuridica e di agire? Il diritto potrà regolare il </w:t>
      </w:r>
      <w:proofErr w:type="spellStart"/>
      <w:r w:rsidRPr="00A309C5">
        <w:rPr>
          <w:rFonts w:ascii="Times New Roman" w:hAnsi="Times New Roman" w:cs="Times New Roman"/>
          <w:sz w:val="24"/>
          <w:szCs w:val="24"/>
        </w:rPr>
        <w:t>metaverso</w:t>
      </w:r>
      <w:proofErr w:type="spellEnd"/>
      <w:r w:rsidRPr="00A309C5">
        <w:rPr>
          <w:rFonts w:ascii="Times New Roman" w:hAnsi="Times New Roman" w:cs="Times New Roman"/>
          <w:sz w:val="24"/>
          <w:szCs w:val="24"/>
        </w:rPr>
        <w:t>?</w:t>
      </w:r>
      <w:r>
        <w:rPr>
          <w:rFonts w:ascii="Times New Roman" w:hAnsi="Times New Roman" w:cs="Times New Roman"/>
          <w:sz w:val="24"/>
          <w:szCs w:val="24"/>
        </w:rPr>
        <w:t xml:space="preserve"> Come riportato nell’articolo sopra citato, «</w:t>
      </w:r>
      <w:r w:rsidRPr="00E21DA5">
        <w:rPr>
          <w:rFonts w:ascii="Times New Roman" w:hAnsi="Times New Roman" w:cs="Times New Roman"/>
          <w:i/>
          <w:iCs/>
          <w:sz w:val="24"/>
          <w:szCs w:val="24"/>
        </w:rPr>
        <w:t xml:space="preserve">il </w:t>
      </w:r>
      <w:proofErr w:type="spellStart"/>
      <w:r w:rsidRPr="00E21DA5">
        <w:rPr>
          <w:rFonts w:ascii="Times New Roman" w:hAnsi="Times New Roman" w:cs="Times New Roman"/>
          <w:i/>
          <w:iCs/>
          <w:sz w:val="24"/>
          <w:szCs w:val="24"/>
        </w:rPr>
        <w:t>Metaverso</w:t>
      </w:r>
      <w:proofErr w:type="spellEnd"/>
      <w:r w:rsidRPr="00E21DA5">
        <w:rPr>
          <w:rFonts w:ascii="Times New Roman" w:hAnsi="Times New Roman" w:cs="Times New Roman"/>
          <w:i/>
          <w:iCs/>
          <w:sz w:val="24"/>
          <w:szCs w:val="24"/>
        </w:rPr>
        <w:t xml:space="preserve"> rappresenta l’ambiente globale di convergenza di differenti soluzioni tecnologiche (</w:t>
      </w:r>
      <w:proofErr w:type="spellStart"/>
      <w:r w:rsidRPr="00E21DA5">
        <w:rPr>
          <w:rFonts w:ascii="Times New Roman" w:hAnsi="Times New Roman" w:cs="Times New Roman"/>
          <w:i/>
          <w:iCs/>
          <w:sz w:val="24"/>
          <w:szCs w:val="24"/>
        </w:rPr>
        <w:t>blockchain</w:t>
      </w:r>
      <w:proofErr w:type="spellEnd"/>
      <w:r w:rsidRPr="00E21DA5">
        <w:rPr>
          <w:rFonts w:ascii="Times New Roman" w:hAnsi="Times New Roman" w:cs="Times New Roman"/>
          <w:i/>
          <w:iCs/>
          <w:sz w:val="24"/>
          <w:szCs w:val="24"/>
        </w:rPr>
        <w:t xml:space="preserve"> e </w:t>
      </w:r>
      <w:proofErr w:type="spellStart"/>
      <w:r w:rsidRPr="00E21DA5">
        <w:rPr>
          <w:rFonts w:ascii="Times New Roman" w:hAnsi="Times New Roman" w:cs="Times New Roman"/>
          <w:i/>
          <w:iCs/>
          <w:sz w:val="24"/>
          <w:szCs w:val="24"/>
        </w:rPr>
        <w:t>smart</w:t>
      </w:r>
      <w:proofErr w:type="spellEnd"/>
      <w:r w:rsidRPr="00E21DA5">
        <w:rPr>
          <w:rFonts w:ascii="Times New Roman" w:hAnsi="Times New Roman" w:cs="Times New Roman"/>
          <w:i/>
          <w:iCs/>
          <w:sz w:val="24"/>
          <w:szCs w:val="24"/>
        </w:rPr>
        <w:t xml:space="preserve"> </w:t>
      </w:r>
      <w:proofErr w:type="spellStart"/>
      <w:r w:rsidRPr="00E21DA5">
        <w:rPr>
          <w:rFonts w:ascii="Times New Roman" w:hAnsi="Times New Roman" w:cs="Times New Roman"/>
          <w:i/>
          <w:iCs/>
          <w:sz w:val="24"/>
          <w:szCs w:val="24"/>
        </w:rPr>
        <w:t>contracts</w:t>
      </w:r>
      <w:proofErr w:type="spellEnd"/>
      <w:r w:rsidRPr="00E21DA5">
        <w:rPr>
          <w:rFonts w:ascii="Times New Roman" w:hAnsi="Times New Roman" w:cs="Times New Roman"/>
          <w:i/>
          <w:iCs/>
          <w:sz w:val="24"/>
          <w:szCs w:val="24"/>
        </w:rPr>
        <w:t>, non-</w:t>
      </w:r>
      <w:proofErr w:type="spellStart"/>
      <w:r w:rsidRPr="00E21DA5">
        <w:rPr>
          <w:rFonts w:ascii="Times New Roman" w:hAnsi="Times New Roman" w:cs="Times New Roman"/>
          <w:i/>
          <w:iCs/>
          <w:sz w:val="24"/>
          <w:szCs w:val="24"/>
        </w:rPr>
        <w:t>fungible</w:t>
      </w:r>
      <w:proofErr w:type="spellEnd"/>
      <w:r w:rsidRPr="00E21DA5">
        <w:rPr>
          <w:rFonts w:ascii="Times New Roman" w:hAnsi="Times New Roman" w:cs="Times New Roman"/>
          <w:i/>
          <w:iCs/>
          <w:sz w:val="24"/>
          <w:szCs w:val="24"/>
        </w:rPr>
        <w:t xml:space="preserve"> </w:t>
      </w:r>
      <w:proofErr w:type="spellStart"/>
      <w:r w:rsidRPr="00E21DA5">
        <w:rPr>
          <w:rFonts w:ascii="Times New Roman" w:hAnsi="Times New Roman" w:cs="Times New Roman"/>
          <w:i/>
          <w:iCs/>
          <w:sz w:val="24"/>
          <w:szCs w:val="24"/>
        </w:rPr>
        <w:t>tokens</w:t>
      </w:r>
      <w:proofErr w:type="spellEnd"/>
      <w:r w:rsidRPr="00E21DA5">
        <w:rPr>
          <w:rFonts w:ascii="Times New Roman" w:hAnsi="Times New Roman" w:cs="Times New Roman"/>
          <w:i/>
          <w:iCs/>
          <w:sz w:val="24"/>
          <w:szCs w:val="24"/>
        </w:rPr>
        <w:t xml:space="preserve"> e </w:t>
      </w:r>
      <w:proofErr w:type="spellStart"/>
      <w:r w:rsidRPr="00E21DA5">
        <w:rPr>
          <w:rFonts w:ascii="Times New Roman" w:hAnsi="Times New Roman" w:cs="Times New Roman"/>
          <w:i/>
          <w:iCs/>
          <w:sz w:val="24"/>
          <w:szCs w:val="24"/>
        </w:rPr>
        <w:t>cryptovalute</w:t>
      </w:r>
      <w:proofErr w:type="spellEnd"/>
      <w:r w:rsidRPr="00E21DA5">
        <w:rPr>
          <w:rFonts w:ascii="Times New Roman" w:hAnsi="Times New Roman" w:cs="Times New Roman"/>
          <w:i/>
          <w:iCs/>
          <w:sz w:val="24"/>
          <w:szCs w:val="24"/>
        </w:rPr>
        <w:t>, intelligenza artificiale e realtà aumentata), che permetteranno la continua interazione personale e commerciale fra gli utenti, nonché la fusione fra il mondo reale e quello virtuale (attraverso avatar)</w:t>
      </w:r>
      <w:r>
        <w:rPr>
          <w:rFonts w:ascii="Times New Roman" w:hAnsi="Times New Roman" w:cs="Times New Roman"/>
          <w:sz w:val="24"/>
          <w:szCs w:val="24"/>
        </w:rPr>
        <w:t>»</w:t>
      </w:r>
      <w:r w:rsidRPr="00304099">
        <w:rPr>
          <w:rFonts w:ascii="Times New Roman" w:hAnsi="Times New Roman" w:cs="Times New Roman"/>
          <w:sz w:val="24"/>
          <w:szCs w:val="24"/>
        </w:rPr>
        <w:t xml:space="preserve">. </w:t>
      </w:r>
      <w:r>
        <w:rPr>
          <w:rFonts w:ascii="Times New Roman" w:hAnsi="Times New Roman" w:cs="Times New Roman"/>
          <w:sz w:val="24"/>
          <w:szCs w:val="24"/>
        </w:rPr>
        <w:t xml:space="preserve">Un esempio di questo nuovo universo è dato dal </w:t>
      </w:r>
      <w:r w:rsidRPr="00304099">
        <w:rPr>
          <w:rFonts w:ascii="Times New Roman" w:hAnsi="Times New Roman" w:cs="Times New Roman"/>
          <w:sz w:val="24"/>
          <w:szCs w:val="24"/>
        </w:rPr>
        <w:t>videogioco</w:t>
      </w:r>
      <w:r>
        <w:rPr>
          <w:rFonts w:ascii="Times New Roman" w:hAnsi="Times New Roman" w:cs="Times New Roman"/>
          <w:sz w:val="24"/>
          <w:szCs w:val="24"/>
        </w:rPr>
        <w:t>,</w:t>
      </w:r>
      <w:r w:rsidRPr="00304099">
        <w:rPr>
          <w:rFonts w:ascii="Times New Roman" w:hAnsi="Times New Roman" w:cs="Times New Roman"/>
          <w:sz w:val="24"/>
          <w:szCs w:val="24"/>
        </w:rPr>
        <w:t xml:space="preserve"> </w:t>
      </w:r>
      <w:r>
        <w:rPr>
          <w:rFonts w:ascii="Times New Roman" w:hAnsi="Times New Roman" w:cs="Times New Roman"/>
          <w:sz w:val="24"/>
          <w:szCs w:val="24"/>
        </w:rPr>
        <w:t>tramite il quale</w:t>
      </w:r>
      <w:r w:rsidRPr="00304099">
        <w:rPr>
          <w:rFonts w:ascii="Times New Roman" w:hAnsi="Times New Roman" w:cs="Times New Roman"/>
          <w:sz w:val="24"/>
          <w:szCs w:val="24"/>
        </w:rPr>
        <w:t xml:space="preserve"> il giocatore</w:t>
      </w:r>
      <w:r>
        <w:rPr>
          <w:rFonts w:ascii="Times New Roman" w:hAnsi="Times New Roman" w:cs="Times New Roman"/>
          <w:sz w:val="24"/>
          <w:szCs w:val="24"/>
        </w:rPr>
        <w:t>/avatar</w:t>
      </w:r>
      <w:r w:rsidRPr="00304099">
        <w:rPr>
          <w:rFonts w:ascii="Times New Roman" w:hAnsi="Times New Roman" w:cs="Times New Roman"/>
          <w:sz w:val="24"/>
          <w:szCs w:val="24"/>
        </w:rPr>
        <w:t xml:space="preserve">, durante l’azione, </w:t>
      </w:r>
      <w:r>
        <w:rPr>
          <w:rFonts w:ascii="Times New Roman" w:hAnsi="Times New Roman" w:cs="Times New Roman"/>
          <w:sz w:val="24"/>
          <w:szCs w:val="24"/>
        </w:rPr>
        <w:t>accede</w:t>
      </w:r>
      <w:r w:rsidRPr="00304099">
        <w:rPr>
          <w:rFonts w:ascii="Times New Roman" w:hAnsi="Times New Roman" w:cs="Times New Roman"/>
          <w:sz w:val="24"/>
          <w:szCs w:val="24"/>
        </w:rPr>
        <w:t xml:space="preserve"> al negozio virtuale di un marchio </w:t>
      </w:r>
      <w:r>
        <w:rPr>
          <w:rFonts w:ascii="Times New Roman" w:hAnsi="Times New Roman" w:cs="Times New Roman"/>
          <w:sz w:val="24"/>
          <w:szCs w:val="24"/>
        </w:rPr>
        <w:t>vero, reale</w:t>
      </w:r>
      <w:r w:rsidRPr="00304099">
        <w:rPr>
          <w:rFonts w:ascii="Times New Roman" w:hAnsi="Times New Roman" w:cs="Times New Roman"/>
          <w:sz w:val="24"/>
          <w:szCs w:val="24"/>
        </w:rPr>
        <w:t xml:space="preserve">, </w:t>
      </w:r>
      <w:r>
        <w:rPr>
          <w:rFonts w:ascii="Times New Roman" w:hAnsi="Times New Roman" w:cs="Times New Roman"/>
          <w:sz w:val="24"/>
          <w:szCs w:val="24"/>
        </w:rPr>
        <w:t>prova l’</w:t>
      </w:r>
      <w:r w:rsidRPr="00304099">
        <w:rPr>
          <w:rFonts w:ascii="Times New Roman" w:hAnsi="Times New Roman" w:cs="Times New Roman"/>
          <w:sz w:val="24"/>
          <w:szCs w:val="24"/>
        </w:rPr>
        <w:t>articolo di abbigliamento</w:t>
      </w:r>
      <w:r>
        <w:rPr>
          <w:rFonts w:ascii="Times New Roman" w:hAnsi="Times New Roman" w:cs="Times New Roman"/>
          <w:sz w:val="24"/>
          <w:szCs w:val="24"/>
        </w:rPr>
        <w:t xml:space="preserve"> e lo</w:t>
      </w:r>
      <w:r w:rsidRPr="00304099">
        <w:rPr>
          <w:rFonts w:ascii="Times New Roman" w:hAnsi="Times New Roman" w:cs="Times New Roman"/>
          <w:sz w:val="24"/>
          <w:szCs w:val="24"/>
        </w:rPr>
        <w:t xml:space="preserve"> compra</w:t>
      </w:r>
      <w:r>
        <w:rPr>
          <w:rFonts w:ascii="Times New Roman" w:hAnsi="Times New Roman" w:cs="Times New Roman"/>
          <w:sz w:val="24"/>
          <w:szCs w:val="24"/>
        </w:rPr>
        <w:t xml:space="preserve"> realmente. Come ci dice l’autore dell’articolo, le c</w:t>
      </w:r>
      <w:r w:rsidRPr="00304099">
        <w:rPr>
          <w:rFonts w:ascii="Times New Roman" w:hAnsi="Times New Roman" w:cs="Times New Roman"/>
          <w:sz w:val="24"/>
          <w:szCs w:val="24"/>
        </w:rPr>
        <w:t xml:space="preserve">aratteristiche essenziali del </w:t>
      </w:r>
      <w:proofErr w:type="spellStart"/>
      <w:r w:rsidRPr="00304099">
        <w:rPr>
          <w:rFonts w:ascii="Times New Roman" w:hAnsi="Times New Roman" w:cs="Times New Roman"/>
          <w:sz w:val="24"/>
          <w:szCs w:val="24"/>
        </w:rPr>
        <w:t>metaverso</w:t>
      </w:r>
      <w:proofErr w:type="spellEnd"/>
      <w:r>
        <w:rPr>
          <w:rFonts w:ascii="Times New Roman" w:hAnsi="Times New Roman" w:cs="Times New Roman"/>
          <w:sz w:val="24"/>
          <w:szCs w:val="24"/>
        </w:rPr>
        <w:t xml:space="preserve"> sono: «</w:t>
      </w:r>
      <w:r w:rsidRPr="00E21DA5">
        <w:rPr>
          <w:rFonts w:ascii="Times New Roman" w:hAnsi="Times New Roman" w:cs="Times New Roman"/>
          <w:i/>
          <w:iCs/>
          <w:sz w:val="24"/>
          <w:szCs w:val="24"/>
        </w:rPr>
        <w:t>natura globale e decentralizzata, che non sopporta confini geografici o giurisdizionali; interazione sincronica degli e fra gli utenti, fra realtà fisica e realtà virtuale; connessione continua e interoperabilità</w:t>
      </w:r>
      <w:r>
        <w:rPr>
          <w:rFonts w:ascii="Times New Roman" w:hAnsi="Times New Roman" w:cs="Times New Roman"/>
          <w:sz w:val="24"/>
          <w:szCs w:val="24"/>
        </w:rPr>
        <w:t xml:space="preserve">». Il </w:t>
      </w:r>
      <w:proofErr w:type="spellStart"/>
      <w:r>
        <w:rPr>
          <w:rFonts w:ascii="Times New Roman" w:hAnsi="Times New Roman" w:cs="Times New Roman"/>
          <w:sz w:val="24"/>
          <w:szCs w:val="24"/>
        </w:rPr>
        <w:t>Metaverso</w:t>
      </w:r>
      <w:proofErr w:type="spellEnd"/>
      <w:r>
        <w:rPr>
          <w:rFonts w:ascii="Times New Roman" w:hAnsi="Times New Roman" w:cs="Times New Roman"/>
          <w:sz w:val="24"/>
          <w:szCs w:val="24"/>
        </w:rPr>
        <w:t xml:space="preserve"> sicuramente ci deve far riflettere sul modo in cui i dati saranno trattati: ci chiediamo </w:t>
      </w:r>
      <w:r w:rsidRPr="00304099">
        <w:rPr>
          <w:rFonts w:ascii="Times New Roman" w:hAnsi="Times New Roman" w:cs="Times New Roman"/>
          <w:sz w:val="24"/>
          <w:szCs w:val="24"/>
        </w:rPr>
        <w:t>qual</w:t>
      </w:r>
      <w:r>
        <w:rPr>
          <w:rFonts w:ascii="Times New Roman" w:hAnsi="Times New Roman" w:cs="Times New Roman"/>
          <w:sz w:val="24"/>
          <w:szCs w:val="24"/>
        </w:rPr>
        <w:t>i</w:t>
      </w:r>
      <w:r w:rsidRPr="00304099">
        <w:rPr>
          <w:rFonts w:ascii="Times New Roman" w:hAnsi="Times New Roman" w:cs="Times New Roman"/>
          <w:sz w:val="24"/>
          <w:szCs w:val="24"/>
        </w:rPr>
        <w:t xml:space="preserve"> soggetti dovranno raccogliere e trattare </w:t>
      </w:r>
      <w:r>
        <w:rPr>
          <w:rFonts w:ascii="Times New Roman" w:hAnsi="Times New Roman" w:cs="Times New Roman"/>
          <w:sz w:val="24"/>
          <w:szCs w:val="24"/>
        </w:rPr>
        <w:t xml:space="preserve">i dati, con quali </w:t>
      </w:r>
      <w:r w:rsidRPr="00304099">
        <w:rPr>
          <w:rFonts w:ascii="Times New Roman" w:hAnsi="Times New Roman" w:cs="Times New Roman"/>
          <w:sz w:val="24"/>
          <w:szCs w:val="24"/>
        </w:rPr>
        <w:t>procedure</w:t>
      </w:r>
      <w:r>
        <w:rPr>
          <w:rFonts w:ascii="Times New Roman" w:hAnsi="Times New Roman" w:cs="Times New Roman"/>
          <w:sz w:val="24"/>
          <w:szCs w:val="24"/>
        </w:rPr>
        <w:t xml:space="preserve">, se ci sarà una </w:t>
      </w:r>
      <w:r w:rsidRPr="00304099">
        <w:rPr>
          <w:rFonts w:ascii="Times New Roman" w:hAnsi="Times New Roman" w:cs="Times New Roman"/>
          <w:sz w:val="24"/>
          <w:szCs w:val="24"/>
        </w:rPr>
        <w:t>adeguata protezione</w:t>
      </w:r>
      <w:r>
        <w:rPr>
          <w:rFonts w:ascii="Times New Roman" w:hAnsi="Times New Roman" w:cs="Times New Roman"/>
          <w:sz w:val="24"/>
          <w:szCs w:val="24"/>
        </w:rPr>
        <w:t xml:space="preserve">. I </w:t>
      </w:r>
      <w:r w:rsidRPr="00304099">
        <w:rPr>
          <w:rFonts w:ascii="Times New Roman" w:hAnsi="Times New Roman" w:cs="Times New Roman"/>
          <w:sz w:val="24"/>
          <w:szCs w:val="24"/>
        </w:rPr>
        <w:t xml:space="preserve">rischi di </w:t>
      </w:r>
      <w:r w:rsidRPr="00AE517F">
        <w:rPr>
          <w:rFonts w:ascii="Times New Roman" w:hAnsi="Times New Roman" w:cs="Times New Roman"/>
          <w:i/>
          <w:iCs/>
          <w:sz w:val="24"/>
          <w:szCs w:val="24"/>
        </w:rPr>
        <w:t xml:space="preserve">data </w:t>
      </w:r>
      <w:proofErr w:type="spellStart"/>
      <w:r w:rsidRPr="00AE517F">
        <w:rPr>
          <w:rFonts w:ascii="Times New Roman" w:hAnsi="Times New Roman" w:cs="Times New Roman"/>
          <w:i/>
          <w:iCs/>
          <w:sz w:val="24"/>
          <w:szCs w:val="24"/>
        </w:rPr>
        <w:t>breach</w:t>
      </w:r>
      <w:proofErr w:type="spellEnd"/>
      <w:r w:rsidRPr="00304099">
        <w:rPr>
          <w:rFonts w:ascii="Times New Roman" w:hAnsi="Times New Roman" w:cs="Times New Roman"/>
          <w:sz w:val="24"/>
          <w:szCs w:val="24"/>
        </w:rPr>
        <w:t xml:space="preserve"> </w:t>
      </w:r>
      <w:r>
        <w:rPr>
          <w:rFonts w:ascii="Times New Roman" w:hAnsi="Times New Roman" w:cs="Times New Roman"/>
          <w:sz w:val="24"/>
          <w:szCs w:val="24"/>
        </w:rPr>
        <w:t>potrebbero essere all’ordine del giorno, per cui se vogliamo “spostarci” sulla realtà virtuale dobbiamo pensare ad una adeguata</w:t>
      </w:r>
      <w:r w:rsidRPr="00304099">
        <w:rPr>
          <w:rFonts w:ascii="Times New Roman" w:hAnsi="Times New Roman" w:cs="Times New Roman"/>
          <w:sz w:val="24"/>
          <w:szCs w:val="24"/>
        </w:rPr>
        <w:t xml:space="preserve"> </w:t>
      </w:r>
      <w:proofErr w:type="spellStart"/>
      <w:r w:rsidRPr="00AE517F">
        <w:rPr>
          <w:rFonts w:ascii="Times New Roman" w:hAnsi="Times New Roman" w:cs="Times New Roman"/>
          <w:i/>
          <w:iCs/>
          <w:sz w:val="24"/>
          <w:szCs w:val="24"/>
        </w:rPr>
        <w:t>cybersecurity</w:t>
      </w:r>
      <w:proofErr w:type="spellEnd"/>
      <w:r w:rsidRPr="00304099">
        <w:rPr>
          <w:rFonts w:ascii="Times New Roman" w:hAnsi="Times New Roman" w:cs="Times New Roman"/>
          <w:sz w:val="24"/>
          <w:szCs w:val="24"/>
        </w:rPr>
        <w:t xml:space="preserve">, </w:t>
      </w:r>
      <w:r>
        <w:rPr>
          <w:rFonts w:ascii="Times New Roman" w:hAnsi="Times New Roman" w:cs="Times New Roman"/>
          <w:sz w:val="24"/>
          <w:szCs w:val="24"/>
        </w:rPr>
        <w:t>dal momento</w:t>
      </w:r>
      <w:r w:rsidRPr="00304099">
        <w:rPr>
          <w:rFonts w:ascii="Times New Roman" w:hAnsi="Times New Roman" w:cs="Times New Roman"/>
          <w:sz w:val="24"/>
          <w:szCs w:val="24"/>
        </w:rPr>
        <w:t xml:space="preserve"> che sarà </w:t>
      </w:r>
      <w:r>
        <w:rPr>
          <w:rFonts w:ascii="Times New Roman" w:hAnsi="Times New Roman" w:cs="Times New Roman"/>
          <w:sz w:val="24"/>
          <w:szCs w:val="24"/>
        </w:rPr>
        <w:t xml:space="preserve">sicuramente difficile </w:t>
      </w:r>
      <w:r w:rsidRPr="00304099">
        <w:rPr>
          <w:rFonts w:ascii="Times New Roman" w:hAnsi="Times New Roman" w:cs="Times New Roman"/>
          <w:sz w:val="24"/>
          <w:szCs w:val="24"/>
        </w:rPr>
        <w:t>identificare</w:t>
      </w:r>
      <w:r>
        <w:rPr>
          <w:rFonts w:ascii="Times New Roman" w:hAnsi="Times New Roman" w:cs="Times New Roman"/>
          <w:sz w:val="24"/>
          <w:szCs w:val="24"/>
        </w:rPr>
        <w:t xml:space="preserve"> ed </w:t>
      </w:r>
      <w:r w:rsidRPr="00304099">
        <w:rPr>
          <w:rFonts w:ascii="Times New Roman" w:hAnsi="Times New Roman" w:cs="Times New Roman"/>
          <w:sz w:val="24"/>
          <w:szCs w:val="24"/>
        </w:rPr>
        <w:t xml:space="preserve">attribuire le responsabilità </w:t>
      </w:r>
      <w:r>
        <w:rPr>
          <w:rFonts w:ascii="Times New Roman" w:hAnsi="Times New Roman" w:cs="Times New Roman"/>
          <w:sz w:val="24"/>
          <w:szCs w:val="24"/>
        </w:rPr>
        <w:t>agli</w:t>
      </w:r>
      <w:r w:rsidRPr="00304099">
        <w:rPr>
          <w:rFonts w:ascii="Times New Roman" w:hAnsi="Times New Roman" w:cs="Times New Roman"/>
          <w:sz w:val="24"/>
          <w:szCs w:val="24"/>
        </w:rPr>
        <w:t xml:space="preserve"> autori degli attacchi. </w:t>
      </w:r>
      <w:r>
        <w:rPr>
          <w:rFonts w:ascii="Times New Roman" w:hAnsi="Times New Roman" w:cs="Times New Roman"/>
          <w:sz w:val="24"/>
          <w:szCs w:val="24"/>
        </w:rPr>
        <w:t>Come si legge nell’articolo, «</w:t>
      </w:r>
      <w:r w:rsidRPr="00CB1106">
        <w:rPr>
          <w:rFonts w:ascii="Times New Roman" w:hAnsi="Times New Roman" w:cs="Times New Roman"/>
          <w:i/>
          <w:iCs/>
          <w:sz w:val="24"/>
          <w:szCs w:val="24"/>
        </w:rPr>
        <w:t xml:space="preserve">l’utilizzo di soluzioni di intelligenza artificiale nel </w:t>
      </w:r>
      <w:proofErr w:type="spellStart"/>
      <w:r w:rsidRPr="00CB1106">
        <w:rPr>
          <w:rFonts w:ascii="Times New Roman" w:hAnsi="Times New Roman" w:cs="Times New Roman"/>
          <w:i/>
          <w:iCs/>
          <w:sz w:val="24"/>
          <w:szCs w:val="24"/>
        </w:rPr>
        <w:t>metaverso</w:t>
      </w:r>
      <w:proofErr w:type="spellEnd"/>
      <w:r w:rsidRPr="00CB1106">
        <w:rPr>
          <w:rFonts w:ascii="Times New Roman" w:hAnsi="Times New Roman" w:cs="Times New Roman"/>
          <w:i/>
          <w:iCs/>
          <w:sz w:val="24"/>
          <w:szCs w:val="24"/>
        </w:rPr>
        <w:t xml:space="preserve"> richiederà soluzioni normative </w:t>
      </w:r>
      <w:proofErr w:type="spellStart"/>
      <w:r w:rsidRPr="00CB1106">
        <w:rPr>
          <w:rFonts w:ascii="Times New Roman" w:hAnsi="Times New Roman" w:cs="Times New Roman"/>
          <w:i/>
          <w:iCs/>
          <w:sz w:val="24"/>
          <w:szCs w:val="24"/>
        </w:rPr>
        <w:t>risk-based</w:t>
      </w:r>
      <w:proofErr w:type="spellEnd"/>
      <w:r w:rsidRPr="00CB1106">
        <w:rPr>
          <w:rFonts w:ascii="Times New Roman" w:hAnsi="Times New Roman" w:cs="Times New Roman"/>
          <w:i/>
          <w:iCs/>
          <w:sz w:val="24"/>
          <w:szCs w:val="24"/>
        </w:rPr>
        <w:t xml:space="preserve"> uniformi e quanto più possibile globali, nonché sistemi di </w:t>
      </w:r>
      <w:proofErr w:type="spellStart"/>
      <w:r w:rsidRPr="00CB1106">
        <w:rPr>
          <w:rFonts w:ascii="Times New Roman" w:hAnsi="Times New Roman" w:cs="Times New Roman"/>
          <w:i/>
          <w:iCs/>
          <w:sz w:val="24"/>
          <w:szCs w:val="24"/>
        </w:rPr>
        <w:t>compliance</w:t>
      </w:r>
      <w:proofErr w:type="spellEnd"/>
      <w:r w:rsidRPr="00CB1106">
        <w:rPr>
          <w:rFonts w:ascii="Times New Roman" w:hAnsi="Times New Roman" w:cs="Times New Roman"/>
          <w:i/>
          <w:iCs/>
          <w:sz w:val="24"/>
          <w:szCs w:val="24"/>
        </w:rPr>
        <w:t xml:space="preserve"> sofisticati ed affidabili in capo ai soggetti che tali soluzioni offrono nel </w:t>
      </w:r>
      <w:proofErr w:type="spellStart"/>
      <w:r w:rsidRPr="00CB1106">
        <w:rPr>
          <w:rFonts w:ascii="Times New Roman" w:hAnsi="Times New Roman" w:cs="Times New Roman"/>
          <w:i/>
          <w:iCs/>
          <w:sz w:val="24"/>
          <w:szCs w:val="24"/>
        </w:rPr>
        <w:t>metaverso</w:t>
      </w:r>
      <w:proofErr w:type="spellEnd"/>
      <w:r w:rsidRPr="00CB1106">
        <w:rPr>
          <w:rFonts w:ascii="Times New Roman" w:hAnsi="Times New Roman" w:cs="Times New Roman"/>
          <w:i/>
          <w:iCs/>
          <w:sz w:val="24"/>
          <w:szCs w:val="24"/>
        </w:rPr>
        <w:t xml:space="preserve">. Il </w:t>
      </w:r>
      <w:proofErr w:type="spellStart"/>
      <w:r w:rsidRPr="00CB1106">
        <w:rPr>
          <w:rFonts w:ascii="Times New Roman" w:hAnsi="Times New Roman" w:cs="Times New Roman"/>
          <w:i/>
          <w:iCs/>
          <w:sz w:val="24"/>
          <w:szCs w:val="24"/>
        </w:rPr>
        <w:t>metaverso</w:t>
      </w:r>
      <w:proofErr w:type="spellEnd"/>
      <w:r w:rsidRPr="00CB1106">
        <w:rPr>
          <w:rFonts w:ascii="Times New Roman" w:hAnsi="Times New Roman" w:cs="Times New Roman"/>
          <w:i/>
          <w:iCs/>
          <w:sz w:val="24"/>
          <w:szCs w:val="24"/>
        </w:rPr>
        <w:t xml:space="preserve"> rappresenterà opportunità e rischi per titolari di diritti di proprietà intellettuale ed industriale, così come per fornitori di contenuti…L’idea di una due </w:t>
      </w:r>
      <w:proofErr w:type="spellStart"/>
      <w:r w:rsidRPr="00CB1106">
        <w:rPr>
          <w:rFonts w:ascii="Times New Roman" w:hAnsi="Times New Roman" w:cs="Times New Roman"/>
          <w:i/>
          <w:iCs/>
          <w:sz w:val="24"/>
          <w:szCs w:val="24"/>
        </w:rPr>
        <w:t>diligence</w:t>
      </w:r>
      <w:proofErr w:type="spellEnd"/>
      <w:r w:rsidRPr="00CB1106">
        <w:rPr>
          <w:rFonts w:ascii="Times New Roman" w:hAnsi="Times New Roman" w:cs="Times New Roman"/>
          <w:i/>
          <w:iCs/>
          <w:sz w:val="24"/>
          <w:szCs w:val="24"/>
        </w:rPr>
        <w:t xml:space="preserve"> preventiva sugli </w:t>
      </w:r>
      <w:proofErr w:type="spellStart"/>
      <w:r w:rsidRPr="00CB1106">
        <w:rPr>
          <w:rFonts w:ascii="Times New Roman" w:hAnsi="Times New Roman" w:cs="Times New Roman"/>
          <w:i/>
          <w:iCs/>
          <w:sz w:val="24"/>
          <w:szCs w:val="24"/>
        </w:rPr>
        <w:t>asset</w:t>
      </w:r>
      <w:proofErr w:type="spellEnd"/>
      <w:r w:rsidRPr="00CB1106">
        <w:rPr>
          <w:rFonts w:ascii="Times New Roman" w:hAnsi="Times New Roman" w:cs="Times New Roman"/>
          <w:i/>
          <w:iCs/>
          <w:sz w:val="24"/>
          <w:szCs w:val="24"/>
        </w:rPr>
        <w:t xml:space="preserve"> di proprietà intellettuale e industriale per coglierne opportunità e limiti di sfruttamento nel </w:t>
      </w:r>
      <w:proofErr w:type="spellStart"/>
      <w:r w:rsidRPr="00CB1106">
        <w:rPr>
          <w:rFonts w:ascii="Times New Roman" w:hAnsi="Times New Roman" w:cs="Times New Roman"/>
          <w:i/>
          <w:iCs/>
          <w:sz w:val="24"/>
          <w:szCs w:val="24"/>
        </w:rPr>
        <w:t>metaverso</w:t>
      </w:r>
      <w:proofErr w:type="spellEnd"/>
      <w:r w:rsidRPr="00CB1106">
        <w:rPr>
          <w:rFonts w:ascii="Times New Roman" w:hAnsi="Times New Roman" w:cs="Times New Roman"/>
          <w:i/>
          <w:iCs/>
          <w:sz w:val="24"/>
          <w:szCs w:val="24"/>
        </w:rPr>
        <w:t xml:space="preserve">, ed eventualmente estendere agli aventi diritto tali facoltà, è altamente consigliata. Compresa l’esperienza fluida e decentralizzata del </w:t>
      </w:r>
      <w:proofErr w:type="spellStart"/>
      <w:r w:rsidRPr="00CB1106">
        <w:rPr>
          <w:rFonts w:ascii="Times New Roman" w:hAnsi="Times New Roman" w:cs="Times New Roman"/>
          <w:i/>
          <w:iCs/>
          <w:sz w:val="24"/>
          <w:szCs w:val="24"/>
        </w:rPr>
        <w:t>metaverso</w:t>
      </w:r>
      <w:proofErr w:type="spellEnd"/>
      <w:r w:rsidRPr="00CB1106">
        <w:rPr>
          <w:rFonts w:ascii="Times New Roman" w:hAnsi="Times New Roman" w:cs="Times New Roman"/>
          <w:i/>
          <w:iCs/>
          <w:sz w:val="24"/>
          <w:szCs w:val="24"/>
        </w:rPr>
        <w:t xml:space="preserve"> in ogni ambito dell’economia globale, sarà sempre più necessaria una corrispondente e quanto più uniforme possibile disciplina giuridica</w:t>
      </w:r>
      <w:r>
        <w:rPr>
          <w:rFonts w:ascii="Times New Roman" w:hAnsi="Times New Roman" w:cs="Times New Roman"/>
          <w:sz w:val="24"/>
          <w:szCs w:val="24"/>
        </w:rPr>
        <w:t>».</w:t>
      </w:r>
    </w:p>
  </w:footnote>
  <w:footnote w:id="101">
    <w:p w14:paraId="654774FE" w14:textId="721228FE" w:rsidR="000463A6" w:rsidRPr="001951CE" w:rsidRDefault="000463A6" w:rsidP="006F438C">
      <w:pPr>
        <w:pStyle w:val="Testonotaapidipagina"/>
        <w:jc w:val="both"/>
        <w:rPr>
          <w:rFonts w:ascii="Times New Roman" w:hAnsi="Times New Roman" w:cs="Times New Roman"/>
          <w:sz w:val="24"/>
          <w:szCs w:val="24"/>
        </w:rPr>
      </w:pPr>
      <w:r w:rsidRPr="006F438C">
        <w:rPr>
          <w:rStyle w:val="Rimandonotaapidipagina"/>
          <w:rFonts w:ascii="Times New Roman" w:hAnsi="Times New Roman" w:cs="Times New Roman"/>
          <w:sz w:val="24"/>
          <w:szCs w:val="24"/>
        </w:rPr>
        <w:footnoteRef/>
      </w:r>
      <w:r w:rsidRPr="006F438C">
        <w:rPr>
          <w:rFonts w:ascii="Times New Roman" w:hAnsi="Times New Roman" w:cs="Times New Roman"/>
          <w:sz w:val="24"/>
          <w:szCs w:val="24"/>
        </w:rPr>
        <w:t xml:space="preserve"> Dopo la crisi di </w:t>
      </w:r>
      <w:proofErr w:type="spellStart"/>
      <w:r w:rsidRPr="006F438C">
        <w:rPr>
          <w:rFonts w:ascii="Times New Roman" w:hAnsi="Times New Roman" w:cs="Times New Roman"/>
          <w:sz w:val="24"/>
          <w:szCs w:val="24"/>
        </w:rPr>
        <w:t>Facebook</w:t>
      </w:r>
      <w:proofErr w:type="spellEnd"/>
      <w:r w:rsidRPr="006F438C">
        <w:rPr>
          <w:rFonts w:ascii="Times New Roman" w:hAnsi="Times New Roman" w:cs="Times New Roman"/>
          <w:sz w:val="24"/>
          <w:szCs w:val="24"/>
        </w:rPr>
        <w:t xml:space="preserve">, con il </w:t>
      </w:r>
      <w:proofErr w:type="spellStart"/>
      <w:r>
        <w:rPr>
          <w:rFonts w:ascii="Times New Roman" w:hAnsi="Times New Roman" w:cs="Times New Roman"/>
          <w:sz w:val="24"/>
          <w:szCs w:val="24"/>
        </w:rPr>
        <w:t>M</w:t>
      </w:r>
      <w:r w:rsidRPr="006F438C">
        <w:rPr>
          <w:rFonts w:ascii="Times New Roman" w:hAnsi="Times New Roman" w:cs="Times New Roman"/>
          <w:sz w:val="24"/>
          <w:szCs w:val="24"/>
        </w:rPr>
        <w:t>etaverso</w:t>
      </w:r>
      <w:proofErr w:type="spellEnd"/>
      <w:r w:rsidRPr="006F438C">
        <w:rPr>
          <w:rFonts w:ascii="Times New Roman" w:hAnsi="Times New Roman" w:cs="Times New Roman"/>
          <w:sz w:val="24"/>
          <w:szCs w:val="24"/>
        </w:rPr>
        <w:t xml:space="preserve"> Mark </w:t>
      </w:r>
      <w:proofErr w:type="spellStart"/>
      <w:r w:rsidRPr="006F438C">
        <w:rPr>
          <w:rFonts w:ascii="Times New Roman" w:hAnsi="Times New Roman" w:cs="Times New Roman"/>
          <w:sz w:val="24"/>
          <w:szCs w:val="24"/>
        </w:rPr>
        <w:t>Zuckerberg</w:t>
      </w:r>
      <w:proofErr w:type="spellEnd"/>
      <w:r w:rsidRPr="006F438C">
        <w:rPr>
          <w:rFonts w:ascii="Times New Roman" w:hAnsi="Times New Roman" w:cs="Times New Roman"/>
          <w:sz w:val="24"/>
          <w:szCs w:val="24"/>
        </w:rPr>
        <w:t xml:space="preserve"> vuole portare la sua azienda in un’area di </w:t>
      </w:r>
      <w:r w:rsidRPr="006F438C">
        <w:rPr>
          <w:rFonts w:ascii="Times New Roman" w:hAnsi="Times New Roman" w:cs="Times New Roman"/>
          <w:i/>
          <w:iCs/>
          <w:sz w:val="24"/>
          <w:szCs w:val="24"/>
        </w:rPr>
        <w:t>business</w:t>
      </w:r>
      <w:r w:rsidRPr="006F438C">
        <w:rPr>
          <w:rFonts w:ascii="Times New Roman" w:hAnsi="Times New Roman" w:cs="Times New Roman"/>
          <w:sz w:val="24"/>
          <w:szCs w:val="24"/>
        </w:rPr>
        <w:t xml:space="preserve"> senza confini, un nuovo modello di economia; v. </w:t>
      </w:r>
      <w:r w:rsidRPr="006F438C">
        <w:rPr>
          <w:rFonts w:ascii="Times New Roman" w:hAnsi="Times New Roman" w:cs="Times New Roman"/>
          <w:smallCaps/>
          <w:sz w:val="24"/>
          <w:szCs w:val="24"/>
        </w:rPr>
        <w:t>M. Dal Co e A. Longo</w:t>
      </w:r>
      <w:r w:rsidRPr="006F438C">
        <w:rPr>
          <w:rFonts w:ascii="Times New Roman" w:hAnsi="Times New Roman" w:cs="Times New Roman"/>
          <w:sz w:val="24"/>
          <w:szCs w:val="24"/>
        </w:rPr>
        <w:t>, “</w:t>
      </w:r>
      <w:proofErr w:type="spellStart"/>
      <w:r w:rsidRPr="006F438C">
        <w:rPr>
          <w:rFonts w:ascii="Times New Roman" w:hAnsi="Times New Roman" w:cs="Times New Roman"/>
          <w:i/>
          <w:iCs/>
          <w:sz w:val="24"/>
          <w:szCs w:val="24"/>
        </w:rPr>
        <w:t>Metaverso</w:t>
      </w:r>
      <w:proofErr w:type="spellEnd"/>
      <w:r w:rsidRPr="006F438C">
        <w:rPr>
          <w:rFonts w:ascii="Times New Roman" w:hAnsi="Times New Roman" w:cs="Times New Roman"/>
          <w:i/>
          <w:iCs/>
          <w:sz w:val="24"/>
          <w:szCs w:val="24"/>
        </w:rPr>
        <w:t>, nuovo business della rete? Ecco gli scenari</w:t>
      </w:r>
      <w:r w:rsidRPr="006F438C">
        <w:rPr>
          <w:rFonts w:ascii="Times New Roman" w:hAnsi="Times New Roman" w:cs="Times New Roman"/>
          <w:sz w:val="24"/>
          <w:szCs w:val="24"/>
        </w:rPr>
        <w:t xml:space="preserve">” su </w:t>
      </w:r>
      <w:r w:rsidRPr="006F438C">
        <w:rPr>
          <w:rFonts w:ascii="Times New Roman" w:hAnsi="Times New Roman" w:cs="Times New Roman"/>
          <w:i/>
          <w:iCs/>
          <w:sz w:val="24"/>
          <w:szCs w:val="24"/>
        </w:rPr>
        <w:t>agendadigitale.eu</w:t>
      </w:r>
      <w:r w:rsidRPr="006F438C">
        <w:rPr>
          <w:rFonts w:ascii="Times New Roman" w:hAnsi="Times New Roman" w:cs="Times New Roman"/>
          <w:sz w:val="24"/>
          <w:szCs w:val="24"/>
        </w:rPr>
        <w:t xml:space="preserve">. Si tratta di mondi digitali in cui non c’è limite agli acquisti, in cui il denaro è la </w:t>
      </w:r>
      <w:proofErr w:type="spellStart"/>
      <w:r w:rsidRPr="006F438C">
        <w:rPr>
          <w:rFonts w:ascii="Times New Roman" w:hAnsi="Times New Roman" w:cs="Times New Roman"/>
          <w:sz w:val="24"/>
          <w:szCs w:val="24"/>
        </w:rPr>
        <w:t>criptovaluta</w:t>
      </w:r>
      <w:proofErr w:type="spellEnd"/>
      <w:r w:rsidRPr="006F438C">
        <w:rPr>
          <w:rFonts w:ascii="Times New Roman" w:hAnsi="Times New Roman" w:cs="Times New Roman"/>
          <w:sz w:val="24"/>
          <w:szCs w:val="24"/>
        </w:rPr>
        <w:t xml:space="preserve">, poiché la finanza nel </w:t>
      </w:r>
      <w:proofErr w:type="spellStart"/>
      <w:r>
        <w:rPr>
          <w:rFonts w:ascii="Times New Roman" w:hAnsi="Times New Roman" w:cs="Times New Roman"/>
          <w:sz w:val="24"/>
          <w:szCs w:val="24"/>
        </w:rPr>
        <w:t>M</w:t>
      </w:r>
      <w:r w:rsidRPr="006F438C">
        <w:rPr>
          <w:rFonts w:ascii="Times New Roman" w:hAnsi="Times New Roman" w:cs="Times New Roman"/>
          <w:sz w:val="24"/>
          <w:szCs w:val="24"/>
        </w:rPr>
        <w:t>etaverso</w:t>
      </w:r>
      <w:proofErr w:type="spellEnd"/>
      <w:r w:rsidRPr="006F438C">
        <w:rPr>
          <w:rFonts w:ascii="Times New Roman" w:hAnsi="Times New Roman" w:cs="Times New Roman"/>
          <w:sz w:val="24"/>
          <w:szCs w:val="24"/>
        </w:rPr>
        <w:t xml:space="preserve"> è alimentata dalla </w:t>
      </w:r>
      <w:proofErr w:type="spellStart"/>
      <w:r w:rsidRPr="006F438C">
        <w:rPr>
          <w:rFonts w:ascii="Times New Roman" w:hAnsi="Times New Roman" w:cs="Times New Roman"/>
          <w:i/>
          <w:iCs/>
          <w:sz w:val="24"/>
          <w:szCs w:val="24"/>
        </w:rPr>
        <w:t>blockchain</w:t>
      </w:r>
      <w:proofErr w:type="spellEnd"/>
      <w:r>
        <w:rPr>
          <w:rFonts w:ascii="Times New Roman" w:hAnsi="Times New Roman" w:cs="Times New Roman"/>
          <w:sz w:val="24"/>
          <w:szCs w:val="24"/>
        </w:rPr>
        <w:t>;</w:t>
      </w:r>
      <w:r w:rsidRPr="006F438C">
        <w:rPr>
          <w:rFonts w:ascii="Times New Roman" w:hAnsi="Times New Roman" w:cs="Times New Roman"/>
          <w:sz w:val="24"/>
          <w:szCs w:val="24"/>
        </w:rPr>
        <w:t xml:space="preserve"> </w:t>
      </w:r>
      <w:r>
        <w:rPr>
          <w:rFonts w:ascii="Times New Roman" w:hAnsi="Times New Roman" w:cs="Times New Roman"/>
          <w:sz w:val="24"/>
          <w:szCs w:val="24"/>
        </w:rPr>
        <w:t xml:space="preserve">mondi virtuali </w:t>
      </w:r>
      <w:r w:rsidRPr="006F438C">
        <w:rPr>
          <w:rFonts w:ascii="Times New Roman" w:hAnsi="Times New Roman" w:cs="Times New Roman"/>
          <w:sz w:val="24"/>
          <w:szCs w:val="24"/>
        </w:rPr>
        <w:t>in cui chiunque può comprare o scambiare arte, musica, case</w:t>
      </w:r>
      <w:r>
        <w:rPr>
          <w:rFonts w:ascii="Times New Roman" w:hAnsi="Times New Roman" w:cs="Times New Roman"/>
          <w:sz w:val="24"/>
          <w:szCs w:val="24"/>
        </w:rPr>
        <w:t>, terreni</w:t>
      </w:r>
      <w:r w:rsidRPr="006F438C">
        <w:rPr>
          <w:rFonts w:ascii="Times New Roman" w:hAnsi="Times New Roman" w:cs="Times New Roman"/>
          <w:sz w:val="24"/>
          <w:szCs w:val="24"/>
        </w:rPr>
        <w:t xml:space="preserve"> o </w:t>
      </w:r>
      <w:proofErr w:type="spellStart"/>
      <w:r>
        <w:rPr>
          <w:rFonts w:ascii="Times New Roman" w:hAnsi="Times New Roman" w:cs="Times New Roman"/>
          <w:i/>
          <w:iCs/>
          <w:sz w:val="24"/>
          <w:szCs w:val="24"/>
        </w:rPr>
        <w:t>T</w:t>
      </w:r>
      <w:r w:rsidRPr="006F438C">
        <w:rPr>
          <w:rFonts w:ascii="Times New Roman" w:hAnsi="Times New Roman" w:cs="Times New Roman"/>
          <w:i/>
          <w:iCs/>
          <w:sz w:val="24"/>
          <w:szCs w:val="24"/>
        </w:rPr>
        <w:t>oken</w:t>
      </w:r>
      <w:proofErr w:type="spellEnd"/>
      <w:r w:rsidRPr="006F438C">
        <w:rPr>
          <w:rFonts w:ascii="Times New Roman" w:hAnsi="Times New Roman" w:cs="Times New Roman"/>
          <w:sz w:val="24"/>
          <w:szCs w:val="24"/>
        </w:rPr>
        <w:t xml:space="preserve"> </w:t>
      </w:r>
      <w:r>
        <w:rPr>
          <w:rFonts w:ascii="Times New Roman" w:hAnsi="Times New Roman" w:cs="Times New Roman"/>
          <w:sz w:val="24"/>
          <w:szCs w:val="24"/>
        </w:rPr>
        <w:t>N</w:t>
      </w:r>
      <w:r w:rsidRPr="006F438C">
        <w:rPr>
          <w:rFonts w:ascii="Times New Roman" w:hAnsi="Times New Roman" w:cs="Times New Roman"/>
          <w:sz w:val="24"/>
          <w:szCs w:val="24"/>
        </w:rPr>
        <w:t xml:space="preserve">on </w:t>
      </w:r>
      <w:r>
        <w:rPr>
          <w:rFonts w:ascii="Times New Roman" w:hAnsi="Times New Roman" w:cs="Times New Roman"/>
          <w:sz w:val="24"/>
          <w:szCs w:val="24"/>
        </w:rPr>
        <w:t>F</w:t>
      </w:r>
      <w:r w:rsidRPr="006F438C">
        <w:rPr>
          <w:rFonts w:ascii="Times New Roman" w:hAnsi="Times New Roman" w:cs="Times New Roman"/>
          <w:sz w:val="24"/>
          <w:szCs w:val="24"/>
        </w:rPr>
        <w:t>ungibili (NFT)</w:t>
      </w:r>
      <w:r>
        <w:rPr>
          <w:rFonts w:ascii="Times New Roman" w:hAnsi="Times New Roman" w:cs="Times New Roman"/>
          <w:sz w:val="24"/>
          <w:szCs w:val="24"/>
        </w:rPr>
        <w:t xml:space="preserve"> – definiti dal dizionario Collins parola dell’anno – che rappresentano </w:t>
      </w:r>
      <w:r w:rsidRPr="00E042D1">
        <w:rPr>
          <w:rFonts w:ascii="Times New Roman" w:hAnsi="Times New Roman" w:cs="Times New Roman"/>
          <w:sz w:val="24"/>
          <w:szCs w:val="24"/>
        </w:rPr>
        <w:t>«</w:t>
      </w:r>
      <w:r w:rsidRPr="00E042D1">
        <w:rPr>
          <w:rFonts w:ascii="Times New Roman" w:hAnsi="Times New Roman" w:cs="Times New Roman"/>
          <w:i/>
          <w:iCs/>
          <w:sz w:val="24"/>
          <w:szCs w:val="24"/>
        </w:rPr>
        <w:t xml:space="preserve">un certificato digitale unico, registrato in una </w:t>
      </w:r>
      <w:proofErr w:type="spellStart"/>
      <w:r w:rsidRPr="00E042D1">
        <w:rPr>
          <w:rFonts w:ascii="Times New Roman" w:hAnsi="Times New Roman" w:cs="Times New Roman"/>
          <w:i/>
          <w:iCs/>
          <w:sz w:val="24"/>
          <w:szCs w:val="24"/>
        </w:rPr>
        <w:t>blockchain</w:t>
      </w:r>
      <w:proofErr w:type="spellEnd"/>
      <w:r w:rsidRPr="00E042D1">
        <w:rPr>
          <w:rFonts w:ascii="Times New Roman" w:hAnsi="Times New Roman" w:cs="Times New Roman"/>
          <w:i/>
          <w:iCs/>
          <w:sz w:val="24"/>
          <w:szCs w:val="24"/>
        </w:rPr>
        <w:t>, che viene utilizzato per registrare la proprietà di un bene come un’opera d’arte o un oggetto da collezione</w:t>
      </w:r>
      <w:r w:rsidRPr="00E042D1">
        <w:rPr>
          <w:rFonts w:ascii="Times New Roman" w:hAnsi="Times New Roman" w:cs="Times New Roman"/>
          <w:sz w:val="24"/>
          <w:szCs w:val="24"/>
        </w:rPr>
        <w:t>»</w:t>
      </w:r>
      <w:r>
        <w:rPr>
          <w:rFonts w:ascii="Times New Roman" w:hAnsi="Times New Roman" w:cs="Times New Roman"/>
          <w:sz w:val="24"/>
          <w:szCs w:val="24"/>
        </w:rPr>
        <w:t>.</w:t>
      </w:r>
      <w:r w:rsidRPr="00CF5D1C">
        <w:rPr>
          <w:rFonts w:ascii="Times New Roman" w:hAnsi="Times New Roman" w:cs="Times New Roman"/>
          <w:sz w:val="24"/>
          <w:szCs w:val="24"/>
        </w:rPr>
        <w:t xml:space="preserve"> </w:t>
      </w:r>
      <w:r>
        <w:rPr>
          <w:rFonts w:ascii="Times New Roman" w:hAnsi="Times New Roman" w:cs="Times New Roman"/>
          <w:sz w:val="24"/>
          <w:szCs w:val="24"/>
        </w:rPr>
        <w:t>Inoltre, s</w:t>
      </w:r>
      <w:r w:rsidRPr="00CF5D1C">
        <w:rPr>
          <w:rFonts w:ascii="Times New Roman" w:hAnsi="Times New Roman" w:cs="Times New Roman"/>
          <w:sz w:val="24"/>
          <w:szCs w:val="24"/>
        </w:rPr>
        <w:t xml:space="preserve">ono sempre più comuni le transazioni di immobili nel </w:t>
      </w:r>
      <w:proofErr w:type="spellStart"/>
      <w:r w:rsidRPr="00CF5D1C">
        <w:rPr>
          <w:rFonts w:ascii="Times New Roman" w:hAnsi="Times New Roman" w:cs="Times New Roman"/>
          <w:sz w:val="24"/>
          <w:szCs w:val="24"/>
        </w:rPr>
        <w:t>Multiverso</w:t>
      </w:r>
      <w:proofErr w:type="spellEnd"/>
      <w:r w:rsidRPr="00CF5D1C">
        <w:rPr>
          <w:rFonts w:ascii="Times New Roman" w:hAnsi="Times New Roman" w:cs="Times New Roman"/>
          <w:sz w:val="24"/>
          <w:szCs w:val="24"/>
        </w:rPr>
        <w:t>.</w:t>
      </w:r>
      <w:r>
        <w:rPr>
          <w:rFonts w:ascii="Times New Roman" w:hAnsi="Times New Roman" w:cs="Times New Roman"/>
          <w:sz w:val="24"/>
          <w:szCs w:val="24"/>
        </w:rPr>
        <w:t xml:space="preserve"> V. anche </w:t>
      </w:r>
      <w:r w:rsidRPr="00C1339B">
        <w:rPr>
          <w:rFonts w:ascii="Times New Roman" w:hAnsi="Times New Roman" w:cs="Times New Roman"/>
          <w:smallCaps/>
          <w:sz w:val="24"/>
          <w:szCs w:val="24"/>
        </w:rPr>
        <w:t>E. Rotolo</w:t>
      </w:r>
      <w:r>
        <w:rPr>
          <w:rFonts w:ascii="Times New Roman" w:hAnsi="Times New Roman" w:cs="Times New Roman"/>
          <w:sz w:val="24"/>
          <w:szCs w:val="24"/>
        </w:rPr>
        <w:t>, “</w:t>
      </w:r>
      <w:r w:rsidRPr="00C1339B">
        <w:rPr>
          <w:rFonts w:ascii="Times New Roman" w:hAnsi="Times New Roman" w:cs="Times New Roman"/>
          <w:i/>
          <w:iCs/>
          <w:sz w:val="24"/>
          <w:szCs w:val="24"/>
        </w:rPr>
        <w:t xml:space="preserve">Sarà </w:t>
      </w:r>
      <w:proofErr w:type="spellStart"/>
      <w:r w:rsidRPr="00C1339B">
        <w:rPr>
          <w:rFonts w:ascii="Times New Roman" w:hAnsi="Times New Roman" w:cs="Times New Roman"/>
          <w:i/>
          <w:iCs/>
          <w:sz w:val="24"/>
          <w:szCs w:val="24"/>
        </w:rPr>
        <w:t>metaverso</w:t>
      </w:r>
      <w:proofErr w:type="spellEnd"/>
      <w:r w:rsidRPr="00C1339B">
        <w:rPr>
          <w:rFonts w:ascii="Times New Roman" w:hAnsi="Times New Roman" w:cs="Times New Roman"/>
          <w:i/>
          <w:iCs/>
          <w:sz w:val="24"/>
          <w:szCs w:val="24"/>
        </w:rPr>
        <w:t xml:space="preserve"> in mille settori: ecco tutte le possibilità di business</w:t>
      </w:r>
      <w:r>
        <w:rPr>
          <w:rFonts w:ascii="Times New Roman" w:hAnsi="Times New Roman" w:cs="Times New Roman"/>
          <w:sz w:val="24"/>
          <w:szCs w:val="24"/>
        </w:rPr>
        <w:t xml:space="preserve">”, su </w:t>
      </w:r>
      <w:r w:rsidRPr="006F438C">
        <w:rPr>
          <w:rFonts w:ascii="Times New Roman" w:hAnsi="Times New Roman" w:cs="Times New Roman"/>
          <w:i/>
          <w:iCs/>
          <w:sz w:val="24"/>
          <w:szCs w:val="24"/>
        </w:rPr>
        <w:t>agendadigitale.eu</w:t>
      </w:r>
      <w:r>
        <w:rPr>
          <w:rFonts w:ascii="Times New Roman" w:hAnsi="Times New Roman" w:cs="Times New Roman"/>
          <w:i/>
          <w:iCs/>
          <w:sz w:val="24"/>
          <w:szCs w:val="24"/>
        </w:rPr>
        <w:t>.</w:t>
      </w:r>
      <w:r>
        <w:rPr>
          <w:rFonts w:ascii="Times New Roman" w:hAnsi="Times New Roman" w:cs="Times New Roman"/>
          <w:sz w:val="24"/>
          <w:szCs w:val="24"/>
        </w:rPr>
        <w:t xml:space="preserve"> Per non parlare dei matrimoni virtuali: l</w:t>
      </w:r>
      <w:r w:rsidRPr="001951CE">
        <w:rPr>
          <w:rFonts w:ascii="Times New Roman" w:hAnsi="Times New Roman" w:cs="Times New Roman"/>
          <w:sz w:val="24"/>
          <w:szCs w:val="24"/>
        </w:rPr>
        <w:t xml:space="preserve">o scorso ottobre, una coppia si è sposata con una doppia celebrazione, una reale e un’altra virtuale, con i loro avatar che si sono scambiati gli anelli. I matrimoni nel </w:t>
      </w:r>
      <w:proofErr w:type="spellStart"/>
      <w:r w:rsidRPr="001951CE">
        <w:rPr>
          <w:rFonts w:ascii="Times New Roman" w:hAnsi="Times New Roman" w:cs="Times New Roman"/>
          <w:sz w:val="24"/>
          <w:szCs w:val="24"/>
        </w:rPr>
        <w:t>metaverso</w:t>
      </w:r>
      <w:proofErr w:type="spellEnd"/>
      <w:r w:rsidRPr="001951CE">
        <w:rPr>
          <w:rFonts w:ascii="Times New Roman" w:hAnsi="Times New Roman" w:cs="Times New Roman"/>
          <w:sz w:val="24"/>
          <w:szCs w:val="24"/>
        </w:rPr>
        <w:t xml:space="preserve"> non sono ancora riconosciuti ufficialmente</w:t>
      </w:r>
      <w:r>
        <w:rPr>
          <w:rFonts w:ascii="Times New Roman" w:hAnsi="Times New Roman" w:cs="Times New Roman"/>
          <w:sz w:val="24"/>
          <w:szCs w:val="24"/>
        </w:rPr>
        <w:t xml:space="preserve"> e gli</w:t>
      </w:r>
      <w:r w:rsidRPr="001951CE">
        <w:rPr>
          <w:rFonts w:ascii="Times New Roman" w:hAnsi="Times New Roman" w:cs="Times New Roman"/>
          <w:sz w:val="24"/>
          <w:szCs w:val="24"/>
        </w:rPr>
        <w:t xml:space="preserve"> invitati per partecipare hanno dovuto scaricare un programma sul computer e creare il proprio avatar.</w:t>
      </w:r>
      <w:r w:rsidRPr="003B7EB7">
        <w:t xml:space="preserve"> </w:t>
      </w:r>
      <w:r>
        <w:rPr>
          <w:rFonts w:ascii="Times New Roman" w:hAnsi="Times New Roman" w:cs="Times New Roman"/>
          <w:sz w:val="24"/>
          <w:szCs w:val="24"/>
        </w:rPr>
        <w:t>Nel frattempo, c</w:t>
      </w:r>
      <w:r w:rsidRPr="003B7EB7">
        <w:rPr>
          <w:rFonts w:ascii="Times New Roman" w:hAnsi="Times New Roman" w:cs="Times New Roman"/>
          <w:sz w:val="24"/>
          <w:szCs w:val="24"/>
        </w:rPr>
        <w:t xml:space="preserve">ome alternativa al </w:t>
      </w:r>
      <w:proofErr w:type="spellStart"/>
      <w:r>
        <w:rPr>
          <w:rFonts w:ascii="Times New Roman" w:hAnsi="Times New Roman" w:cs="Times New Roman"/>
          <w:sz w:val="24"/>
          <w:szCs w:val="24"/>
        </w:rPr>
        <w:t>M</w:t>
      </w:r>
      <w:r w:rsidRPr="003B7EB7">
        <w:rPr>
          <w:rFonts w:ascii="Times New Roman" w:hAnsi="Times New Roman" w:cs="Times New Roman"/>
          <w:sz w:val="24"/>
          <w:szCs w:val="24"/>
        </w:rPr>
        <w:t>etaverso</w:t>
      </w:r>
      <w:proofErr w:type="spellEnd"/>
      <w:r w:rsidRPr="003B7EB7">
        <w:rPr>
          <w:rFonts w:ascii="Times New Roman" w:hAnsi="Times New Roman" w:cs="Times New Roman"/>
          <w:sz w:val="24"/>
          <w:szCs w:val="24"/>
        </w:rPr>
        <w:t xml:space="preserve"> di </w:t>
      </w:r>
      <w:proofErr w:type="spellStart"/>
      <w:r w:rsidRPr="003B7EB7">
        <w:rPr>
          <w:rFonts w:ascii="Times New Roman" w:hAnsi="Times New Roman" w:cs="Times New Roman"/>
          <w:sz w:val="24"/>
          <w:szCs w:val="24"/>
        </w:rPr>
        <w:t>Facebook</w:t>
      </w:r>
      <w:proofErr w:type="spellEnd"/>
      <w:r w:rsidRPr="003B7EB7">
        <w:rPr>
          <w:rFonts w:ascii="Times New Roman" w:hAnsi="Times New Roman" w:cs="Times New Roman"/>
          <w:sz w:val="24"/>
          <w:szCs w:val="24"/>
        </w:rPr>
        <w:t xml:space="preserve">, anche Microsoft sta creando </w:t>
      </w:r>
      <w:r>
        <w:rPr>
          <w:rFonts w:ascii="Times New Roman" w:hAnsi="Times New Roman" w:cs="Times New Roman"/>
          <w:sz w:val="24"/>
          <w:szCs w:val="24"/>
        </w:rPr>
        <w:t xml:space="preserve">una sorta di </w:t>
      </w:r>
      <w:proofErr w:type="spellStart"/>
      <w:r>
        <w:rPr>
          <w:rFonts w:ascii="Times New Roman" w:hAnsi="Times New Roman" w:cs="Times New Roman"/>
          <w:sz w:val="24"/>
          <w:szCs w:val="24"/>
        </w:rPr>
        <w:t>metaverso</w:t>
      </w:r>
      <w:proofErr w:type="spellEnd"/>
      <w:r>
        <w:rPr>
          <w:rFonts w:ascii="Times New Roman" w:hAnsi="Times New Roman" w:cs="Times New Roman"/>
          <w:sz w:val="24"/>
          <w:szCs w:val="24"/>
        </w:rPr>
        <w:t>,</w:t>
      </w:r>
      <w:r w:rsidRPr="003B7EB7">
        <w:rPr>
          <w:rFonts w:ascii="Times New Roman" w:hAnsi="Times New Roman" w:cs="Times New Roman"/>
          <w:sz w:val="24"/>
          <w:szCs w:val="24"/>
        </w:rPr>
        <w:t xml:space="preserve"> chiamat</w:t>
      </w:r>
      <w:r>
        <w:rPr>
          <w:rFonts w:ascii="Times New Roman" w:hAnsi="Times New Roman" w:cs="Times New Roman"/>
          <w:sz w:val="24"/>
          <w:szCs w:val="24"/>
        </w:rPr>
        <w:t>o</w:t>
      </w:r>
      <w:r w:rsidRPr="003B7EB7">
        <w:rPr>
          <w:rFonts w:ascii="Times New Roman" w:hAnsi="Times New Roman" w:cs="Times New Roman"/>
          <w:sz w:val="24"/>
          <w:szCs w:val="24"/>
        </w:rPr>
        <w:t xml:space="preserve"> </w:t>
      </w:r>
      <w:proofErr w:type="spellStart"/>
      <w:r w:rsidRPr="003B7EB7">
        <w:rPr>
          <w:rFonts w:ascii="Times New Roman" w:hAnsi="Times New Roman" w:cs="Times New Roman"/>
          <w:i/>
          <w:iCs/>
          <w:sz w:val="24"/>
          <w:szCs w:val="24"/>
        </w:rPr>
        <w:t>Mesh</w:t>
      </w:r>
      <w:proofErr w:type="spellEnd"/>
      <w:r>
        <w:rPr>
          <w:rFonts w:ascii="Times New Roman" w:hAnsi="Times New Roman" w:cs="Times New Roman"/>
          <w:sz w:val="24"/>
          <w:szCs w:val="24"/>
        </w:rPr>
        <w:t>.</w:t>
      </w:r>
    </w:p>
    <w:p w14:paraId="7B10B239" w14:textId="4186E0A3" w:rsidR="000463A6" w:rsidRDefault="000463A6" w:rsidP="006F438C">
      <w:pPr>
        <w:pStyle w:val="Testonotaapidipagina"/>
        <w:jc w:val="both"/>
        <w:rPr>
          <w:rFonts w:ascii="Times New Roman" w:hAnsi="Times New Roman" w:cs="Times New Roman"/>
          <w:sz w:val="24"/>
          <w:szCs w:val="24"/>
          <w:lang w:val="en-US"/>
        </w:rPr>
      </w:pPr>
      <w:r w:rsidRPr="00CF5D1C">
        <w:rPr>
          <w:rFonts w:ascii="Times New Roman" w:hAnsi="Times New Roman" w:cs="Times New Roman"/>
          <w:sz w:val="24"/>
          <w:szCs w:val="24"/>
        </w:rPr>
        <w:t xml:space="preserve">Tuttavia, </w:t>
      </w:r>
      <w:r w:rsidRPr="00CF5D1C">
        <w:rPr>
          <w:rFonts w:ascii="Times New Roman" w:hAnsi="Times New Roman" w:cs="Times New Roman"/>
          <w:smallCaps/>
          <w:sz w:val="24"/>
          <w:szCs w:val="24"/>
        </w:rPr>
        <w:t xml:space="preserve">N. </w:t>
      </w:r>
      <w:proofErr w:type="spellStart"/>
      <w:r w:rsidRPr="00CF5D1C">
        <w:rPr>
          <w:rFonts w:ascii="Times New Roman" w:hAnsi="Times New Roman" w:cs="Times New Roman"/>
          <w:smallCaps/>
          <w:sz w:val="24"/>
          <w:szCs w:val="24"/>
        </w:rPr>
        <w:t>Patrignani</w:t>
      </w:r>
      <w:proofErr w:type="spellEnd"/>
      <w:r w:rsidRPr="00CF5D1C">
        <w:rPr>
          <w:rFonts w:ascii="Times New Roman" w:hAnsi="Times New Roman" w:cs="Times New Roman"/>
          <w:sz w:val="24"/>
          <w:szCs w:val="24"/>
        </w:rPr>
        <w:t>, “</w:t>
      </w:r>
      <w:proofErr w:type="spellStart"/>
      <w:r w:rsidRPr="00CF5D1C">
        <w:rPr>
          <w:rFonts w:ascii="Times New Roman" w:hAnsi="Times New Roman" w:cs="Times New Roman"/>
          <w:i/>
          <w:iCs/>
          <w:sz w:val="24"/>
          <w:szCs w:val="24"/>
        </w:rPr>
        <w:t>Metaverso</w:t>
      </w:r>
      <w:proofErr w:type="spellEnd"/>
      <w:r w:rsidRPr="00CF5D1C">
        <w:rPr>
          <w:rFonts w:ascii="Times New Roman" w:hAnsi="Times New Roman" w:cs="Times New Roman"/>
          <w:i/>
          <w:iCs/>
          <w:sz w:val="24"/>
          <w:szCs w:val="24"/>
        </w:rPr>
        <w:t>, rischio di un nuovo Medioevo digitale</w:t>
      </w:r>
      <w:r w:rsidRPr="00CF5D1C">
        <w:rPr>
          <w:rFonts w:ascii="Times New Roman" w:hAnsi="Times New Roman" w:cs="Times New Roman"/>
          <w:sz w:val="24"/>
          <w:szCs w:val="24"/>
        </w:rPr>
        <w:t xml:space="preserve">”, su </w:t>
      </w:r>
      <w:r w:rsidRPr="00CF5D1C">
        <w:rPr>
          <w:rFonts w:ascii="Times New Roman" w:hAnsi="Times New Roman" w:cs="Times New Roman"/>
          <w:i/>
          <w:iCs/>
          <w:sz w:val="24"/>
          <w:szCs w:val="24"/>
        </w:rPr>
        <w:t>agendadigitale.eu</w:t>
      </w:r>
      <w:r w:rsidRPr="00CF5D1C">
        <w:rPr>
          <w:rFonts w:ascii="Times New Roman" w:hAnsi="Times New Roman" w:cs="Times New Roman"/>
          <w:sz w:val="24"/>
          <w:szCs w:val="24"/>
        </w:rPr>
        <w:t xml:space="preserve">, ci mette in guardia dai pericoli del </w:t>
      </w:r>
      <w:proofErr w:type="spellStart"/>
      <w:r w:rsidRPr="00CF5D1C">
        <w:rPr>
          <w:rFonts w:ascii="Times New Roman" w:hAnsi="Times New Roman" w:cs="Times New Roman"/>
          <w:sz w:val="24"/>
          <w:szCs w:val="24"/>
        </w:rPr>
        <w:t>Metaverso</w:t>
      </w:r>
      <w:proofErr w:type="spellEnd"/>
      <w:r w:rsidRPr="00CF5D1C">
        <w:rPr>
          <w:rFonts w:ascii="Times New Roman" w:hAnsi="Times New Roman" w:cs="Times New Roman"/>
          <w:sz w:val="24"/>
          <w:szCs w:val="24"/>
        </w:rPr>
        <w:t xml:space="preserve">, esaminando gli aspetti più controversi di questa innovazione, che un po’ come </w:t>
      </w:r>
      <w:r w:rsidRPr="00CF5D1C">
        <w:rPr>
          <w:rFonts w:ascii="Times New Roman" w:hAnsi="Times New Roman" w:cs="Times New Roman"/>
          <w:i/>
          <w:iCs/>
          <w:sz w:val="24"/>
          <w:szCs w:val="24"/>
        </w:rPr>
        <w:t>Lucignolo</w:t>
      </w:r>
      <w:r w:rsidRPr="00CF5D1C">
        <w:rPr>
          <w:rFonts w:ascii="Times New Roman" w:hAnsi="Times New Roman" w:cs="Times New Roman"/>
          <w:sz w:val="24"/>
          <w:szCs w:val="24"/>
        </w:rPr>
        <w:t xml:space="preserve"> di Collodi, rischia di spingerci verso il “</w:t>
      </w:r>
      <w:r w:rsidRPr="00CF5D1C">
        <w:rPr>
          <w:rFonts w:ascii="Times New Roman" w:hAnsi="Times New Roman" w:cs="Times New Roman"/>
          <w:i/>
          <w:iCs/>
          <w:sz w:val="24"/>
          <w:szCs w:val="24"/>
        </w:rPr>
        <w:t>nuovo paese dei balocchi</w:t>
      </w:r>
      <w:r w:rsidRPr="00CF5D1C">
        <w:rPr>
          <w:rFonts w:ascii="Times New Roman" w:hAnsi="Times New Roman" w:cs="Times New Roman"/>
          <w:sz w:val="24"/>
          <w:szCs w:val="24"/>
        </w:rPr>
        <w:t>”, dove rischiamo di diventare tutti asini. Si pensi alla «</w:t>
      </w:r>
      <w:r w:rsidRPr="007C734C">
        <w:rPr>
          <w:rFonts w:ascii="Times New Roman" w:hAnsi="Times New Roman" w:cs="Times New Roman"/>
          <w:i/>
          <w:iCs/>
          <w:sz w:val="24"/>
          <w:szCs w:val="24"/>
        </w:rPr>
        <w:t xml:space="preserve">promessa di giochi e intrattenimenti senza fine, unita all’offerta speciale di caschi, visori e </w:t>
      </w:r>
      <w:proofErr w:type="spellStart"/>
      <w:r w:rsidRPr="007C734C">
        <w:rPr>
          <w:rFonts w:ascii="Times New Roman" w:hAnsi="Times New Roman" w:cs="Times New Roman"/>
          <w:i/>
          <w:iCs/>
          <w:sz w:val="24"/>
          <w:szCs w:val="24"/>
        </w:rPr>
        <w:t>Smartglasses</w:t>
      </w:r>
      <w:proofErr w:type="spellEnd"/>
      <w:r w:rsidRPr="007C734C">
        <w:rPr>
          <w:rFonts w:ascii="Times New Roman" w:hAnsi="Times New Roman" w:cs="Times New Roman"/>
          <w:i/>
          <w:iCs/>
          <w:sz w:val="24"/>
          <w:szCs w:val="24"/>
        </w:rPr>
        <w:t xml:space="preserve"> per entrare nel nuovo mondo, un mondo virtuale con intrattenimenti senza limiti (“sei giovedì e una domenica” come dice Lucignolo</w:t>
      </w:r>
      <w:r w:rsidRPr="00CF5D1C">
        <w:rPr>
          <w:rFonts w:ascii="Times New Roman" w:hAnsi="Times New Roman" w:cs="Times New Roman"/>
          <w:sz w:val="24"/>
          <w:szCs w:val="24"/>
        </w:rPr>
        <w:t xml:space="preserve">)»: si tratta di un’attrazione irresistibile, soprattutto per i più giovani. Il primo aspetto controverso del </w:t>
      </w:r>
      <w:proofErr w:type="spellStart"/>
      <w:r w:rsidRPr="00CF5D1C">
        <w:rPr>
          <w:rFonts w:ascii="Times New Roman" w:hAnsi="Times New Roman" w:cs="Times New Roman"/>
          <w:sz w:val="24"/>
          <w:szCs w:val="24"/>
        </w:rPr>
        <w:t>Metaverso</w:t>
      </w:r>
      <w:proofErr w:type="spellEnd"/>
      <w:r w:rsidRPr="00CF5D1C">
        <w:rPr>
          <w:rFonts w:ascii="Times New Roman" w:hAnsi="Times New Roman" w:cs="Times New Roman"/>
          <w:sz w:val="24"/>
          <w:szCs w:val="24"/>
        </w:rPr>
        <w:t xml:space="preserve"> è quello riferibile alla mancanza di interoperabilità e di standard, perché se ognuno costruisce il suo </w:t>
      </w:r>
      <w:proofErr w:type="spellStart"/>
      <w:r w:rsidRPr="00CF5D1C">
        <w:rPr>
          <w:rFonts w:ascii="Times New Roman" w:hAnsi="Times New Roman" w:cs="Times New Roman"/>
          <w:sz w:val="24"/>
          <w:szCs w:val="24"/>
        </w:rPr>
        <w:t>Metaverso</w:t>
      </w:r>
      <w:proofErr w:type="spellEnd"/>
      <w:r w:rsidRPr="00CF5D1C">
        <w:rPr>
          <w:rFonts w:ascii="Times New Roman" w:hAnsi="Times New Roman" w:cs="Times New Roman"/>
          <w:sz w:val="24"/>
          <w:szCs w:val="24"/>
        </w:rPr>
        <w:t>, avremo «</w:t>
      </w:r>
      <w:r w:rsidRPr="007C734C">
        <w:rPr>
          <w:rFonts w:ascii="Times New Roman" w:hAnsi="Times New Roman" w:cs="Times New Roman"/>
          <w:i/>
          <w:iCs/>
          <w:sz w:val="24"/>
          <w:szCs w:val="24"/>
        </w:rPr>
        <w:t>tanti “giardini recintati” non-comunicanti, ciascuno dominato dal “barone” di turno, un nuovo Medioevo digitale</w:t>
      </w:r>
      <w:r w:rsidRPr="00CF5D1C">
        <w:rPr>
          <w:rFonts w:ascii="Times New Roman" w:hAnsi="Times New Roman" w:cs="Times New Roman"/>
          <w:sz w:val="24"/>
          <w:szCs w:val="24"/>
        </w:rPr>
        <w:t>». Un altro aspetto critico è il seguente: quali conseguenze fisiche provoca l’uso di tutti questi nuovi dispositivi? Si pensi ai problemi agli occhi che queste tecnologie possono portare, oltre alla nausea e alle vertigini. Non c’è sincronizzazione tra gli stimoli “</w:t>
      </w:r>
      <w:r w:rsidRPr="00544BAD">
        <w:rPr>
          <w:rFonts w:ascii="Times New Roman" w:hAnsi="Times New Roman" w:cs="Times New Roman"/>
          <w:i/>
          <w:iCs/>
          <w:sz w:val="24"/>
          <w:szCs w:val="24"/>
        </w:rPr>
        <w:t>percepiti</w:t>
      </w:r>
      <w:r w:rsidRPr="00CF5D1C">
        <w:rPr>
          <w:rFonts w:ascii="Times New Roman" w:hAnsi="Times New Roman" w:cs="Times New Roman"/>
          <w:sz w:val="24"/>
          <w:szCs w:val="24"/>
        </w:rPr>
        <w:t>” sensorialmente e l’esperienza fisica “</w:t>
      </w:r>
      <w:r w:rsidRPr="00544BAD">
        <w:rPr>
          <w:rFonts w:ascii="Times New Roman" w:hAnsi="Times New Roman" w:cs="Times New Roman"/>
          <w:i/>
          <w:iCs/>
          <w:sz w:val="24"/>
          <w:szCs w:val="24"/>
        </w:rPr>
        <w:t>vissuta</w:t>
      </w:r>
      <w:r w:rsidRPr="00CF5D1C">
        <w:rPr>
          <w:rFonts w:ascii="Times New Roman" w:hAnsi="Times New Roman" w:cs="Times New Roman"/>
          <w:sz w:val="24"/>
          <w:szCs w:val="24"/>
        </w:rPr>
        <w:t xml:space="preserve">” dal corpo (chinetosi). Altro aspetto controverso è quello sociale: riusciremo a distinguere, tra le persone intorno a noi, chi è reale/fisico e chi è invece semplicemente connesso? Secondo </w:t>
      </w:r>
      <w:proofErr w:type="spellStart"/>
      <w:r w:rsidRPr="007C734C">
        <w:rPr>
          <w:rFonts w:ascii="Times New Roman" w:hAnsi="Times New Roman" w:cs="Times New Roman"/>
          <w:i/>
          <w:iCs/>
          <w:sz w:val="24"/>
          <w:szCs w:val="24"/>
        </w:rPr>
        <w:t>Zuboff</w:t>
      </w:r>
      <w:proofErr w:type="spellEnd"/>
      <w:r w:rsidRPr="00CF5D1C">
        <w:rPr>
          <w:rFonts w:ascii="Times New Roman" w:hAnsi="Times New Roman" w:cs="Times New Roman"/>
          <w:sz w:val="24"/>
          <w:szCs w:val="24"/>
        </w:rPr>
        <w:t xml:space="preserve">, docente della </w:t>
      </w:r>
      <w:r w:rsidRPr="007C734C">
        <w:rPr>
          <w:rFonts w:ascii="Times New Roman" w:hAnsi="Times New Roman" w:cs="Times New Roman"/>
          <w:i/>
          <w:iCs/>
          <w:sz w:val="24"/>
          <w:szCs w:val="24"/>
        </w:rPr>
        <w:t>Harvard Business School</w:t>
      </w:r>
      <w:r w:rsidRPr="00CF5D1C">
        <w:rPr>
          <w:rFonts w:ascii="Times New Roman" w:hAnsi="Times New Roman" w:cs="Times New Roman"/>
          <w:sz w:val="24"/>
          <w:szCs w:val="24"/>
        </w:rPr>
        <w:t>, urge un intervento normativo: «</w:t>
      </w:r>
      <w:r w:rsidRPr="007C734C">
        <w:rPr>
          <w:rFonts w:ascii="Times New Roman" w:hAnsi="Times New Roman" w:cs="Times New Roman"/>
          <w:i/>
          <w:iCs/>
          <w:sz w:val="24"/>
          <w:szCs w:val="24"/>
        </w:rPr>
        <w:t>Internet come mercato auto-regolante si è rivelato un esperimento fallimentare</w:t>
      </w:r>
      <w:r w:rsidRPr="00CF5D1C">
        <w:rPr>
          <w:rFonts w:ascii="Times New Roman" w:hAnsi="Times New Roman" w:cs="Times New Roman"/>
          <w:sz w:val="24"/>
          <w:szCs w:val="24"/>
        </w:rPr>
        <w:t xml:space="preserve">», per cui la domanda </w:t>
      </w:r>
      <w:r>
        <w:rPr>
          <w:rFonts w:ascii="Times New Roman" w:hAnsi="Times New Roman" w:cs="Times New Roman"/>
          <w:sz w:val="24"/>
          <w:szCs w:val="24"/>
        </w:rPr>
        <w:t xml:space="preserve">da porre </w:t>
      </w:r>
      <w:r w:rsidRPr="00CF5D1C">
        <w:rPr>
          <w:rFonts w:ascii="Times New Roman" w:hAnsi="Times New Roman" w:cs="Times New Roman"/>
          <w:sz w:val="24"/>
          <w:szCs w:val="24"/>
        </w:rPr>
        <w:t>al legislatore è</w:t>
      </w:r>
      <w:r>
        <w:rPr>
          <w:rFonts w:ascii="Times New Roman" w:hAnsi="Times New Roman" w:cs="Times New Roman"/>
          <w:sz w:val="24"/>
          <w:szCs w:val="24"/>
        </w:rPr>
        <w:t xml:space="preserve"> </w:t>
      </w:r>
      <w:r w:rsidRPr="00CF5D1C">
        <w:rPr>
          <w:rFonts w:ascii="Times New Roman" w:hAnsi="Times New Roman" w:cs="Times New Roman"/>
          <w:sz w:val="24"/>
          <w:szCs w:val="24"/>
        </w:rPr>
        <w:t>«</w:t>
      </w:r>
      <w:r w:rsidRPr="007C734C">
        <w:rPr>
          <w:rFonts w:ascii="Times New Roman" w:hAnsi="Times New Roman" w:cs="Times New Roman"/>
          <w:i/>
          <w:iCs/>
          <w:sz w:val="24"/>
          <w:szCs w:val="24"/>
        </w:rPr>
        <w:t>Come dovremmo organizzare e governare gli spazi di informazione e comunicazione del secolo digitale in modo da sostenere e promuovere valori e principi democratici?</w:t>
      </w:r>
      <w:r w:rsidRPr="00CF5D1C">
        <w:rPr>
          <w:rFonts w:ascii="Times New Roman" w:hAnsi="Times New Roman" w:cs="Times New Roman"/>
          <w:sz w:val="24"/>
          <w:szCs w:val="24"/>
        </w:rPr>
        <w:t xml:space="preserve">» </w:t>
      </w:r>
      <w:r w:rsidRPr="00CF5D1C">
        <w:rPr>
          <w:rFonts w:ascii="Times New Roman" w:hAnsi="Times New Roman" w:cs="Times New Roman"/>
          <w:sz w:val="24"/>
          <w:szCs w:val="24"/>
          <w:lang w:val="en-US"/>
        </w:rPr>
        <w:t>(</w:t>
      </w:r>
      <w:r w:rsidRPr="007C734C">
        <w:rPr>
          <w:rFonts w:ascii="Times New Roman" w:hAnsi="Times New Roman" w:cs="Times New Roman"/>
          <w:smallCaps/>
          <w:sz w:val="24"/>
          <w:szCs w:val="24"/>
          <w:lang w:val="en-US"/>
        </w:rPr>
        <w:t>S</w:t>
      </w:r>
      <w:r w:rsidRPr="00CF5D1C">
        <w:rPr>
          <w:rFonts w:ascii="Times New Roman" w:hAnsi="Times New Roman" w:cs="Times New Roman"/>
          <w:sz w:val="24"/>
          <w:szCs w:val="24"/>
          <w:lang w:val="en-US"/>
        </w:rPr>
        <w:t xml:space="preserve">. </w:t>
      </w:r>
      <w:proofErr w:type="spellStart"/>
      <w:r w:rsidRPr="007C734C">
        <w:rPr>
          <w:rFonts w:ascii="Times New Roman" w:hAnsi="Times New Roman" w:cs="Times New Roman"/>
          <w:smallCaps/>
          <w:sz w:val="24"/>
          <w:szCs w:val="24"/>
          <w:lang w:val="en-US"/>
        </w:rPr>
        <w:t>Zuboff</w:t>
      </w:r>
      <w:proofErr w:type="spellEnd"/>
      <w:r w:rsidRPr="007C734C">
        <w:rPr>
          <w:rFonts w:ascii="Times New Roman" w:hAnsi="Times New Roman" w:cs="Times New Roman"/>
          <w:smallCaps/>
          <w:sz w:val="24"/>
          <w:szCs w:val="24"/>
          <w:lang w:val="en-US"/>
        </w:rPr>
        <w:t xml:space="preserve">, </w:t>
      </w:r>
      <w:r w:rsidRPr="00CF5D1C">
        <w:rPr>
          <w:rFonts w:ascii="Times New Roman" w:hAnsi="Times New Roman" w:cs="Times New Roman"/>
          <w:sz w:val="24"/>
          <w:szCs w:val="24"/>
          <w:lang w:val="en-US"/>
        </w:rPr>
        <w:t xml:space="preserve">2021, 12 </w:t>
      </w:r>
      <w:proofErr w:type="spellStart"/>
      <w:r w:rsidRPr="00CF5D1C">
        <w:rPr>
          <w:rFonts w:ascii="Times New Roman" w:hAnsi="Times New Roman" w:cs="Times New Roman"/>
          <w:sz w:val="24"/>
          <w:szCs w:val="24"/>
          <w:lang w:val="en-US"/>
        </w:rPr>
        <w:t>Novembre</w:t>
      </w:r>
      <w:proofErr w:type="spellEnd"/>
      <w:r>
        <w:rPr>
          <w:rFonts w:ascii="Times New Roman" w:hAnsi="Times New Roman" w:cs="Times New Roman"/>
          <w:sz w:val="24"/>
          <w:szCs w:val="24"/>
          <w:lang w:val="en-US"/>
        </w:rPr>
        <w:t>,</w:t>
      </w:r>
      <w:r w:rsidRPr="00CF5D1C">
        <w:rPr>
          <w:rFonts w:ascii="Times New Roman" w:hAnsi="Times New Roman" w:cs="Times New Roman"/>
          <w:sz w:val="24"/>
          <w:szCs w:val="24"/>
          <w:lang w:val="en-US"/>
        </w:rPr>
        <w:t xml:space="preserve"> “</w:t>
      </w:r>
      <w:r w:rsidRPr="007C734C">
        <w:rPr>
          <w:rFonts w:ascii="Times New Roman" w:hAnsi="Times New Roman" w:cs="Times New Roman"/>
          <w:i/>
          <w:iCs/>
          <w:sz w:val="24"/>
          <w:szCs w:val="24"/>
          <w:lang w:val="en-US"/>
        </w:rPr>
        <w:t>You Are the Object of a Secret Extraction Operation</w:t>
      </w:r>
      <w:r w:rsidRPr="00CF5D1C">
        <w:rPr>
          <w:rFonts w:ascii="Times New Roman" w:hAnsi="Times New Roman" w:cs="Times New Roman"/>
          <w:sz w:val="24"/>
          <w:szCs w:val="24"/>
          <w:lang w:val="en-US"/>
        </w:rPr>
        <w:t xml:space="preserve">”, </w:t>
      </w:r>
      <w:r w:rsidRPr="007C734C">
        <w:rPr>
          <w:rFonts w:ascii="Times New Roman" w:hAnsi="Times New Roman" w:cs="Times New Roman"/>
          <w:i/>
          <w:iCs/>
          <w:sz w:val="24"/>
          <w:szCs w:val="24"/>
          <w:lang w:val="en-US"/>
        </w:rPr>
        <w:t>The New York Times</w:t>
      </w:r>
      <w:r w:rsidRPr="00544BAD">
        <w:rPr>
          <w:rFonts w:ascii="Times New Roman" w:hAnsi="Times New Roman" w:cs="Times New Roman"/>
          <w:sz w:val="24"/>
          <w:szCs w:val="24"/>
          <w:lang w:val="en-US"/>
        </w:rPr>
        <w:t xml:space="preserve">). </w:t>
      </w:r>
    </w:p>
    <w:p w14:paraId="20EE80BD" w14:textId="7251DA75" w:rsidR="000463A6" w:rsidRDefault="000463A6" w:rsidP="006F438C">
      <w:pPr>
        <w:pStyle w:val="Testonotaapidipagina"/>
        <w:jc w:val="both"/>
      </w:pPr>
      <w:r w:rsidRPr="00CF5D1C">
        <w:rPr>
          <w:rFonts w:ascii="Times New Roman" w:hAnsi="Times New Roman" w:cs="Times New Roman"/>
          <w:sz w:val="24"/>
          <w:szCs w:val="24"/>
        </w:rPr>
        <w:t xml:space="preserve">Insomma, come nel mondo fisico le sostanze che creano dipendenza sono strettamente regolamentate, così nel mondo virtuale i servizi digitali che creano dipendenza dovrebbero essere limitati e il digitale </w:t>
      </w:r>
      <w:r>
        <w:rPr>
          <w:rFonts w:ascii="Times New Roman" w:hAnsi="Times New Roman" w:cs="Times New Roman"/>
          <w:sz w:val="24"/>
          <w:szCs w:val="24"/>
        </w:rPr>
        <w:t>dovrebbe</w:t>
      </w:r>
      <w:r w:rsidRPr="00CF5D1C">
        <w:rPr>
          <w:rFonts w:ascii="Times New Roman" w:hAnsi="Times New Roman" w:cs="Times New Roman"/>
          <w:sz w:val="24"/>
          <w:szCs w:val="24"/>
        </w:rPr>
        <w:t xml:space="preserve"> essere utilizzato con molta saggezza e responsabilità «</w:t>
      </w:r>
      <w:r w:rsidRPr="007C734C">
        <w:rPr>
          <w:rFonts w:ascii="Times New Roman" w:hAnsi="Times New Roman" w:cs="Times New Roman"/>
          <w:i/>
          <w:iCs/>
          <w:sz w:val="24"/>
          <w:szCs w:val="24"/>
        </w:rPr>
        <w:t>per aiutare l’umanità ad affrontare le immense sfide dell</w:t>
      </w:r>
      <w:r>
        <w:rPr>
          <w:rFonts w:ascii="Times New Roman" w:hAnsi="Times New Roman" w:cs="Times New Roman"/>
          <w:i/>
          <w:iCs/>
          <w:sz w:val="24"/>
          <w:szCs w:val="24"/>
        </w:rPr>
        <w:t>’</w:t>
      </w:r>
      <w:proofErr w:type="spellStart"/>
      <w:r w:rsidRPr="007C734C">
        <w:rPr>
          <w:rFonts w:ascii="Times New Roman" w:hAnsi="Times New Roman" w:cs="Times New Roman"/>
          <w:i/>
          <w:iCs/>
          <w:sz w:val="24"/>
          <w:szCs w:val="24"/>
        </w:rPr>
        <w:t>Antropocene</w:t>
      </w:r>
      <w:proofErr w:type="spellEnd"/>
      <w:r w:rsidRPr="007C734C">
        <w:rPr>
          <w:rFonts w:ascii="Times New Roman" w:hAnsi="Times New Roman" w:cs="Times New Roman"/>
          <w:i/>
          <w:iCs/>
          <w:sz w:val="24"/>
          <w:szCs w:val="24"/>
        </w:rPr>
        <w:t xml:space="preserve"> come il cambiamento climatico e le pandemie</w:t>
      </w:r>
      <w:r w:rsidRPr="00CF5D1C">
        <w:rPr>
          <w:rFonts w:ascii="Times New Roman" w:hAnsi="Times New Roman" w:cs="Times New Roman"/>
          <w:sz w:val="24"/>
          <w:szCs w:val="24"/>
        </w:rPr>
        <w:t>».</w:t>
      </w:r>
    </w:p>
  </w:footnote>
  <w:footnote w:id="102">
    <w:p w14:paraId="62669C33" w14:textId="77777777" w:rsidR="000463A6" w:rsidRPr="00EC5317" w:rsidRDefault="000463A6" w:rsidP="00637B13">
      <w:pPr>
        <w:pStyle w:val="Testonotaapidipagina"/>
        <w:jc w:val="both"/>
        <w:rPr>
          <w:rFonts w:ascii="Times New Roman" w:hAnsi="Times New Roman" w:cs="Times New Roman"/>
          <w:sz w:val="24"/>
          <w:szCs w:val="24"/>
        </w:rPr>
      </w:pPr>
      <w:r w:rsidRPr="00EC5317">
        <w:rPr>
          <w:rStyle w:val="Rimandonotaapidipagina"/>
          <w:rFonts w:ascii="Times New Roman" w:hAnsi="Times New Roman" w:cs="Times New Roman"/>
          <w:sz w:val="24"/>
          <w:szCs w:val="24"/>
        </w:rPr>
        <w:footnoteRef/>
      </w:r>
      <w:r w:rsidRPr="00EC5317">
        <w:rPr>
          <w:rFonts w:ascii="Times New Roman" w:hAnsi="Times New Roman" w:cs="Times New Roman"/>
          <w:sz w:val="24"/>
          <w:szCs w:val="24"/>
        </w:rPr>
        <w:t xml:space="preserve"> Come è noto, la Cina è ormai decisa a modificare gli standard di internet; è dal 2019 che il paese spinge per una proposta di riforma, nota come </w:t>
      </w:r>
      <w:r w:rsidRPr="00EC5317">
        <w:rPr>
          <w:rFonts w:ascii="Times New Roman" w:hAnsi="Times New Roman" w:cs="Times New Roman"/>
          <w:i/>
          <w:iCs/>
          <w:sz w:val="24"/>
          <w:szCs w:val="24"/>
        </w:rPr>
        <w:t xml:space="preserve">New </w:t>
      </w:r>
      <w:proofErr w:type="spellStart"/>
      <w:r w:rsidRPr="00EC5317">
        <w:rPr>
          <w:rFonts w:ascii="Times New Roman" w:hAnsi="Times New Roman" w:cs="Times New Roman"/>
          <w:i/>
          <w:iCs/>
          <w:sz w:val="24"/>
          <w:szCs w:val="24"/>
        </w:rPr>
        <w:t>Ip</w:t>
      </w:r>
      <w:proofErr w:type="spellEnd"/>
      <w:r w:rsidRPr="00EC5317">
        <w:rPr>
          <w:rFonts w:ascii="Times New Roman" w:hAnsi="Times New Roman" w:cs="Times New Roman"/>
          <w:sz w:val="24"/>
          <w:szCs w:val="24"/>
        </w:rPr>
        <w:t>, all’Unione internazionale delle telecomunicazioni (ITU), l’agenzia delle Nazioni Unite che fissa gli standard del settore. La proposta è stata bocciata il 17 e 18 dicembre 2020 da Stati Uniti, Canada ed Europa, che accusano Pechino di voler spezzare la rete globale in tante parti soggette a un maggiore controllo governativo.</w:t>
      </w:r>
    </w:p>
    <w:p w14:paraId="1A863532" w14:textId="33AF2FA0" w:rsidR="000463A6" w:rsidRPr="001A690D" w:rsidRDefault="000463A6" w:rsidP="00637B13">
      <w:pPr>
        <w:pStyle w:val="Testonotaapidipagina"/>
        <w:jc w:val="both"/>
        <w:rPr>
          <w:rFonts w:ascii="Times New Roman" w:hAnsi="Times New Roman" w:cs="Times New Roman"/>
          <w:sz w:val="24"/>
          <w:szCs w:val="24"/>
        </w:rPr>
      </w:pPr>
      <w:r w:rsidRPr="00EC5317">
        <w:rPr>
          <w:rFonts w:ascii="Times New Roman" w:hAnsi="Times New Roman" w:cs="Times New Roman"/>
          <w:sz w:val="24"/>
          <w:szCs w:val="24"/>
        </w:rPr>
        <w:t xml:space="preserve">Eppure, il modello oggi in vigore, il </w:t>
      </w:r>
      <w:proofErr w:type="spellStart"/>
      <w:r w:rsidRPr="00EC5317">
        <w:rPr>
          <w:rFonts w:ascii="Times New Roman" w:hAnsi="Times New Roman" w:cs="Times New Roman"/>
          <w:i/>
          <w:iCs/>
          <w:sz w:val="24"/>
          <w:szCs w:val="24"/>
        </w:rPr>
        <w:t>Tcp/Ip</w:t>
      </w:r>
      <w:proofErr w:type="spellEnd"/>
      <w:r w:rsidRPr="00EC5317">
        <w:rPr>
          <w:rFonts w:ascii="Times New Roman" w:hAnsi="Times New Roman" w:cs="Times New Roman"/>
          <w:sz w:val="24"/>
          <w:szCs w:val="24"/>
        </w:rPr>
        <w:t xml:space="preserve">, è considerato dalla Cina inadeguato per le sfide future del web (l’esplosione dell’internet delle cose, i servizi dallo spazio, la realtà virtuale del c.d. </w:t>
      </w:r>
      <w:proofErr w:type="spellStart"/>
      <w:r w:rsidRPr="00EC5317">
        <w:rPr>
          <w:rFonts w:ascii="Times New Roman" w:hAnsi="Times New Roman" w:cs="Times New Roman"/>
          <w:sz w:val="24"/>
          <w:szCs w:val="24"/>
        </w:rPr>
        <w:t>metaverso</w:t>
      </w:r>
      <w:proofErr w:type="spellEnd"/>
      <w:r w:rsidRPr="00EC5317">
        <w:rPr>
          <w:rFonts w:ascii="Times New Roman" w:hAnsi="Times New Roman" w:cs="Times New Roman"/>
          <w:sz w:val="24"/>
          <w:szCs w:val="24"/>
        </w:rPr>
        <w:t xml:space="preserve">), per cui il paese è tornato alla carica con il </w:t>
      </w:r>
      <w:r w:rsidRPr="00EC5317">
        <w:rPr>
          <w:rFonts w:ascii="Times New Roman" w:hAnsi="Times New Roman" w:cs="Times New Roman"/>
          <w:i/>
          <w:iCs/>
          <w:sz w:val="24"/>
          <w:szCs w:val="24"/>
        </w:rPr>
        <w:t xml:space="preserve">New </w:t>
      </w:r>
      <w:proofErr w:type="spellStart"/>
      <w:r w:rsidRPr="00EC5317">
        <w:rPr>
          <w:rFonts w:ascii="Times New Roman" w:hAnsi="Times New Roman" w:cs="Times New Roman"/>
          <w:i/>
          <w:iCs/>
          <w:sz w:val="24"/>
          <w:szCs w:val="24"/>
        </w:rPr>
        <w:t>Ip</w:t>
      </w:r>
      <w:proofErr w:type="spellEnd"/>
      <w:r w:rsidRPr="00EC5317">
        <w:rPr>
          <w:rFonts w:ascii="Times New Roman" w:hAnsi="Times New Roman" w:cs="Times New Roman"/>
          <w:sz w:val="24"/>
          <w:szCs w:val="24"/>
        </w:rPr>
        <w:t xml:space="preserve"> all’</w:t>
      </w:r>
      <w:r w:rsidRPr="00EC5317">
        <w:rPr>
          <w:rFonts w:ascii="Times New Roman" w:hAnsi="Times New Roman" w:cs="Times New Roman"/>
          <w:i/>
          <w:iCs/>
          <w:sz w:val="24"/>
          <w:szCs w:val="24"/>
        </w:rPr>
        <w:t xml:space="preserve">Internet </w:t>
      </w:r>
      <w:proofErr w:type="spellStart"/>
      <w:r w:rsidRPr="00EC5317">
        <w:rPr>
          <w:rFonts w:ascii="Times New Roman" w:hAnsi="Times New Roman" w:cs="Times New Roman"/>
          <w:i/>
          <w:iCs/>
          <w:sz w:val="24"/>
          <w:szCs w:val="24"/>
        </w:rPr>
        <w:t>governance</w:t>
      </w:r>
      <w:proofErr w:type="spellEnd"/>
      <w:r w:rsidRPr="00EC5317">
        <w:rPr>
          <w:rFonts w:ascii="Times New Roman" w:hAnsi="Times New Roman" w:cs="Times New Roman"/>
          <w:i/>
          <w:iCs/>
          <w:sz w:val="24"/>
          <w:szCs w:val="24"/>
        </w:rPr>
        <w:t xml:space="preserve"> forum</w:t>
      </w:r>
      <w:r w:rsidRPr="00EC5317">
        <w:rPr>
          <w:rFonts w:ascii="Times New Roman" w:hAnsi="Times New Roman" w:cs="Times New Roman"/>
          <w:sz w:val="24"/>
          <w:szCs w:val="24"/>
        </w:rPr>
        <w:t xml:space="preserve"> (IGF), la conferenza delle Nazioni Unite sul futuro del web, svoltasi tra il 6 e il 10 dicembre 2021 a Katowice, in Polonia. Secondo Alain </w:t>
      </w:r>
      <w:proofErr w:type="spellStart"/>
      <w:r w:rsidRPr="00EC5317">
        <w:rPr>
          <w:rFonts w:ascii="Times New Roman" w:hAnsi="Times New Roman" w:cs="Times New Roman"/>
          <w:sz w:val="24"/>
          <w:szCs w:val="24"/>
        </w:rPr>
        <w:t>Durand</w:t>
      </w:r>
      <w:proofErr w:type="spellEnd"/>
      <w:r w:rsidRPr="00EC5317">
        <w:rPr>
          <w:rFonts w:ascii="Times New Roman" w:hAnsi="Times New Roman" w:cs="Times New Roman"/>
          <w:sz w:val="24"/>
          <w:szCs w:val="24"/>
        </w:rPr>
        <w:t>, responsabile tecnologico dell’</w:t>
      </w:r>
      <w:r w:rsidRPr="00EC5317">
        <w:rPr>
          <w:rFonts w:ascii="Times New Roman" w:hAnsi="Times New Roman" w:cs="Times New Roman"/>
          <w:i/>
          <w:iCs/>
          <w:sz w:val="24"/>
          <w:szCs w:val="24"/>
        </w:rPr>
        <w:t xml:space="preserve">Internet corporation of </w:t>
      </w:r>
      <w:proofErr w:type="spellStart"/>
      <w:r w:rsidRPr="00EC5317">
        <w:rPr>
          <w:rFonts w:ascii="Times New Roman" w:hAnsi="Times New Roman" w:cs="Times New Roman"/>
          <w:i/>
          <w:iCs/>
          <w:sz w:val="24"/>
          <w:szCs w:val="24"/>
        </w:rPr>
        <w:t>assigned</w:t>
      </w:r>
      <w:proofErr w:type="spellEnd"/>
      <w:r w:rsidRPr="00EC5317">
        <w:rPr>
          <w:rFonts w:ascii="Times New Roman" w:hAnsi="Times New Roman" w:cs="Times New Roman"/>
          <w:i/>
          <w:iCs/>
          <w:sz w:val="24"/>
          <w:szCs w:val="24"/>
        </w:rPr>
        <w:t xml:space="preserve"> </w:t>
      </w:r>
      <w:proofErr w:type="spellStart"/>
      <w:r w:rsidRPr="00EC5317">
        <w:rPr>
          <w:rFonts w:ascii="Times New Roman" w:hAnsi="Times New Roman" w:cs="Times New Roman"/>
          <w:i/>
          <w:iCs/>
          <w:sz w:val="24"/>
          <w:szCs w:val="24"/>
        </w:rPr>
        <w:t>names</w:t>
      </w:r>
      <w:proofErr w:type="spellEnd"/>
      <w:r w:rsidRPr="00EC5317">
        <w:rPr>
          <w:rFonts w:ascii="Times New Roman" w:hAnsi="Times New Roman" w:cs="Times New Roman"/>
          <w:i/>
          <w:iCs/>
          <w:sz w:val="24"/>
          <w:szCs w:val="24"/>
        </w:rPr>
        <w:t xml:space="preserve"> and </w:t>
      </w:r>
      <w:proofErr w:type="spellStart"/>
      <w:r w:rsidRPr="00EC5317">
        <w:rPr>
          <w:rFonts w:ascii="Times New Roman" w:hAnsi="Times New Roman" w:cs="Times New Roman"/>
          <w:i/>
          <w:iCs/>
          <w:sz w:val="24"/>
          <w:szCs w:val="24"/>
        </w:rPr>
        <w:t>numbers</w:t>
      </w:r>
      <w:proofErr w:type="spellEnd"/>
      <w:r w:rsidRPr="00EC5317">
        <w:rPr>
          <w:rFonts w:ascii="Times New Roman" w:hAnsi="Times New Roman" w:cs="Times New Roman"/>
          <w:sz w:val="24"/>
          <w:szCs w:val="24"/>
        </w:rPr>
        <w:t xml:space="preserve"> (ICANN), l’ente che assegna gli indirizzi </w:t>
      </w:r>
      <w:proofErr w:type="spellStart"/>
      <w:r w:rsidRPr="00EC5317">
        <w:rPr>
          <w:rFonts w:ascii="Times New Roman" w:hAnsi="Times New Roman" w:cs="Times New Roman"/>
          <w:sz w:val="24"/>
          <w:szCs w:val="24"/>
        </w:rPr>
        <w:t>Ip</w:t>
      </w:r>
      <w:proofErr w:type="spellEnd"/>
      <w:r w:rsidRPr="00EC5317">
        <w:rPr>
          <w:rFonts w:ascii="Times New Roman" w:hAnsi="Times New Roman" w:cs="Times New Roman"/>
          <w:sz w:val="24"/>
          <w:szCs w:val="24"/>
        </w:rPr>
        <w:t xml:space="preserve"> all’IGF, un modello centralizzato come quello del </w:t>
      </w:r>
      <w:r w:rsidRPr="00EC5317">
        <w:rPr>
          <w:rFonts w:ascii="Times New Roman" w:hAnsi="Times New Roman" w:cs="Times New Roman"/>
          <w:i/>
          <w:iCs/>
          <w:sz w:val="24"/>
          <w:szCs w:val="24"/>
        </w:rPr>
        <w:t xml:space="preserve">New </w:t>
      </w:r>
      <w:proofErr w:type="spellStart"/>
      <w:r w:rsidRPr="00EC5317">
        <w:rPr>
          <w:rFonts w:ascii="Times New Roman" w:hAnsi="Times New Roman" w:cs="Times New Roman"/>
          <w:i/>
          <w:iCs/>
          <w:sz w:val="24"/>
          <w:szCs w:val="24"/>
        </w:rPr>
        <w:t>Ip</w:t>
      </w:r>
      <w:proofErr w:type="spellEnd"/>
      <w:r w:rsidRPr="00EC5317">
        <w:rPr>
          <w:rFonts w:ascii="Times New Roman" w:hAnsi="Times New Roman" w:cs="Times New Roman"/>
          <w:sz w:val="24"/>
          <w:szCs w:val="24"/>
        </w:rPr>
        <w:t xml:space="preserve"> «</w:t>
      </w:r>
      <w:r w:rsidRPr="00EC5317">
        <w:rPr>
          <w:rFonts w:ascii="Times New Roman" w:hAnsi="Times New Roman" w:cs="Times New Roman"/>
          <w:i/>
          <w:iCs/>
          <w:sz w:val="24"/>
          <w:szCs w:val="24"/>
        </w:rPr>
        <w:t>sarebbe un passo indietro e farebbe rallentare l'innovazione</w:t>
      </w:r>
      <w:r w:rsidRPr="00EC5317">
        <w:rPr>
          <w:rFonts w:ascii="Times New Roman" w:hAnsi="Times New Roman" w:cs="Times New Roman"/>
          <w:sz w:val="24"/>
          <w:szCs w:val="24"/>
        </w:rPr>
        <w:t xml:space="preserve">»: spingendo per una centralizzazione simile a quella delle reti telefoniche, si metterebbe a repentaglio il modello </w:t>
      </w:r>
      <w:proofErr w:type="spellStart"/>
      <w:r w:rsidRPr="00EC5317">
        <w:rPr>
          <w:rFonts w:ascii="Times New Roman" w:hAnsi="Times New Roman" w:cs="Times New Roman"/>
          <w:i/>
          <w:iCs/>
          <w:sz w:val="24"/>
          <w:szCs w:val="24"/>
        </w:rPr>
        <w:t>permissionless</w:t>
      </w:r>
      <w:proofErr w:type="spellEnd"/>
      <w:r w:rsidRPr="00EC5317">
        <w:rPr>
          <w:rFonts w:ascii="Times New Roman" w:hAnsi="Times New Roman" w:cs="Times New Roman"/>
          <w:sz w:val="24"/>
          <w:szCs w:val="24"/>
        </w:rPr>
        <w:t xml:space="preserve"> che è alla base di </w:t>
      </w:r>
      <w:proofErr w:type="spellStart"/>
      <w:r w:rsidRPr="00EC5317">
        <w:rPr>
          <w:rFonts w:ascii="Times New Roman" w:hAnsi="Times New Roman" w:cs="Times New Roman"/>
          <w:i/>
          <w:iCs/>
          <w:sz w:val="24"/>
          <w:szCs w:val="24"/>
        </w:rPr>
        <w:t>Tcp/Ip</w:t>
      </w:r>
      <w:proofErr w:type="spellEnd"/>
      <w:r w:rsidRPr="00EC5317">
        <w:rPr>
          <w:rFonts w:ascii="Times New Roman" w:hAnsi="Times New Roman" w:cs="Times New Roman"/>
          <w:sz w:val="24"/>
          <w:szCs w:val="24"/>
        </w:rPr>
        <w:t xml:space="preserve">, con rischi di frammentazione. Il rischio maggiore, infatti, è quello di spezzare internet (c.d. </w:t>
      </w:r>
      <w:proofErr w:type="spellStart"/>
      <w:r w:rsidRPr="00EC5317">
        <w:rPr>
          <w:rFonts w:ascii="Times New Roman" w:hAnsi="Times New Roman" w:cs="Times New Roman"/>
          <w:i/>
          <w:iCs/>
          <w:sz w:val="24"/>
          <w:szCs w:val="24"/>
        </w:rPr>
        <w:t>splinternet</w:t>
      </w:r>
      <w:proofErr w:type="spellEnd"/>
      <w:r w:rsidRPr="00EC5317">
        <w:rPr>
          <w:rFonts w:ascii="Times New Roman" w:hAnsi="Times New Roman" w:cs="Times New Roman"/>
          <w:sz w:val="24"/>
          <w:szCs w:val="24"/>
        </w:rPr>
        <w:t>): «</w:t>
      </w:r>
      <w:r w:rsidRPr="00EC5317">
        <w:rPr>
          <w:rFonts w:ascii="Times New Roman" w:hAnsi="Times New Roman" w:cs="Times New Roman"/>
          <w:i/>
          <w:iCs/>
          <w:sz w:val="24"/>
          <w:szCs w:val="24"/>
        </w:rPr>
        <w:t xml:space="preserve">la decisione di tutti di usare uno spazio comune dei nomi di dominio e del sistema di indirizzi di </w:t>
      </w:r>
      <w:proofErr w:type="spellStart"/>
      <w:r w:rsidRPr="00EC5317">
        <w:rPr>
          <w:rFonts w:ascii="Times New Roman" w:hAnsi="Times New Roman" w:cs="Times New Roman"/>
          <w:i/>
          <w:iCs/>
          <w:sz w:val="24"/>
          <w:szCs w:val="24"/>
        </w:rPr>
        <w:t>Ip</w:t>
      </w:r>
      <w:proofErr w:type="spellEnd"/>
      <w:r w:rsidRPr="00EC5317">
        <w:rPr>
          <w:rFonts w:ascii="Times New Roman" w:hAnsi="Times New Roman" w:cs="Times New Roman"/>
          <w:i/>
          <w:iCs/>
          <w:sz w:val="24"/>
          <w:szCs w:val="24"/>
        </w:rPr>
        <w:t xml:space="preserve"> e di aderire alle stesse specifiche del protocollo centrale sono stati i fattori critici per consentire il successo di un’internet globale negli ultimi 30 anni</w:t>
      </w:r>
      <w:r w:rsidRPr="00EC5317">
        <w:rPr>
          <w:rFonts w:ascii="Times New Roman" w:hAnsi="Times New Roman" w:cs="Times New Roman"/>
          <w:sz w:val="24"/>
          <w:szCs w:val="24"/>
        </w:rPr>
        <w:t>», ha osservato l’ICANN, mentre con il modello cinese «</w:t>
      </w:r>
      <w:r w:rsidRPr="00EC5317">
        <w:rPr>
          <w:rFonts w:ascii="Times New Roman" w:hAnsi="Times New Roman" w:cs="Times New Roman"/>
          <w:i/>
          <w:iCs/>
          <w:sz w:val="24"/>
          <w:szCs w:val="24"/>
        </w:rPr>
        <w:t>una legge nazionale o regionale, che può essere anche basata su buone intenzioni, rischia di compromettere le fondamenta dell’infrastruttura di internet</w:t>
      </w:r>
      <w:r w:rsidRPr="00EC5317">
        <w:rPr>
          <w:rFonts w:ascii="Times New Roman" w:hAnsi="Times New Roman" w:cs="Times New Roman"/>
          <w:sz w:val="24"/>
          <w:szCs w:val="24"/>
        </w:rPr>
        <w:t xml:space="preserve">». Secondo un recente </w:t>
      </w:r>
      <w:r w:rsidRPr="00EC5317">
        <w:rPr>
          <w:rFonts w:ascii="Times New Roman" w:hAnsi="Times New Roman" w:cs="Times New Roman"/>
          <w:i/>
          <w:iCs/>
          <w:sz w:val="24"/>
          <w:szCs w:val="24"/>
        </w:rPr>
        <w:t>report</w:t>
      </w:r>
      <w:r w:rsidRPr="00EC5317">
        <w:rPr>
          <w:rFonts w:ascii="Times New Roman" w:hAnsi="Times New Roman" w:cs="Times New Roman"/>
          <w:sz w:val="24"/>
          <w:szCs w:val="24"/>
        </w:rPr>
        <w:t xml:space="preserve"> sulla visione cinese sul cyberspazio del centro studi </w:t>
      </w:r>
      <w:proofErr w:type="spellStart"/>
      <w:r w:rsidRPr="00EC5317">
        <w:rPr>
          <w:rFonts w:ascii="Times New Roman" w:hAnsi="Times New Roman" w:cs="Times New Roman"/>
          <w:i/>
          <w:iCs/>
          <w:sz w:val="24"/>
          <w:szCs w:val="24"/>
        </w:rPr>
        <w:t>Australian</w:t>
      </w:r>
      <w:proofErr w:type="spellEnd"/>
      <w:r w:rsidRPr="00EC5317">
        <w:rPr>
          <w:rFonts w:ascii="Times New Roman" w:hAnsi="Times New Roman" w:cs="Times New Roman"/>
          <w:i/>
          <w:iCs/>
          <w:sz w:val="24"/>
          <w:szCs w:val="24"/>
        </w:rPr>
        <w:t xml:space="preserve"> </w:t>
      </w:r>
      <w:proofErr w:type="spellStart"/>
      <w:r w:rsidRPr="00EC5317">
        <w:rPr>
          <w:rFonts w:ascii="Times New Roman" w:hAnsi="Times New Roman" w:cs="Times New Roman"/>
          <w:i/>
          <w:iCs/>
          <w:sz w:val="24"/>
          <w:szCs w:val="24"/>
        </w:rPr>
        <w:t>strategic</w:t>
      </w:r>
      <w:proofErr w:type="spellEnd"/>
      <w:r w:rsidRPr="00EC5317">
        <w:rPr>
          <w:rFonts w:ascii="Times New Roman" w:hAnsi="Times New Roman" w:cs="Times New Roman"/>
          <w:i/>
          <w:iCs/>
          <w:sz w:val="24"/>
          <w:szCs w:val="24"/>
        </w:rPr>
        <w:t xml:space="preserve"> policy </w:t>
      </w:r>
      <w:proofErr w:type="spellStart"/>
      <w:r w:rsidRPr="00EC5317">
        <w:rPr>
          <w:rFonts w:ascii="Times New Roman" w:hAnsi="Times New Roman" w:cs="Times New Roman"/>
          <w:i/>
          <w:iCs/>
          <w:sz w:val="24"/>
          <w:szCs w:val="24"/>
        </w:rPr>
        <w:t>institute</w:t>
      </w:r>
      <w:proofErr w:type="spellEnd"/>
      <w:r w:rsidRPr="00EC5317">
        <w:rPr>
          <w:rFonts w:ascii="Times New Roman" w:hAnsi="Times New Roman" w:cs="Times New Roman"/>
          <w:sz w:val="24"/>
          <w:szCs w:val="24"/>
        </w:rPr>
        <w:t xml:space="preserve">, sotto il presidente </w:t>
      </w:r>
      <w:proofErr w:type="spellStart"/>
      <w:r w:rsidRPr="00EC5317">
        <w:rPr>
          <w:rFonts w:ascii="Times New Roman" w:hAnsi="Times New Roman" w:cs="Times New Roman"/>
          <w:sz w:val="24"/>
          <w:szCs w:val="24"/>
        </w:rPr>
        <w:t>Xi</w:t>
      </w:r>
      <w:proofErr w:type="spellEnd"/>
      <w:r w:rsidRPr="00EC5317">
        <w:rPr>
          <w:rFonts w:ascii="Times New Roman" w:hAnsi="Times New Roman" w:cs="Times New Roman"/>
          <w:sz w:val="24"/>
          <w:szCs w:val="24"/>
        </w:rPr>
        <w:t xml:space="preserve"> </w:t>
      </w:r>
      <w:proofErr w:type="spellStart"/>
      <w:r w:rsidRPr="00EC5317">
        <w:rPr>
          <w:rFonts w:ascii="Times New Roman" w:hAnsi="Times New Roman" w:cs="Times New Roman"/>
          <w:sz w:val="24"/>
          <w:szCs w:val="24"/>
        </w:rPr>
        <w:t>Jinping</w:t>
      </w:r>
      <w:proofErr w:type="spellEnd"/>
      <w:r w:rsidRPr="00EC5317">
        <w:rPr>
          <w:rFonts w:ascii="Times New Roman" w:hAnsi="Times New Roman" w:cs="Times New Roman"/>
          <w:sz w:val="24"/>
          <w:szCs w:val="24"/>
        </w:rPr>
        <w:t xml:space="preserve"> il Partito comunista cinese ha una precisa strategia: «</w:t>
      </w:r>
      <w:r w:rsidRPr="00EC5317">
        <w:rPr>
          <w:rFonts w:ascii="Times New Roman" w:hAnsi="Times New Roman" w:cs="Times New Roman"/>
          <w:i/>
          <w:iCs/>
          <w:sz w:val="24"/>
          <w:szCs w:val="24"/>
        </w:rPr>
        <w:t xml:space="preserve">raggiungere lo status di una superpotenza cyber, fondamentale per il Partito comunista cinese per radicare con successo la sua linea di governo condiviso e lo sviluppo </w:t>
      </w:r>
      <w:r w:rsidRPr="001A690D">
        <w:rPr>
          <w:rFonts w:ascii="Times New Roman" w:hAnsi="Times New Roman" w:cs="Times New Roman"/>
          <w:i/>
          <w:iCs/>
          <w:sz w:val="24"/>
          <w:szCs w:val="24"/>
        </w:rPr>
        <w:t>di un’internet con la Cina al centro</w:t>
      </w:r>
      <w:r w:rsidRPr="001A690D">
        <w:rPr>
          <w:rFonts w:ascii="Times New Roman" w:hAnsi="Times New Roman" w:cs="Times New Roman"/>
          <w:sz w:val="24"/>
          <w:szCs w:val="24"/>
        </w:rPr>
        <w:t xml:space="preserve">», strategia perseguita dando assistenza a Paesi, come quelli africani, che hanno bisogno di aiuto per governare i problemi del web. V. </w:t>
      </w:r>
      <w:hyperlink r:id="rId23" w:history="1">
        <w:r w:rsidRPr="001A690D">
          <w:rPr>
            <w:rStyle w:val="Collegamentoipertestuale"/>
            <w:rFonts w:ascii="Times New Roman" w:hAnsi="Times New Roman" w:cs="Times New Roman"/>
            <w:sz w:val="24"/>
            <w:szCs w:val="24"/>
          </w:rPr>
          <w:t>https://www.wired.it/article/cina-internet-controllo-rete/</w:t>
        </w:r>
      </w:hyperlink>
      <w:r w:rsidRPr="001A690D">
        <w:rPr>
          <w:rFonts w:ascii="Times New Roman" w:hAnsi="Times New Roman" w:cs="Times New Roman"/>
          <w:sz w:val="24"/>
          <w:szCs w:val="24"/>
        </w:rPr>
        <w:t>.</w:t>
      </w:r>
    </w:p>
  </w:footnote>
  <w:footnote w:id="103">
    <w:p w14:paraId="3F86DF3D" w14:textId="1F7D91E8" w:rsidR="00F46A6E" w:rsidRDefault="00F46A6E" w:rsidP="001A690D">
      <w:pPr>
        <w:spacing w:after="0" w:line="240" w:lineRule="auto"/>
        <w:jc w:val="both"/>
      </w:pPr>
      <w:r w:rsidRPr="001A690D">
        <w:rPr>
          <w:rStyle w:val="Rimandonotaapidipagina"/>
          <w:rFonts w:ascii="Times New Roman" w:hAnsi="Times New Roman" w:cs="Times New Roman"/>
          <w:sz w:val="24"/>
          <w:szCs w:val="24"/>
        </w:rPr>
        <w:footnoteRef/>
      </w:r>
      <w:r w:rsidRPr="001A690D">
        <w:rPr>
          <w:rFonts w:ascii="Times New Roman" w:hAnsi="Times New Roman" w:cs="Times New Roman"/>
          <w:sz w:val="24"/>
          <w:szCs w:val="24"/>
        </w:rPr>
        <w:t xml:space="preserve"> </w:t>
      </w:r>
      <w:r w:rsidR="001A690D" w:rsidRPr="001A690D">
        <w:rPr>
          <w:rFonts w:ascii="Times New Roman" w:hAnsi="Times New Roman" w:cs="Times New Roman"/>
          <w:sz w:val="24"/>
          <w:szCs w:val="24"/>
        </w:rPr>
        <w:t xml:space="preserve">Un altro campo in cui l’Europa vorrebbe eccellere è quello dei semiconduttori. La presidente della Commissione europea, </w:t>
      </w:r>
      <w:r w:rsidR="001A690D" w:rsidRPr="001A690D">
        <w:rPr>
          <w:rFonts w:ascii="Times New Roman" w:hAnsi="Times New Roman" w:cs="Times New Roman"/>
          <w:i/>
          <w:iCs/>
          <w:sz w:val="24"/>
          <w:szCs w:val="24"/>
        </w:rPr>
        <w:t xml:space="preserve">Ursula von </w:t>
      </w:r>
      <w:proofErr w:type="spellStart"/>
      <w:r w:rsidR="001A690D" w:rsidRPr="001A690D">
        <w:rPr>
          <w:rFonts w:ascii="Times New Roman" w:hAnsi="Times New Roman" w:cs="Times New Roman"/>
          <w:i/>
          <w:iCs/>
          <w:sz w:val="24"/>
          <w:szCs w:val="24"/>
        </w:rPr>
        <w:t>der</w:t>
      </w:r>
      <w:proofErr w:type="spellEnd"/>
      <w:r w:rsidR="001A690D" w:rsidRPr="001A690D">
        <w:rPr>
          <w:rFonts w:ascii="Times New Roman" w:hAnsi="Times New Roman" w:cs="Times New Roman"/>
          <w:i/>
          <w:iCs/>
          <w:sz w:val="24"/>
          <w:szCs w:val="24"/>
        </w:rPr>
        <w:t xml:space="preserve"> </w:t>
      </w:r>
      <w:proofErr w:type="spellStart"/>
      <w:r w:rsidR="001A690D" w:rsidRPr="001A690D">
        <w:rPr>
          <w:rFonts w:ascii="Times New Roman" w:hAnsi="Times New Roman" w:cs="Times New Roman"/>
          <w:i/>
          <w:iCs/>
          <w:sz w:val="24"/>
          <w:szCs w:val="24"/>
        </w:rPr>
        <w:t>Leyen</w:t>
      </w:r>
      <w:proofErr w:type="spellEnd"/>
      <w:r w:rsidR="001A690D" w:rsidRPr="001A690D">
        <w:rPr>
          <w:rFonts w:ascii="Times New Roman" w:hAnsi="Times New Roman" w:cs="Times New Roman"/>
          <w:sz w:val="24"/>
          <w:szCs w:val="24"/>
        </w:rPr>
        <w:t>, presentando il disegno di legge sui semiconduttori, ha affermato che con lo “</w:t>
      </w:r>
      <w:proofErr w:type="spellStart"/>
      <w:r w:rsidR="001A690D" w:rsidRPr="001A690D">
        <w:rPr>
          <w:rFonts w:ascii="Times New Roman" w:hAnsi="Times New Roman" w:cs="Times New Roman"/>
          <w:i/>
          <w:iCs/>
          <w:sz w:val="24"/>
          <w:szCs w:val="24"/>
        </w:rPr>
        <w:t>European</w:t>
      </w:r>
      <w:proofErr w:type="spellEnd"/>
      <w:r w:rsidR="001A690D" w:rsidRPr="001A690D">
        <w:rPr>
          <w:rFonts w:ascii="Times New Roman" w:hAnsi="Times New Roman" w:cs="Times New Roman"/>
          <w:i/>
          <w:iCs/>
          <w:sz w:val="24"/>
          <w:szCs w:val="24"/>
        </w:rPr>
        <w:t xml:space="preserve"> Chips </w:t>
      </w:r>
      <w:proofErr w:type="spellStart"/>
      <w:r w:rsidR="001A690D" w:rsidRPr="001A690D">
        <w:rPr>
          <w:rFonts w:ascii="Times New Roman" w:hAnsi="Times New Roman" w:cs="Times New Roman"/>
          <w:i/>
          <w:iCs/>
          <w:sz w:val="24"/>
          <w:szCs w:val="24"/>
        </w:rPr>
        <w:t>Act</w:t>
      </w:r>
      <w:proofErr w:type="spellEnd"/>
      <w:r w:rsidR="001A690D" w:rsidRPr="001A690D">
        <w:rPr>
          <w:rFonts w:ascii="Times New Roman" w:hAnsi="Times New Roman" w:cs="Times New Roman"/>
          <w:sz w:val="24"/>
          <w:szCs w:val="24"/>
        </w:rPr>
        <w:t>” si vuole fare dell’Unione europea un «</w:t>
      </w:r>
      <w:r w:rsidR="001A690D" w:rsidRPr="001A690D">
        <w:rPr>
          <w:rFonts w:ascii="Times New Roman" w:hAnsi="Times New Roman" w:cs="Times New Roman"/>
          <w:i/>
          <w:iCs/>
          <w:sz w:val="24"/>
          <w:szCs w:val="24"/>
        </w:rPr>
        <w:t>leader industriale in questo mercato strategico</w:t>
      </w:r>
      <w:r w:rsidR="001A690D" w:rsidRPr="001A690D">
        <w:rPr>
          <w:rFonts w:ascii="Times New Roman" w:hAnsi="Times New Roman" w:cs="Times New Roman"/>
          <w:sz w:val="24"/>
          <w:szCs w:val="24"/>
        </w:rPr>
        <w:t>», con l’obiettivo di «</w:t>
      </w:r>
      <w:r w:rsidR="001A690D" w:rsidRPr="001A690D">
        <w:rPr>
          <w:rFonts w:ascii="Times New Roman" w:hAnsi="Times New Roman" w:cs="Times New Roman"/>
          <w:i/>
          <w:iCs/>
          <w:sz w:val="24"/>
          <w:szCs w:val="24"/>
        </w:rPr>
        <w:t>avere nel 2030 qui in Europa il 20% della quota di mercato globale della produzione di chip</w:t>
      </w:r>
      <w:r w:rsidR="001A690D" w:rsidRPr="001A690D">
        <w:rPr>
          <w:rFonts w:ascii="Times New Roman" w:hAnsi="Times New Roman" w:cs="Times New Roman"/>
          <w:sz w:val="24"/>
          <w:szCs w:val="24"/>
        </w:rPr>
        <w:t xml:space="preserve">», aumentando quella attuale del 9%. Si veda l’articolo pubblicato dalla </w:t>
      </w:r>
      <w:r w:rsidR="001A690D" w:rsidRPr="001A690D">
        <w:rPr>
          <w:rFonts w:ascii="Times New Roman" w:hAnsi="Times New Roman" w:cs="Times New Roman"/>
          <w:i/>
          <w:iCs/>
          <w:sz w:val="24"/>
          <w:szCs w:val="24"/>
        </w:rPr>
        <w:t>Redazione ANSA</w:t>
      </w:r>
      <w:r w:rsidR="001A690D" w:rsidRPr="001A690D">
        <w:rPr>
          <w:rFonts w:ascii="Times New Roman" w:hAnsi="Times New Roman" w:cs="Times New Roman"/>
          <w:sz w:val="24"/>
          <w:szCs w:val="24"/>
        </w:rPr>
        <w:t xml:space="preserve"> l’8 febbraio 2022, “</w:t>
      </w:r>
      <w:r w:rsidR="001A690D" w:rsidRPr="001A690D">
        <w:rPr>
          <w:rFonts w:ascii="Times New Roman" w:hAnsi="Times New Roman" w:cs="Times New Roman"/>
          <w:i/>
          <w:iCs/>
          <w:sz w:val="24"/>
          <w:szCs w:val="24"/>
        </w:rPr>
        <w:t xml:space="preserve">Von </w:t>
      </w:r>
      <w:proofErr w:type="spellStart"/>
      <w:r w:rsidR="001A690D" w:rsidRPr="001A690D">
        <w:rPr>
          <w:rFonts w:ascii="Times New Roman" w:hAnsi="Times New Roman" w:cs="Times New Roman"/>
          <w:i/>
          <w:iCs/>
          <w:sz w:val="24"/>
          <w:szCs w:val="24"/>
        </w:rPr>
        <w:t>der</w:t>
      </w:r>
      <w:proofErr w:type="spellEnd"/>
      <w:r w:rsidR="001A690D" w:rsidRPr="001A690D">
        <w:rPr>
          <w:rFonts w:ascii="Times New Roman" w:hAnsi="Times New Roman" w:cs="Times New Roman"/>
          <w:i/>
          <w:iCs/>
          <w:sz w:val="24"/>
          <w:szCs w:val="24"/>
        </w:rPr>
        <w:t xml:space="preserve"> </w:t>
      </w:r>
      <w:proofErr w:type="spellStart"/>
      <w:r w:rsidR="001A690D" w:rsidRPr="001A690D">
        <w:rPr>
          <w:rFonts w:ascii="Times New Roman" w:hAnsi="Times New Roman" w:cs="Times New Roman"/>
          <w:i/>
          <w:iCs/>
          <w:sz w:val="24"/>
          <w:szCs w:val="24"/>
        </w:rPr>
        <w:t>Leyen</w:t>
      </w:r>
      <w:proofErr w:type="spellEnd"/>
      <w:r w:rsidR="001A690D" w:rsidRPr="001A690D">
        <w:rPr>
          <w:rFonts w:ascii="Times New Roman" w:hAnsi="Times New Roman" w:cs="Times New Roman"/>
          <w:i/>
          <w:iCs/>
          <w:sz w:val="24"/>
          <w:szCs w:val="24"/>
        </w:rPr>
        <w:t xml:space="preserve"> lancia il piano per i chip, «Ue diventerà leader»</w:t>
      </w:r>
      <w:r w:rsidR="001A690D" w:rsidRPr="001A690D">
        <w:rPr>
          <w:rFonts w:ascii="Times New Roman" w:hAnsi="Times New Roman" w:cs="Times New Roman"/>
          <w:sz w:val="24"/>
          <w:szCs w:val="24"/>
        </w:rPr>
        <w:t>”. È sicuramente una grande ambizione, per cui sono stati investiti 15 miliardi di euro in ulteriori investimenti privati e pubblici entro il 2030, «</w:t>
      </w:r>
      <w:r w:rsidR="001A690D" w:rsidRPr="001A690D">
        <w:rPr>
          <w:rFonts w:ascii="Times New Roman" w:hAnsi="Times New Roman" w:cs="Times New Roman"/>
          <w:i/>
          <w:iCs/>
          <w:sz w:val="24"/>
          <w:szCs w:val="24"/>
        </w:rPr>
        <w:t xml:space="preserve">che si aggiungono ai 30 miliardi di euro che abbiamo già pianificato, finanziati dal </w:t>
      </w:r>
      <w:proofErr w:type="spellStart"/>
      <w:r w:rsidR="001A690D" w:rsidRPr="001A690D">
        <w:rPr>
          <w:rFonts w:ascii="Times New Roman" w:hAnsi="Times New Roman" w:cs="Times New Roman"/>
          <w:i/>
          <w:iCs/>
          <w:sz w:val="24"/>
          <w:szCs w:val="24"/>
        </w:rPr>
        <w:t>Next</w:t>
      </w:r>
      <w:proofErr w:type="spellEnd"/>
      <w:r w:rsidR="001A690D" w:rsidRPr="001A690D">
        <w:rPr>
          <w:rFonts w:ascii="Times New Roman" w:hAnsi="Times New Roman" w:cs="Times New Roman"/>
          <w:i/>
          <w:iCs/>
          <w:sz w:val="24"/>
          <w:szCs w:val="24"/>
        </w:rPr>
        <w:t xml:space="preserve"> Generation Eu, dal programma </w:t>
      </w:r>
      <w:proofErr w:type="spellStart"/>
      <w:r w:rsidR="001A690D" w:rsidRPr="001A690D">
        <w:rPr>
          <w:rFonts w:ascii="Times New Roman" w:hAnsi="Times New Roman" w:cs="Times New Roman"/>
          <w:i/>
          <w:iCs/>
          <w:sz w:val="24"/>
          <w:szCs w:val="24"/>
        </w:rPr>
        <w:t>Horizon</w:t>
      </w:r>
      <w:proofErr w:type="spellEnd"/>
      <w:r w:rsidR="001A690D" w:rsidRPr="001A690D">
        <w:rPr>
          <w:rFonts w:ascii="Times New Roman" w:hAnsi="Times New Roman" w:cs="Times New Roman"/>
          <w:i/>
          <w:iCs/>
          <w:sz w:val="24"/>
          <w:szCs w:val="24"/>
        </w:rPr>
        <w:t xml:space="preserve"> e dai bilanci nazionali</w:t>
      </w:r>
      <w:r w:rsidR="001A690D" w:rsidRPr="001A690D">
        <w:rPr>
          <w:rFonts w:ascii="Times New Roman" w:hAnsi="Times New Roman" w:cs="Times New Roman"/>
          <w:sz w:val="24"/>
          <w:szCs w:val="24"/>
        </w:rPr>
        <w:t xml:space="preserve">». Secondo </w:t>
      </w:r>
      <w:r w:rsidR="001A690D" w:rsidRPr="001A690D">
        <w:rPr>
          <w:rFonts w:ascii="Times New Roman" w:hAnsi="Times New Roman" w:cs="Times New Roman"/>
          <w:i/>
          <w:iCs/>
          <w:sz w:val="24"/>
          <w:szCs w:val="24"/>
        </w:rPr>
        <w:t xml:space="preserve">von </w:t>
      </w:r>
      <w:proofErr w:type="spellStart"/>
      <w:r w:rsidR="001A690D" w:rsidRPr="001A690D">
        <w:rPr>
          <w:rFonts w:ascii="Times New Roman" w:hAnsi="Times New Roman" w:cs="Times New Roman"/>
          <w:i/>
          <w:iCs/>
          <w:sz w:val="24"/>
          <w:szCs w:val="24"/>
        </w:rPr>
        <w:t>der</w:t>
      </w:r>
      <w:proofErr w:type="spellEnd"/>
      <w:r w:rsidR="001A690D" w:rsidRPr="001A690D">
        <w:rPr>
          <w:rFonts w:ascii="Times New Roman" w:hAnsi="Times New Roman" w:cs="Times New Roman"/>
          <w:i/>
          <w:iCs/>
          <w:sz w:val="24"/>
          <w:szCs w:val="24"/>
        </w:rPr>
        <w:t xml:space="preserve"> </w:t>
      </w:r>
      <w:proofErr w:type="spellStart"/>
      <w:r w:rsidR="001A690D" w:rsidRPr="001A690D">
        <w:rPr>
          <w:rFonts w:ascii="Times New Roman" w:hAnsi="Times New Roman" w:cs="Times New Roman"/>
          <w:i/>
          <w:iCs/>
          <w:sz w:val="24"/>
          <w:szCs w:val="24"/>
        </w:rPr>
        <w:t>Leyen</w:t>
      </w:r>
      <w:proofErr w:type="spellEnd"/>
      <w:r w:rsidR="001A690D" w:rsidRPr="001A690D">
        <w:rPr>
          <w:rFonts w:ascii="Times New Roman" w:hAnsi="Times New Roman" w:cs="Times New Roman"/>
          <w:sz w:val="24"/>
          <w:szCs w:val="24"/>
        </w:rPr>
        <w:t xml:space="preserve">, l’Europa può essere la patria della prossima rivoluzione industriale. Il </w:t>
      </w:r>
      <w:r w:rsidR="001A690D" w:rsidRPr="001A690D">
        <w:rPr>
          <w:rFonts w:ascii="Times New Roman" w:hAnsi="Times New Roman" w:cs="Times New Roman"/>
          <w:i/>
          <w:iCs/>
          <w:sz w:val="24"/>
          <w:szCs w:val="24"/>
        </w:rPr>
        <w:t xml:space="preserve">Chips </w:t>
      </w:r>
      <w:proofErr w:type="spellStart"/>
      <w:r w:rsidR="001A690D" w:rsidRPr="001A690D">
        <w:rPr>
          <w:rFonts w:ascii="Times New Roman" w:hAnsi="Times New Roman" w:cs="Times New Roman"/>
          <w:i/>
          <w:iCs/>
          <w:sz w:val="24"/>
          <w:szCs w:val="24"/>
        </w:rPr>
        <w:t>Act</w:t>
      </w:r>
      <w:proofErr w:type="spellEnd"/>
      <w:r w:rsidR="001A690D" w:rsidRPr="001A690D">
        <w:rPr>
          <w:rFonts w:ascii="Times New Roman" w:hAnsi="Times New Roman" w:cs="Times New Roman"/>
          <w:sz w:val="24"/>
          <w:szCs w:val="24"/>
        </w:rPr>
        <w:t xml:space="preserve"> europeo si concentrerà su cinque aree: la ricerca, l’innovazione industriale, la creazione di impianti di produzione avanzati, il sostegno pubblico agli impianti di produzione europei “primi nel loro genere”, la sicurezza delle catene di approvvigionamento.</w:t>
      </w:r>
    </w:p>
  </w:footnote>
  <w:footnote w:id="104">
    <w:p w14:paraId="74D6E752" w14:textId="14332331" w:rsidR="000463A6" w:rsidRPr="003F5980" w:rsidRDefault="000463A6" w:rsidP="003F5980">
      <w:pPr>
        <w:pStyle w:val="Testonotaapidipagina"/>
        <w:jc w:val="both"/>
        <w:rPr>
          <w:rFonts w:ascii="Times New Roman" w:hAnsi="Times New Roman" w:cs="Times New Roman"/>
          <w:sz w:val="24"/>
          <w:szCs w:val="24"/>
        </w:rPr>
      </w:pPr>
      <w:r w:rsidRPr="003F5980">
        <w:rPr>
          <w:rStyle w:val="Rimandonotaapidipagina"/>
          <w:rFonts w:ascii="Times New Roman" w:hAnsi="Times New Roman" w:cs="Times New Roman"/>
          <w:sz w:val="24"/>
          <w:szCs w:val="24"/>
        </w:rPr>
        <w:footnoteRef/>
      </w:r>
      <w:r w:rsidRPr="003F5980">
        <w:rPr>
          <w:rFonts w:ascii="Times New Roman" w:hAnsi="Times New Roman" w:cs="Times New Roman"/>
          <w:sz w:val="24"/>
          <w:szCs w:val="24"/>
        </w:rPr>
        <w:t xml:space="preserve"> Sul tema, si veda l’opera “</w:t>
      </w:r>
      <w:r w:rsidRPr="003F5980">
        <w:rPr>
          <w:rFonts w:ascii="Times New Roman" w:hAnsi="Times New Roman" w:cs="Times New Roman"/>
          <w:i/>
          <w:iCs/>
          <w:sz w:val="24"/>
          <w:szCs w:val="24"/>
        </w:rPr>
        <w:t>Principi di neuroscienze</w:t>
      </w:r>
      <w:r w:rsidRPr="003F5980">
        <w:rPr>
          <w:rFonts w:ascii="Times New Roman" w:hAnsi="Times New Roman" w:cs="Times New Roman"/>
          <w:sz w:val="24"/>
          <w:szCs w:val="24"/>
        </w:rPr>
        <w:t xml:space="preserve">”, 2015, del premio Nobel </w:t>
      </w:r>
      <w:r w:rsidRPr="003F5980">
        <w:rPr>
          <w:rFonts w:ascii="Times New Roman" w:hAnsi="Times New Roman" w:cs="Times New Roman"/>
          <w:smallCaps/>
          <w:sz w:val="24"/>
          <w:szCs w:val="24"/>
        </w:rPr>
        <w:t>Erik R. Kandel</w:t>
      </w:r>
      <w:r w:rsidRPr="003F5980">
        <w:rPr>
          <w:rFonts w:ascii="Times New Roman" w:hAnsi="Times New Roman" w:cs="Times New Roman"/>
          <w:sz w:val="24"/>
          <w:szCs w:val="24"/>
        </w:rPr>
        <w:t xml:space="preserve">, uno dei maggiori </w:t>
      </w:r>
      <w:proofErr w:type="spellStart"/>
      <w:r w:rsidRPr="003F5980">
        <w:rPr>
          <w:rFonts w:ascii="Times New Roman" w:hAnsi="Times New Roman" w:cs="Times New Roman"/>
          <w:sz w:val="24"/>
          <w:szCs w:val="24"/>
        </w:rPr>
        <w:t>neuroscienziati</w:t>
      </w:r>
      <w:proofErr w:type="spellEnd"/>
      <w:r w:rsidRPr="003F5980">
        <w:rPr>
          <w:rFonts w:ascii="Times New Roman" w:hAnsi="Times New Roman" w:cs="Times New Roman"/>
          <w:sz w:val="24"/>
          <w:szCs w:val="24"/>
        </w:rPr>
        <w:t xml:space="preserve"> del XX secolo, che afferma che «</w:t>
      </w:r>
      <w:r w:rsidRPr="003F5980">
        <w:rPr>
          <w:rFonts w:ascii="Times New Roman" w:hAnsi="Times New Roman" w:cs="Times New Roman"/>
          <w:i/>
          <w:iCs/>
          <w:sz w:val="24"/>
          <w:szCs w:val="24"/>
        </w:rPr>
        <w:t>ad un certo punto dell’evoluzione i cervelli erano divenuti troppo complessi per governarsi da soli</w:t>
      </w:r>
      <w:r w:rsidRPr="003F5980">
        <w:rPr>
          <w:rFonts w:ascii="Times New Roman" w:hAnsi="Times New Roman" w:cs="Times New Roman"/>
          <w:sz w:val="24"/>
          <w:szCs w:val="24"/>
        </w:rPr>
        <w:t xml:space="preserve">». Si veda anche l’opera del noto scienziato </w:t>
      </w:r>
      <w:r w:rsidRPr="003F5980">
        <w:rPr>
          <w:rFonts w:ascii="Times New Roman" w:hAnsi="Times New Roman" w:cs="Times New Roman"/>
          <w:smallCaps/>
          <w:sz w:val="24"/>
          <w:szCs w:val="24"/>
        </w:rPr>
        <w:t xml:space="preserve">Antonio </w:t>
      </w:r>
      <w:proofErr w:type="spellStart"/>
      <w:r w:rsidRPr="003F5980">
        <w:rPr>
          <w:rFonts w:ascii="Times New Roman" w:hAnsi="Times New Roman" w:cs="Times New Roman"/>
          <w:smallCaps/>
          <w:sz w:val="24"/>
          <w:szCs w:val="24"/>
        </w:rPr>
        <w:t>Damasio</w:t>
      </w:r>
      <w:proofErr w:type="spellEnd"/>
      <w:r w:rsidRPr="003F5980">
        <w:rPr>
          <w:rFonts w:ascii="Times New Roman" w:hAnsi="Times New Roman" w:cs="Times New Roman"/>
          <w:sz w:val="24"/>
          <w:szCs w:val="24"/>
        </w:rPr>
        <w:t>, “</w:t>
      </w:r>
      <w:r w:rsidRPr="003F5980">
        <w:rPr>
          <w:rFonts w:ascii="Times New Roman" w:hAnsi="Times New Roman" w:cs="Times New Roman"/>
          <w:i/>
          <w:iCs/>
          <w:sz w:val="24"/>
          <w:szCs w:val="24"/>
        </w:rPr>
        <w:t>L’errore di Cartesio. Emozioni, ragione e cervello umano</w:t>
      </w:r>
      <w:r w:rsidRPr="003F5980">
        <w:rPr>
          <w:rFonts w:ascii="Times New Roman" w:hAnsi="Times New Roman" w:cs="Times New Roman"/>
          <w:sz w:val="24"/>
          <w:szCs w:val="24"/>
        </w:rPr>
        <w:t>”, Adelphi, Milano, 1995 e “</w:t>
      </w:r>
      <w:r w:rsidRPr="003F5980">
        <w:rPr>
          <w:rFonts w:ascii="Times New Roman" w:hAnsi="Times New Roman" w:cs="Times New Roman"/>
          <w:i/>
          <w:iCs/>
          <w:sz w:val="24"/>
          <w:szCs w:val="24"/>
        </w:rPr>
        <w:t>Alla ricerca di Spinoza. Emozioni, sentimenti e cervello</w:t>
      </w:r>
      <w:r w:rsidRPr="003F5980">
        <w:rPr>
          <w:rFonts w:ascii="Times New Roman" w:hAnsi="Times New Roman" w:cs="Times New Roman"/>
          <w:sz w:val="24"/>
          <w:szCs w:val="24"/>
        </w:rPr>
        <w:t xml:space="preserve">”, Adelphi, Milano, 2003, che spiega come la psiche si sia sviluppata per regolare la vita biologica e gli adattamenti in modo più raffinato ed efficace. V. anche l’ultimo libro del premio Nobel </w:t>
      </w:r>
      <w:proofErr w:type="spellStart"/>
      <w:r w:rsidRPr="003F5980">
        <w:rPr>
          <w:rFonts w:ascii="Times New Roman" w:hAnsi="Times New Roman" w:cs="Times New Roman"/>
          <w:smallCaps/>
          <w:sz w:val="24"/>
          <w:szCs w:val="24"/>
        </w:rPr>
        <w:t>Elizabeth</w:t>
      </w:r>
      <w:proofErr w:type="spellEnd"/>
      <w:r w:rsidRPr="003F5980">
        <w:rPr>
          <w:rFonts w:ascii="Times New Roman" w:hAnsi="Times New Roman" w:cs="Times New Roman"/>
          <w:smallCaps/>
          <w:sz w:val="24"/>
          <w:szCs w:val="24"/>
        </w:rPr>
        <w:t xml:space="preserve"> Blackburn</w:t>
      </w:r>
      <w:r w:rsidRPr="003F5980">
        <w:rPr>
          <w:rFonts w:ascii="Times New Roman" w:hAnsi="Times New Roman" w:cs="Times New Roman"/>
          <w:sz w:val="24"/>
          <w:szCs w:val="24"/>
        </w:rPr>
        <w:t>, “</w:t>
      </w:r>
      <w:r w:rsidRPr="003F5980">
        <w:rPr>
          <w:rFonts w:ascii="Times New Roman" w:hAnsi="Times New Roman" w:cs="Times New Roman"/>
          <w:i/>
          <w:iCs/>
          <w:sz w:val="24"/>
          <w:szCs w:val="24"/>
        </w:rPr>
        <w:t xml:space="preserve">La scienza che allunga la vita. La rivoluzione dei </w:t>
      </w:r>
      <w:proofErr w:type="spellStart"/>
      <w:r w:rsidRPr="003F5980">
        <w:rPr>
          <w:rFonts w:ascii="Times New Roman" w:hAnsi="Times New Roman" w:cs="Times New Roman"/>
          <w:i/>
          <w:iCs/>
          <w:sz w:val="24"/>
          <w:szCs w:val="24"/>
        </w:rPr>
        <w:t>telomeri</w:t>
      </w:r>
      <w:proofErr w:type="spellEnd"/>
      <w:r w:rsidRPr="003F5980">
        <w:rPr>
          <w:rFonts w:ascii="Times New Roman" w:hAnsi="Times New Roman" w:cs="Times New Roman"/>
          <w:sz w:val="24"/>
          <w:szCs w:val="24"/>
        </w:rPr>
        <w:t>”, 2017, in cui l’autrice sostiene che i vissuti psicologici modulano l’attività del DNA e che ognuno di noi è soprattutto ciò che c’è nella sua psiche, è la dimensione psicologica che ci rende felici o ci rende tristi, al di là dei fatti del mondo.</w:t>
      </w:r>
    </w:p>
  </w:footnote>
  <w:footnote w:id="105">
    <w:p w14:paraId="39B42271" w14:textId="5C9841CF" w:rsidR="000463A6" w:rsidRPr="00260F93" w:rsidRDefault="000463A6" w:rsidP="00260F93">
      <w:pPr>
        <w:pStyle w:val="Testonotaapidipagina"/>
        <w:jc w:val="both"/>
        <w:rPr>
          <w:rFonts w:ascii="Times New Roman" w:hAnsi="Times New Roman" w:cs="Times New Roman"/>
          <w:sz w:val="24"/>
          <w:szCs w:val="24"/>
        </w:rPr>
      </w:pPr>
      <w:r w:rsidRPr="00260F93">
        <w:rPr>
          <w:rStyle w:val="Rimandonotaapidipagina"/>
          <w:rFonts w:ascii="Times New Roman" w:hAnsi="Times New Roman" w:cs="Times New Roman"/>
          <w:sz w:val="24"/>
          <w:szCs w:val="24"/>
        </w:rPr>
        <w:footnoteRef/>
      </w:r>
      <w:r w:rsidRPr="00260F93">
        <w:rPr>
          <w:rFonts w:ascii="Times New Roman" w:hAnsi="Times New Roman" w:cs="Times New Roman"/>
          <w:sz w:val="24"/>
          <w:szCs w:val="24"/>
        </w:rPr>
        <w:t xml:space="preserve"> </w:t>
      </w:r>
      <w:r w:rsidRPr="00260F93">
        <w:rPr>
          <w:rFonts w:ascii="Times New Roman" w:hAnsi="Times New Roman" w:cs="Times New Roman"/>
          <w:smallCaps/>
          <w:sz w:val="24"/>
          <w:szCs w:val="24"/>
        </w:rPr>
        <w:t>G. Griziotti</w:t>
      </w:r>
      <w:r w:rsidRPr="00260F93">
        <w:rPr>
          <w:rFonts w:ascii="Times New Roman" w:hAnsi="Times New Roman" w:cs="Times New Roman"/>
          <w:sz w:val="24"/>
          <w:szCs w:val="24"/>
        </w:rPr>
        <w:t xml:space="preserve">, </w:t>
      </w:r>
      <w:r w:rsidRPr="00260F93">
        <w:rPr>
          <w:rFonts w:ascii="Times New Roman" w:hAnsi="Times New Roman" w:cs="Times New Roman"/>
          <w:i/>
          <w:iCs/>
          <w:sz w:val="24"/>
          <w:szCs w:val="24"/>
        </w:rPr>
        <w:t>“</w:t>
      </w:r>
      <w:proofErr w:type="spellStart"/>
      <w:r w:rsidRPr="00260F93">
        <w:rPr>
          <w:rFonts w:ascii="Times New Roman" w:hAnsi="Times New Roman" w:cs="Times New Roman"/>
          <w:i/>
          <w:iCs/>
          <w:sz w:val="24"/>
          <w:szCs w:val="24"/>
        </w:rPr>
        <w:t>Neurocapitalismo</w:t>
      </w:r>
      <w:proofErr w:type="spellEnd"/>
      <w:r w:rsidRPr="00260F93">
        <w:rPr>
          <w:rFonts w:ascii="Times New Roman" w:hAnsi="Times New Roman" w:cs="Times New Roman"/>
          <w:i/>
          <w:iCs/>
          <w:sz w:val="24"/>
          <w:szCs w:val="24"/>
        </w:rPr>
        <w:t>: mediazioni tecnologiche e linee di fuga</w:t>
      </w:r>
      <w:r w:rsidRPr="00260F93">
        <w:rPr>
          <w:rFonts w:ascii="Times New Roman" w:hAnsi="Times New Roman" w:cs="Times New Roman"/>
          <w:sz w:val="24"/>
          <w:szCs w:val="24"/>
        </w:rPr>
        <w:t>”, 2016.</w:t>
      </w:r>
    </w:p>
  </w:footnote>
  <w:footnote w:id="106">
    <w:p w14:paraId="5B522ADC" w14:textId="70D936CD" w:rsidR="000463A6" w:rsidRPr="00260F93" w:rsidRDefault="000463A6" w:rsidP="00260F93">
      <w:pPr>
        <w:pStyle w:val="Testonotaapidipagina"/>
        <w:jc w:val="both"/>
        <w:rPr>
          <w:lang w:val="en-US"/>
        </w:rPr>
      </w:pPr>
      <w:r w:rsidRPr="00260F93">
        <w:rPr>
          <w:rStyle w:val="Rimandonotaapidipagina"/>
          <w:rFonts w:ascii="Times New Roman" w:hAnsi="Times New Roman" w:cs="Times New Roman"/>
          <w:sz w:val="24"/>
          <w:szCs w:val="24"/>
        </w:rPr>
        <w:footnoteRef/>
      </w:r>
      <w:r w:rsidRPr="00260F93">
        <w:rPr>
          <w:rFonts w:ascii="Times New Roman" w:hAnsi="Times New Roman" w:cs="Times New Roman"/>
          <w:sz w:val="24"/>
          <w:szCs w:val="24"/>
        </w:rPr>
        <w:t xml:space="preserve"> Sul tema v. </w:t>
      </w:r>
      <w:r w:rsidRPr="00260F93">
        <w:rPr>
          <w:rFonts w:ascii="Times New Roman" w:hAnsi="Times New Roman" w:cs="Times New Roman"/>
          <w:smallCaps/>
          <w:sz w:val="24"/>
          <w:szCs w:val="24"/>
        </w:rPr>
        <w:t>A. Traversi</w:t>
      </w:r>
      <w:r w:rsidRPr="00260F93">
        <w:rPr>
          <w:rFonts w:ascii="Times New Roman" w:hAnsi="Times New Roman" w:cs="Times New Roman"/>
          <w:sz w:val="24"/>
          <w:szCs w:val="24"/>
        </w:rPr>
        <w:t>, “</w:t>
      </w:r>
      <w:r w:rsidRPr="00260F93">
        <w:rPr>
          <w:rFonts w:ascii="Times New Roman" w:hAnsi="Times New Roman" w:cs="Times New Roman"/>
          <w:i/>
          <w:iCs/>
          <w:sz w:val="24"/>
          <w:szCs w:val="24"/>
        </w:rPr>
        <w:t>Intelligenza artificiale applicata alla giustizia</w:t>
      </w:r>
      <w:r w:rsidRPr="00260F93">
        <w:rPr>
          <w:rFonts w:ascii="Times New Roman" w:hAnsi="Times New Roman" w:cs="Times New Roman"/>
          <w:sz w:val="24"/>
          <w:szCs w:val="24"/>
        </w:rPr>
        <w:t xml:space="preserve">”, 2005; </w:t>
      </w:r>
      <w:r w:rsidRPr="00260F93">
        <w:rPr>
          <w:rFonts w:ascii="Times New Roman" w:hAnsi="Times New Roman" w:cs="Times New Roman"/>
          <w:smallCaps/>
          <w:sz w:val="24"/>
          <w:szCs w:val="24"/>
        </w:rPr>
        <w:t xml:space="preserve">S. </w:t>
      </w:r>
      <w:proofErr w:type="spellStart"/>
      <w:r w:rsidRPr="00260F93">
        <w:rPr>
          <w:rFonts w:ascii="Times New Roman" w:hAnsi="Times New Roman" w:cs="Times New Roman"/>
          <w:smallCaps/>
          <w:sz w:val="24"/>
          <w:szCs w:val="24"/>
        </w:rPr>
        <w:t>Gaboriau</w:t>
      </w:r>
      <w:proofErr w:type="spellEnd"/>
      <w:r w:rsidRPr="00260F93">
        <w:rPr>
          <w:rFonts w:ascii="Times New Roman" w:hAnsi="Times New Roman" w:cs="Times New Roman"/>
          <w:sz w:val="24"/>
          <w:szCs w:val="24"/>
        </w:rPr>
        <w:t>,</w:t>
      </w:r>
      <w:r w:rsidRPr="00260F93">
        <w:rPr>
          <w:rFonts w:ascii="Times New Roman" w:hAnsi="Times New Roman" w:cs="Times New Roman"/>
          <w:i/>
          <w:iCs/>
          <w:sz w:val="24"/>
          <w:szCs w:val="24"/>
        </w:rPr>
        <w:t xml:space="preserve"> </w:t>
      </w:r>
      <w:r w:rsidRPr="00260F93">
        <w:rPr>
          <w:rFonts w:ascii="Times New Roman" w:hAnsi="Times New Roman" w:cs="Times New Roman"/>
          <w:sz w:val="24"/>
          <w:szCs w:val="24"/>
        </w:rPr>
        <w:t>“</w:t>
      </w:r>
      <w:r w:rsidRPr="00260F93">
        <w:rPr>
          <w:rFonts w:ascii="Times New Roman" w:hAnsi="Times New Roman" w:cs="Times New Roman"/>
          <w:i/>
          <w:iCs/>
          <w:sz w:val="24"/>
          <w:szCs w:val="24"/>
        </w:rPr>
        <w:t>Libertà e umanità del giudice: due valori fondamentali della giustizia. La giustizia digitale può garantire nel tempo la fedeltà a questi valori?</w:t>
      </w:r>
      <w:r w:rsidRPr="00260F93">
        <w:rPr>
          <w:rFonts w:ascii="Times New Roman" w:hAnsi="Times New Roman" w:cs="Times New Roman"/>
          <w:sz w:val="24"/>
          <w:szCs w:val="24"/>
        </w:rPr>
        <w:t xml:space="preserve">”, in </w:t>
      </w:r>
      <w:r w:rsidRPr="00260F93">
        <w:rPr>
          <w:rFonts w:ascii="Times New Roman" w:hAnsi="Times New Roman" w:cs="Times New Roman"/>
          <w:i/>
          <w:iCs/>
          <w:sz w:val="24"/>
          <w:szCs w:val="24"/>
        </w:rPr>
        <w:t>Questione Giustizia</w:t>
      </w:r>
      <w:r w:rsidRPr="00260F93">
        <w:rPr>
          <w:rFonts w:ascii="Times New Roman" w:hAnsi="Times New Roman" w:cs="Times New Roman"/>
          <w:sz w:val="24"/>
          <w:szCs w:val="24"/>
        </w:rPr>
        <w:t xml:space="preserve">, fasc. 4, 2018; </w:t>
      </w:r>
      <w:r w:rsidRPr="00260F93">
        <w:rPr>
          <w:rFonts w:ascii="Times New Roman" w:hAnsi="Times New Roman" w:cs="Times New Roman"/>
          <w:smallCaps/>
          <w:sz w:val="24"/>
          <w:szCs w:val="24"/>
        </w:rPr>
        <w:t>G. Zara</w:t>
      </w:r>
      <w:r w:rsidRPr="00260F93">
        <w:rPr>
          <w:rFonts w:ascii="Times New Roman" w:hAnsi="Times New Roman" w:cs="Times New Roman"/>
          <w:sz w:val="24"/>
          <w:szCs w:val="24"/>
        </w:rPr>
        <w:t>, “</w:t>
      </w:r>
      <w:r w:rsidRPr="00260F93">
        <w:rPr>
          <w:rFonts w:ascii="Times New Roman" w:hAnsi="Times New Roman" w:cs="Times New Roman"/>
          <w:i/>
          <w:iCs/>
          <w:sz w:val="24"/>
          <w:szCs w:val="24"/>
        </w:rPr>
        <w:t>Tra il probabile e il certo. La valutazione del rischio di violenza e di recidiva criminale</w:t>
      </w:r>
      <w:r w:rsidRPr="00260F93">
        <w:rPr>
          <w:rFonts w:ascii="Times New Roman" w:hAnsi="Times New Roman" w:cs="Times New Roman"/>
          <w:sz w:val="24"/>
          <w:szCs w:val="24"/>
        </w:rPr>
        <w:t xml:space="preserve">”, in </w:t>
      </w:r>
      <w:r w:rsidRPr="00260F93">
        <w:rPr>
          <w:rFonts w:ascii="Times New Roman" w:hAnsi="Times New Roman" w:cs="Times New Roman"/>
          <w:i/>
          <w:iCs/>
          <w:sz w:val="24"/>
          <w:szCs w:val="24"/>
        </w:rPr>
        <w:t>Diritto penale contemporaneo</w:t>
      </w:r>
      <w:r w:rsidRPr="00260F93">
        <w:rPr>
          <w:rFonts w:ascii="Times New Roman" w:hAnsi="Times New Roman" w:cs="Times New Roman"/>
          <w:sz w:val="24"/>
          <w:szCs w:val="24"/>
        </w:rPr>
        <w:t xml:space="preserve">, 20 maggio 2016; </w:t>
      </w:r>
      <w:r w:rsidRPr="00260F93">
        <w:rPr>
          <w:rFonts w:ascii="Times New Roman" w:hAnsi="Times New Roman" w:cs="Times New Roman"/>
          <w:smallCaps/>
          <w:sz w:val="24"/>
          <w:szCs w:val="24"/>
        </w:rPr>
        <w:t>C. Bagnoli</w:t>
      </w:r>
      <w:r w:rsidRPr="00260F93">
        <w:rPr>
          <w:rFonts w:ascii="Times New Roman" w:hAnsi="Times New Roman" w:cs="Times New Roman"/>
          <w:sz w:val="24"/>
          <w:szCs w:val="24"/>
        </w:rPr>
        <w:t>, “</w:t>
      </w:r>
      <w:r w:rsidRPr="00260F93">
        <w:rPr>
          <w:rFonts w:ascii="Times New Roman" w:hAnsi="Times New Roman" w:cs="Times New Roman"/>
          <w:i/>
          <w:iCs/>
          <w:sz w:val="24"/>
          <w:szCs w:val="24"/>
        </w:rPr>
        <w:t>Teoria della responsabilità</w:t>
      </w:r>
      <w:r w:rsidRPr="00260F93">
        <w:rPr>
          <w:rFonts w:ascii="Times New Roman" w:hAnsi="Times New Roman" w:cs="Times New Roman"/>
          <w:sz w:val="24"/>
          <w:szCs w:val="24"/>
        </w:rPr>
        <w:t xml:space="preserve">”, 2019; </w:t>
      </w:r>
      <w:r w:rsidRPr="00260F93">
        <w:rPr>
          <w:rFonts w:ascii="Times New Roman" w:hAnsi="Times New Roman" w:cs="Times New Roman"/>
          <w:smallCaps/>
          <w:sz w:val="24"/>
          <w:szCs w:val="24"/>
        </w:rPr>
        <w:t xml:space="preserve">U. </w:t>
      </w:r>
      <w:proofErr w:type="spellStart"/>
      <w:r w:rsidRPr="00260F93">
        <w:rPr>
          <w:rFonts w:ascii="Times New Roman" w:hAnsi="Times New Roman" w:cs="Times New Roman"/>
          <w:smallCaps/>
          <w:sz w:val="24"/>
          <w:szCs w:val="24"/>
        </w:rPr>
        <w:t>Pagallo</w:t>
      </w:r>
      <w:proofErr w:type="spellEnd"/>
      <w:r w:rsidRPr="00260F93">
        <w:rPr>
          <w:rFonts w:ascii="Times New Roman" w:hAnsi="Times New Roman" w:cs="Times New Roman"/>
          <w:smallCaps/>
          <w:sz w:val="24"/>
          <w:szCs w:val="24"/>
        </w:rPr>
        <w:t xml:space="preserve">, S. </w:t>
      </w:r>
      <w:proofErr w:type="spellStart"/>
      <w:r w:rsidRPr="00260F93">
        <w:rPr>
          <w:rFonts w:ascii="Times New Roman" w:hAnsi="Times New Roman" w:cs="Times New Roman"/>
          <w:smallCaps/>
          <w:sz w:val="24"/>
          <w:szCs w:val="24"/>
        </w:rPr>
        <w:t>Quattrocolo</w:t>
      </w:r>
      <w:proofErr w:type="spellEnd"/>
      <w:r w:rsidRPr="00260F93">
        <w:rPr>
          <w:rFonts w:ascii="Times New Roman" w:hAnsi="Times New Roman" w:cs="Times New Roman"/>
          <w:sz w:val="24"/>
          <w:szCs w:val="24"/>
        </w:rPr>
        <w:t>, “</w:t>
      </w:r>
      <w:r w:rsidRPr="00260F93">
        <w:rPr>
          <w:rFonts w:ascii="Times New Roman" w:hAnsi="Times New Roman" w:cs="Times New Roman"/>
          <w:i/>
          <w:iCs/>
          <w:sz w:val="24"/>
          <w:szCs w:val="24"/>
        </w:rPr>
        <w:t xml:space="preserve">The impact of </w:t>
      </w:r>
      <w:proofErr w:type="gramStart"/>
      <w:r w:rsidRPr="00260F93">
        <w:rPr>
          <w:rFonts w:ascii="Times New Roman" w:hAnsi="Times New Roman" w:cs="Times New Roman"/>
          <w:i/>
          <w:iCs/>
          <w:sz w:val="24"/>
          <w:szCs w:val="24"/>
        </w:rPr>
        <w:t>AI</w:t>
      </w:r>
      <w:proofErr w:type="gramEnd"/>
      <w:r w:rsidRPr="00260F93">
        <w:rPr>
          <w:rFonts w:ascii="Times New Roman" w:hAnsi="Times New Roman" w:cs="Times New Roman"/>
          <w:i/>
          <w:iCs/>
          <w:sz w:val="24"/>
          <w:szCs w:val="24"/>
        </w:rPr>
        <w:t xml:space="preserve"> on </w:t>
      </w:r>
      <w:proofErr w:type="spellStart"/>
      <w:r w:rsidRPr="00260F93">
        <w:rPr>
          <w:rFonts w:ascii="Times New Roman" w:hAnsi="Times New Roman" w:cs="Times New Roman"/>
          <w:i/>
          <w:iCs/>
          <w:sz w:val="24"/>
          <w:szCs w:val="24"/>
        </w:rPr>
        <w:t>criminal</w:t>
      </w:r>
      <w:proofErr w:type="spellEnd"/>
      <w:r w:rsidRPr="00260F93">
        <w:rPr>
          <w:rFonts w:ascii="Times New Roman" w:hAnsi="Times New Roman" w:cs="Times New Roman"/>
          <w:i/>
          <w:iCs/>
          <w:sz w:val="24"/>
          <w:szCs w:val="24"/>
        </w:rPr>
        <w:t xml:space="preserve"> law, and </w:t>
      </w:r>
      <w:proofErr w:type="spellStart"/>
      <w:r w:rsidRPr="00260F93">
        <w:rPr>
          <w:rFonts w:ascii="Times New Roman" w:hAnsi="Times New Roman" w:cs="Times New Roman"/>
          <w:i/>
          <w:iCs/>
          <w:sz w:val="24"/>
          <w:szCs w:val="24"/>
        </w:rPr>
        <w:t>its</w:t>
      </w:r>
      <w:proofErr w:type="spellEnd"/>
      <w:r w:rsidRPr="00260F93">
        <w:rPr>
          <w:rFonts w:ascii="Times New Roman" w:hAnsi="Times New Roman" w:cs="Times New Roman"/>
          <w:i/>
          <w:iCs/>
          <w:sz w:val="24"/>
          <w:szCs w:val="24"/>
        </w:rPr>
        <w:t xml:space="preserve"> </w:t>
      </w:r>
      <w:proofErr w:type="spellStart"/>
      <w:r w:rsidRPr="00260F93">
        <w:rPr>
          <w:rFonts w:ascii="Times New Roman" w:hAnsi="Times New Roman" w:cs="Times New Roman"/>
          <w:i/>
          <w:iCs/>
          <w:sz w:val="24"/>
          <w:szCs w:val="24"/>
        </w:rPr>
        <w:t>two</w:t>
      </w:r>
      <w:proofErr w:type="spellEnd"/>
      <w:r w:rsidRPr="00260F93">
        <w:rPr>
          <w:rFonts w:ascii="Times New Roman" w:hAnsi="Times New Roman" w:cs="Times New Roman"/>
          <w:i/>
          <w:iCs/>
          <w:sz w:val="24"/>
          <w:szCs w:val="24"/>
        </w:rPr>
        <w:t xml:space="preserve"> </w:t>
      </w:r>
      <w:proofErr w:type="spellStart"/>
      <w:r w:rsidRPr="00260F93">
        <w:rPr>
          <w:rFonts w:ascii="Times New Roman" w:hAnsi="Times New Roman" w:cs="Times New Roman"/>
          <w:i/>
          <w:iCs/>
          <w:sz w:val="24"/>
          <w:szCs w:val="24"/>
        </w:rPr>
        <w:t>fold</w:t>
      </w:r>
      <w:proofErr w:type="spellEnd"/>
      <w:r w:rsidRPr="00260F93">
        <w:rPr>
          <w:rFonts w:ascii="Times New Roman" w:hAnsi="Times New Roman" w:cs="Times New Roman"/>
          <w:i/>
          <w:iCs/>
          <w:sz w:val="24"/>
          <w:szCs w:val="24"/>
        </w:rPr>
        <w:t xml:space="preserve"> </w:t>
      </w:r>
      <w:proofErr w:type="spellStart"/>
      <w:r w:rsidRPr="00260F93">
        <w:rPr>
          <w:rFonts w:ascii="Times New Roman" w:hAnsi="Times New Roman" w:cs="Times New Roman"/>
          <w:i/>
          <w:iCs/>
          <w:sz w:val="24"/>
          <w:szCs w:val="24"/>
        </w:rPr>
        <w:t>procedures</w:t>
      </w:r>
      <w:proofErr w:type="spellEnd"/>
      <w:r w:rsidRPr="00260F93">
        <w:rPr>
          <w:rFonts w:ascii="Times New Roman" w:hAnsi="Times New Roman" w:cs="Times New Roman"/>
          <w:sz w:val="24"/>
          <w:szCs w:val="24"/>
        </w:rPr>
        <w:t xml:space="preserve">”, in </w:t>
      </w:r>
      <w:r w:rsidRPr="00260F93">
        <w:rPr>
          <w:rFonts w:ascii="Times New Roman" w:hAnsi="Times New Roman" w:cs="Times New Roman"/>
          <w:smallCaps/>
          <w:sz w:val="24"/>
          <w:szCs w:val="24"/>
        </w:rPr>
        <w:t xml:space="preserve">W. </w:t>
      </w:r>
      <w:proofErr w:type="spellStart"/>
      <w:r w:rsidRPr="00260F93">
        <w:rPr>
          <w:rFonts w:ascii="Times New Roman" w:hAnsi="Times New Roman" w:cs="Times New Roman"/>
          <w:smallCaps/>
          <w:sz w:val="24"/>
          <w:szCs w:val="24"/>
        </w:rPr>
        <w:t>Barfield</w:t>
      </w:r>
      <w:proofErr w:type="spellEnd"/>
      <w:r w:rsidRPr="00260F93">
        <w:rPr>
          <w:rFonts w:ascii="Times New Roman" w:hAnsi="Times New Roman" w:cs="Times New Roman"/>
          <w:smallCaps/>
          <w:sz w:val="24"/>
          <w:szCs w:val="24"/>
        </w:rPr>
        <w:t xml:space="preserve">, U. </w:t>
      </w:r>
      <w:proofErr w:type="spellStart"/>
      <w:r w:rsidRPr="00260F93">
        <w:rPr>
          <w:rFonts w:ascii="Times New Roman" w:hAnsi="Times New Roman" w:cs="Times New Roman"/>
          <w:smallCaps/>
          <w:sz w:val="24"/>
          <w:szCs w:val="24"/>
        </w:rPr>
        <w:t>Pagallo</w:t>
      </w:r>
      <w:proofErr w:type="spellEnd"/>
      <w:r w:rsidRPr="00260F93">
        <w:rPr>
          <w:rFonts w:ascii="Times New Roman" w:hAnsi="Times New Roman" w:cs="Times New Roman"/>
          <w:sz w:val="24"/>
          <w:szCs w:val="24"/>
        </w:rPr>
        <w:t xml:space="preserve"> (a cura di), “</w:t>
      </w:r>
      <w:proofErr w:type="spellStart"/>
      <w:r w:rsidRPr="00260F93">
        <w:rPr>
          <w:rFonts w:ascii="Times New Roman" w:hAnsi="Times New Roman" w:cs="Times New Roman"/>
          <w:i/>
          <w:iCs/>
          <w:sz w:val="24"/>
          <w:szCs w:val="24"/>
        </w:rPr>
        <w:t>Research</w:t>
      </w:r>
      <w:proofErr w:type="spellEnd"/>
      <w:r w:rsidRPr="00260F93">
        <w:rPr>
          <w:rFonts w:ascii="Times New Roman" w:hAnsi="Times New Roman" w:cs="Times New Roman"/>
          <w:i/>
          <w:iCs/>
          <w:sz w:val="24"/>
          <w:szCs w:val="24"/>
        </w:rPr>
        <w:t xml:space="preserve"> </w:t>
      </w:r>
      <w:proofErr w:type="spellStart"/>
      <w:r w:rsidRPr="00260F93">
        <w:rPr>
          <w:rFonts w:ascii="Times New Roman" w:hAnsi="Times New Roman" w:cs="Times New Roman"/>
          <w:i/>
          <w:iCs/>
          <w:sz w:val="24"/>
          <w:szCs w:val="24"/>
        </w:rPr>
        <w:t>Handbook</w:t>
      </w:r>
      <w:proofErr w:type="spellEnd"/>
      <w:r w:rsidRPr="00260F93">
        <w:rPr>
          <w:rFonts w:ascii="Times New Roman" w:hAnsi="Times New Roman" w:cs="Times New Roman"/>
          <w:i/>
          <w:iCs/>
          <w:sz w:val="24"/>
          <w:szCs w:val="24"/>
        </w:rPr>
        <w:t xml:space="preserve"> on the Law of </w:t>
      </w:r>
      <w:proofErr w:type="spellStart"/>
      <w:r w:rsidRPr="00260F93">
        <w:rPr>
          <w:rFonts w:ascii="Times New Roman" w:hAnsi="Times New Roman" w:cs="Times New Roman"/>
          <w:i/>
          <w:iCs/>
          <w:sz w:val="24"/>
          <w:szCs w:val="24"/>
        </w:rPr>
        <w:t>Artificial</w:t>
      </w:r>
      <w:proofErr w:type="spellEnd"/>
      <w:r w:rsidRPr="00260F93">
        <w:rPr>
          <w:rFonts w:ascii="Times New Roman" w:hAnsi="Times New Roman" w:cs="Times New Roman"/>
          <w:i/>
          <w:iCs/>
          <w:sz w:val="24"/>
          <w:szCs w:val="24"/>
        </w:rPr>
        <w:t xml:space="preserve"> Intelligence</w:t>
      </w:r>
      <w:r w:rsidRPr="00260F93">
        <w:rPr>
          <w:rFonts w:ascii="Times New Roman" w:hAnsi="Times New Roman" w:cs="Times New Roman"/>
          <w:sz w:val="24"/>
          <w:szCs w:val="24"/>
        </w:rPr>
        <w:t xml:space="preserve">”, </w:t>
      </w:r>
      <w:r w:rsidRPr="00260F93">
        <w:rPr>
          <w:rFonts w:ascii="Times New Roman" w:hAnsi="Times New Roman" w:cs="Times New Roman"/>
          <w:i/>
          <w:iCs/>
          <w:sz w:val="24"/>
          <w:szCs w:val="24"/>
        </w:rPr>
        <w:t xml:space="preserve">Edward </w:t>
      </w:r>
      <w:proofErr w:type="spellStart"/>
      <w:r w:rsidRPr="00260F93">
        <w:rPr>
          <w:rFonts w:ascii="Times New Roman" w:hAnsi="Times New Roman" w:cs="Times New Roman"/>
          <w:i/>
          <w:iCs/>
          <w:sz w:val="24"/>
          <w:szCs w:val="24"/>
        </w:rPr>
        <w:t>Elgar</w:t>
      </w:r>
      <w:proofErr w:type="spellEnd"/>
      <w:r w:rsidRPr="00260F93">
        <w:rPr>
          <w:rFonts w:ascii="Times New Roman" w:hAnsi="Times New Roman" w:cs="Times New Roman"/>
          <w:i/>
          <w:iCs/>
          <w:sz w:val="24"/>
          <w:szCs w:val="24"/>
        </w:rPr>
        <w:t xml:space="preserve"> Pub</w:t>
      </w:r>
      <w:r w:rsidRPr="00260F93">
        <w:rPr>
          <w:rFonts w:ascii="Times New Roman" w:hAnsi="Times New Roman" w:cs="Times New Roman"/>
          <w:sz w:val="24"/>
          <w:szCs w:val="24"/>
        </w:rPr>
        <w:t xml:space="preserve">, 2018; </w:t>
      </w:r>
      <w:r w:rsidRPr="00260F93">
        <w:rPr>
          <w:rFonts w:ascii="Times New Roman" w:hAnsi="Times New Roman" w:cs="Times New Roman"/>
          <w:smallCaps/>
          <w:sz w:val="24"/>
          <w:szCs w:val="24"/>
        </w:rPr>
        <w:t>D. Lima</w:t>
      </w:r>
      <w:r w:rsidRPr="00260F93">
        <w:rPr>
          <w:rFonts w:ascii="Times New Roman" w:hAnsi="Times New Roman" w:cs="Times New Roman"/>
          <w:sz w:val="24"/>
          <w:szCs w:val="24"/>
        </w:rPr>
        <w:t>, “</w:t>
      </w:r>
      <w:proofErr w:type="spellStart"/>
      <w:r w:rsidRPr="00260F93">
        <w:rPr>
          <w:rFonts w:ascii="Times New Roman" w:hAnsi="Times New Roman" w:cs="Times New Roman"/>
          <w:i/>
          <w:iCs/>
          <w:sz w:val="24"/>
          <w:szCs w:val="24"/>
        </w:rPr>
        <w:t>Could</w:t>
      </w:r>
      <w:proofErr w:type="spellEnd"/>
      <w:r w:rsidRPr="00260F93">
        <w:rPr>
          <w:rFonts w:ascii="Times New Roman" w:hAnsi="Times New Roman" w:cs="Times New Roman"/>
          <w:i/>
          <w:iCs/>
          <w:sz w:val="24"/>
          <w:szCs w:val="24"/>
        </w:rPr>
        <w:t xml:space="preserve"> AI Agents Be </w:t>
      </w:r>
      <w:proofErr w:type="spellStart"/>
      <w:r w:rsidRPr="00260F93">
        <w:rPr>
          <w:rFonts w:ascii="Times New Roman" w:hAnsi="Times New Roman" w:cs="Times New Roman"/>
          <w:i/>
          <w:iCs/>
          <w:sz w:val="24"/>
          <w:szCs w:val="24"/>
        </w:rPr>
        <w:t>Held</w:t>
      </w:r>
      <w:proofErr w:type="spellEnd"/>
      <w:r w:rsidRPr="00260F93">
        <w:rPr>
          <w:rFonts w:ascii="Times New Roman" w:hAnsi="Times New Roman" w:cs="Times New Roman"/>
          <w:i/>
          <w:iCs/>
          <w:sz w:val="24"/>
          <w:szCs w:val="24"/>
        </w:rPr>
        <w:t xml:space="preserve"> </w:t>
      </w:r>
      <w:proofErr w:type="spellStart"/>
      <w:r w:rsidRPr="00260F93">
        <w:rPr>
          <w:rFonts w:ascii="Times New Roman" w:hAnsi="Times New Roman" w:cs="Times New Roman"/>
          <w:i/>
          <w:iCs/>
          <w:sz w:val="24"/>
          <w:szCs w:val="24"/>
        </w:rPr>
        <w:t>Criminally</w:t>
      </w:r>
      <w:proofErr w:type="spellEnd"/>
      <w:r w:rsidRPr="00260F93">
        <w:rPr>
          <w:rFonts w:ascii="Times New Roman" w:hAnsi="Times New Roman" w:cs="Times New Roman"/>
          <w:i/>
          <w:iCs/>
          <w:sz w:val="24"/>
          <w:szCs w:val="24"/>
        </w:rPr>
        <w:t xml:space="preserve"> </w:t>
      </w:r>
      <w:proofErr w:type="spellStart"/>
      <w:r w:rsidRPr="00260F93">
        <w:rPr>
          <w:rFonts w:ascii="Times New Roman" w:hAnsi="Times New Roman" w:cs="Times New Roman"/>
          <w:i/>
          <w:iCs/>
          <w:sz w:val="24"/>
          <w:szCs w:val="24"/>
        </w:rPr>
        <w:t>Liable</w:t>
      </w:r>
      <w:proofErr w:type="spellEnd"/>
      <w:r w:rsidRPr="00260F93">
        <w:rPr>
          <w:rFonts w:ascii="Times New Roman" w:hAnsi="Times New Roman" w:cs="Times New Roman"/>
          <w:i/>
          <w:iCs/>
          <w:sz w:val="24"/>
          <w:szCs w:val="24"/>
        </w:rPr>
        <w:t xml:space="preserve">? </w:t>
      </w:r>
      <w:r w:rsidRPr="00260F93">
        <w:rPr>
          <w:rFonts w:ascii="Times New Roman" w:hAnsi="Times New Roman" w:cs="Times New Roman"/>
          <w:i/>
          <w:iCs/>
          <w:sz w:val="24"/>
          <w:szCs w:val="24"/>
          <w:lang w:val="en-US"/>
        </w:rPr>
        <w:t xml:space="preserve">Artificial Intelligence and the </w:t>
      </w:r>
      <w:proofErr w:type="spellStart"/>
      <w:r w:rsidRPr="00260F93">
        <w:rPr>
          <w:rFonts w:ascii="Times New Roman" w:hAnsi="Times New Roman" w:cs="Times New Roman"/>
          <w:i/>
          <w:iCs/>
          <w:sz w:val="24"/>
          <w:szCs w:val="24"/>
          <w:lang w:val="en-US"/>
        </w:rPr>
        <w:t>Challanges</w:t>
      </w:r>
      <w:proofErr w:type="spellEnd"/>
      <w:r w:rsidRPr="00260F93">
        <w:rPr>
          <w:rFonts w:ascii="Times New Roman" w:hAnsi="Times New Roman" w:cs="Times New Roman"/>
          <w:i/>
          <w:iCs/>
          <w:sz w:val="24"/>
          <w:szCs w:val="24"/>
          <w:lang w:val="en-US"/>
        </w:rPr>
        <w:t xml:space="preserve"> for Criminal Law</w:t>
      </w:r>
      <w:r w:rsidRPr="00260F93">
        <w:rPr>
          <w:rFonts w:ascii="Times New Roman" w:hAnsi="Times New Roman" w:cs="Times New Roman"/>
          <w:sz w:val="24"/>
          <w:szCs w:val="24"/>
          <w:lang w:val="en-US"/>
        </w:rPr>
        <w:t xml:space="preserve">”, in </w:t>
      </w:r>
      <w:r w:rsidRPr="00260F93">
        <w:rPr>
          <w:rFonts w:ascii="Times New Roman" w:hAnsi="Times New Roman" w:cs="Times New Roman"/>
          <w:i/>
          <w:iCs/>
          <w:sz w:val="24"/>
          <w:szCs w:val="24"/>
          <w:lang w:val="en-US"/>
        </w:rPr>
        <w:t>South Carolina Law Review</w:t>
      </w:r>
      <w:r w:rsidRPr="00260F93">
        <w:rPr>
          <w:rFonts w:ascii="Times New Roman" w:hAnsi="Times New Roman" w:cs="Times New Roman"/>
          <w:sz w:val="24"/>
          <w:szCs w:val="24"/>
          <w:lang w:val="en-US"/>
        </w:rPr>
        <w:t xml:space="preserve">, 2018; </w:t>
      </w:r>
      <w:r w:rsidRPr="00260F93">
        <w:rPr>
          <w:rFonts w:ascii="Times New Roman" w:hAnsi="Times New Roman" w:cs="Times New Roman"/>
          <w:smallCaps/>
          <w:sz w:val="24"/>
          <w:szCs w:val="24"/>
          <w:lang w:val="en-US"/>
        </w:rPr>
        <w:t xml:space="preserve">T. King, N. Aggarwal, M. Taddeo, L. </w:t>
      </w:r>
      <w:proofErr w:type="spellStart"/>
      <w:r w:rsidRPr="00260F93">
        <w:rPr>
          <w:rFonts w:ascii="Times New Roman" w:hAnsi="Times New Roman" w:cs="Times New Roman"/>
          <w:smallCaps/>
          <w:sz w:val="24"/>
          <w:szCs w:val="24"/>
          <w:lang w:val="en-US"/>
        </w:rPr>
        <w:t>Floridi</w:t>
      </w:r>
      <w:proofErr w:type="spellEnd"/>
      <w:r w:rsidRPr="00260F93">
        <w:rPr>
          <w:rFonts w:ascii="Times New Roman" w:hAnsi="Times New Roman" w:cs="Times New Roman"/>
          <w:smallCaps/>
          <w:sz w:val="24"/>
          <w:szCs w:val="24"/>
          <w:lang w:val="en-US"/>
        </w:rPr>
        <w:t>,</w:t>
      </w:r>
      <w:r w:rsidRPr="00260F93">
        <w:rPr>
          <w:rFonts w:ascii="Times New Roman" w:hAnsi="Times New Roman" w:cs="Times New Roman"/>
          <w:sz w:val="24"/>
          <w:szCs w:val="24"/>
          <w:lang w:val="en-US"/>
        </w:rPr>
        <w:t xml:space="preserve"> “</w:t>
      </w:r>
      <w:r w:rsidRPr="00260F93">
        <w:rPr>
          <w:rFonts w:ascii="Times New Roman" w:hAnsi="Times New Roman" w:cs="Times New Roman"/>
          <w:i/>
          <w:iCs/>
          <w:sz w:val="24"/>
          <w:szCs w:val="24"/>
          <w:lang w:val="en-US"/>
        </w:rPr>
        <w:t>Artificial Intelligence Crime: An Interdisciplinary Analysis of Foreseeable Threats and Solutions</w:t>
      </w:r>
      <w:r w:rsidRPr="00260F93">
        <w:rPr>
          <w:rFonts w:ascii="Times New Roman" w:hAnsi="Times New Roman" w:cs="Times New Roman"/>
          <w:sz w:val="24"/>
          <w:szCs w:val="24"/>
          <w:lang w:val="en-US"/>
        </w:rPr>
        <w:t xml:space="preserve">”, in </w:t>
      </w:r>
      <w:r w:rsidRPr="00260F93">
        <w:rPr>
          <w:rFonts w:ascii="Times New Roman" w:hAnsi="Times New Roman" w:cs="Times New Roman"/>
          <w:i/>
          <w:iCs/>
          <w:sz w:val="24"/>
          <w:szCs w:val="24"/>
          <w:lang w:val="en-US"/>
        </w:rPr>
        <w:t>Science and Engineering Ethics</w:t>
      </w:r>
      <w:r w:rsidRPr="00260F93">
        <w:rPr>
          <w:rFonts w:ascii="Times New Roman" w:hAnsi="Times New Roman" w:cs="Times New Roman"/>
          <w:sz w:val="24"/>
          <w:szCs w:val="24"/>
          <w:lang w:val="en-US"/>
        </w:rPr>
        <w:t xml:space="preserve">, 2019; </w:t>
      </w:r>
      <w:r w:rsidRPr="00260F93">
        <w:rPr>
          <w:rFonts w:ascii="Times New Roman" w:hAnsi="Times New Roman" w:cs="Times New Roman"/>
          <w:smallCaps/>
          <w:sz w:val="24"/>
          <w:szCs w:val="24"/>
          <w:lang w:val="en-US"/>
        </w:rPr>
        <w:t xml:space="preserve">S. </w:t>
      </w:r>
      <w:proofErr w:type="spellStart"/>
      <w:r w:rsidRPr="00260F93">
        <w:rPr>
          <w:rFonts w:ascii="Times New Roman" w:hAnsi="Times New Roman" w:cs="Times New Roman"/>
          <w:smallCaps/>
          <w:sz w:val="24"/>
          <w:szCs w:val="24"/>
          <w:lang w:val="en-US"/>
        </w:rPr>
        <w:t>Gleß</w:t>
      </w:r>
      <w:proofErr w:type="spellEnd"/>
      <w:r w:rsidRPr="00260F93">
        <w:rPr>
          <w:rFonts w:ascii="Times New Roman" w:hAnsi="Times New Roman" w:cs="Times New Roman"/>
          <w:smallCaps/>
          <w:sz w:val="24"/>
          <w:szCs w:val="24"/>
          <w:lang w:val="en-US"/>
        </w:rPr>
        <w:t xml:space="preserve">, E. Silverman, T. </w:t>
      </w:r>
      <w:proofErr w:type="spellStart"/>
      <w:r w:rsidRPr="00260F93">
        <w:rPr>
          <w:rFonts w:ascii="Times New Roman" w:hAnsi="Times New Roman" w:cs="Times New Roman"/>
          <w:smallCaps/>
          <w:sz w:val="24"/>
          <w:szCs w:val="24"/>
          <w:lang w:val="en-US"/>
        </w:rPr>
        <w:t>Weigend</w:t>
      </w:r>
      <w:proofErr w:type="spellEnd"/>
      <w:r w:rsidRPr="00260F93">
        <w:rPr>
          <w:rFonts w:ascii="Times New Roman" w:hAnsi="Times New Roman" w:cs="Times New Roman"/>
          <w:sz w:val="24"/>
          <w:szCs w:val="24"/>
          <w:lang w:val="en-US"/>
        </w:rPr>
        <w:t>, “</w:t>
      </w:r>
      <w:r w:rsidRPr="00260F93">
        <w:rPr>
          <w:rFonts w:ascii="Times New Roman" w:hAnsi="Times New Roman" w:cs="Times New Roman"/>
          <w:i/>
          <w:iCs/>
          <w:sz w:val="24"/>
          <w:szCs w:val="24"/>
          <w:lang w:val="en-US"/>
        </w:rPr>
        <w:t>If robots cause harm, who is to blame? Self-driving cars and criminal liability</w:t>
      </w:r>
      <w:r w:rsidRPr="00260F93">
        <w:rPr>
          <w:rFonts w:ascii="Times New Roman" w:hAnsi="Times New Roman" w:cs="Times New Roman"/>
          <w:sz w:val="24"/>
          <w:szCs w:val="24"/>
          <w:lang w:val="en-US"/>
        </w:rPr>
        <w:t xml:space="preserve">”, in </w:t>
      </w:r>
      <w:r w:rsidRPr="00260F93">
        <w:rPr>
          <w:rFonts w:ascii="Times New Roman" w:hAnsi="Times New Roman" w:cs="Times New Roman"/>
          <w:i/>
          <w:iCs/>
          <w:sz w:val="24"/>
          <w:szCs w:val="24"/>
          <w:lang w:val="en-US"/>
        </w:rPr>
        <w:t>New Criminal Law Review</w:t>
      </w:r>
      <w:r w:rsidRPr="00260F93">
        <w:rPr>
          <w:rFonts w:ascii="Times New Roman" w:hAnsi="Times New Roman" w:cs="Times New Roman"/>
          <w:sz w:val="24"/>
          <w:szCs w:val="24"/>
          <w:lang w:val="en-US"/>
        </w:rPr>
        <w:t xml:space="preserve">, 2016; </w:t>
      </w:r>
      <w:r w:rsidRPr="00260F93">
        <w:rPr>
          <w:rFonts w:ascii="Times New Roman" w:hAnsi="Times New Roman" w:cs="Times New Roman"/>
          <w:smallCaps/>
          <w:sz w:val="24"/>
          <w:szCs w:val="24"/>
          <w:lang w:val="en-US"/>
        </w:rPr>
        <w:t>P.</w:t>
      </w:r>
      <w:r w:rsidR="00AA0FDF">
        <w:rPr>
          <w:rFonts w:ascii="Times New Roman" w:hAnsi="Times New Roman" w:cs="Times New Roman"/>
          <w:smallCaps/>
          <w:sz w:val="24"/>
          <w:szCs w:val="24"/>
          <w:lang w:val="en-US"/>
        </w:rPr>
        <w:t xml:space="preserve"> </w:t>
      </w:r>
      <w:proofErr w:type="spellStart"/>
      <w:r w:rsidRPr="00260F93">
        <w:rPr>
          <w:rFonts w:ascii="Times New Roman" w:hAnsi="Times New Roman" w:cs="Times New Roman"/>
          <w:smallCaps/>
          <w:sz w:val="24"/>
          <w:szCs w:val="24"/>
          <w:lang w:val="en-US"/>
        </w:rPr>
        <w:t>Asaro</w:t>
      </w:r>
      <w:proofErr w:type="spellEnd"/>
      <w:r w:rsidRPr="00260F93">
        <w:rPr>
          <w:rFonts w:ascii="Times New Roman" w:hAnsi="Times New Roman" w:cs="Times New Roman"/>
          <w:sz w:val="24"/>
          <w:szCs w:val="24"/>
          <w:lang w:val="en-US"/>
        </w:rPr>
        <w:t>, “</w:t>
      </w:r>
      <w:r w:rsidRPr="00260F93">
        <w:rPr>
          <w:rFonts w:ascii="Times New Roman" w:hAnsi="Times New Roman" w:cs="Times New Roman"/>
          <w:i/>
          <w:iCs/>
          <w:sz w:val="24"/>
          <w:szCs w:val="24"/>
          <w:lang w:val="en-US"/>
        </w:rPr>
        <w:t>A body to Kick, but Still No Soul to Damn: Legal Perspectives on Robotics</w:t>
      </w:r>
      <w:r w:rsidRPr="00260F93">
        <w:rPr>
          <w:rFonts w:ascii="Times New Roman" w:hAnsi="Times New Roman" w:cs="Times New Roman"/>
          <w:sz w:val="24"/>
          <w:szCs w:val="24"/>
          <w:lang w:val="en-US"/>
        </w:rPr>
        <w:t xml:space="preserve">”, in </w:t>
      </w:r>
      <w:r w:rsidRPr="00260F93">
        <w:rPr>
          <w:rFonts w:ascii="Times New Roman" w:hAnsi="Times New Roman" w:cs="Times New Roman"/>
          <w:smallCaps/>
          <w:sz w:val="24"/>
          <w:szCs w:val="24"/>
          <w:lang w:val="en-US"/>
        </w:rPr>
        <w:t xml:space="preserve">P. Lin, K. Abney, G. A. </w:t>
      </w:r>
      <w:proofErr w:type="spellStart"/>
      <w:r w:rsidRPr="00260F93">
        <w:rPr>
          <w:rFonts w:ascii="Times New Roman" w:hAnsi="Times New Roman" w:cs="Times New Roman"/>
          <w:smallCaps/>
          <w:sz w:val="24"/>
          <w:szCs w:val="24"/>
          <w:lang w:val="en-US"/>
        </w:rPr>
        <w:t>Bekey</w:t>
      </w:r>
      <w:proofErr w:type="spellEnd"/>
      <w:r w:rsidRPr="00260F93">
        <w:rPr>
          <w:rFonts w:ascii="Times New Roman" w:hAnsi="Times New Roman" w:cs="Times New Roman"/>
          <w:sz w:val="24"/>
          <w:szCs w:val="24"/>
          <w:lang w:val="en-US"/>
        </w:rPr>
        <w:t xml:space="preserve"> (a </w:t>
      </w:r>
      <w:proofErr w:type="spellStart"/>
      <w:r w:rsidRPr="00260F93">
        <w:rPr>
          <w:rFonts w:ascii="Times New Roman" w:hAnsi="Times New Roman" w:cs="Times New Roman"/>
          <w:sz w:val="24"/>
          <w:szCs w:val="24"/>
          <w:lang w:val="en-US"/>
        </w:rPr>
        <w:t>cura</w:t>
      </w:r>
      <w:proofErr w:type="spellEnd"/>
      <w:r w:rsidRPr="00260F93">
        <w:rPr>
          <w:rFonts w:ascii="Times New Roman" w:hAnsi="Times New Roman" w:cs="Times New Roman"/>
          <w:sz w:val="24"/>
          <w:szCs w:val="24"/>
          <w:lang w:val="en-US"/>
        </w:rPr>
        <w:t xml:space="preserve"> di), “</w:t>
      </w:r>
      <w:r w:rsidRPr="00260F93">
        <w:rPr>
          <w:rFonts w:ascii="Times New Roman" w:hAnsi="Times New Roman" w:cs="Times New Roman"/>
          <w:i/>
          <w:iCs/>
          <w:sz w:val="24"/>
          <w:szCs w:val="24"/>
          <w:lang w:val="en-US"/>
        </w:rPr>
        <w:t>Robot Ethics</w:t>
      </w:r>
      <w:r w:rsidRPr="00260F93">
        <w:rPr>
          <w:rFonts w:ascii="Times New Roman" w:hAnsi="Times New Roman" w:cs="Times New Roman"/>
          <w:sz w:val="24"/>
          <w:szCs w:val="24"/>
          <w:lang w:val="en-US"/>
        </w:rPr>
        <w:t xml:space="preserve">”, </w:t>
      </w:r>
      <w:r w:rsidRPr="00260F93">
        <w:rPr>
          <w:rFonts w:ascii="Times New Roman" w:hAnsi="Times New Roman" w:cs="Times New Roman"/>
          <w:i/>
          <w:iCs/>
          <w:sz w:val="24"/>
          <w:szCs w:val="24"/>
          <w:lang w:val="en-US"/>
        </w:rPr>
        <w:t>MIT Press</w:t>
      </w:r>
      <w:r w:rsidRPr="00260F93">
        <w:rPr>
          <w:rFonts w:ascii="Times New Roman" w:hAnsi="Times New Roman" w:cs="Times New Roman"/>
          <w:sz w:val="24"/>
          <w:szCs w:val="24"/>
          <w:lang w:val="en-US"/>
        </w:rPr>
        <w:t>, 2012.</w:t>
      </w:r>
    </w:p>
  </w:footnote>
  <w:footnote w:id="107">
    <w:p w14:paraId="66A8FBB4" w14:textId="24E8F802" w:rsidR="000463A6" w:rsidRPr="00C81D0C" w:rsidRDefault="000463A6" w:rsidP="00C81D0C">
      <w:pPr>
        <w:pStyle w:val="Testonotaapidipagina"/>
        <w:jc w:val="both"/>
        <w:rPr>
          <w:rFonts w:ascii="Times New Roman" w:hAnsi="Times New Roman" w:cs="Times New Roman"/>
          <w:sz w:val="24"/>
          <w:szCs w:val="24"/>
        </w:rPr>
      </w:pPr>
      <w:r w:rsidRPr="00C81D0C">
        <w:rPr>
          <w:rStyle w:val="Rimandonotaapidipagina"/>
          <w:rFonts w:ascii="Times New Roman" w:hAnsi="Times New Roman" w:cs="Times New Roman"/>
          <w:sz w:val="24"/>
          <w:szCs w:val="24"/>
        </w:rPr>
        <w:footnoteRef/>
      </w:r>
      <w:r w:rsidRPr="00C81D0C">
        <w:rPr>
          <w:rFonts w:ascii="Times New Roman" w:hAnsi="Times New Roman" w:cs="Times New Roman"/>
          <w:sz w:val="24"/>
          <w:szCs w:val="24"/>
        </w:rPr>
        <w:t xml:space="preserve"> </w:t>
      </w:r>
      <w:r w:rsidRPr="00C81D0C">
        <w:rPr>
          <w:rFonts w:ascii="Times New Roman" w:hAnsi="Times New Roman" w:cs="Times New Roman"/>
          <w:smallCaps/>
          <w:sz w:val="24"/>
          <w:szCs w:val="24"/>
        </w:rPr>
        <w:t>C. Grandi</w:t>
      </w:r>
      <w:r w:rsidRPr="00C81D0C">
        <w:rPr>
          <w:rFonts w:ascii="Times New Roman" w:hAnsi="Times New Roman" w:cs="Times New Roman"/>
          <w:sz w:val="24"/>
          <w:szCs w:val="24"/>
        </w:rPr>
        <w:t>, “</w:t>
      </w:r>
      <w:r w:rsidRPr="00C81D0C">
        <w:rPr>
          <w:rFonts w:ascii="Times New Roman" w:hAnsi="Times New Roman" w:cs="Times New Roman"/>
          <w:i/>
          <w:iCs/>
          <w:sz w:val="24"/>
          <w:szCs w:val="24"/>
        </w:rPr>
        <w:t>Neuroscienze e responsabilità penale: nuove soluzioni per problemi antichi</w:t>
      </w:r>
      <w:r w:rsidRPr="00C81D0C">
        <w:rPr>
          <w:rFonts w:ascii="Times New Roman" w:hAnsi="Times New Roman" w:cs="Times New Roman"/>
          <w:sz w:val="24"/>
          <w:szCs w:val="24"/>
        </w:rPr>
        <w:t>”, 2016</w:t>
      </w:r>
      <w:r w:rsidRPr="00C81D0C">
        <w:rPr>
          <w:rFonts w:ascii="Times New Roman" w:hAnsi="Times New Roman" w:cs="Times New Roman"/>
          <w:i/>
          <w:iCs/>
          <w:sz w:val="24"/>
          <w:szCs w:val="24"/>
        </w:rPr>
        <w:t xml:space="preserve">; </w:t>
      </w:r>
      <w:r w:rsidRPr="00C81D0C">
        <w:rPr>
          <w:rFonts w:ascii="Times New Roman" w:hAnsi="Times New Roman" w:cs="Times New Roman"/>
          <w:smallCaps/>
          <w:sz w:val="24"/>
          <w:szCs w:val="24"/>
        </w:rPr>
        <w:t>L. Algeri</w:t>
      </w:r>
      <w:r>
        <w:rPr>
          <w:rFonts w:ascii="Times New Roman" w:hAnsi="Times New Roman" w:cs="Times New Roman"/>
          <w:smallCaps/>
          <w:sz w:val="24"/>
          <w:szCs w:val="24"/>
        </w:rPr>
        <w:t>,</w:t>
      </w:r>
      <w:r w:rsidRPr="00C81D0C">
        <w:rPr>
          <w:rFonts w:ascii="Times New Roman" w:hAnsi="Times New Roman" w:cs="Times New Roman"/>
          <w:sz w:val="24"/>
          <w:szCs w:val="24"/>
        </w:rPr>
        <w:t xml:space="preserve"> “</w:t>
      </w:r>
      <w:r w:rsidRPr="00C81D0C">
        <w:rPr>
          <w:rFonts w:ascii="Times New Roman" w:hAnsi="Times New Roman" w:cs="Times New Roman"/>
          <w:i/>
          <w:iCs/>
          <w:sz w:val="24"/>
          <w:szCs w:val="24"/>
        </w:rPr>
        <w:t>Neuroscienze e testimonianza della persona offesa</w:t>
      </w:r>
      <w:r w:rsidRPr="00C81D0C">
        <w:rPr>
          <w:rFonts w:ascii="Times New Roman" w:hAnsi="Times New Roman" w:cs="Times New Roman"/>
          <w:sz w:val="24"/>
          <w:szCs w:val="24"/>
        </w:rPr>
        <w:t xml:space="preserve">”, </w:t>
      </w:r>
      <w:r>
        <w:rPr>
          <w:rFonts w:ascii="Times New Roman" w:hAnsi="Times New Roman" w:cs="Times New Roman"/>
          <w:sz w:val="24"/>
          <w:szCs w:val="24"/>
        </w:rPr>
        <w:t xml:space="preserve">2012; </w:t>
      </w:r>
      <w:r w:rsidRPr="00C81D0C">
        <w:rPr>
          <w:rFonts w:ascii="Times New Roman" w:hAnsi="Times New Roman" w:cs="Times New Roman"/>
          <w:smallCaps/>
          <w:sz w:val="24"/>
          <w:szCs w:val="24"/>
        </w:rPr>
        <w:t xml:space="preserve">F. </w:t>
      </w:r>
      <w:proofErr w:type="spellStart"/>
      <w:r w:rsidRPr="00C81D0C">
        <w:rPr>
          <w:rFonts w:ascii="Times New Roman" w:hAnsi="Times New Roman" w:cs="Times New Roman"/>
          <w:smallCaps/>
          <w:sz w:val="24"/>
          <w:szCs w:val="24"/>
        </w:rPr>
        <w:t>Casasole</w:t>
      </w:r>
      <w:proofErr w:type="spellEnd"/>
      <w:r>
        <w:rPr>
          <w:rFonts w:ascii="Times New Roman" w:hAnsi="Times New Roman" w:cs="Times New Roman"/>
          <w:sz w:val="24"/>
          <w:szCs w:val="24"/>
        </w:rPr>
        <w:t>,</w:t>
      </w:r>
      <w:r w:rsidRPr="00C81D0C">
        <w:rPr>
          <w:rFonts w:ascii="Times New Roman" w:hAnsi="Times New Roman" w:cs="Times New Roman"/>
          <w:sz w:val="24"/>
          <w:szCs w:val="24"/>
        </w:rPr>
        <w:t xml:space="preserve"> “</w:t>
      </w:r>
      <w:r w:rsidRPr="00C81D0C">
        <w:rPr>
          <w:rFonts w:ascii="Times New Roman" w:hAnsi="Times New Roman" w:cs="Times New Roman"/>
          <w:i/>
          <w:iCs/>
          <w:sz w:val="24"/>
          <w:szCs w:val="24"/>
        </w:rPr>
        <w:t>Neuroscienze, genetica comportamentale e processo penale</w:t>
      </w:r>
      <w:r w:rsidRPr="00C81D0C">
        <w:rPr>
          <w:rFonts w:ascii="Times New Roman" w:hAnsi="Times New Roman" w:cs="Times New Roman"/>
          <w:sz w:val="24"/>
          <w:szCs w:val="24"/>
        </w:rPr>
        <w:t xml:space="preserve">”, </w:t>
      </w:r>
      <w:r>
        <w:rPr>
          <w:rFonts w:ascii="Times New Roman" w:hAnsi="Times New Roman" w:cs="Times New Roman"/>
          <w:sz w:val="24"/>
          <w:szCs w:val="24"/>
        </w:rPr>
        <w:t xml:space="preserve">2012; </w:t>
      </w:r>
      <w:r w:rsidRPr="00C81D0C">
        <w:rPr>
          <w:rFonts w:ascii="Times New Roman" w:hAnsi="Times New Roman" w:cs="Times New Roman"/>
          <w:smallCaps/>
          <w:sz w:val="24"/>
          <w:szCs w:val="24"/>
        </w:rPr>
        <w:t xml:space="preserve">A. Lavazza, L. </w:t>
      </w:r>
      <w:proofErr w:type="spellStart"/>
      <w:r w:rsidRPr="00C81D0C">
        <w:rPr>
          <w:rFonts w:ascii="Times New Roman" w:hAnsi="Times New Roman" w:cs="Times New Roman"/>
          <w:smallCaps/>
          <w:sz w:val="24"/>
          <w:szCs w:val="24"/>
        </w:rPr>
        <w:t>Sammicheli</w:t>
      </w:r>
      <w:proofErr w:type="spellEnd"/>
      <w:r w:rsidRPr="00C81D0C">
        <w:rPr>
          <w:rFonts w:ascii="Times New Roman" w:hAnsi="Times New Roman" w:cs="Times New Roman"/>
          <w:sz w:val="24"/>
          <w:szCs w:val="24"/>
        </w:rPr>
        <w:t>,</w:t>
      </w:r>
      <w:r>
        <w:rPr>
          <w:rFonts w:ascii="Times New Roman" w:hAnsi="Times New Roman" w:cs="Times New Roman"/>
          <w:sz w:val="24"/>
          <w:szCs w:val="24"/>
        </w:rPr>
        <w:t xml:space="preserve"> “</w:t>
      </w:r>
      <w:r w:rsidRPr="00C81D0C">
        <w:rPr>
          <w:rFonts w:ascii="Times New Roman" w:hAnsi="Times New Roman" w:cs="Times New Roman"/>
          <w:i/>
          <w:iCs/>
          <w:sz w:val="24"/>
          <w:szCs w:val="24"/>
        </w:rPr>
        <w:t>Il delitto del cervello. La mente tra scienza e diritto</w:t>
      </w:r>
      <w:r w:rsidRPr="00C81D0C">
        <w:rPr>
          <w:rFonts w:ascii="Times New Roman" w:hAnsi="Times New Roman" w:cs="Times New Roman"/>
          <w:sz w:val="24"/>
          <w:szCs w:val="24"/>
        </w:rPr>
        <w:t>”, 2012;</w:t>
      </w:r>
      <w:r w:rsidRPr="00C81D0C">
        <w:rPr>
          <w:rFonts w:ascii="Times New Roman" w:hAnsi="Times New Roman" w:cs="Times New Roman"/>
          <w:i/>
          <w:iCs/>
          <w:sz w:val="24"/>
          <w:szCs w:val="24"/>
        </w:rPr>
        <w:t xml:space="preserve"> </w:t>
      </w:r>
      <w:r w:rsidRPr="00C81D0C">
        <w:rPr>
          <w:rFonts w:ascii="Times New Roman" w:hAnsi="Times New Roman" w:cs="Times New Roman"/>
          <w:smallCaps/>
          <w:sz w:val="24"/>
          <w:szCs w:val="24"/>
        </w:rPr>
        <w:t xml:space="preserve">D. M. </w:t>
      </w:r>
      <w:proofErr w:type="spellStart"/>
      <w:r w:rsidRPr="00C81D0C">
        <w:rPr>
          <w:rFonts w:ascii="Times New Roman" w:hAnsi="Times New Roman" w:cs="Times New Roman"/>
          <w:smallCaps/>
          <w:sz w:val="24"/>
          <w:szCs w:val="24"/>
        </w:rPr>
        <w:t>Wegner</w:t>
      </w:r>
      <w:proofErr w:type="spellEnd"/>
      <w:r w:rsidRPr="00C81D0C">
        <w:rPr>
          <w:rFonts w:ascii="Times New Roman" w:hAnsi="Times New Roman" w:cs="Times New Roman"/>
          <w:i/>
          <w:iCs/>
          <w:sz w:val="24"/>
          <w:szCs w:val="24"/>
        </w:rPr>
        <w:t xml:space="preserve">, “The </w:t>
      </w:r>
      <w:proofErr w:type="spellStart"/>
      <w:r w:rsidRPr="00C81D0C">
        <w:rPr>
          <w:rFonts w:ascii="Times New Roman" w:hAnsi="Times New Roman" w:cs="Times New Roman"/>
          <w:i/>
          <w:iCs/>
          <w:sz w:val="24"/>
          <w:szCs w:val="24"/>
        </w:rPr>
        <w:t>illusion</w:t>
      </w:r>
      <w:proofErr w:type="spellEnd"/>
      <w:r w:rsidRPr="00C81D0C">
        <w:rPr>
          <w:rFonts w:ascii="Times New Roman" w:hAnsi="Times New Roman" w:cs="Times New Roman"/>
          <w:i/>
          <w:iCs/>
          <w:sz w:val="24"/>
          <w:szCs w:val="24"/>
        </w:rPr>
        <w:t xml:space="preserve"> of </w:t>
      </w:r>
      <w:proofErr w:type="spellStart"/>
      <w:r w:rsidRPr="00C81D0C">
        <w:rPr>
          <w:rFonts w:ascii="Times New Roman" w:hAnsi="Times New Roman" w:cs="Times New Roman"/>
          <w:i/>
          <w:iCs/>
          <w:sz w:val="24"/>
          <w:szCs w:val="24"/>
        </w:rPr>
        <w:t>conscious</w:t>
      </w:r>
      <w:proofErr w:type="spellEnd"/>
      <w:r w:rsidRPr="00C81D0C">
        <w:rPr>
          <w:rFonts w:ascii="Times New Roman" w:hAnsi="Times New Roman" w:cs="Times New Roman"/>
          <w:i/>
          <w:iCs/>
          <w:sz w:val="24"/>
          <w:szCs w:val="24"/>
        </w:rPr>
        <w:t xml:space="preserve"> </w:t>
      </w:r>
      <w:proofErr w:type="spellStart"/>
      <w:r w:rsidRPr="00C81D0C">
        <w:rPr>
          <w:rFonts w:ascii="Times New Roman" w:hAnsi="Times New Roman" w:cs="Times New Roman"/>
          <w:i/>
          <w:iCs/>
          <w:sz w:val="24"/>
          <w:szCs w:val="24"/>
        </w:rPr>
        <w:t>will</w:t>
      </w:r>
      <w:proofErr w:type="spellEnd"/>
      <w:r w:rsidRPr="00C81D0C">
        <w:rPr>
          <w:rFonts w:ascii="Times New Roman" w:hAnsi="Times New Roman" w:cs="Times New Roman"/>
          <w:sz w:val="24"/>
          <w:szCs w:val="24"/>
        </w:rPr>
        <w:t>”, 2002; B</w:t>
      </w:r>
      <w:r w:rsidRPr="00C81D0C">
        <w:rPr>
          <w:rFonts w:ascii="Times New Roman" w:hAnsi="Times New Roman" w:cs="Times New Roman"/>
          <w:smallCaps/>
          <w:sz w:val="24"/>
          <w:szCs w:val="24"/>
        </w:rPr>
        <w:t xml:space="preserve">. J. </w:t>
      </w:r>
      <w:proofErr w:type="spellStart"/>
      <w:r w:rsidRPr="00C81D0C">
        <w:rPr>
          <w:rFonts w:ascii="Times New Roman" w:hAnsi="Times New Roman" w:cs="Times New Roman"/>
          <w:smallCaps/>
          <w:sz w:val="24"/>
          <w:szCs w:val="24"/>
        </w:rPr>
        <w:t>Feijos</w:t>
      </w:r>
      <w:proofErr w:type="spellEnd"/>
      <w:r w:rsidRPr="00C81D0C">
        <w:rPr>
          <w:rFonts w:ascii="Times New Roman" w:hAnsi="Times New Roman" w:cs="Times New Roman"/>
          <w:smallCaps/>
          <w:sz w:val="24"/>
          <w:szCs w:val="24"/>
        </w:rPr>
        <w:t xml:space="preserve"> Sanchez</w:t>
      </w:r>
      <w:r>
        <w:rPr>
          <w:rFonts w:ascii="Times New Roman" w:hAnsi="Times New Roman" w:cs="Times New Roman"/>
          <w:sz w:val="24"/>
          <w:szCs w:val="24"/>
        </w:rPr>
        <w:t xml:space="preserve">, </w:t>
      </w:r>
      <w:r w:rsidRPr="00C81D0C">
        <w:rPr>
          <w:rFonts w:ascii="Times New Roman" w:hAnsi="Times New Roman" w:cs="Times New Roman"/>
          <w:sz w:val="24"/>
          <w:szCs w:val="24"/>
        </w:rPr>
        <w:t>“</w:t>
      </w:r>
      <w:proofErr w:type="spellStart"/>
      <w:r w:rsidRPr="00C81D0C">
        <w:rPr>
          <w:rFonts w:ascii="Times New Roman" w:hAnsi="Times New Roman" w:cs="Times New Roman"/>
          <w:i/>
          <w:iCs/>
          <w:sz w:val="24"/>
          <w:szCs w:val="24"/>
        </w:rPr>
        <w:t>Derecho</w:t>
      </w:r>
      <w:proofErr w:type="spellEnd"/>
      <w:r w:rsidRPr="00C81D0C">
        <w:rPr>
          <w:rFonts w:ascii="Times New Roman" w:hAnsi="Times New Roman" w:cs="Times New Roman"/>
          <w:i/>
          <w:iCs/>
          <w:sz w:val="24"/>
          <w:szCs w:val="24"/>
        </w:rPr>
        <w:t xml:space="preserve"> </w:t>
      </w:r>
      <w:proofErr w:type="spellStart"/>
      <w:r w:rsidRPr="00C81D0C">
        <w:rPr>
          <w:rFonts w:ascii="Times New Roman" w:hAnsi="Times New Roman" w:cs="Times New Roman"/>
          <w:i/>
          <w:iCs/>
          <w:sz w:val="24"/>
          <w:szCs w:val="24"/>
        </w:rPr>
        <w:t>Penal</w:t>
      </w:r>
      <w:proofErr w:type="spellEnd"/>
      <w:r w:rsidRPr="00C81D0C">
        <w:rPr>
          <w:rFonts w:ascii="Times New Roman" w:hAnsi="Times New Roman" w:cs="Times New Roman"/>
          <w:i/>
          <w:iCs/>
          <w:sz w:val="24"/>
          <w:szCs w:val="24"/>
        </w:rPr>
        <w:t xml:space="preserve"> y </w:t>
      </w:r>
      <w:proofErr w:type="spellStart"/>
      <w:r w:rsidRPr="00C81D0C">
        <w:rPr>
          <w:rFonts w:ascii="Times New Roman" w:hAnsi="Times New Roman" w:cs="Times New Roman"/>
          <w:i/>
          <w:iCs/>
          <w:sz w:val="24"/>
          <w:szCs w:val="24"/>
        </w:rPr>
        <w:t>Neurosciencias</w:t>
      </w:r>
      <w:proofErr w:type="spellEnd"/>
      <w:r w:rsidRPr="00C81D0C">
        <w:rPr>
          <w:rFonts w:ascii="Times New Roman" w:hAnsi="Times New Roman" w:cs="Times New Roman"/>
          <w:i/>
          <w:iCs/>
          <w:sz w:val="24"/>
          <w:szCs w:val="24"/>
        </w:rPr>
        <w:t xml:space="preserve">, Una </w:t>
      </w:r>
      <w:proofErr w:type="spellStart"/>
      <w:r w:rsidRPr="00C81D0C">
        <w:rPr>
          <w:rFonts w:ascii="Times New Roman" w:hAnsi="Times New Roman" w:cs="Times New Roman"/>
          <w:i/>
          <w:iCs/>
          <w:sz w:val="24"/>
          <w:szCs w:val="24"/>
        </w:rPr>
        <w:t>relaciòn</w:t>
      </w:r>
      <w:proofErr w:type="spellEnd"/>
      <w:r w:rsidRPr="00C81D0C">
        <w:rPr>
          <w:rFonts w:ascii="Times New Roman" w:hAnsi="Times New Roman" w:cs="Times New Roman"/>
          <w:i/>
          <w:iCs/>
          <w:sz w:val="24"/>
          <w:szCs w:val="24"/>
        </w:rPr>
        <w:t xml:space="preserve"> tormentosa?</w:t>
      </w:r>
      <w:r>
        <w:rPr>
          <w:rFonts w:ascii="Times New Roman" w:hAnsi="Times New Roman" w:cs="Times New Roman"/>
          <w:sz w:val="24"/>
          <w:szCs w:val="24"/>
        </w:rPr>
        <w:t>”,</w:t>
      </w:r>
      <w:r w:rsidRPr="00C81D0C">
        <w:rPr>
          <w:rFonts w:ascii="Times New Roman" w:hAnsi="Times New Roman" w:cs="Times New Roman"/>
          <w:sz w:val="24"/>
          <w:szCs w:val="24"/>
        </w:rPr>
        <w:t xml:space="preserve"> 2011; </w:t>
      </w:r>
      <w:r w:rsidRPr="00C81D0C">
        <w:rPr>
          <w:rFonts w:ascii="Times New Roman" w:hAnsi="Times New Roman" w:cs="Times New Roman"/>
          <w:smallCaps/>
          <w:sz w:val="24"/>
          <w:szCs w:val="24"/>
        </w:rPr>
        <w:t xml:space="preserve">G. </w:t>
      </w:r>
      <w:proofErr w:type="spellStart"/>
      <w:r w:rsidRPr="00C81D0C">
        <w:rPr>
          <w:rFonts w:ascii="Times New Roman" w:hAnsi="Times New Roman" w:cs="Times New Roman"/>
          <w:smallCaps/>
          <w:sz w:val="24"/>
          <w:szCs w:val="24"/>
        </w:rPr>
        <w:t>Vellar</w:t>
      </w:r>
      <w:proofErr w:type="spellEnd"/>
      <w:r w:rsidRPr="00C81D0C">
        <w:rPr>
          <w:rFonts w:ascii="Times New Roman" w:hAnsi="Times New Roman" w:cs="Times New Roman"/>
          <w:i/>
          <w:iCs/>
          <w:smallCaps/>
          <w:sz w:val="24"/>
          <w:szCs w:val="24"/>
        </w:rPr>
        <w:t xml:space="preserve">, </w:t>
      </w:r>
      <w:r w:rsidRPr="00C81D0C">
        <w:rPr>
          <w:rFonts w:ascii="Times New Roman" w:hAnsi="Times New Roman" w:cs="Times New Roman"/>
          <w:smallCaps/>
          <w:sz w:val="24"/>
          <w:szCs w:val="24"/>
        </w:rPr>
        <w:t>F. Basile</w:t>
      </w:r>
      <w:r w:rsidRPr="00C81D0C">
        <w:rPr>
          <w:rFonts w:ascii="Times New Roman" w:hAnsi="Times New Roman" w:cs="Times New Roman"/>
          <w:sz w:val="24"/>
          <w:szCs w:val="24"/>
        </w:rPr>
        <w:t>, “</w:t>
      </w:r>
      <w:r w:rsidRPr="00C81D0C">
        <w:rPr>
          <w:rFonts w:ascii="Times New Roman" w:hAnsi="Times New Roman" w:cs="Times New Roman"/>
          <w:i/>
          <w:iCs/>
          <w:sz w:val="24"/>
          <w:szCs w:val="24"/>
        </w:rPr>
        <w:t>Diritto penale e neuroscienze</w:t>
      </w:r>
      <w:r w:rsidRPr="00C81D0C">
        <w:rPr>
          <w:rFonts w:ascii="Times New Roman" w:hAnsi="Times New Roman" w:cs="Times New Roman"/>
          <w:sz w:val="24"/>
          <w:szCs w:val="24"/>
        </w:rPr>
        <w:t>”, 2016.</w:t>
      </w:r>
    </w:p>
  </w:footnote>
  <w:footnote w:id="108">
    <w:p w14:paraId="36FA6DA9" w14:textId="77777777" w:rsidR="000463A6" w:rsidRPr="000F12BC" w:rsidRDefault="000463A6" w:rsidP="00943B79">
      <w:pPr>
        <w:spacing w:after="0" w:line="240" w:lineRule="auto"/>
        <w:jc w:val="both"/>
        <w:rPr>
          <w:rFonts w:ascii="Times New Roman" w:hAnsi="Times New Roman" w:cs="Times New Roman"/>
          <w:sz w:val="24"/>
          <w:szCs w:val="24"/>
        </w:rPr>
      </w:pPr>
      <w:r w:rsidRPr="00DE7967">
        <w:rPr>
          <w:rStyle w:val="Rimandonotaapidipagina"/>
          <w:rFonts w:ascii="Times New Roman" w:hAnsi="Times New Roman" w:cs="Times New Roman"/>
          <w:sz w:val="24"/>
          <w:szCs w:val="24"/>
        </w:rPr>
        <w:footnoteRef/>
      </w:r>
      <w:r w:rsidRPr="00DE7967">
        <w:rPr>
          <w:rFonts w:ascii="Times New Roman" w:hAnsi="Times New Roman" w:cs="Times New Roman"/>
          <w:sz w:val="24"/>
          <w:szCs w:val="24"/>
        </w:rPr>
        <w:t xml:space="preserve"> Il nuovo </w:t>
      </w:r>
      <w:proofErr w:type="spellStart"/>
      <w:r w:rsidRPr="00DE7967">
        <w:rPr>
          <w:rFonts w:ascii="Times New Roman" w:hAnsi="Times New Roman" w:cs="Times New Roman"/>
          <w:i/>
          <w:iCs/>
          <w:sz w:val="24"/>
          <w:szCs w:val="24"/>
        </w:rPr>
        <w:t>Metaverso</w:t>
      </w:r>
      <w:proofErr w:type="spellEnd"/>
      <w:r w:rsidRPr="00DE7967">
        <w:rPr>
          <w:rFonts w:ascii="Times New Roman" w:hAnsi="Times New Roman" w:cs="Times New Roman"/>
          <w:sz w:val="24"/>
          <w:szCs w:val="24"/>
        </w:rPr>
        <w:t xml:space="preserve"> di </w:t>
      </w:r>
      <w:proofErr w:type="spellStart"/>
      <w:r w:rsidRPr="00DE7967">
        <w:rPr>
          <w:rFonts w:ascii="Times New Roman" w:hAnsi="Times New Roman" w:cs="Times New Roman"/>
          <w:sz w:val="24"/>
          <w:szCs w:val="24"/>
        </w:rPr>
        <w:t>Zuckerberg</w:t>
      </w:r>
      <w:proofErr w:type="spellEnd"/>
      <w:r w:rsidRPr="00DE7967">
        <w:rPr>
          <w:rFonts w:ascii="Times New Roman" w:hAnsi="Times New Roman" w:cs="Times New Roman"/>
          <w:sz w:val="24"/>
          <w:szCs w:val="24"/>
        </w:rPr>
        <w:t xml:space="preserve">, con i suoi avatar, potrebbe peggiorare la situazione di tossicità dei </w:t>
      </w:r>
      <w:r w:rsidRPr="00DE7967">
        <w:rPr>
          <w:rFonts w:ascii="Times New Roman" w:hAnsi="Times New Roman" w:cs="Times New Roman"/>
          <w:i/>
          <w:iCs/>
          <w:sz w:val="24"/>
          <w:szCs w:val="24"/>
        </w:rPr>
        <w:t>social</w:t>
      </w:r>
      <w:r w:rsidRPr="00DE7967">
        <w:rPr>
          <w:rFonts w:ascii="Times New Roman" w:hAnsi="Times New Roman" w:cs="Times New Roman"/>
          <w:sz w:val="24"/>
          <w:szCs w:val="24"/>
        </w:rPr>
        <w:t xml:space="preserve">, aumentando il problema del dismorfismo, un problema serio nei ragazzi che vivono nella realtà virtuale. Le alterazioni di immagini con filtri e modifiche virtuali alterano la percezione del nostro corpo creando dismorfofobia. Ce ne hanno parlato, preoccupati, due esperti, </w:t>
      </w:r>
      <w:r w:rsidRPr="00DE7967">
        <w:rPr>
          <w:rFonts w:ascii="Times New Roman" w:hAnsi="Times New Roman" w:cs="Times New Roman"/>
          <w:smallCaps/>
          <w:sz w:val="24"/>
          <w:szCs w:val="24"/>
        </w:rPr>
        <w:t>B. Collevecchio</w:t>
      </w:r>
      <w:r w:rsidRPr="00DE7967">
        <w:rPr>
          <w:rFonts w:ascii="Times New Roman" w:hAnsi="Times New Roman" w:cs="Times New Roman"/>
          <w:sz w:val="24"/>
          <w:szCs w:val="24"/>
        </w:rPr>
        <w:t xml:space="preserve"> (autrice del libro “</w:t>
      </w:r>
      <w:r w:rsidRPr="00DE7967">
        <w:rPr>
          <w:rFonts w:ascii="Times New Roman" w:hAnsi="Times New Roman" w:cs="Times New Roman"/>
          <w:i/>
          <w:iCs/>
          <w:sz w:val="24"/>
          <w:szCs w:val="24"/>
        </w:rPr>
        <w:t>Il male che cura</w:t>
      </w:r>
      <w:r w:rsidRPr="00DE7967">
        <w:rPr>
          <w:rFonts w:ascii="Times New Roman" w:hAnsi="Times New Roman" w:cs="Times New Roman"/>
          <w:sz w:val="24"/>
          <w:szCs w:val="24"/>
        </w:rPr>
        <w:t xml:space="preserve">”) e </w:t>
      </w:r>
      <w:r w:rsidRPr="00DE7967">
        <w:rPr>
          <w:rFonts w:ascii="Times New Roman" w:hAnsi="Times New Roman" w:cs="Times New Roman"/>
          <w:smallCaps/>
          <w:sz w:val="24"/>
          <w:szCs w:val="24"/>
        </w:rPr>
        <w:t>G. Riva</w:t>
      </w:r>
      <w:r w:rsidRPr="00DE7967">
        <w:rPr>
          <w:rFonts w:ascii="Times New Roman" w:hAnsi="Times New Roman" w:cs="Times New Roman"/>
          <w:sz w:val="24"/>
          <w:szCs w:val="24"/>
        </w:rPr>
        <w:t xml:space="preserve"> (autore del libro “</w:t>
      </w:r>
      <w:proofErr w:type="spellStart"/>
      <w:r w:rsidRPr="00DE7967">
        <w:rPr>
          <w:rFonts w:ascii="Times New Roman" w:hAnsi="Times New Roman" w:cs="Times New Roman"/>
          <w:i/>
          <w:iCs/>
          <w:sz w:val="24"/>
          <w:szCs w:val="24"/>
        </w:rPr>
        <w:t>Selfie</w:t>
      </w:r>
      <w:proofErr w:type="spellEnd"/>
      <w:r w:rsidRPr="00DE7967">
        <w:rPr>
          <w:rFonts w:ascii="Times New Roman" w:hAnsi="Times New Roman" w:cs="Times New Roman"/>
          <w:i/>
          <w:iCs/>
          <w:sz w:val="24"/>
          <w:szCs w:val="24"/>
        </w:rPr>
        <w:t>. Narcisismo e identità</w:t>
      </w:r>
      <w:r w:rsidRPr="00DE7967">
        <w:rPr>
          <w:rFonts w:ascii="Times New Roman" w:hAnsi="Times New Roman" w:cs="Times New Roman"/>
          <w:sz w:val="24"/>
          <w:szCs w:val="24"/>
        </w:rPr>
        <w:t>”)</w:t>
      </w:r>
      <w:r>
        <w:rPr>
          <w:rFonts w:ascii="Times New Roman" w:hAnsi="Times New Roman" w:cs="Times New Roman"/>
          <w:sz w:val="24"/>
          <w:szCs w:val="24"/>
        </w:rPr>
        <w:t xml:space="preserve"> su </w:t>
      </w:r>
      <w:hyperlink r:id="rId24" w:history="1">
        <w:r w:rsidRPr="001C39EE">
          <w:rPr>
            <w:rStyle w:val="Collegamentoipertestuale"/>
            <w:rFonts w:ascii="Times New Roman" w:hAnsi="Times New Roman" w:cs="Times New Roman"/>
            <w:sz w:val="24"/>
            <w:szCs w:val="24"/>
          </w:rPr>
          <w:t>https://www.agendadigitale.eu/cultura-digitale/noi-e-il-corpo-un-rapporto-in-crisi-nel-metaverso-che-dicono-gli-psicologi/</w:t>
        </w:r>
      </w:hyperlink>
      <w:r>
        <w:rPr>
          <w:rFonts w:ascii="Times New Roman" w:hAnsi="Times New Roman" w:cs="Times New Roman"/>
          <w:sz w:val="24"/>
          <w:szCs w:val="24"/>
        </w:rPr>
        <w:t>.</w:t>
      </w:r>
    </w:p>
  </w:footnote>
  <w:footnote w:id="109">
    <w:p w14:paraId="577324B2" w14:textId="434A97C5" w:rsidR="000463A6" w:rsidRPr="00AC53A0" w:rsidRDefault="000463A6" w:rsidP="00AC53A0">
      <w:pPr>
        <w:pStyle w:val="Testonotaapidipagina"/>
        <w:jc w:val="both"/>
        <w:rPr>
          <w:rFonts w:ascii="Times New Roman" w:hAnsi="Times New Roman" w:cs="Times New Roman"/>
          <w:sz w:val="24"/>
          <w:szCs w:val="24"/>
        </w:rPr>
      </w:pPr>
      <w:r w:rsidRPr="00AC53A0">
        <w:rPr>
          <w:rStyle w:val="Rimandonotaapidipagina"/>
          <w:rFonts w:ascii="Times New Roman" w:hAnsi="Times New Roman" w:cs="Times New Roman"/>
          <w:sz w:val="24"/>
          <w:szCs w:val="24"/>
        </w:rPr>
        <w:footnoteRef/>
      </w:r>
      <w:r w:rsidRPr="00AC53A0">
        <w:rPr>
          <w:rFonts w:ascii="Times New Roman" w:hAnsi="Times New Roman" w:cs="Times New Roman"/>
          <w:sz w:val="24"/>
          <w:szCs w:val="24"/>
        </w:rPr>
        <w:t xml:space="preserve"> Il testo intero dell’intervista è riportato da </w:t>
      </w:r>
      <w:r w:rsidRPr="00AC53A0">
        <w:rPr>
          <w:rFonts w:ascii="Times New Roman" w:hAnsi="Times New Roman" w:cs="Times New Roman"/>
          <w:smallCaps/>
          <w:sz w:val="24"/>
          <w:szCs w:val="24"/>
        </w:rPr>
        <w:t xml:space="preserve">M. </w:t>
      </w:r>
      <w:proofErr w:type="spellStart"/>
      <w:r w:rsidRPr="00AC53A0">
        <w:rPr>
          <w:rFonts w:ascii="Times New Roman" w:hAnsi="Times New Roman" w:cs="Times New Roman"/>
          <w:smallCaps/>
          <w:sz w:val="24"/>
          <w:szCs w:val="24"/>
        </w:rPr>
        <w:t>Castigli</w:t>
      </w:r>
      <w:proofErr w:type="spellEnd"/>
      <w:r w:rsidRPr="00AC53A0">
        <w:rPr>
          <w:rFonts w:ascii="Times New Roman" w:hAnsi="Times New Roman" w:cs="Times New Roman"/>
          <w:sz w:val="24"/>
          <w:szCs w:val="24"/>
        </w:rPr>
        <w:t>, “</w:t>
      </w:r>
      <w:r w:rsidRPr="00AC53A0">
        <w:rPr>
          <w:rFonts w:ascii="Times New Roman" w:hAnsi="Times New Roman" w:cs="Times New Roman"/>
          <w:i/>
          <w:iCs/>
          <w:sz w:val="24"/>
          <w:szCs w:val="24"/>
        </w:rPr>
        <w:t xml:space="preserve">Come il </w:t>
      </w:r>
      <w:proofErr w:type="spellStart"/>
      <w:r w:rsidRPr="00AC53A0">
        <w:rPr>
          <w:rFonts w:ascii="Times New Roman" w:hAnsi="Times New Roman" w:cs="Times New Roman"/>
          <w:i/>
          <w:iCs/>
          <w:sz w:val="24"/>
          <w:szCs w:val="24"/>
        </w:rPr>
        <w:t>metaverso</w:t>
      </w:r>
      <w:proofErr w:type="spellEnd"/>
      <w:r w:rsidRPr="00AC53A0">
        <w:rPr>
          <w:rFonts w:ascii="Times New Roman" w:hAnsi="Times New Roman" w:cs="Times New Roman"/>
          <w:i/>
          <w:iCs/>
          <w:sz w:val="24"/>
          <w:szCs w:val="24"/>
        </w:rPr>
        <w:t xml:space="preserve"> ci cambia il rapporto col corpo: nuovi rischi psicologici</w:t>
      </w:r>
      <w:r w:rsidRPr="00AC53A0">
        <w:rPr>
          <w:rFonts w:ascii="Times New Roman" w:hAnsi="Times New Roman" w:cs="Times New Roman"/>
          <w:sz w:val="24"/>
          <w:szCs w:val="24"/>
        </w:rPr>
        <w:t xml:space="preserve">”, su </w:t>
      </w:r>
      <w:r w:rsidRPr="00AC53A0">
        <w:rPr>
          <w:rFonts w:ascii="Times New Roman" w:hAnsi="Times New Roman" w:cs="Times New Roman"/>
          <w:i/>
          <w:iCs/>
          <w:sz w:val="24"/>
          <w:szCs w:val="24"/>
        </w:rPr>
        <w:t>agendadigitale.eu</w:t>
      </w:r>
      <w:r w:rsidRPr="00AC53A0">
        <w:rPr>
          <w:rFonts w:ascii="Times New Roman" w:hAnsi="Times New Roman" w:cs="Times New Roman"/>
          <w:sz w:val="24"/>
          <w:szCs w:val="24"/>
        </w:rPr>
        <w:t>.</w:t>
      </w:r>
    </w:p>
  </w:footnote>
  <w:footnote w:id="110">
    <w:p w14:paraId="474FFF3A" w14:textId="56FD79A8" w:rsidR="000463A6" w:rsidRDefault="000463A6" w:rsidP="00AC53A0">
      <w:pPr>
        <w:pStyle w:val="Testonotaapidipagina"/>
        <w:jc w:val="both"/>
      </w:pPr>
      <w:r w:rsidRPr="00AC53A0">
        <w:rPr>
          <w:rStyle w:val="Rimandonotaapidipagina"/>
          <w:rFonts w:ascii="Times New Roman" w:hAnsi="Times New Roman" w:cs="Times New Roman"/>
          <w:sz w:val="24"/>
          <w:szCs w:val="24"/>
        </w:rPr>
        <w:footnoteRef/>
      </w:r>
      <w:r w:rsidRPr="00AC53A0">
        <w:rPr>
          <w:rFonts w:ascii="Times New Roman" w:hAnsi="Times New Roman" w:cs="Times New Roman"/>
          <w:sz w:val="24"/>
          <w:szCs w:val="24"/>
        </w:rPr>
        <w:t xml:space="preserve"> Sempre su </w:t>
      </w:r>
      <w:r w:rsidRPr="00AC53A0">
        <w:rPr>
          <w:rFonts w:ascii="Times New Roman" w:hAnsi="Times New Roman" w:cs="Times New Roman"/>
          <w:i/>
          <w:iCs/>
          <w:sz w:val="24"/>
          <w:szCs w:val="24"/>
        </w:rPr>
        <w:t>agendadigitale.eu</w:t>
      </w:r>
      <w:r w:rsidRPr="00AC53A0">
        <w:rPr>
          <w:rFonts w:ascii="Times New Roman" w:hAnsi="Times New Roman" w:cs="Times New Roman"/>
          <w:smallCaps/>
          <w:sz w:val="24"/>
          <w:szCs w:val="24"/>
        </w:rPr>
        <w:t xml:space="preserve">, M. </w:t>
      </w:r>
      <w:proofErr w:type="spellStart"/>
      <w:r w:rsidRPr="00AC53A0">
        <w:rPr>
          <w:rFonts w:ascii="Times New Roman" w:hAnsi="Times New Roman" w:cs="Times New Roman"/>
          <w:smallCaps/>
          <w:sz w:val="24"/>
          <w:szCs w:val="24"/>
        </w:rPr>
        <w:t>Castigli</w:t>
      </w:r>
      <w:proofErr w:type="spellEnd"/>
      <w:r w:rsidRPr="00AC53A0">
        <w:rPr>
          <w:rFonts w:ascii="Times New Roman" w:hAnsi="Times New Roman" w:cs="Times New Roman"/>
          <w:sz w:val="24"/>
          <w:szCs w:val="24"/>
        </w:rPr>
        <w:t>, “</w:t>
      </w:r>
      <w:r w:rsidRPr="00AC53A0">
        <w:rPr>
          <w:rFonts w:ascii="Times New Roman" w:hAnsi="Times New Roman" w:cs="Times New Roman"/>
          <w:i/>
          <w:iCs/>
          <w:sz w:val="24"/>
          <w:szCs w:val="24"/>
        </w:rPr>
        <w:t xml:space="preserve">Come il </w:t>
      </w:r>
      <w:proofErr w:type="spellStart"/>
      <w:r w:rsidRPr="00AC53A0">
        <w:rPr>
          <w:rFonts w:ascii="Times New Roman" w:hAnsi="Times New Roman" w:cs="Times New Roman"/>
          <w:i/>
          <w:iCs/>
          <w:sz w:val="24"/>
          <w:szCs w:val="24"/>
        </w:rPr>
        <w:t>metaverso</w:t>
      </w:r>
      <w:proofErr w:type="spellEnd"/>
      <w:r w:rsidRPr="00AC53A0">
        <w:rPr>
          <w:rFonts w:ascii="Times New Roman" w:hAnsi="Times New Roman" w:cs="Times New Roman"/>
          <w:i/>
          <w:iCs/>
          <w:sz w:val="24"/>
          <w:szCs w:val="24"/>
        </w:rPr>
        <w:t xml:space="preserve"> ci cambia il rapporto col corpo</w:t>
      </w:r>
      <w:r w:rsidRPr="00AC53A0">
        <w:rPr>
          <w:rFonts w:ascii="Times New Roman" w:hAnsi="Times New Roman" w:cs="Times New Roman"/>
          <w:sz w:val="24"/>
          <w:szCs w:val="24"/>
        </w:rPr>
        <w:t>”, cit.</w:t>
      </w:r>
    </w:p>
  </w:footnote>
  <w:footnote w:id="111">
    <w:p w14:paraId="7D953713" w14:textId="35AFE645" w:rsidR="000463A6" w:rsidRPr="006F174D" w:rsidRDefault="000463A6" w:rsidP="006F174D">
      <w:pPr>
        <w:pStyle w:val="Testonotaapidipagina"/>
        <w:jc w:val="both"/>
        <w:rPr>
          <w:rFonts w:ascii="Times New Roman" w:hAnsi="Times New Roman" w:cs="Times New Roman"/>
          <w:sz w:val="24"/>
          <w:szCs w:val="24"/>
        </w:rPr>
      </w:pPr>
      <w:r w:rsidRPr="006F174D">
        <w:rPr>
          <w:rStyle w:val="Rimandonotaapidipagina"/>
          <w:rFonts w:ascii="Times New Roman" w:hAnsi="Times New Roman" w:cs="Times New Roman"/>
          <w:sz w:val="24"/>
          <w:szCs w:val="24"/>
        </w:rPr>
        <w:footnoteRef/>
      </w:r>
      <w:r w:rsidRPr="006F174D">
        <w:rPr>
          <w:rFonts w:ascii="Times New Roman" w:hAnsi="Times New Roman" w:cs="Times New Roman"/>
          <w:sz w:val="24"/>
          <w:szCs w:val="24"/>
        </w:rPr>
        <w:t xml:space="preserve"> </w:t>
      </w:r>
      <w:r>
        <w:rPr>
          <w:rFonts w:ascii="Times New Roman" w:hAnsi="Times New Roman" w:cs="Times New Roman"/>
          <w:sz w:val="24"/>
          <w:szCs w:val="24"/>
        </w:rPr>
        <w:t xml:space="preserve">Sul tema, vedi anche </w:t>
      </w:r>
      <w:r w:rsidRPr="006F174D">
        <w:rPr>
          <w:rFonts w:ascii="Times New Roman" w:hAnsi="Times New Roman" w:cs="Times New Roman"/>
          <w:smallCaps/>
          <w:sz w:val="24"/>
          <w:szCs w:val="24"/>
        </w:rPr>
        <w:t>L. Rinaldi</w:t>
      </w:r>
      <w:r>
        <w:rPr>
          <w:rFonts w:ascii="Times New Roman" w:hAnsi="Times New Roman" w:cs="Times New Roman"/>
          <w:sz w:val="24"/>
          <w:szCs w:val="24"/>
        </w:rPr>
        <w:t xml:space="preserve">, </w:t>
      </w:r>
      <w:r w:rsidRPr="006F174D">
        <w:rPr>
          <w:rFonts w:ascii="Times New Roman" w:hAnsi="Times New Roman" w:cs="Times New Roman"/>
          <w:sz w:val="24"/>
          <w:szCs w:val="24"/>
        </w:rPr>
        <w:t>“</w:t>
      </w:r>
      <w:r w:rsidRPr="006F174D">
        <w:rPr>
          <w:rFonts w:ascii="Times New Roman" w:hAnsi="Times New Roman" w:cs="Times New Roman"/>
          <w:i/>
          <w:iCs/>
          <w:sz w:val="24"/>
          <w:szCs w:val="24"/>
        </w:rPr>
        <w:t>Sul cibo, sul corpo e sul divenire della forma</w:t>
      </w:r>
      <w:r>
        <w:rPr>
          <w:rFonts w:ascii="Times New Roman" w:hAnsi="Times New Roman" w:cs="Times New Roman"/>
          <w:sz w:val="24"/>
          <w:szCs w:val="24"/>
        </w:rPr>
        <w:t>”</w:t>
      </w:r>
      <w:r w:rsidRPr="006F174D">
        <w:rPr>
          <w:rFonts w:ascii="Times New Roman" w:hAnsi="Times New Roman" w:cs="Times New Roman"/>
          <w:sz w:val="24"/>
          <w:szCs w:val="24"/>
        </w:rPr>
        <w:t>, 2021.</w:t>
      </w:r>
    </w:p>
  </w:footnote>
  <w:footnote w:id="112">
    <w:p w14:paraId="1EE4EE4C" w14:textId="4B507338" w:rsidR="000463A6" w:rsidRPr="000F12BC" w:rsidRDefault="000463A6" w:rsidP="000B5B2A">
      <w:pPr>
        <w:pStyle w:val="Testonotaapidipagina"/>
        <w:jc w:val="both"/>
        <w:rPr>
          <w:rFonts w:ascii="Times New Roman" w:hAnsi="Times New Roman" w:cs="Times New Roman"/>
          <w:sz w:val="24"/>
          <w:szCs w:val="24"/>
        </w:rPr>
      </w:pPr>
      <w:r w:rsidRPr="000B5B2A">
        <w:rPr>
          <w:rStyle w:val="Rimandonotaapidipagina"/>
          <w:rFonts w:ascii="Times New Roman" w:hAnsi="Times New Roman" w:cs="Times New Roman"/>
          <w:sz w:val="24"/>
          <w:szCs w:val="24"/>
        </w:rPr>
        <w:footnoteRef/>
      </w:r>
      <w:r w:rsidRPr="000B5B2A">
        <w:rPr>
          <w:rFonts w:ascii="Times New Roman" w:hAnsi="Times New Roman" w:cs="Times New Roman"/>
          <w:sz w:val="24"/>
          <w:szCs w:val="24"/>
        </w:rPr>
        <w:t xml:space="preserve"> Vedi il libro dello psicologo </w:t>
      </w:r>
      <w:r w:rsidRPr="000B5B2A">
        <w:rPr>
          <w:rFonts w:ascii="Times New Roman" w:hAnsi="Times New Roman" w:cs="Times New Roman"/>
          <w:smallCaps/>
          <w:sz w:val="24"/>
          <w:szCs w:val="24"/>
        </w:rPr>
        <w:t xml:space="preserve">D. </w:t>
      </w:r>
      <w:proofErr w:type="spellStart"/>
      <w:r w:rsidRPr="000B5B2A">
        <w:rPr>
          <w:rFonts w:ascii="Times New Roman" w:hAnsi="Times New Roman" w:cs="Times New Roman"/>
          <w:smallCaps/>
          <w:sz w:val="24"/>
          <w:szCs w:val="24"/>
        </w:rPr>
        <w:t>Kahneman</w:t>
      </w:r>
      <w:proofErr w:type="spellEnd"/>
      <w:r w:rsidRPr="000B5B2A">
        <w:rPr>
          <w:rFonts w:ascii="Times New Roman" w:hAnsi="Times New Roman" w:cs="Times New Roman"/>
          <w:sz w:val="24"/>
          <w:szCs w:val="24"/>
        </w:rPr>
        <w:t>, “</w:t>
      </w:r>
      <w:r w:rsidRPr="000B5B2A">
        <w:rPr>
          <w:rFonts w:ascii="Times New Roman" w:hAnsi="Times New Roman" w:cs="Times New Roman"/>
          <w:i/>
          <w:iCs/>
          <w:sz w:val="24"/>
          <w:szCs w:val="24"/>
        </w:rPr>
        <w:t>Pensieri lenti e veloci</w:t>
      </w:r>
      <w:r w:rsidRPr="000B5B2A">
        <w:rPr>
          <w:rFonts w:ascii="Times New Roman" w:hAnsi="Times New Roman" w:cs="Times New Roman"/>
          <w:sz w:val="24"/>
          <w:szCs w:val="24"/>
        </w:rPr>
        <w:t>”, 2012, sul tema dell’intelligenza, razionalità e formazione del pensiero.</w:t>
      </w:r>
    </w:p>
  </w:footnote>
  <w:footnote w:id="113">
    <w:p w14:paraId="6E8E7E8C" w14:textId="0D4E2E10" w:rsidR="000463A6" w:rsidRPr="00DC2DF9" w:rsidRDefault="000463A6" w:rsidP="004638C0">
      <w:pPr>
        <w:pStyle w:val="Testonotaapidipagina"/>
        <w:jc w:val="both"/>
        <w:rPr>
          <w:rFonts w:ascii="Times New Roman" w:hAnsi="Times New Roman" w:cs="Times New Roman"/>
          <w:sz w:val="24"/>
          <w:szCs w:val="24"/>
        </w:rPr>
      </w:pPr>
      <w:r w:rsidRPr="004638C0">
        <w:rPr>
          <w:rStyle w:val="Rimandonotaapidipagina"/>
          <w:rFonts w:ascii="Times New Roman" w:hAnsi="Times New Roman" w:cs="Times New Roman"/>
          <w:sz w:val="24"/>
          <w:szCs w:val="24"/>
        </w:rPr>
        <w:footnoteRef/>
      </w:r>
      <w:r w:rsidRPr="004638C0">
        <w:rPr>
          <w:rFonts w:ascii="Times New Roman" w:hAnsi="Times New Roman" w:cs="Times New Roman"/>
          <w:sz w:val="24"/>
          <w:szCs w:val="24"/>
        </w:rPr>
        <w:t xml:space="preserve"> </w:t>
      </w:r>
      <w:r w:rsidRPr="004638C0">
        <w:rPr>
          <w:rFonts w:ascii="Times New Roman" w:hAnsi="Times New Roman" w:cs="Times New Roman"/>
          <w:smallCaps/>
          <w:sz w:val="24"/>
          <w:szCs w:val="24"/>
        </w:rPr>
        <w:t xml:space="preserve">G. </w:t>
      </w:r>
      <w:proofErr w:type="spellStart"/>
      <w:r w:rsidRPr="004638C0">
        <w:rPr>
          <w:rFonts w:ascii="Times New Roman" w:hAnsi="Times New Roman" w:cs="Times New Roman"/>
          <w:smallCaps/>
          <w:sz w:val="24"/>
          <w:szCs w:val="24"/>
        </w:rPr>
        <w:t>Pietropolli</w:t>
      </w:r>
      <w:proofErr w:type="spellEnd"/>
      <w:r w:rsidRPr="004638C0">
        <w:rPr>
          <w:rFonts w:ascii="Times New Roman" w:hAnsi="Times New Roman" w:cs="Times New Roman"/>
          <w:smallCaps/>
          <w:sz w:val="24"/>
          <w:szCs w:val="24"/>
        </w:rPr>
        <w:t xml:space="preserve"> </w:t>
      </w:r>
      <w:proofErr w:type="spellStart"/>
      <w:r w:rsidRPr="004638C0">
        <w:rPr>
          <w:rFonts w:ascii="Times New Roman" w:hAnsi="Times New Roman" w:cs="Times New Roman"/>
          <w:smallCaps/>
          <w:sz w:val="24"/>
          <w:szCs w:val="24"/>
        </w:rPr>
        <w:t>Charmet</w:t>
      </w:r>
      <w:proofErr w:type="spellEnd"/>
      <w:r w:rsidRPr="004638C0">
        <w:rPr>
          <w:rFonts w:ascii="Times New Roman" w:hAnsi="Times New Roman" w:cs="Times New Roman"/>
          <w:sz w:val="24"/>
          <w:szCs w:val="24"/>
        </w:rPr>
        <w:t>, uno dei più importanti psichiatri e psicoterapeuti italiani (primario in diversi ospedali psichiatrici e docente di Psicologia dinamica all’Università Statale di Milano e all’Università di Milano Bicocca) nella sua opera “</w:t>
      </w:r>
      <w:r w:rsidRPr="004638C0">
        <w:rPr>
          <w:rFonts w:ascii="Times New Roman" w:hAnsi="Times New Roman" w:cs="Times New Roman"/>
          <w:i/>
          <w:iCs/>
          <w:sz w:val="24"/>
          <w:szCs w:val="24"/>
        </w:rPr>
        <w:t>I nuovi adolescenti</w:t>
      </w:r>
      <w:r w:rsidRPr="004638C0">
        <w:rPr>
          <w:rFonts w:ascii="Times New Roman" w:hAnsi="Times New Roman" w:cs="Times New Roman"/>
          <w:sz w:val="24"/>
          <w:szCs w:val="24"/>
        </w:rPr>
        <w:t>”, 2000,</w:t>
      </w:r>
      <w:r w:rsidRPr="004638C0">
        <w:rPr>
          <w:rFonts w:ascii="Times New Roman" w:hAnsi="Times New Roman" w:cs="Times New Roman"/>
          <w:i/>
          <w:iCs/>
          <w:sz w:val="24"/>
          <w:szCs w:val="24"/>
        </w:rPr>
        <w:t xml:space="preserve"> </w:t>
      </w:r>
      <w:r w:rsidRPr="004638C0">
        <w:rPr>
          <w:rFonts w:ascii="Times New Roman" w:hAnsi="Times New Roman" w:cs="Times New Roman"/>
          <w:sz w:val="24"/>
          <w:szCs w:val="24"/>
        </w:rPr>
        <w:t>afferma che il clima affettivo in cui si dipana l’adolescenza è radicalmente cambiato</w:t>
      </w:r>
      <w:r w:rsidRPr="00DC2DF9">
        <w:rPr>
          <w:rFonts w:ascii="Times New Roman" w:hAnsi="Times New Roman" w:cs="Times New Roman"/>
          <w:sz w:val="24"/>
          <w:szCs w:val="24"/>
        </w:rPr>
        <w:t>, perché è mutato il modo in cui gli adulti si trovano a esercitare il mestiere di padre e madre.</w:t>
      </w:r>
    </w:p>
  </w:footnote>
  <w:footnote w:id="114">
    <w:p w14:paraId="3222BA19" w14:textId="224BA3ED" w:rsidR="000463A6" w:rsidRPr="00DC2DF9" w:rsidRDefault="000463A6" w:rsidP="00DC2DF9">
      <w:pPr>
        <w:pStyle w:val="Testonotaapidipagina"/>
        <w:jc w:val="both"/>
        <w:rPr>
          <w:rFonts w:ascii="Times New Roman" w:hAnsi="Times New Roman" w:cs="Times New Roman"/>
          <w:sz w:val="24"/>
          <w:szCs w:val="24"/>
        </w:rPr>
      </w:pPr>
      <w:r w:rsidRPr="00DC2DF9">
        <w:rPr>
          <w:rStyle w:val="Rimandonotaapidipagina"/>
          <w:rFonts w:ascii="Times New Roman" w:hAnsi="Times New Roman" w:cs="Times New Roman"/>
          <w:sz w:val="24"/>
          <w:szCs w:val="24"/>
        </w:rPr>
        <w:footnoteRef/>
      </w:r>
      <w:r w:rsidRPr="00DC2DF9">
        <w:rPr>
          <w:rFonts w:ascii="Times New Roman" w:hAnsi="Times New Roman" w:cs="Times New Roman"/>
          <w:sz w:val="24"/>
          <w:szCs w:val="24"/>
        </w:rPr>
        <w:t xml:space="preserve"> </w:t>
      </w:r>
      <w:r w:rsidRPr="005B5388">
        <w:rPr>
          <w:rFonts w:ascii="Times New Roman" w:hAnsi="Times New Roman" w:cs="Times New Roman"/>
          <w:smallCaps/>
          <w:sz w:val="24"/>
          <w:szCs w:val="24"/>
        </w:rPr>
        <w:t>P. Carbone</w:t>
      </w:r>
      <w:r>
        <w:rPr>
          <w:rFonts w:ascii="Times New Roman" w:hAnsi="Times New Roman" w:cs="Times New Roman"/>
          <w:smallCaps/>
          <w:sz w:val="24"/>
          <w:szCs w:val="24"/>
        </w:rPr>
        <w:t>,</w:t>
      </w:r>
      <w:r w:rsidRPr="00DC2DF9">
        <w:rPr>
          <w:rFonts w:ascii="Times New Roman" w:hAnsi="Times New Roman" w:cs="Times New Roman"/>
          <w:sz w:val="24"/>
          <w:szCs w:val="24"/>
        </w:rPr>
        <w:t xml:space="preserve"> “</w:t>
      </w:r>
      <w:r w:rsidRPr="00DC2DF9">
        <w:rPr>
          <w:rFonts w:ascii="Times New Roman" w:hAnsi="Times New Roman" w:cs="Times New Roman"/>
          <w:i/>
          <w:iCs/>
          <w:sz w:val="24"/>
          <w:szCs w:val="24"/>
        </w:rPr>
        <w:t>Adolescenza e</w:t>
      </w:r>
      <w:r w:rsidRPr="00DC2DF9">
        <w:rPr>
          <w:rFonts w:ascii="Times New Roman" w:hAnsi="Times New Roman" w:cs="Times New Roman"/>
          <w:sz w:val="24"/>
          <w:szCs w:val="24"/>
        </w:rPr>
        <w:t xml:space="preserve"> </w:t>
      </w:r>
      <w:r w:rsidRPr="00DC2DF9">
        <w:rPr>
          <w:rFonts w:ascii="Times New Roman" w:hAnsi="Times New Roman" w:cs="Times New Roman"/>
          <w:i/>
          <w:iCs/>
          <w:sz w:val="24"/>
          <w:szCs w:val="24"/>
        </w:rPr>
        <w:t>disagio</w:t>
      </w:r>
      <w:r w:rsidRPr="00DC2DF9">
        <w:rPr>
          <w:rFonts w:ascii="Times New Roman" w:hAnsi="Times New Roman" w:cs="Times New Roman"/>
          <w:sz w:val="24"/>
          <w:szCs w:val="24"/>
        </w:rPr>
        <w:t>”</w:t>
      </w:r>
      <w:r>
        <w:rPr>
          <w:rFonts w:ascii="Times New Roman" w:hAnsi="Times New Roman" w:cs="Times New Roman"/>
          <w:sz w:val="24"/>
          <w:szCs w:val="24"/>
        </w:rPr>
        <w:t>, 2001.</w:t>
      </w:r>
    </w:p>
  </w:footnote>
  <w:footnote w:id="115">
    <w:p w14:paraId="3672B50D" w14:textId="2B439BB1" w:rsidR="000463A6" w:rsidRPr="00DC2DF9" w:rsidRDefault="000463A6" w:rsidP="00DC2DF9">
      <w:pPr>
        <w:pStyle w:val="Testonotaapidipagina"/>
        <w:jc w:val="both"/>
        <w:rPr>
          <w:rFonts w:ascii="Times New Roman" w:hAnsi="Times New Roman" w:cs="Times New Roman"/>
          <w:sz w:val="24"/>
          <w:szCs w:val="24"/>
        </w:rPr>
      </w:pPr>
      <w:r w:rsidRPr="00DC2DF9">
        <w:rPr>
          <w:rStyle w:val="Rimandonotaapidipagina"/>
          <w:rFonts w:ascii="Times New Roman" w:hAnsi="Times New Roman" w:cs="Times New Roman"/>
          <w:sz w:val="24"/>
          <w:szCs w:val="24"/>
        </w:rPr>
        <w:footnoteRef/>
      </w:r>
      <w:r w:rsidRPr="00DC2DF9">
        <w:rPr>
          <w:rFonts w:ascii="Times New Roman" w:hAnsi="Times New Roman" w:cs="Times New Roman"/>
          <w:sz w:val="24"/>
          <w:szCs w:val="24"/>
        </w:rPr>
        <w:t xml:space="preserve"> </w:t>
      </w:r>
      <w:r w:rsidRPr="00DC2DF9">
        <w:rPr>
          <w:rFonts w:ascii="Times New Roman" w:hAnsi="Times New Roman" w:cs="Times New Roman"/>
          <w:smallCaps/>
          <w:sz w:val="24"/>
          <w:szCs w:val="24"/>
        </w:rPr>
        <w:t>M</w:t>
      </w:r>
      <w:r>
        <w:rPr>
          <w:rFonts w:ascii="Times New Roman" w:hAnsi="Times New Roman" w:cs="Times New Roman"/>
          <w:smallCaps/>
          <w:sz w:val="24"/>
          <w:szCs w:val="24"/>
        </w:rPr>
        <w:t>.</w:t>
      </w:r>
      <w:r w:rsidRPr="00DC2DF9">
        <w:rPr>
          <w:rFonts w:ascii="Times New Roman" w:hAnsi="Times New Roman" w:cs="Times New Roman"/>
          <w:smallCaps/>
          <w:sz w:val="24"/>
          <w:szCs w:val="24"/>
        </w:rPr>
        <w:t xml:space="preserve"> </w:t>
      </w:r>
      <w:proofErr w:type="spellStart"/>
      <w:r w:rsidRPr="00DC2DF9">
        <w:rPr>
          <w:rFonts w:ascii="Times New Roman" w:hAnsi="Times New Roman" w:cs="Times New Roman"/>
          <w:smallCaps/>
          <w:sz w:val="24"/>
          <w:szCs w:val="24"/>
        </w:rPr>
        <w:t>Benasoyag</w:t>
      </w:r>
      <w:proofErr w:type="spellEnd"/>
      <w:r w:rsidRPr="00DC2DF9">
        <w:rPr>
          <w:rFonts w:ascii="Times New Roman" w:hAnsi="Times New Roman" w:cs="Times New Roman"/>
          <w:sz w:val="24"/>
          <w:szCs w:val="24"/>
        </w:rPr>
        <w:t>, filosofo e psicanalista di origine argentina, in “</w:t>
      </w:r>
      <w:r w:rsidRPr="00DC2DF9">
        <w:rPr>
          <w:rFonts w:ascii="Times New Roman" w:hAnsi="Times New Roman" w:cs="Times New Roman"/>
          <w:i/>
          <w:iCs/>
          <w:sz w:val="24"/>
          <w:szCs w:val="24"/>
        </w:rPr>
        <w:t>La tirannia dell’Algoritmo</w:t>
      </w:r>
      <w:r w:rsidRPr="00DC2DF9">
        <w:rPr>
          <w:rFonts w:ascii="Times New Roman" w:hAnsi="Times New Roman" w:cs="Times New Roman"/>
          <w:sz w:val="24"/>
          <w:szCs w:val="24"/>
        </w:rPr>
        <w:t>”,</w:t>
      </w:r>
      <w:r>
        <w:rPr>
          <w:rFonts w:ascii="Times New Roman" w:hAnsi="Times New Roman" w:cs="Times New Roman"/>
          <w:sz w:val="24"/>
          <w:szCs w:val="24"/>
        </w:rPr>
        <w:t xml:space="preserve"> </w:t>
      </w:r>
      <w:r w:rsidRPr="00DC2DF9">
        <w:rPr>
          <w:rFonts w:ascii="Times New Roman" w:hAnsi="Times New Roman" w:cs="Times New Roman"/>
          <w:sz w:val="24"/>
          <w:szCs w:val="24"/>
        </w:rPr>
        <w:t>2020,</w:t>
      </w:r>
      <w:r>
        <w:rPr>
          <w:rFonts w:ascii="Times New Roman" w:hAnsi="Times New Roman" w:cs="Times New Roman"/>
          <w:sz w:val="24"/>
          <w:szCs w:val="24"/>
        </w:rPr>
        <w:t xml:space="preserve"> </w:t>
      </w:r>
      <w:r w:rsidRPr="00DC2DF9">
        <w:rPr>
          <w:rFonts w:ascii="Times New Roman" w:hAnsi="Times New Roman" w:cs="Times New Roman"/>
          <w:sz w:val="24"/>
          <w:szCs w:val="24"/>
        </w:rPr>
        <w:t xml:space="preserve">afferma che siamo marionette in mano ai </w:t>
      </w:r>
      <w:r w:rsidRPr="00A46E23">
        <w:rPr>
          <w:rFonts w:ascii="Times New Roman" w:hAnsi="Times New Roman" w:cs="Times New Roman"/>
          <w:i/>
          <w:iCs/>
          <w:sz w:val="24"/>
          <w:szCs w:val="24"/>
        </w:rPr>
        <w:t>coach</w:t>
      </w:r>
      <w:r w:rsidRPr="00DC2DF9">
        <w:rPr>
          <w:rFonts w:ascii="Times New Roman" w:hAnsi="Times New Roman" w:cs="Times New Roman"/>
          <w:sz w:val="24"/>
          <w:szCs w:val="24"/>
        </w:rPr>
        <w:t xml:space="preserve"> e agli </w:t>
      </w:r>
      <w:proofErr w:type="spellStart"/>
      <w:r w:rsidRPr="00A46E23">
        <w:rPr>
          <w:rFonts w:ascii="Times New Roman" w:hAnsi="Times New Roman" w:cs="Times New Roman"/>
          <w:i/>
          <w:iCs/>
          <w:sz w:val="24"/>
          <w:szCs w:val="24"/>
        </w:rPr>
        <w:t>smartphone</w:t>
      </w:r>
      <w:proofErr w:type="spellEnd"/>
      <w:r w:rsidRPr="00DC2DF9">
        <w:rPr>
          <w:rFonts w:ascii="Times New Roman" w:hAnsi="Times New Roman" w:cs="Times New Roman"/>
          <w:sz w:val="24"/>
          <w:szCs w:val="24"/>
        </w:rPr>
        <w:t xml:space="preserve">, </w:t>
      </w:r>
      <w:r>
        <w:rPr>
          <w:rFonts w:ascii="Times New Roman" w:hAnsi="Times New Roman" w:cs="Times New Roman"/>
          <w:sz w:val="24"/>
          <w:szCs w:val="24"/>
        </w:rPr>
        <w:t xml:space="preserve">che </w:t>
      </w:r>
      <w:r w:rsidRPr="00DC2DF9">
        <w:rPr>
          <w:rFonts w:ascii="Times New Roman" w:hAnsi="Times New Roman" w:cs="Times New Roman"/>
          <w:sz w:val="24"/>
          <w:szCs w:val="24"/>
        </w:rPr>
        <w:t>occorre una visione modulare dell’uomo, con il recupero dell’</w:t>
      </w:r>
      <w:r w:rsidRPr="00A46E23">
        <w:rPr>
          <w:rFonts w:ascii="Times New Roman" w:hAnsi="Times New Roman" w:cs="Times New Roman"/>
          <w:i/>
          <w:iCs/>
          <w:sz w:val="24"/>
          <w:szCs w:val="24"/>
        </w:rPr>
        <w:t>agency</w:t>
      </w:r>
      <w:r w:rsidRPr="00DC2DF9">
        <w:rPr>
          <w:rFonts w:ascii="Times New Roman" w:hAnsi="Times New Roman" w:cs="Times New Roman"/>
          <w:sz w:val="24"/>
          <w:szCs w:val="24"/>
        </w:rPr>
        <w:t>, la possibilità di iniziare un’azione accesa dall’interno</w:t>
      </w:r>
      <w:r>
        <w:rPr>
          <w:rFonts w:ascii="Times New Roman" w:hAnsi="Times New Roman" w:cs="Times New Roman"/>
          <w:sz w:val="24"/>
          <w:szCs w:val="24"/>
        </w:rPr>
        <w:t xml:space="preserve">; </w:t>
      </w:r>
      <w:r w:rsidRPr="00DC2DF9">
        <w:rPr>
          <w:rFonts w:ascii="Times New Roman" w:hAnsi="Times New Roman" w:cs="Times New Roman"/>
          <w:sz w:val="24"/>
          <w:szCs w:val="24"/>
        </w:rPr>
        <w:t>critica la tirannia degli algoritmi, riflessione sull’espulsione del conflitto o la confusione esiziale tra desideri generativi e voglie seriali del niente</w:t>
      </w:r>
      <w:r>
        <w:rPr>
          <w:rFonts w:ascii="Times New Roman" w:hAnsi="Times New Roman" w:cs="Times New Roman"/>
          <w:sz w:val="24"/>
          <w:szCs w:val="24"/>
        </w:rPr>
        <w:t xml:space="preserve">; v. </w:t>
      </w:r>
      <w:r w:rsidRPr="00DC2DF9">
        <w:rPr>
          <w:rFonts w:ascii="Times New Roman" w:hAnsi="Times New Roman" w:cs="Times New Roman"/>
          <w:sz w:val="24"/>
          <w:szCs w:val="24"/>
        </w:rPr>
        <w:t>le su</w:t>
      </w:r>
      <w:r>
        <w:rPr>
          <w:rFonts w:ascii="Times New Roman" w:hAnsi="Times New Roman" w:cs="Times New Roman"/>
          <w:sz w:val="24"/>
          <w:szCs w:val="24"/>
        </w:rPr>
        <w:t>e</w:t>
      </w:r>
      <w:r w:rsidRPr="00DC2DF9">
        <w:rPr>
          <w:rFonts w:ascii="Times New Roman" w:hAnsi="Times New Roman" w:cs="Times New Roman"/>
          <w:sz w:val="24"/>
          <w:szCs w:val="24"/>
        </w:rPr>
        <w:t xml:space="preserve"> opere “</w:t>
      </w:r>
      <w:r w:rsidRPr="00DC2DF9">
        <w:rPr>
          <w:rFonts w:ascii="Times New Roman" w:hAnsi="Times New Roman" w:cs="Times New Roman"/>
          <w:i/>
          <w:iCs/>
          <w:sz w:val="24"/>
          <w:szCs w:val="24"/>
        </w:rPr>
        <w:t>La responsabilità della rivolta</w:t>
      </w:r>
      <w:r w:rsidRPr="00DC2DF9">
        <w:rPr>
          <w:rFonts w:ascii="Times New Roman" w:hAnsi="Times New Roman" w:cs="Times New Roman"/>
          <w:sz w:val="24"/>
          <w:szCs w:val="24"/>
        </w:rPr>
        <w:t>”, una riflessione critica in relazione alla pandemia, come anche “</w:t>
      </w:r>
      <w:r w:rsidRPr="00DC2DF9">
        <w:rPr>
          <w:rFonts w:ascii="Times New Roman" w:hAnsi="Times New Roman" w:cs="Times New Roman"/>
          <w:i/>
          <w:iCs/>
          <w:sz w:val="24"/>
          <w:szCs w:val="24"/>
        </w:rPr>
        <w:t>Cinque lezioni di complessità</w:t>
      </w:r>
      <w:r w:rsidRPr="00DC2DF9">
        <w:rPr>
          <w:rFonts w:ascii="Times New Roman" w:hAnsi="Times New Roman" w:cs="Times New Roman"/>
          <w:sz w:val="24"/>
          <w:szCs w:val="24"/>
        </w:rPr>
        <w:t>”, 2020</w:t>
      </w:r>
      <w:r>
        <w:rPr>
          <w:rFonts w:ascii="Times New Roman" w:hAnsi="Times New Roman" w:cs="Times New Roman"/>
          <w:sz w:val="24"/>
          <w:szCs w:val="24"/>
        </w:rPr>
        <w:t xml:space="preserve">, </w:t>
      </w:r>
      <w:r w:rsidRPr="00DC2DF9">
        <w:rPr>
          <w:rFonts w:ascii="Times New Roman" w:hAnsi="Times New Roman" w:cs="Times New Roman"/>
          <w:sz w:val="24"/>
          <w:szCs w:val="24"/>
        </w:rPr>
        <w:t>in dialogo con Teodoro Cohen, parla della pandemia come di un “attraversamento sfibrante”, è un’esperienza del trauma prolungato e anche di una trasformazione che ci riguarda tutti, continuiamo a confondere la complessità con la linearità dell’</w:t>
      </w:r>
      <w:proofErr w:type="spellStart"/>
      <w:r w:rsidRPr="00DC2DF9">
        <w:rPr>
          <w:rFonts w:ascii="Times New Roman" w:hAnsi="Times New Roman" w:cs="Times New Roman"/>
          <w:sz w:val="24"/>
          <w:szCs w:val="24"/>
        </w:rPr>
        <w:t>Antropocene</w:t>
      </w:r>
      <w:proofErr w:type="spellEnd"/>
      <w:r w:rsidRPr="00DC2DF9">
        <w:rPr>
          <w:rFonts w:ascii="Times New Roman" w:hAnsi="Times New Roman" w:cs="Times New Roman"/>
          <w:sz w:val="24"/>
          <w:szCs w:val="24"/>
        </w:rPr>
        <w:t>, il futuro è una virtualità del presente, la sfida dell’atto, “</w:t>
      </w:r>
      <w:r w:rsidRPr="00DC2DF9">
        <w:rPr>
          <w:rFonts w:ascii="Times New Roman" w:hAnsi="Times New Roman" w:cs="Times New Roman"/>
          <w:i/>
          <w:iCs/>
          <w:sz w:val="24"/>
          <w:szCs w:val="24"/>
        </w:rPr>
        <w:t>clinica</w:t>
      </w:r>
      <w:r w:rsidRPr="00DC2DF9">
        <w:rPr>
          <w:rFonts w:ascii="Times New Roman" w:hAnsi="Times New Roman" w:cs="Times New Roman"/>
          <w:sz w:val="24"/>
          <w:szCs w:val="24"/>
        </w:rPr>
        <w:t xml:space="preserve"> </w:t>
      </w:r>
      <w:r w:rsidRPr="00DC2DF9">
        <w:rPr>
          <w:rFonts w:ascii="Times New Roman" w:hAnsi="Times New Roman" w:cs="Times New Roman"/>
          <w:i/>
          <w:iCs/>
          <w:sz w:val="24"/>
          <w:szCs w:val="24"/>
        </w:rPr>
        <w:t>del legame e legame del comune</w:t>
      </w:r>
      <w:r w:rsidRPr="009C2669">
        <w:rPr>
          <w:rFonts w:ascii="Times New Roman" w:hAnsi="Times New Roman" w:cs="Times New Roman"/>
          <w:sz w:val="24"/>
          <w:szCs w:val="24"/>
        </w:rPr>
        <w:t xml:space="preserve">”, </w:t>
      </w:r>
      <w:r w:rsidRPr="00DC2DF9">
        <w:rPr>
          <w:rFonts w:ascii="Times New Roman" w:hAnsi="Times New Roman" w:cs="Times New Roman"/>
          <w:sz w:val="24"/>
          <w:szCs w:val="24"/>
        </w:rPr>
        <w:t>parla degli effetti psicologici della pandemia come depressione di massa: “</w:t>
      </w:r>
      <w:proofErr w:type="spellStart"/>
      <w:r w:rsidRPr="00DC2DF9">
        <w:rPr>
          <w:rFonts w:ascii="Times New Roman" w:hAnsi="Times New Roman" w:cs="Times New Roman"/>
          <w:i/>
          <w:iCs/>
          <w:sz w:val="24"/>
          <w:szCs w:val="24"/>
        </w:rPr>
        <w:t>Deleuze</w:t>
      </w:r>
      <w:proofErr w:type="spellEnd"/>
      <w:r w:rsidRPr="00DC2DF9">
        <w:rPr>
          <w:rFonts w:ascii="Times New Roman" w:hAnsi="Times New Roman" w:cs="Times New Roman"/>
          <w:i/>
          <w:iCs/>
          <w:sz w:val="24"/>
          <w:szCs w:val="24"/>
        </w:rPr>
        <w:t xml:space="preserve"> diceva che la tristezza è reazionaria</w:t>
      </w:r>
      <w:r w:rsidRPr="00DC2DF9">
        <w:rPr>
          <w:rFonts w:ascii="Times New Roman" w:hAnsi="Times New Roman" w:cs="Times New Roman"/>
          <w:sz w:val="24"/>
          <w:szCs w:val="24"/>
        </w:rPr>
        <w:t xml:space="preserve">, </w:t>
      </w:r>
      <w:r w:rsidRPr="00DC2DF9">
        <w:rPr>
          <w:rFonts w:ascii="Times New Roman" w:hAnsi="Times New Roman" w:cs="Times New Roman"/>
          <w:i/>
          <w:iCs/>
          <w:sz w:val="24"/>
          <w:szCs w:val="24"/>
        </w:rPr>
        <w:t>sembra un ammonimento troppo severo, ma lo diceva pensando a Spinoza quando avvertiva</w:t>
      </w:r>
      <w:r w:rsidRPr="00DC2DF9">
        <w:rPr>
          <w:rFonts w:ascii="Times New Roman" w:hAnsi="Times New Roman" w:cs="Times New Roman"/>
          <w:sz w:val="24"/>
          <w:szCs w:val="24"/>
        </w:rPr>
        <w:t xml:space="preserve"> </w:t>
      </w:r>
      <w:r w:rsidRPr="00DC2DF9">
        <w:rPr>
          <w:rFonts w:ascii="Times New Roman" w:hAnsi="Times New Roman" w:cs="Times New Roman"/>
          <w:i/>
          <w:iCs/>
          <w:sz w:val="24"/>
          <w:szCs w:val="24"/>
        </w:rPr>
        <w:t>sulla perdita della capacità di agire non facendo lavorare la gioia</w:t>
      </w:r>
      <w:r w:rsidRPr="009C2669">
        <w:rPr>
          <w:rFonts w:ascii="Times New Roman" w:hAnsi="Times New Roman" w:cs="Times New Roman"/>
          <w:sz w:val="24"/>
          <w:szCs w:val="24"/>
        </w:rPr>
        <w:t>”.</w:t>
      </w:r>
      <w:r w:rsidRPr="00DC2DF9">
        <w:rPr>
          <w:rFonts w:ascii="Times New Roman" w:hAnsi="Times New Roman" w:cs="Times New Roman"/>
          <w:i/>
          <w:iCs/>
          <w:sz w:val="24"/>
          <w:szCs w:val="24"/>
        </w:rPr>
        <w:t xml:space="preserve"> </w:t>
      </w:r>
      <w:r w:rsidRPr="00DC2DF9">
        <w:rPr>
          <w:rFonts w:ascii="Times New Roman" w:hAnsi="Times New Roman" w:cs="Times New Roman"/>
          <w:sz w:val="24"/>
          <w:szCs w:val="24"/>
        </w:rPr>
        <w:t>Tra le sue</w:t>
      </w:r>
      <w:r w:rsidRPr="00DC2DF9">
        <w:rPr>
          <w:rFonts w:ascii="Times New Roman" w:hAnsi="Times New Roman" w:cs="Times New Roman"/>
          <w:i/>
          <w:iCs/>
          <w:sz w:val="24"/>
          <w:szCs w:val="24"/>
        </w:rPr>
        <w:t xml:space="preserve"> </w:t>
      </w:r>
      <w:r w:rsidRPr="00DC2DF9">
        <w:rPr>
          <w:rFonts w:ascii="Times New Roman" w:hAnsi="Times New Roman" w:cs="Times New Roman"/>
          <w:sz w:val="24"/>
          <w:szCs w:val="24"/>
        </w:rPr>
        <w:t>opere</w:t>
      </w:r>
      <w:r>
        <w:rPr>
          <w:rFonts w:ascii="Times New Roman" w:hAnsi="Times New Roman" w:cs="Times New Roman"/>
          <w:sz w:val="24"/>
          <w:szCs w:val="24"/>
        </w:rPr>
        <w:t>,</w:t>
      </w:r>
      <w:r w:rsidRPr="00DC2DF9">
        <w:rPr>
          <w:rFonts w:ascii="Times New Roman" w:hAnsi="Times New Roman" w:cs="Times New Roman"/>
          <w:sz w:val="24"/>
          <w:szCs w:val="24"/>
        </w:rPr>
        <w:t xml:space="preserve"> </w:t>
      </w:r>
      <w:r w:rsidRPr="00DC2DF9">
        <w:rPr>
          <w:rFonts w:ascii="Times New Roman" w:hAnsi="Times New Roman" w:cs="Times New Roman"/>
          <w:i/>
          <w:iCs/>
          <w:sz w:val="24"/>
          <w:szCs w:val="24"/>
        </w:rPr>
        <w:t>“L’epoca delle passioni tristi</w:t>
      </w:r>
      <w:r w:rsidRPr="009C2669">
        <w:rPr>
          <w:rFonts w:ascii="Times New Roman" w:hAnsi="Times New Roman" w:cs="Times New Roman"/>
          <w:sz w:val="24"/>
          <w:szCs w:val="24"/>
        </w:rPr>
        <w:t>”,</w:t>
      </w:r>
      <w:r>
        <w:rPr>
          <w:rFonts w:ascii="Times New Roman" w:hAnsi="Times New Roman" w:cs="Times New Roman"/>
          <w:i/>
          <w:iCs/>
          <w:sz w:val="24"/>
          <w:szCs w:val="24"/>
        </w:rPr>
        <w:t xml:space="preserve"> </w:t>
      </w:r>
      <w:r w:rsidRPr="00DC2DF9">
        <w:rPr>
          <w:rFonts w:ascii="Times New Roman" w:hAnsi="Times New Roman" w:cs="Times New Roman"/>
          <w:sz w:val="24"/>
          <w:szCs w:val="24"/>
        </w:rPr>
        <w:t xml:space="preserve">2004 con </w:t>
      </w:r>
      <w:r w:rsidRPr="00DC2DF9">
        <w:rPr>
          <w:rFonts w:ascii="Times New Roman" w:hAnsi="Times New Roman" w:cs="Times New Roman"/>
          <w:smallCaps/>
          <w:sz w:val="24"/>
          <w:szCs w:val="24"/>
        </w:rPr>
        <w:t>G</w:t>
      </w:r>
      <w:r>
        <w:rPr>
          <w:rFonts w:ascii="Times New Roman" w:hAnsi="Times New Roman" w:cs="Times New Roman"/>
          <w:smallCaps/>
          <w:sz w:val="24"/>
          <w:szCs w:val="24"/>
        </w:rPr>
        <w:t>.</w:t>
      </w:r>
      <w:r w:rsidRPr="00DC2DF9">
        <w:rPr>
          <w:rFonts w:ascii="Times New Roman" w:hAnsi="Times New Roman" w:cs="Times New Roman"/>
          <w:smallCaps/>
          <w:sz w:val="24"/>
          <w:szCs w:val="24"/>
        </w:rPr>
        <w:t xml:space="preserve"> </w:t>
      </w:r>
      <w:proofErr w:type="spellStart"/>
      <w:r w:rsidRPr="00DC2DF9">
        <w:rPr>
          <w:rFonts w:ascii="Times New Roman" w:hAnsi="Times New Roman" w:cs="Times New Roman"/>
          <w:smallCaps/>
          <w:sz w:val="24"/>
          <w:szCs w:val="24"/>
        </w:rPr>
        <w:t>Schimt</w:t>
      </w:r>
      <w:proofErr w:type="spellEnd"/>
      <w:r w:rsidRPr="00DC2DF9">
        <w:rPr>
          <w:rFonts w:ascii="Times New Roman" w:hAnsi="Times New Roman" w:cs="Times New Roman"/>
          <w:sz w:val="24"/>
          <w:szCs w:val="24"/>
        </w:rPr>
        <w:t>, “</w:t>
      </w:r>
      <w:r w:rsidRPr="00DC2DF9">
        <w:rPr>
          <w:rFonts w:ascii="Times New Roman" w:hAnsi="Times New Roman" w:cs="Times New Roman"/>
          <w:i/>
          <w:iCs/>
          <w:sz w:val="24"/>
          <w:szCs w:val="24"/>
        </w:rPr>
        <w:t>Il cervello aumentato, l’uomo diminuito</w:t>
      </w:r>
      <w:r w:rsidRPr="009C2669">
        <w:rPr>
          <w:rFonts w:ascii="Times New Roman" w:hAnsi="Times New Roman" w:cs="Times New Roman"/>
          <w:sz w:val="24"/>
          <w:szCs w:val="24"/>
        </w:rPr>
        <w:t>”,</w:t>
      </w:r>
      <w:r>
        <w:rPr>
          <w:rFonts w:ascii="Times New Roman" w:hAnsi="Times New Roman" w:cs="Times New Roman"/>
          <w:i/>
          <w:iCs/>
          <w:sz w:val="24"/>
          <w:szCs w:val="24"/>
        </w:rPr>
        <w:t xml:space="preserve"> </w:t>
      </w:r>
      <w:r w:rsidRPr="00DC2DF9">
        <w:rPr>
          <w:rFonts w:ascii="Times New Roman" w:hAnsi="Times New Roman" w:cs="Times New Roman"/>
          <w:sz w:val="24"/>
          <w:szCs w:val="24"/>
        </w:rPr>
        <w:t>2016</w:t>
      </w:r>
      <w:r>
        <w:rPr>
          <w:rFonts w:ascii="Times New Roman" w:hAnsi="Times New Roman" w:cs="Times New Roman"/>
          <w:sz w:val="24"/>
          <w:szCs w:val="24"/>
        </w:rPr>
        <w:t>.</w:t>
      </w:r>
    </w:p>
  </w:footnote>
  <w:footnote w:id="116">
    <w:p w14:paraId="719648B3" w14:textId="42468F3E" w:rsidR="000463A6" w:rsidRPr="000A002B" w:rsidRDefault="000463A6" w:rsidP="00DC2DF9">
      <w:pPr>
        <w:pStyle w:val="Testonotaapidipagina"/>
        <w:jc w:val="both"/>
      </w:pPr>
      <w:r w:rsidRPr="00DC2DF9">
        <w:rPr>
          <w:rStyle w:val="Rimandonotaapidipagina"/>
          <w:rFonts w:ascii="Times New Roman" w:hAnsi="Times New Roman" w:cs="Times New Roman"/>
          <w:sz w:val="24"/>
          <w:szCs w:val="24"/>
        </w:rPr>
        <w:footnoteRef/>
      </w:r>
      <w:r w:rsidRPr="000A002B">
        <w:rPr>
          <w:rFonts w:ascii="Times New Roman" w:hAnsi="Times New Roman" w:cs="Times New Roman"/>
          <w:sz w:val="24"/>
          <w:szCs w:val="24"/>
        </w:rPr>
        <w:t xml:space="preserve"> </w:t>
      </w:r>
      <w:r w:rsidRPr="000A002B">
        <w:rPr>
          <w:rFonts w:ascii="Times New Roman" w:hAnsi="Times New Roman" w:cs="Times New Roman"/>
          <w:smallCaps/>
          <w:sz w:val="24"/>
          <w:szCs w:val="24"/>
        </w:rPr>
        <w:t xml:space="preserve">P. </w:t>
      </w:r>
      <w:proofErr w:type="spellStart"/>
      <w:r w:rsidRPr="000A002B">
        <w:rPr>
          <w:rFonts w:ascii="Times New Roman" w:hAnsi="Times New Roman" w:cs="Times New Roman"/>
          <w:smallCaps/>
          <w:sz w:val="24"/>
          <w:szCs w:val="24"/>
        </w:rPr>
        <w:t>Jeammet</w:t>
      </w:r>
      <w:proofErr w:type="spellEnd"/>
      <w:r w:rsidRPr="000A002B">
        <w:rPr>
          <w:rFonts w:ascii="Times New Roman" w:hAnsi="Times New Roman" w:cs="Times New Roman"/>
          <w:smallCaps/>
          <w:sz w:val="24"/>
          <w:szCs w:val="24"/>
        </w:rPr>
        <w:t>,</w:t>
      </w:r>
      <w:r w:rsidRPr="000A002B">
        <w:rPr>
          <w:rFonts w:ascii="Times New Roman" w:hAnsi="Times New Roman" w:cs="Times New Roman"/>
          <w:sz w:val="24"/>
          <w:szCs w:val="24"/>
        </w:rPr>
        <w:t xml:space="preserve"> “</w:t>
      </w:r>
      <w:r w:rsidRPr="000A002B">
        <w:rPr>
          <w:rFonts w:ascii="Times New Roman" w:hAnsi="Times New Roman" w:cs="Times New Roman"/>
          <w:i/>
          <w:iCs/>
          <w:sz w:val="24"/>
          <w:szCs w:val="24"/>
        </w:rPr>
        <w:t>Psicopatologia dell’adolescenza</w:t>
      </w:r>
      <w:r w:rsidRPr="000A002B">
        <w:rPr>
          <w:rFonts w:ascii="Times New Roman" w:hAnsi="Times New Roman" w:cs="Times New Roman"/>
          <w:sz w:val="24"/>
          <w:szCs w:val="24"/>
        </w:rPr>
        <w:t>”, 2019.</w:t>
      </w:r>
    </w:p>
  </w:footnote>
  <w:footnote w:id="117">
    <w:p w14:paraId="25756DDF" w14:textId="147F6535" w:rsidR="000463A6" w:rsidRPr="004F2AE8" w:rsidRDefault="000463A6" w:rsidP="004F2AE8">
      <w:pPr>
        <w:pStyle w:val="Testonotaapidipagina"/>
        <w:jc w:val="both"/>
        <w:rPr>
          <w:rFonts w:ascii="Times New Roman" w:hAnsi="Times New Roman" w:cs="Times New Roman"/>
          <w:sz w:val="24"/>
          <w:szCs w:val="24"/>
        </w:rPr>
      </w:pPr>
      <w:r w:rsidRPr="004F2AE8">
        <w:rPr>
          <w:rStyle w:val="Rimandonotaapidipagina"/>
          <w:rFonts w:ascii="Times New Roman" w:hAnsi="Times New Roman" w:cs="Times New Roman"/>
          <w:sz w:val="24"/>
          <w:szCs w:val="24"/>
        </w:rPr>
        <w:footnoteRef/>
      </w:r>
      <w:r w:rsidRPr="004F2AE8">
        <w:rPr>
          <w:rFonts w:ascii="Times New Roman" w:hAnsi="Times New Roman" w:cs="Times New Roman"/>
          <w:sz w:val="24"/>
          <w:szCs w:val="24"/>
        </w:rPr>
        <w:t xml:space="preserve"> </w:t>
      </w:r>
      <w:r>
        <w:rPr>
          <w:rFonts w:ascii="Times New Roman" w:hAnsi="Times New Roman" w:cs="Times New Roman"/>
          <w:sz w:val="24"/>
          <w:szCs w:val="24"/>
        </w:rPr>
        <w:t xml:space="preserve">V. </w:t>
      </w:r>
      <w:r w:rsidRPr="004F2AE8">
        <w:rPr>
          <w:rFonts w:ascii="Times New Roman" w:hAnsi="Times New Roman" w:cs="Times New Roman"/>
          <w:smallCaps/>
          <w:sz w:val="24"/>
          <w:szCs w:val="24"/>
        </w:rPr>
        <w:t>L. Rinaldi</w:t>
      </w:r>
      <w:r>
        <w:rPr>
          <w:rFonts w:ascii="Times New Roman" w:hAnsi="Times New Roman" w:cs="Times New Roman"/>
          <w:sz w:val="24"/>
          <w:szCs w:val="24"/>
        </w:rPr>
        <w:t>,</w:t>
      </w:r>
      <w:r w:rsidRPr="004F2AE8">
        <w:rPr>
          <w:rFonts w:ascii="Times New Roman" w:hAnsi="Times New Roman" w:cs="Times New Roman"/>
          <w:sz w:val="24"/>
          <w:szCs w:val="24"/>
        </w:rPr>
        <w:t xml:space="preserve"> “</w:t>
      </w:r>
      <w:r w:rsidRPr="004F2AE8">
        <w:rPr>
          <w:rFonts w:ascii="Times New Roman" w:hAnsi="Times New Roman" w:cs="Times New Roman"/>
          <w:i/>
          <w:iCs/>
          <w:sz w:val="24"/>
          <w:szCs w:val="24"/>
        </w:rPr>
        <w:t>Sul nascere madri e padri. L’abisso, le sue insidie e le sue possibilità</w:t>
      </w:r>
      <w:r w:rsidRPr="004F2AE8">
        <w:rPr>
          <w:rFonts w:ascii="Times New Roman" w:hAnsi="Times New Roman" w:cs="Times New Roman"/>
          <w:sz w:val="24"/>
          <w:szCs w:val="24"/>
        </w:rPr>
        <w:t>”, 2019.</w:t>
      </w:r>
    </w:p>
  </w:footnote>
  <w:footnote w:id="118">
    <w:p w14:paraId="0A605047" w14:textId="4F1C4A60" w:rsidR="000463A6" w:rsidRPr="00DA4AC6" w:rsidRDefault="000463A6" w:rsidP="004F2AE8">
      <w:pPr>
        <w:pStyle w:val="Testonotaapidipagina"/>
        <w:jc w:val="both"/>
        <w:rPr>
          <w:rFonts w:ascii="Times New Roman" w:hAnsi="Times New Roman" w:cs="Times New Roman"/>
          <w:sz w:val="24"/>
          <w:szCs w:val="24"/>
          <w:lang w:val="en-US"/>
        </w:rPr>
      </w:pPr>
      <w:r w:rsidRPr="004F2AE8">
        <w:rPr>
          <w:rStyle w:val="Rimandonotaapidipagina"/>
          <w:rFonts w:ascii="Times New Roman" w:hAnsi="Times New Roman" w:cs="Times New Roman"/>
          <w:sz w:val="24"/>
          <w:szCs w:val="24"/>
        </w:rPr>
        <w:footnoteRef/>
      </w:r>
      <w:r w:rsidRPr="004F2AE8">
        <w:rPr>
          <w:rFonts w:ascii="Times New Roman" w:hAnsi="Times New Roman" w:cs="Times New Roman"/>
          <w:sz w:val="24"/>
          <w:szCs w:val="24"/>
          <w:lang w:val="en-US"/>
        </w:rPr>
        <w:t xml:space="preserve"> </w:t>
      </w:r>
      <w:r w:rsidRPr="004F2AE8">
        <w:rPr>
          <w:rFonts w:ascii="Times New Roman" w:hAnsi="Times New Roman" w:cs="Times New Roman"/>
          <w:smallCaps/>
          <w:sz w:val="24"/>
          <w:szCs w:val="24"/>
          <w:lang w:val="en-US"/>
        </w:rPr>
        <w:t>L. Steinberg,</w:t>
      </w:r>
      <w:r w:rsidRPr="004F2AE8">
        <w:rPr>
          <w:rFonts w:ascii="Times New Roman" w:hAnsi="Times New Roman" w:cs="Times New Roman"/>
          <w:sz w:val="24"/>
          <w:szCs w:val="24"/>
          <w:lang w:val="en-US"/>
        </w:rPr>
        <w:t xml:space="preserve"> “</w:t>
      </w:r>
      <w:r w:rsidRPr="004F2AE8">
        <w:rPr>
          <w:rFonts w:ascii="Times New Roman" w:hAnsi="Times New Roman" w:cs="Times New Roman"/>
          <w:i/>
          <w:iCs/>
          <w:sz w:val="24"/>
          <w:szCs w:val="24"/>
          <w:lang w:val="en-US"/>
        </w:rPr>
        <w:t>Age of opportunity: Lessons</w:t>
      </w:r>
      <w:r w:rsidRPr="004F2AE8">
        <w:rPr>
          <w:rFonts w:ascii="Times New Roman" w:hAnsi="Times New Roman" w:cs="Times New Roman"/>
          <w:sz w:val="24"/>
          <w:szCs w:val="24"/>
          <w:lang w:val="en-US"/>
        </w:rPr>
        <w:t xml:space="preserve"> </w:t>
      </w:r>
      <w:r w:rsidRPr="004F2AE8">
        <w:rPr>
          <w:rFonts w:ascii="Times New Roman" w:hAnsi="Times New Roman" w:cs="Times New Roman"/>
          <w:i/>
          <w:iCs/>
          <w:sz w:val="24"/>
          <w:szCs w:val="24"/>
          <w:lang w:val="en-US"/>
        </w:rPr>
        <w:t>from the New Science of Adolescence</w:t>
      </w:r>
      <w:r w:rsidRPr="004F2AE8">
        <w:rPr>
          <w:rFonts w:ascii="Times New Roman" w:hAnsi="Times New Roman" w:cs="Times New Roman"/>
          <w:sz w:val="24"/>
          <w:szCs w:val="24"/>
          <w:lang w:val="en-US"/>
        </w:rPr>
        <w:t>”,</w:t>
      </w:r>
      <w:r w:rsidRPr="004F2AE8">
        <w:rPr>
          <w:rFonts w:ascii="Times New Roman" w:hAnsi="Times New Roman" w:cs="Times New Roman"/>
          <w:i/>
          <w:iCs/>
          <w:sz w:val="24"/>
          <w:szCs w:val="24"/>
          <w:lang w:val="en-US"/>
        </w:rPr>
        <w:t xml:space="preserve"> </w:t>
      </w:r>
      <w:r w:rsidRPr="004F2AE8">
        <w:rPr>
          <w:rFonts w:ascii="Times New Roman" w:hAnsi="Times New Roman" w:cs="Times New Roman"/>
          <w:sz w:val="24"/>
          <w:szCs w:val="24"/>
          <w:lang w:val="en-US"/>
        </w:rPr>
        <w:t>2015;</w:t>
      </w:r>
      <w:r w:rsidRPr="004F2AE8">
        <w:rPr>
          <w:rFonts w:ascii="Times New Roman" w:hAnsi="Times New Roman" w:cs="Times New Roman"/>
          <w:i/>
          <w:iCs/>
          <w:sz w:val="24"/>
          <w:szCs w:val="24"/>
          <w:lang w:val="en-US"/>
        </w:rPr>
        <w:t xml:space="preserve"> </w:t>
      </w:r>
      <w:r w:rsidRPr="004F2AE8">
        <w:rPr>
          <w:rFonts w:ascii="Times New Roman" w:hAnsi="Times New Roman" w:cs="Times New Roman"/>
          <w:sz w:val="24"/>
          <w:szCs w:val="24"/>
          <w:lang w:val="en-US"/>
        </w:rPr>
        <w:t>“</w:t>
      </w:r>
      <w:r w:rsidRPr="004F2AE8">
        <w:rPr>
          <w:rFonts w:ascii="Times New Roman" w:hAnsi="Times New Roman" w:cs="Times New Roman"/>
          <w:i/>
          <w:iCs/>
          <w:sz w:val="24"/>
          <w:szCs w:val="24"/>
          <w:lang w:val="en-US"/>
        </w:rPr>
        <w:t>You and your adolescent</w:t>
      </w:r>
      <w:r w:rsidRPr="004F2AE8">
        <w:rPr>
          <w:rFonts w:ascii="Times New Roman" w:hAnsi="Times New Roman" w:cs="Times New Roman"/>
          <w:sz w:val="24"/>
          <w:szCs w:val="24"/>
          <w:lang w:val="en-US"/>
        </w:rPr>
        <w:t>”, 2011;</w:t>
      </w:r>
      <w:r w:rsidRPr="004F2AE8">
        <w:rPr>
          <w:rFonts w:ascii="Times New Roman" w:hAnsi="Times New Roman" w:cs="Times New Roman"/>
          <w:i/>
          <w:iCs/>
          <w:sz w:val="24"/>
          <w:szCs w:val="24"/>
          <w:lang w:val="en-US"/>
        </w:rPr>
        <w:t xml:space="preserve"> “The 10 Basic principles of Good parenting</w:t>
      </w:r>
      <w:r w:rsidRPr="004F2AE8">
        <w:rPr>
          <w:rFonts w:ascii="Times New Roman" w:hAnsi="Times New Roman" w:cs="Times New Roman"/>
          <w:sz w:val="24"/>
          <w:szCs w:val="24"/>
          <w:lang w:val="en-US"/>
        </w:rPr>
        <w:t>”, 2005;</w:t>
      </w:r>
      <w:r w:rsidRPr="004F2AE8">
        <w:rPr>
          <w:rFonts w:ascii="Times New Roman" w:hAnsi="Times New Roman" w:cs="Times New Roman"/>
          <w:i/>
          <w:iCs/>
          <w:sz w:val="24"/>
          <w:szCs w:val="24"/>
          <w:lang w:val="en-US"/>
        </w:rPr>
        <w:t xml:space="preserve"> </w:t>
      </w:r>
      <w:r w:rsidRPr="004F2AE8">
        <w:rPr>
          <w:rFonts w:ascii="Times New Roman" w:hAnsi="Times New Roman" w:cs="Times New Roman"/>
          <w:sz w:val="24"/>
          <w:szCs w:val="24"/>
          <w:lang w:val="en-US"/>
        </w:rPr>
        <w:t>“</w:t>
      </w:r>
      <w:r w:rsidRPr="004F2AE8">
        <w:rPr>
          <w:rFonts w:ascii="Times New Roman" w:hAnsi="Times New Roman" w:cs="Times New Roman"/>
          <w:i/>
          <w:iCs/>
          <w:sz w:val="24"/>
          <w:szCs w:val="24"/>
          <w:lang w:val="en-US"/>
        </w:rPr>
        <w:t>Adolescence</w:t>
      </w:r>
      <w:r w:rsidRPr="004F2AE8">
        <w:rPr>
          <w:rFonts w:ascii="Times New Roman" w:hAnsi="Times New Roman" w:cs="Times New Roman"/>
          <w:sz w:val="24"/>
          <w:szCs w:val="24"/>
          <w:lang w:val="en-US"/>
        </w:rPr>
        <w:t>”, 2010.</w:t>
      </w:r>
    </w:p>
  </w:footnote>
  <w:footnote w:id="119">
    <w:p w14:paraId="5F414762" w14:textId="7443F160" w:rsidR="000463A6" w:rsidRDefault="000463A6" w:rsidP="00DA4AC6">
      <w:pPr>
        <w:pStyle w:val="Testonotaapidipagina"/>
        <w:jc w:val="both"/>
      </w:pPr>
      <w:r w:rsidRPr="00DA4AC6">
        <w:rPr>
          <w:rStyle w:val="Rimandonotaapidipagina"/>
          <w:rFonts w:ascii="Times New Roman" w:hAnsi="Times New Roman" w:cs="Times New Roman"/>
          <w:sz w:val="24"/>
          <w:szCs w:val="24"/>
        </w:rPr>
        <w:footnoteRef/>
      </w:r>
      <w:r w:rsidRPr="00DA4AC6">
        <w:rPr>
          <w:rFonts w:ascii="Times New Roman" w:hAnsi="Times New Roman" w:cs="Times New Roman"/>
          <w:sz w:val="24"/>
          <w:szCs w:val="24"/>
        </w:rPr>
        <w:t xml:space="preserve"> Psicologo, psicoterapeuta, Presidente della Fondazione Minotauro</w:t>
      </w:r>
      <w:r>
        <w:rPr>
          <w:rFonts w:ascii="Times New Roman" w:hAnsi="Times New Roman" w:cs="Times New Roman"/>
          <w:sz w:val="24"/>
          <w:szCs w:val="24"/>
        </w:rPr>
        <w:t xml:space="preserve"> </w:t>
      </w:r>
      <w:r w:rsidRPr="00DA4AC6">
        <w:rPr>
          <w:rFonts w:ascii="Times New Roman" w:hAnsi="Times New Roman" w:cs="Times New Roman"/>
          <w:sz w:val="24"/>
          <w:szCs w:val="24"/>
        </w:rPr>
        <w:t>di Milano, docente presso il Dipartimento di psicologia dell’Università di Milano-Bicocca, autore di numerose pubblicazioni sull’adolescenza, le più recenti: “</w:t>
      </w:r>
      <w:r w:rsidRPr="00DA4AC6">
        <w:rPr>
          <w:rFonts w:ascii="Times New Roman" w:hAnsi="Times New Roman" w:cs="Times New Roman"/>
          <w:i/>
          <w:iCs/>
          <w:sz w:val="24"/>
          <w:szCs w:val="24"/>
        </w:rPr>
        <w:t>Adolescenti navigati, Come sostenere la crescita dei nativi digitali</w:t>
      </w:r>
      <w:r w:rsidRPr="00DA4AC6">
        <w:rPr>
          <w:rFonts w:ascii="Times New Roman" w:hAnsi="Times New Roman" w:cs="Times New Roman"/>
          <w:sz w:val="24"/>
          <w:szCs w:val="24"/>
        </w:rPr>
        <w:t>”</w:t>
      </w:r>
      <w:r>
        <w:rPr>
          <w:rFonts w:ascii="Times New Roman" w:hAnsi="Times New Roman" w:cs="Times New Roman"/>
          <w:sz w:val="24"/>
          <w:szCs w:val="24"/>
        </w:rPr>
        <w:t xml:space="preserve"> </w:t>
      </w:r>
      <w:r w:rsidRPr="00DA4AC6">
        <w:rPr>
          <w:rFonts w:ascii="Times New Roman" w:hAnsi="Times New Roman" w:cs="Times New Roman"/>
          <w:sz w:val="24"/>
          <w:szCs w:val="24"/>
        </w:rPr>
        <w:t>(</w:t>
      </w:r>
      <w:proofErr w:type="spellStart"/>
      <w:r w:rsidRPr="00DA4AC6">
        <w:rPr>
          <w:rFonts w:ascii="Times New Roman" w:hAnsi="Times New Roman" w:cs="Times New Roman"/>
          <w:sz w:val="24"/>
          <w:szCs w:val="24"/>
        </w:rPr>
        <w:t>Erickson</w:t>
      </w:r>
      <w:proofErr w:type="spellEnd"/>
      <w:r w:rsidRPr="00DA4AC6">
        <w:rPr>
          <w:rFonts w:ascii="Times New Roman" w:hAnsi="Times New Roman" w:cs="Times New Roman"/>
          <w:sz w:val="24"/>
          <w:szCs w:val="24"/>
        </w:rPr>
        <w:t>, 2015); “</w:t>
      </w:r>
      <w:r w:rsidRPr="00DA4AC6">
        <w:rPr>
          <w:rFonts w:ascii="Times New Roman" w:hAnsi="Times New Roman" w:cs="Times New Roman"/>
          <w:i/>
          <w:iCs/>
          <w:sz w:val="24"/>
          <w:szCs w:val="24"/>
        </w:rPr>
        <w:t>Abbiamo bisogno di genitori autorevoli. Aiutare gli adolescenti a diventare adulti</w:t>
      </w:r>
      <w:r w:rsidRPr="00E37FAC">
        <w:rPr>
          <w:rFonts w:ascii="Times New Roman" w:hAnsi="Times New Roman" w:cs="Times New Roman"/>
          <w:sz w:val="24"/>
          <w:szCs w:val="24"/>
        </w:rPr>
        <w:t>”</w:t>
      </w:r>
      <w:r>
        <w:rPr>
          <w:rFonts w:ascii="Times New Roman" w:hAnsi="Times New Roman" w:cs="Times New Roman"/>
          <w:i/>
          <w:iCs/>
          <w:sz w:val="24"/>
          <w:szCs w:val="24"/>
        </w:rPr>
        <w:t xml:space="preserve"> (</w:t>
      </w:r>
      <w:r w:rsidRPr="00DA4AC6">
        <w:rPr>
          <w:rFonts w:ascii="Times New Roman" w:hAnsi="Times New Roman" w:cs="Times New Roman"/>
          <w:sz w:val="24"/>
          <w:szCs w:val="24"/>
        </w:rPr>
        <w:t>Mondadori</w:t>
      </w:r>
      <w:r>
        <w:rPr>
          <w:rFonts w:ascii="Times New Roman" w:hAnsi="Times New Roman" w:cs="Times New Roman"/>
          <w:sz w:val="24"/>
          <w:szCs w:val="24"/>
        </w:rPr>
        <w:t>,</w:t>
      </w:r>
      <w:r w:rsidRPr="00DA4AC6">
        <w:rPr>
          <w:rFonts w:ascii="Times New Roman" w:hAnsi="Times New Roman" w:cs="Times New Roman"/>
          <w:sz w:val="24"/>
          <w:szCs w:val="24"/>
        </w:rPr>
        <w:t xml:space="preserve"> 2017</w:t>
      </w:r>
      <w:r w:rsidRPr="00E37FAC">
        <w:rPr>
          <w:rFonts w:ascii="Times New Roman" w:hAnsi="Times New Roman" w:cs="Times New Roman"/>
          <w:sz w:val="24"/>
          <w:szCs w:val="24"/>
        </w:rPr>
        <w:t>); “</w:t>
      </w:r>
      <w:r w:rsidRPr="00DA4AC6">
        <w:rPr>
          <w:rFonts w:ascii="Times New Roman" w:hAnsi="Times New Roman" w:cs="Times New Roman"/>
          <w:i/>
          <w:iCs/>
          <w:sz w:val="24"/>
          <w:szCs w:val="24"/>
        </w:rPr>
        <w:t xml:space="preserve">Il ritiro sociale negli adolescenti. La solitudine di una generazione </w:t>
      </w:r>
      <w:proofErr w:type="spellStart"/>
      <w:r w:rsidRPr="00DA4AC6">
        <w:rPr>
          <w:rFonts w:ascii="Times New Roman" w:hAnsi="Times New Roman" w:cs="Times New Roman"/>
          <w:i/>
          <w:iCs/>
          <w:sz w:val="24"/>
          <w:szCs w:val="24"/>
        </w:rPr>
        <w:t>iperconnessa</w:t>
      </w:r>
      <w:proofErr w:type="spellEnd"/>
      <w:r w:rsidRPr="00E37FAC">
        <w:rPr>
          <w:rFonts w:ascii="Times New Roman" w:hAnsi="Times New Roman" w:cs="Times New Roman"/>
          <w:sz w:val="24"/>
          <w:szCs w:val="24"/>
        </w:rPr>
        <w:t>”</w:t>
      </w:r>
      <w:r>
        <w:rPr>
          <w:rFonts w:ascii="Times New Roman" w:hAnsi="Times New Roman" w:cs="Times New Roman"/>
          <w:i/>
          <w:iCs/>
          <w:sz w:val="24"/>
          <w:szCs w:val="24"/>
        </w:rPr>
        <w:t xml:space="preserve"> </w:t>
      </w:r>
      <w:r w:rsidRPr="00DA4AC6">
        <w:rPr>
          <w:rFonts w:ascii="Times New Roman" w:hAnsi="Times New Roman" w:cs="Times New Roman"/>
          <w:i/>
          <w:iCs/>
          <w:sz w:val="24"/>
          <w:szCs w:val="24"/>
        </w:rPr>
        <w:t>(</w:t>
      </w:r>
      <w:r w:rsidRPr="00DA4AC6">
        <w:rPr>
          <w:rFonts w:ascii="Times New Roman" w:hAnsi="Times New Roman" w:cs="Times New Roman"/>
          <w:sz w:val="24"/>
          <w:szCs w:val="24"/>
        </w:rPr>
        <w:t>Raffaello Cortina, 2019</w:t>
      </w:r>
      <w:r w:rsidRPr="00E37FAC">
        <w:rPr>
          <w:rFonts w:ascii="Times New Roman" w:hAnsi="Times New Roman" w:cs="Times New Roman"/>
          <w:sz w:val="24"/>
          <w:szCs w:val="24"/>
        </w:rPr>
        <w:t>), “</w:t>
      </w:r>
      <w:r w:rsidRPr="00DA4AC6">
        <w:rPr>
          <w:rFonts w:ascii="Times New Roman" w:hAnsi="Times New Roman" w:cs="Times New Roman"/>
          <w:i/>
          <w:iCs/>
          <w:sz w:val="24"/>
          <w:szCs w:val="24"/>
        </w:rPr>
        <w:t>Cosa serve ai nostri ragazzi. I nuovi adolescenti spiegati ai genitori, agli insegnanti, agli adulti</w:t>
      </w:r>
      <w:r w:rsidRPr="00E37FAC">
        <w:rPr>
          <w:rFonts w:ascii="Times New Roman" w:hAnsi="Times New Roman" w:cs="Times New Roman"/>
          <w:sz w:val="24"/>
          <w:szCs w:val="24"/>
        </w:rPr>
        <w:t xml:space="preserve">” </w:t>
      </w:r>
      <w:r w:rsidRPr="00DA4AC6">
        <w:rPr>
          <w:rFonts w:ascii="Times New Roman" w:hAnsi="Times New Roman" w:cs="Times New Roman"/>
          <w:sz w:val="24"/>
          <w:szCs w:val="24"/>
        </w:rPr>
        <w:t>(U</w:t>
      </w:r>
      <w:r>
        <w:rPr>
          <w:rFonts w:ascii="Times New Roman" w:hAnsi="Times New Roman" w:cs="Times New Roman"/>
          <w:sz w:val="24"/>
          <w:szCs w:val="24"/>
        </w:rPr>
        <w:t>tet</w:t>
      </w:r>
      <w:r w:rsidRPr="00DA4AC6">
        <w:rPr>
          <w:rFonts w:ascii="Times New Roman" w:hAnsi="Times New Roman" w:cs="Times New Roman"/>
          <w:sz w:val="24"/>
          <w:szCs w:val="24"/>
        </w:rPr>
        <w:t>,</w:t>
      </w:r>
      <w:r>
        <w:rPr>
          <w:rFonts w:ascii="Times New Roman" w:hAnsi="Times New Roman" w:cs="Times New Roman"/>
          <w:sz w:val="24"/>
          <w:szCs w:val="24"/>
        </w:rPr>
        <w:t xml:space="preserve"> </w:t>
      </w:r>
      <w:r w:rsidRPr="00DA4AC6">
        <w:rPr>
          <w:rFonts w:ascii="Times New Roman" w:hAnsi="Times New Roman" w:cs="Times New Roman"/>
          <w:sz w:val="24"/>
          <w:szCs w:val="24"/>
        </w:rPr>
        <w:t>2020).</w:t>
      </w:r>
    </w:p>
  </w:footnote>
  <w:footnote w:id="120">
    <w:p w14:paraId="747D7064" w14:textId="7BDF957F" w:rsidR="000463A6" w:rsidRPr="00187D26" w:rsidRDefault="000463A6" w:rsidP="00187D26">
      <w:pPr>
        <w:pStyle w:val="Testonotaapidipagina"/>
        <w:jc w:val="both"/>
        <w:rPr>
          <w:rFonts w:ascii="Times New Roman" w:hAnsi="Times New Roman" w:cs="Times New Roman"/>
          <w:sz w:val="24"/>
          <w:szCs w:val="24"/>
        </w:rPr>
      </w:pPr>
      <w:r w:rsidRPr="00187D26">
        <w:rPr>
          <w:rStyle w:val="Rimandonotaapidipagina"/>
          <w:rFonts w:ascii="Times New Roman" w:hAnsi="Times New Roman" w:cs="Times New Roman"/>
          <w:sz w:val="24"/>
          <w:szCs w:val="24"/>
        </w:rPr>
        <w:footnoteRef/>
      </w:r>
      <w:r w:rsidRPr="00187D26">
        <w:rPr>
          <w:rFonts w:ascii="Times New Roman" w:hAnsi="Times New Roman" w:cs="Times New Roman"/>
          <w:sz w:val="24"/>
          <w:szCs w:val="24"/>
        </w:rPr>
        <w:t xml:space="preserve"> Sul tema della privacy, della gestione dei dati personali e della sicurezza, si pensi anche al recente “</w:t>
      </w:r>
      <w:r w:rsidRPr="00187D26">
        <w:rPr>
          <w:rFonts w:ascii="Times New Roman" w:hAnsi="Times New Roman" w:cs="Times New Roman"/>
          <w:i/>
          <w:iCs/>
          <w:sz w:val="24"/>
          <w:szCs w:val="24"/>
        </w:rPr>
        <w:t xml:space="preserve">caso </w:t>
      </w:r>
      <w:proofErr w:type="spellStart"/>
      <w:r w:rsidRPr="00187D26">
        <w:rPr>
          <w:rFonts w:ascii="Times New Roman" w:hAnsi="Times New Roman" w:cs="Times New Roman"/>
          <w:i/>
          <w:iCs/>
          <w:sz w:val="24"/>
          <w:szCs w:val="24"/>
        </w:rPr>
        <w:t>Alexa</w:t>
      </w:r>
      <w:proofErr w:type="spellEnd"/>
      <w:r w:rsidRPr="00187D26">
        <w:rPr>
          <w:rFonts w:ascii="Times New Roman" w:hAnsi="Times New Roman" w:cs="Times New Roman"/>
          <w:sz w:val="24"/>
          <w:szCs w:val="24"/>
        </w:rPr>
        <w:t xml:space="preserve">”, che ha visto coinvolti l’assistente vocale di </w:t>
      </w:r>
      <w:r w:rsidRPr="00187D26">
        <w:rPr>
          <w:rFonts w:ascii="Times New Roman" w:hAnsi="Times New Roman" w:cs="Times New Roman"/>
          <w:i/>
          <w:iCs/>
          <w:sz w:val="24"/>
          <w:szCs w:val="24"/>
        </w:rPr>
        <w:t>Amazon</w:t>
      </w:r>
      <w:r w:rsidRPr="00187D26">
        <w:rPr>
          <w:rFonts w:ascii="Times New Roman" w:hAnsi="Times New Roman" w:cs="Times New Roman"/>
          <w:sz w:val="24"/>
          <w:szCs w:val="24"/>
        </w:rPr>
        <w:t xml:space="preserve"> e una bambina di appena </w:t>
      </w:r>
      <w:proofErr w:type="gramStart"/>
      <w:r w:rsidRPr="00187D26">
        <w:rPr>
          <w:rFonts w:ascii="Times New Roman" w:hAnsi="Times New Roman" w:cs="Times New Roman"/>
          <w:sz w:val="24"/>
          <w:szCs w:val="24"/>
        </w:rPr>
        <w:t>10</w:t>
      </w:r>
      <w:proofErr w:type="gramEnd"/>
      <w:r w:rsidRPr="00187D26">
        <w:rPr>
          <w:rFonts w:ascii="Times New Roman" w:hAnsi="Times New Roman" w:cs="Times New Roman"/>
          <w:sz w:val="24"/>
          <w:szCs w:val="24"/>
        </w:rPr>
        <w:t xml:space="preserve"> anni: lo strumento di IA, probabilmente per un errore di programmazione, ha suggerito alla bambina di mettere una moneta in una presa elettrica. La vicenda, raccontata dalla madre su </w:t>
      </w:r>
      <w:proofErr w:type="spellStart"/>
      <w:r w:rsidRPr="00187D26">
        <w:rPr>
          <w:rFonts w:ascii="Times New Roman" w:hAnsi="Times New Roman" w:cs="Times New Roman"/>
          <w:i/>
          <w:iCs/>
          <w:sz w:val="24"/>
          <w:szCs w:val="24"/>
        </w:rPr>
        <w:t>Twitter</w:t>
      </w:r>
      <w:proofErr w:type="spellEnd"/>
      <w:r w:rsidRPr="00187D26">
        <w:rPr>
          <w:rFonts w:ascii="Times New Roman" w:hAnsi="Times New Roman" w:cs="Times New Roman"/>
          <w:sz w:val="24"/>
          <w:szCs w:val="24"/>
        </w:rPr>
        <w:t xml:space="preserve">, mette in luce i limiti degli strumenti di IA: l’assistente vocale, alla richiesta della bambina di proporle una sfida, ha ricercato e trovato sul web una sfida ai limiti della follia. Questo è il messaggio che </w:t>
      </w:r>
      <w:proofErr w:type="spellStart"/>
      <w:r w:rsidRPr="00187D26">
        <w:rPr>
          <w:rFonts w:ascii="Times New Roman" w:hAnsi="Times New Roman" w:cs="Times New Roman"/>
          <w:i/>
          <w:iCs/>
          <w:sz w:val="24"/>
          <w:szCs w:val="24"/>
        </w:rPr>
        <w:t>Alexa</w:t>
      </w:r>
      <w:proofErr w:type="spellEnd"/>
      <w:r w:rsidRPr="00187D26">
        <w:rPr>
          <w:rFonts w:ascii="Times New Roman" w:hAnsi="Times New Roman" w:cs="Times New Roman"/>
          <w:sz w:val="24"/>
          <w:szCs w:val="24"/>
        </w:rPr>
        <w:t xml:space="preserve"> ha dato alla bambina: </w:t>
      </w:r>
      <w:r>
        <w:rPr>
          <w:rFonts w:ascii="Times New Roman" w:hAnsi="Times New Roman" w:cs="Times New Roman"/>
          <w:sz w:val="24"/>
          <w:szCs w:val="24"/>
        </w:rPr>
        <w:t>«</w:t>
      </w:r>
      <w:r w:rsidRPr="00187D26">
        <w:rPr>
          <w:rFonts w:ascii="Times New Roman" w:hAnsi="Times New Roman" w:cs="Times New Roman"/>
          <w:i/>
          <w:iCs/>
          <w:sz w:val="24"/>
          <w:szCs w:val="24"/>
        </w:rPr>
        <w:t>Secondo ourcommunitynow.com la sfida è semplice: collegare un caricatore del telefono a metà in una presa a muro, quindi toccare con un centesimo i poli esposti</w:t>
      </w:r>
      <w:r>
        <w:rPr>
          <w:rFonts w:ascii="Times New Roman" w:hAnsi="Times New Roman" w:cs="Times New Roman"/>
          <w:sz w:val="24"/>
          <w:szCs w:val="24"/>
        </w:rPr>
        <w:t>».</w:t>
      </w:r>
      <w:r w:rsidRPr="00187D26">
        <w:rPr>
          <w:rFonts w:ascii="Times New Roman" w:hAnsi="Times New Roman" w:cs="Times New Roman"/>
          <w:sz w:val="24"/>
          <w:szCs w:val="24"/>
        </w:rPr>
        <w:t xml:space="preserve"> L’azienda produttrice del dispositivo </w:t>
      </w:r>
      <w:proofErr w:type="spellStart"/>
      <w:r w:rsidRPr="00187D26">
        <w:rPr>
          <w:rFonts w:ascii="Times New Roman" w:hAnsi="Times New Roman" w:cs="Times New Roman"/>
          <w:i/>
          <w:iCs/>
          <w:sz w:val="24"/>
          <w:szCs w:val="24"/>
        </w:rPr>
        <w:t>Echo</w:t>
      </w:r>
      <w:proofErr w:type="spellEnd"/>
      <w:r w:rsidRPr="00187D26">
        <w:rPr>
          <w:rFonts w:ascii="Times New Roman" w:hAnsi="Times New Roman" w:cs="Times New Roman"/>
          <w:sz w:val="24"/>
          <w:szCs w:val="24"/>
        </w:rPr>
        <w:t xml:space="preserve"> ha da subito dichiarato di voler sistemare il problema, per evitare che cose del genere possano accadere in futuro. La sfida era spopolata su </w:t>
      </w:r>
      <w:proofErr w:type="spellStart"/>
      <w:r w:rsidRPr="00187D26">
        <w:rPr>
          <w:rFonts w:ascii="Times New Roman" w:hAnsi="Times New Roman" w:cs="Times New Roman"/>
          <w:i/>
          <w:iCs/>
          <w:sz w:val="24"/>
          <w:szCs w:val="24"/>
        </w:rPr>
        <w:t>Tik</w:t>
      </w:r>
      <w:proofErr w:type="spellEnd"/>
      <w:r w:rsidRPr="00187D26">
        <w:rPr>
          <w:rFonts w:ascii="Times New Roman" w:hAnsi="Times New Roman" w:cs="Times New Roman"/>
          <w:i/>
          <w:iCs/>
          <w:sz w:val="24"/>
          <w:szCs w:val="24"/>
        </w:rPr>
        <w:t xml:space="preserve"> </w:t>
      </w:r>
      <w:proofErr w:type="spellStart"/>
      <w:r w:rsidRPr="00187D26">
        <w:rPr>
          <w:rFonts w:ascii="Times New Roman" w:hAnsi="Times New Roman" w:cs="Times New Roman"/>
          <w:i/>
          <w:iCs/>
          <w:sz w:val="24"/>
          <w:szCs w:val="24"/>
        </w:rPr>
        <w:t>Tok</w:t>
      </w:r>
      <w:proofErr w:type="spellEnd"/>
      <w:r w:rsidRPr="00187D26">
        <w:rPr>
          <w:rFonts w:ascii="Times New Roman" w:hAnsi="Times New Roman" w:cs="Times New Roman"/>
          <w:sz w:val="24"/>
          <w:szCs w:val="24"/>
        </w:rPr>
        <w:t xml:space="preserve"> all’inizio del 2020, ed era stata successivamente bandita per ovvi motivi. Il problema degli assistenti vocali e degli strumenti di IA in generale è quello relativo al “</w:t>
      </w:r>
      <w:r w:rsidRPr="00187D26">
        <w:rPr>
          <w:rFonts w:ascii="Times New Roman" w:hAnsi="Times New Roman" w:cs="Times New Roman"/>
          <w:i/>
          <w:iCs/>
          <w:sz w:val="24"/>
          <w:szCs w:val="24"/>
        </w:rPr>
        <w:t>buon senso</w:t>
      </w:r>
      <w:r w:rsidRPr="00187D26">
        <w:rPr>
          <w:rFonts w:ascii="Times New Roman" w:hAnsi="Times New Roman" w:cs="Times New Roman"/>
          <w:sz w:val="24"/>
          <w:szCs w:val="24"/>
        </w:rPr>
        <w:t xml:space="preserve">”, elemento che troppo spesso manca, come è venuto in rilievo in questo caso che risale a dicembre 2021. Secondo il ricercatore </w:t>
      </w:r>
      <w:proofErr w:type="spellStart"/>
      <w:r w:rsidRPr="00187D26">
        <w:rPr>
          <w:rFonts w:ascii="Times New Roman" w:hAnsi="Times New Roman" w:cs="Times New Roman"/>
          <w:i/>
          <w:iCs/>
          <w:sz w:val="24"/>
          <w:szCs w:val="24"/>
        </w:rPr>
        <w:t>Mayank</w:t>
      </w:r>
      <w:proofErr w:type="spellEnd"/>
      <w:r w:rsidRPr="00187D26">
        <w:rPr>
          <w:rFonts w:ascii="Times New Roman" w:hAnsi="Times New Roman" w:cs="Times New Roman"/>
          <w:i/>
          <w:iCs/>
          <w:sz w:val="24"/>
          <w:szCs w:val="24"/>
        </w:rPr>
        <w:t xml:space="preserve"> </w:t>
      </w:r>
      <w:proofErr w:type="spellStart"/>
      <w:r w:rsidRPr="00187D26">
        <w:rPr>
          <w:rFonts w:ascii="Times New Roman" w:hAnsi="Times New Roman" w:cs="Times New Roman"/>
          <w:i/>
          <w:iCs/>
          <w:sz w:val="24"/>
          <w:szCs w:val="24"/>
        </w:rPr>
        <w:t>Kejriwal</w:t>
      </w:r>
      <w:proofErr w:type="spellEnd"/>
      <w:r w:rsidRPr="00187D26">
        <w:rPr>
          <w:rFonts w:ascii="Times New Roman" w:hAnsi="Times New Roman" w:cs="Times New Roman"/>
          <w:sz w:val="24"/>
          <w:szCs w:val="24"/>
        </w:rPr>
        <w:t xml:space="preserve">, della </w:t>
      </w:r>
      <w:proofErr w:type="spellStart"/>
      <w:r w:rsidRPr="00187D26">
        <w:rPr>
          <w:rFonts w:ascii="Times New Roman" w:hAnsi="Times New Roman" w:cs="Times New Roman"/>
          <w:i/>
          <w:iCs/>
          <w:sz w:val="24"/>
          <w:szCs w:val="24"/>
        </w:rPr>
        <w:t>University</w:t>
      </w:r>
      <w:proofErr w:type="spellEnd"/>
      <w:r w:rsidRPr="00187D26">
        <w:rPr>
          <w:rFonts w:ascii="Times New Roman" w:hAnsi="Times New Roman" w:cs="Times New Roman"/>
          <w:i/>
          <w:iCs/>
          <w:sz w:val="24"/>
          <w:szCs w:val="24"/>
        </w:rPr>
        <w:t xml:space="preserve"> of Southern California</w:t>
      </w:r>
      <w:r w:rsidRPr="00187D26">
        <w:rPr>
          <w:rFonts w:ascii="Times New Roman" w:hAnsi="Times New Roman" w:cs="Times New Roman"/>
          <w:sz w:val="24"/>
          <w:szCs w:val="24"/>
        </w:rPr>
        <w:t xml:space="preserve">, il traguardo è possibile ma </w:t>
      </w:r>
      <w:r>
        <w:rPr>
          <w:rFonts w:ascii="Times New Roman" w:hAnsi="Times New Roman" w:cs="Times New Roman"/>
          <w:sz w:val="24"/>
          <w:szCs w:val="24"/>
        </w:rPr>
        <w:t>«</w:t>
      </w:r>
      <w:r w:rsidRPr="00187D26">
        <w:rPr>
          <w:rFonts w:ascii="Times New Roman" w:hAnsi="Times New Roman" w:cs="Times New Roman"/>
          <w:i/>
          <w:iCs/>
          <w:sz w:val="24"/>
          <w:szCs w:val="24"/>
        </w:rPr>
        <w:t>estremamente impegnativo</w:t>
      </w:r>
      <w:r>
        <w:rPr>
          <w:rFonts w:ascii="Times New Roman" w:hAnsi="Times New Roman" w:cs="Times New Roman"/>
          <w:sz w:val="24"/>
          <w:szCs w:val="24"/>
        </w:rPr>
        <w:t>»</w:t>
      </w:r>
      <w:r w:rsidRPr="00187D26">
        <w:rPr>
          <w:rFonts w:ascii="Times New Roman" w:hAnsi="Times New Roman" w:cs="Times New Roman"/>
          <w:sz w:val="24"/>
          <w:szCs w:val="24"/>
        </w:rPr>
        <w:t xml:space="preserve">, in quanto </w:t>
      </w:r>
      <w:r>
        <w:rPr>
          <w:rFonts w:ascii="Times New Roman" w:hAnsi="Times New Roman" w:cs="Times New Roman"/>
          <w:sz w:val="24"/>
          <w:szCs w:val="24"/>
        </w:rPr>
        <w:t>«</w:t>
      </w:r>
      <w:r w:rsidRPr="00187D26">
        <w:rPr>
          <w:rFonts w:ascii="Times New Roman" w:hAnsi="Times New Roman" w:cs="Times New Roman"/>
          <w:i/>
          <w:iCs/>
          <w:sz w:val="24"/>
          <w:szCs w:val="24"/>
        </w:rPr>
        <w:t>il buon senso delle macchine</w:t>
      </w:r>
      <w:r>
        <w:rPr>
          <w:rFonts w:ascii="Times New Roman" w:hAnsi="Times New Roman" w:cs="Times New Roman"/>
          <w:i/>
          <w:iCs/>
          <w:sz w:val="24"/>
          <w:szCs w:val="24"/>
        </w:rPr>
        <w:t xml:space="preserve"> </w:t>
      </w:r>
      <w:r w:rsidRPr="00187D26">
        <w:rPr>
          <w:rFonts w:ascii="Times New Roman" w:hAnsi="Times New Roman" w:cs="Times New Roman"/>
          <w:i/>
          <w:iCs/>
          <w:sz w:val="24"/>
          <w:szCs w:val="24"/>
        </w:rPr>
        <w:t>è un problema di intelligenza artificiale dei nostri tempi, che richiede collaborazioni concertate tra le istituzioni per molto tempo</w:t>
      </w:r>
      <w:r>
        <w:rPr>
          <w:rFonts w:ascii="Times New Roman" w:hAnsi="Times New Roman" w:cs="Times New Roman"/>
          <w:sz w:val="24"/>
          <w:szCs w:val="24"/>
        </w:rPr>
        <w:t>»</w:t>
      </w:r>
      <w:r w:rsidRPr="00187D26">
        <w:rPr>
          <w:rFonts w:ascii="Times New Roman" w:hAnsi="Times New Roman" w:cs="Times New Roman"/>
          <w:sz w:val="24"/>
          <w:szCs w:val="24"/>
        </w:rPr>
        <w:t>. Un esempio di ciò è il programma quadriennale “</w:t>
      </w:r>
      <w:r w:rsidRPr="00187D26">
        <w:rPr>
          <w:rFonts w:ascii="Times New Roman" w:hAnsi="Times New Roman" w:cs="Times New Roman"/>
          <w:i/>
          <w:iCs/>
          <w:sz w:val="24"/>
          <w:szCs w:val="24"/>
        </w:rPr>
        <w:t xml:space="preserve">Machine Common </w:t>
      </w:r>
      <w:proofErr w:type="spellStart"/>
      <w:r w:rsidRPr="00187D26">
        <w:rPr>
          <w:rFonts w:ascii="Times New Roman" w:hAnsi="Times New Roman" w:cs="Times New Roman"/>
          <w:i/>
          <w:iCs/>
          <w:sz w:val="24"/>
          <w:szCs w:val="24"/>
        </w:rPr>
        <w:t>Sense</w:t>
      </w:r>
      <w:proofErr w:type="spellEnd"/>
      <w:r w:rsidRPr="00187D26">
        <w:rPr>
          <w:rFonts w:ascii="Times New Roman" w:hAnsi="Times New Roman" w:cs="Times New Roman"/>
          <w:sz w:val="24"/>
          <w:szCs w:val="24"/>
        </w:rPr>
        <w:t>” lanciato nel 2019 dall’Agenzia per i progetti di ricerca avanzata della difesa degli Stati Uniti. Sono molti i progetti di ricerca finanziati da questo programma.</w:t>
      </w:r>
    </w:p>
  </w:footnote>
  <w:footnote w:id="121">
    <w:p w14:paraId="2C90179F" w14:textId="383141FE" w:rsidR="000463A6" w:rsidRPr="00CE72E6" w:rsidRDefault="000463A6" w:rsidP="00187D26">
      <w:pPr>
        <w:pStyle w:val="Testonotaapidipagina"/>
        <w:jc w:val="both"/>
        <w:rPr>
          <w:rFonts w:ascii="Times New Roman" w:hAnsi="Times New Roman" w:cs="Times New Roman"/>
          <w:sz w:val="24"/>
          <w:szCs w:val="24"/>
        </w:rPr>
      </w:pPr>
      <w:r w:rsidRPr="00187D26">
        <w:rPr>
          <w:rStyle w:val="Rimandonotaapidipagina"/>
          <w:rFonts w:ascii="Times New Roman" w:hAnsi="Times New Roman" w:cs="Times New Roman"/>
          <w:sz w:val="24"/>
          <w:szCs w:val="24"/>
        </w:rPr>
        <w:footnoteRef/>
      </w:r>
      <w:r w:rsidRPr="00187D26">
        <w:rPr>
          <w:rFonts w:ascii="Times New Roman" w:hAnsi="Times New Roman" w:cs="Times New Roman"/>
          <w:sz w:val="24"/>
          <w:szCs w:val="24"/>
        </w:rPr>
        <w:t xml:space="preserve"> In merito al procedimento di </w:t>
      </w:r>
      <w:proofErr w:type="spellStart"/>
      <w:r w:rsidRPr="00187D26">
        <w:rPr>
          <w:rFonts w:ascii="Times New Roman" w:hAnsi="Times New Roman" w:cs="Times New Roman"/>
          <w:i/>
          <w:iCs/>
          <w:sz w:val="24"/>
          <w:szCs w:val="24"/>
        </w:rPr>
        <w:t>consistency</w:t>
      </w:r>
      <w:proofErr w:type="spellEnd"/>
      <w:r w:rsidRPr="00187D26">
        <w:rPr>
          <w:rFonts w:ascii="Times New Roman" w:hAnsi="Times New Roman" w:cs="Times New Roman"/>
          <w:sz w:val="24"/>
          <w:szCs w:val="24"/>
        </w:rPr>
        <w:t xml:space="preserve"> </w:t>
      </w:r>
      <w:r w:rsidRPr="00187D26">
        <w:rPr>
          <w:rFonts w:ascii="Times New Roman" w:hAnsi="Times New Roman" w:cs="Times New Roman"/>
          <w:i/>
          <w:iCs/>
          <w:sz w:val="24"/>
          <w:szCs w:val="24"/>
        </w:rPr>
        <w:t>and</w:t>
      </w:r>
      <w:r w:rsidRPr="00187D26">
        <w:rPr>
          <w:rFonts w:ascii="Times New Roman" w:hAnsi="Times New Roman" w:cs="Times New Roman"/>
          <w:sz w:val="24"/>
          <w:szCs w:val="24"/>
        </w:rPr>
        <w:t xml:space="preserve"> </w:t>
      </w:r>
      <w:proofErr w:type="spellStart"/>
      <w:r w:rsidRPr="00187D26">
        <w:rPr>
          <w:rFonts w:ascii="Times New Roman" w:hAnsi="Times New Roman" w:cs="Times New Roman"/>
          <w:i/>
          <w:iCs/>
          <w:sz w:val="24"/>
          <w:szCs w:val="24"/>
        </w:rPr>
        <w:t>cooperation</w:t>
      </w:r>
      <w:proofErr w:type="spellEnd"/>
      <w:r w:rsidRPr="00187D26">
        <w:rPr>
          <w:rFonts w:ascii="Times New Roman" w:hAnsi="Times New Roman" w:cs="Times New Roman"/>
          <w:i/>
          <w:iCs/>
          <w:sz w:val="24"/>
          <w:szCs w:val="24"/>
        </w:rPr>
        <w:t>,</w:t>
      </w:r>
      <w:r w:rsidRPr="00187D26">
        <w:rPr>
          <w:rFonts w:ascii="Times New Roman" w:hAnsi="Times New Roman" w:cs="Times New Roman"/>
          <w:sz w:val="24"/>
          <w:szCs w:val="24"/>
        </w:rPr>
        <w:t xml:space="preserve"> si segnala l’articolo di </w:t>
      </w:r>
      <w:r w:rsidRPr="00187D26">
        <w:rPr>
          <w:rFonts w:ascii="Times New Roman" w:hAnsi="Times New Roman" w:cs="Times New Roman"/>
          <w:smallCaps/>
          <w:sz w:val="24"/>
          <w:szCs w:val="24"/>
        </w:rPr>
        <w:t>Gaetana Natale</w:t>
      </w:r>
      <w:r w:rsidRPr="00187D26">
        <w:rPr>
          <w:rFonts w:ascii="Times New Roman" w:hAnsi="Times New Roman" w:cs="Times New Roman"/>
          <w:sz w:val="24"/>
          <w:szCs w:val="24"/>
        </w:rPr>
        <w:t>, “</w:t>
      </w:r>
      <w:r w:rsidRPr="00187D26">
        <w:rPr>
          <w:rFonts w:ascii="Times New Roman" w:hAnsi="Times New Roman" w:cs="Times New Roman"/>
          <w:i/>
          <w:iCs/>
          <w:sz w:val="24"/>
          <w:szCs w:val="24"/>
        </w:rPr>
        <w:t xml:space="preserve">La Grande Sezione della Corte di Giustizia si è pronunciata sui poteri delle Autorità Nazionali nell’ambito del RGDP a fronte della gestione dei dati da parte dei colossi del web (C. </w:t>
      </w:r>
      <w:proofErr w:type="spellStart"/>
      <w:r w:rsidRPr="00187D26">
        <w:rPr>
          <w:rFonts w:ascii="Times New Roman" w:hAnsi="Times New Roman" w:cs="Times New Roman"/>
          <w:i/>
          <w:iCs/>
          <w:sz w:val="24"/>
          <w:szCs w:val="24"/>
        </w:rPr>
        <w:t>giust</w:t>
      </w:r>
      <w:proofErr w:type="spellEnd"/>
      <w:r w:rsidRPr="00187D26">
        <w:rPr>
          <w:rFonts w:ascii="Times New Roman" w:hAnsi="Times New Roman" w:cs="Times New Roman"/>
          <w:i/>
          <w:iCs/>
          <w:sz w:val="24"/>
          <w:szCs w:val="24"/>
        </w:rPr>
        <w:t>. UE, Grande Sezione, sentenza 15 giugno 2021, C-645/19)</w:t>
      </w:r>
      <w:r w:rsidRPr="00187D26">
        <w:rPr>
          <w:rFonts w:ascii="Times New Roman" w:hAnsi="Times New Roman" w:cs="Times New Roman"/>
          <w:sz w:val="24"/>
          <w:szCs w:val="24"/>
        </w:rPr>
        <w:t xml:space="preserve">”, pubblicato sulla Rassegna dell’Avvocatura dello Stato </w:t>
      </w:r>
      <w:proofErr w:type="gramStart"/>
      <w:r w:rsidRPr="00187D26">
        <w:rPr>
          <w:rFonts w:ascii="Times New Roman" w:hAnsi="Times New Roman" w:cs="Times New Roman"/>
          <w:sz w:val="24"/>
          <w:szCs w:val="24"/>
        </w:rPr>
        <w:t>Gennaio</w:t>
      </w:r>
      <w:proofErr w:type="gramEnd"/>
      <w:r w:rsidRPr="00187D26">
        <w:rPr>
          <w:rFonts w:ascii="Times New Roman" w:hAnsi="Times New Roman" w:cs="Times New Roman"/>
          <w:sz w:val="24"/>
          <w:szCs w:val="24"/>
        </w:rPr>
        <w:t>-Marzo 2021, pag. 39.</w:t>
      </w:r>
    </w:p>
  </w:footnote>
  <w:footnote w:id="122">
    <w:p w14:paraId="1837F8AA" w14:textId="79A112FF" w:rsidR="000463A6" w:rsidRPr="00A52E1F" w:rsidRDefault="000463A6" w:rsidP="00A52E1F">
      <w:pPr>
        <w:pStyle w:val="Testonotaapidipagina"/>
        <w:jc w:val="both"/>
        <w:rPr>
          <w:rFonts w:ascii="Times New Roman" w:hAnsi="Times New Roman" w:cs="Times New Roman"/>
          <w:sz w:val="24"/>
          <w:szCs w:val="24"/>
        </w:rPr>
      </w:pPr>
      <w:r w:rsidRPr="00A52E1F">
        <w:rPr>
          <w:rStyle w:val="Rimandonotaapidipagina"/>
          <w:rFonts w:ascii="Times New Roman" w:hAnsi="Times New Roman" w:cs="Times New Roman"/>
          <w:sz w:val="24"/>
          <w:szCs w:val="24"/>
        </w:rPr>
        <w:footnoteRef/>
      </w:r>
      <w:r w:rsidRPr="00A52E1F">
        <w:rPr>
          <w:rFonts w:ascii="Times New Roman" w:hAnsi="Times New Roman" w:cs="Times New Roman"/>
          <w:sz w:val="24"/>
          <w:szCs w:val="24"/>
        </w:rPr>
        <w:t xml:space="preserve"> </w:t>
      </w:r>
      <w:r w:rsidRPr="00A52E1F">
        <w:rPr>
          <w:rFonts w:ascii="Times New Roman" w:hAnsi="Times New Roman" w:cs="Times New Roman"/>
          <w:smallCaps/>
          <w:sz w:val="24"/>
          <w:szCs w:val="24"/>
        </w:rPr>
        <w:t>A. Astone</w:t>
      </w:r>
      <w:r w:rsidRPr="00A52E1F">
        <w:rPr>
          <w:rFonts w:ascii="Times New Roman" w:hAnsi="Times New Roman" w:cs="Times New Roman"/>
          <w:sz w:val="24"/>
          <w:szCs w:val="24"/>
        </w:rPr>
        <w:t>, “</w:t>
      </w:r>
      <w:r w:rsidRPr="00A52E1F">
        <w:rPr>
          <w:rFonts w:ascii="Times New Roman" w:hAnsi="Times New Roman" w:cs="Times New Roman"/>
          <w:i/>
          <w:iCs/>
          <w:sz w:val="24"/>
          <w:szCs w:val="24"/>
        </w:rPr>
        <w:t>L’accesso dei minori d’età ai servizi della c</w:t>
      </w:r>
      <w:r>
        <w:rPr>
          <w:rFonts w:ascii="Times New Roman" w:hAnsi="Times New Roman" w:cs="Times New Roman"/>
          <w:i/>
          <w:iCs/>
          <w:sz w:val="24"/>
          <w:szCs w:val="24"/>
        </w:rPr>
        <w:t>.</w:t>
      </w:r>
      <w:r w:rsidRPr="00A52E1F">
        <w:rPr>
          <w:rFonts w:ascii="Times New Roman" w:hAnsi="Times New Roman" w:cs="Times New Roman"/>
          <w:i/>
          <w:iCs/>
          <w:sz w:val="24"/>
          <w:szCs w:val="24"/>
        </w:rPr>
        <w:t xml:space="preserve">d. </w:t>
      </w:r>
      <w:r>
        <w:rPr>
          <w:rFonts w:ascii="Times New Roman" w:hAnsi="Times New Roman" w:cs="Times New Roman"/>
          <w:i/>
          <w:iCs/>
          <w:sz w:val="24"/>
          <w:szCs w:val="24"/>
        </w:rPr>
        <w:t>“</w:t>
      </w:r>
      <w:r w:rsidRPr="00A52E1F">
        <w:rPr>
          <w:rFonts w:ascii="Times New Roman" w:hAnsi="Times New Roman" w:cs="Times New Roman"/>
          <w:i/>
          <w:iCs/>
          <w:sz w:val="24"/>
          <w:szCs w:val="24"/>
        </w:rPr>
        <w:t>società dell’informazione”: l’art.</w:t>
      </w:r>
      <w:r>
        <w:rPr>
          <w:rFonts w:ascii="Times New Roman" w:hAnsi="Times New Roman" w:cs="Times New Roman"/>
          <w:i/>
          <w:iCs/>
          <w:sz w:val="24"/>
          <w:szCs w:val="24"/>
        </w:rPr>
        <w:t xml:space="preserve"> </w:t>
      </w:r>
      <w:r w:rsidRPr="00A52E1F">
        <w:rPr>
          <w:rFonts w:ascii="Times New Roman" w:hAnsi="Times New Roman" w:cs="Times New Roman"/>
          <w:i/>
          <w:iCs/>
          <w:sz w:val="24"/>
          <w:szCs w:val="24"/>
        </w:rPr>
        <w:t>8 del Reg (UE) 2016/679 e i suoi riflessi</w:t>
      </w:r>
      <w:r w:rsidRPr="00E37FAC">
        <w:rPr>
          <w:rFonts w:ascii="Times New Roman" w:hAnsi="Times New Roman" w:cs="Times New Roman"/>
          <w:sz w:val="24"/>
          <w:szCs w:val="24"/>
        </w:rPr>
        <w:t>”</w:t>
      </w:r>
      <w:r w:rsidRPr="00A52E1F">
        <w:rPr>
          <w:rFonts w:ascii="Times New Roman" w:hAnsi="Times New Roman" w:cs="Times New Roman"/>
          <w:i/>
          <w:iCs/>
          <w:sz w:val="24"/>
          <w:szCs w:val="24"/>
        </w:rPr>
        <w:t xml:space="preserve">, </w:t>
      </w:r>
      <w:r w:rsidRPr="00A52E1F">
        <w:rPr>
          <w:rFonts w:ascii="Times New Roman" w:hAnsi="Times New Roman" w:cs="Times New Roman"/>
          <w:sz w:val="24"/>
          <w:szCs w:val="24"/>
        </w:rPr>
        <w:t xml:space="preserve">in </w:t>
      </w:r>
      <w:r w:rsidRPr="0017321F">
        <w:rPr>
          <w:rFonts w:ascii="Times New Roman" w:hAnsi="Times New Roman" w:cs="Times New Roman"/>
          <w:i/>
          <w:iCs/>
          <w:sz w:val="24"/>
          <w:szCs w:val="24"/>
        </w:rPr>
        <w:t>Contratto e Impresa</w:t>
      </w:r>
      <w:r w:rsidRPr="00A52E1F">
        <w:rPr>
          <w:rFonts w:ascii="Times New Roman" w:hAnsi="Times New Roman" w:cs="Times New Roman"/>
          <w:sz w:val="24"/>
          <w:szCs w:val="24"/>
        </w:rPr>
        <w:t xml:space="preserve">, 2019, 2, 614; </w:t>
      </w:r>
      <w:r w:rsidRPr="00A52E1F">
        <w:rPr>
          <w:rFonts w:ascii="Times New Roman" w:hAnsi="Times New Roman" w:cs="Times New Roman"/>
          <w:smallCaps/>
          <w:sz w:val="24"/>
          <w:szCs w:val="24"/>
        </w:rPr>
        <w:t xml:space="preserve">G. </w:t>
      </w:r>
      <w:proofErr w:type="spellStart"/>
      <w:r w:rsidRPr="00A52E1F">
        <w:rPr>
          <w:rFonts w:ascii="Times New Roman" w:hAnsi="Times New Roman" w:cs="Times New Roman"/>
          <w:smallCaps/>
          <w:sz w:val="24"/>
          <w:szCs w:val="24"/>
        </w:rPr>
        <w:t>Bianchedi</w:t>
      </w:r>
      <w:proofErr w:type="spellEnd"/>
      <w:r w:rsidRPr="00A52E1F">
        <w:rPr>
          <w:rFonts w:ascii="Times New Roman" w:hAnsi="Times New Roman" w:cs="Times New Roman"/>
          <w:sz w:val="24"/>
          <w:szCs w:val="24"/>
        </w:rPr>
        <w:t>, “</w:t>
      </w:r>
      <w:r w:rsidRPr="00A52E1F">
        <w:rPr>
          <w:rFonts w:ascii="Times New Roman" w:hAnsi="Times New Roman" w:cs="Times New Roman"/>
          <w:i/>
          <w:iCs/>
          <w:sz w:val="24"/>
          <w:szCs w:val="24"/>
        </w:rPr>
        <w:t>Il consenso dei minori per i servizi della società dell’informazione sotto il profilo giuridico e informatico</w:t>
      </w:r>
      <w:r w:rsidRPr="00E37FAC">
        <w:rPr>
          <w:rFonts w:ascii="Times New Roman" w:hAnsi="Times New Roman" w:cs="Times New Roman"/>
          <w:sz w:val="24"/>
          <w:szCs w:val="24"/>
        </w:rPr>
        <w:t>”,</w:t>
      </w:r>
      <w:r w:rsidRPr="00A52E1F">
        <w:rPr>
          <w:rFonts w:ascii="Times New Roman" w:hAnsi="Times New Roman" w:cs="Times New Roman"/>
          <w:i/>
          <w:iCs/>
          <w:sz w:val="24"/>
          <w:szCs w:val="24"/>
        </w:rPr>
        <w:t xml:space="preserve"> </w:t>
      </w:r>
      <w:r w:rsidRPr="00A52E1F">
        <w:rPr>
          <w:rFonts w:ascii="Times New Roman" w:hAnsi="Times New Roman" w:cs="Times New Roman"/>
          <w:sz w:val="24"/>
          <w:szCs w:val="24"/>
        </w:rPr>
        <w:t>in</w:t>
      </w:r>
      <w:r w:rsidRPr="00A52E1F">
        <w:rPr>
          <w:rFonts w:ascii="Times New Roman" w:hAnsi="Times New Roman" w:cs="Times New Roman"/>
          <w:i/>
          <w:iCs/>
          <w:sz w:val="24"/>
          <w:szCs w:val="24"/>
        </w:rPr>
        <w:t xml:space="preserve"> </w:t>
      </w:r>
      <w:r w:rsidRPr="0017321F">
        <w:rPr>
          <w:rFonts w:ascii="Times New Roman" w:hAnsi="Times New Roman" w:cs="Times New Roman"/>
          <w:i/>
          <w:iCs/>
          <w:sz w:val="24"/>
          <w:szCs w:val="24"/>
        </w:rPr>
        <w:t>Ciberspazio e diritto</w:t>
      </w:r>
      <w:r w:rsidRPr="00A52E1F">
        <w:rPr>
          <w:rFonts w:ascii="Times New Roman" w:hAnsi="Times New Roman" w:cs="Times New Roman"/>
          <w:sz w:val="24"/>
          <w:szCs w:val="24"/>
        </w:rPr>
        <w:t>, vol. 20, n. 63 (3-2019), pp. 389-413.</w:t>
      </w:r>
    </w:p>
  </w:footnote>
  <w:footnote w:id="123">
    <w:p w14:paraId="38D7F98B" w14:textId="1975BE89" w:rsidR="000463A6" w:rsidRPr="00A52E1F" w:rsidRDefault="000463A6" w:rsidP="00A52E1F">
      <w:pPr>
        <w:pStyle w:val="Testonotaapidipagina"/>
        <w:jc w:val="both"/>
        <w:rPr>
          <w:rFonts w:ascii="Times New Roman" w:hAnsi="Times New Roman" w:cs="Times New Roman"/>
          <w:sz w:val="24"/>
          <w:szCs w:val="24"/>
        </w:rPr>
      </w:pPr>
      <w:r w:rsidRPr="00A52E1F">
        <w:rPr>
          <w:rStyle w:val="Rimandonotaapidipagina"/>
          <w:rFonts w:ascii="Times New Roman" w:hAnsi="Times New Roman" w:cs="Times New Roman"/>
          <w:sz w:val="24"/>
          <w:szCs w:val="24"/>
        </w:rPr>
        <w:footnoteRef/>
      </w:r>
      <w:r w:rsidRPr="00A52E1F">
        <w:rPr>
          <w:rFonts w:ascii="Times New Roman" w:hAnsi="Times New Roman" w:cs="Times New Roman"/>
          <w:sz w:val="24"/>
          <w:szCs w:val="24"/>
        </w:rPr>
        <w:t xml:space="preserve"> Art. 142</w:t>
      </w:r>
      <w:r>
        <w:rPr>
          <w:rFonts w:ascii="Times New Roman" w:hAnsi="Times New Roman" w:cs="Times New Roman"/>
          <w:sz w:val="24"/>
          <w:szCs w:val="24"/>
        </w:rPr>
        <w:t>6</w:t>
      </w:r>
      <w:r w:rsidRPr="00A52E1F">
        <w:rPr>
          <w:rFonts w:ascii="Times New Roman" w:hAnsi="Times New Roman" w:cs="Times New Roman"/>
          <w:sz w:val="24"/>
          <w:szCs w:val="24"/>
        </w:rPr>
        <w:t xml:space="preserve"> c.c.: “</w:t>
      </w:r>
      <w:r w:rsidRPr="00A52E1F">
        <w:rPr>
          <w:rFonts w:ascii="Times New Roman" w:hAnsi="Times New Roman" w:cs="Times New Roman"/>
          <w:i/>
          <w:iCs/>
          <w:sz w:val="24"/>
          <w:szCs w:val="24"/>
        </w:rPr>
        <w:t>Il contratto non è annullabile, se il minore ha con raggiri occultato la sua minore età; ma la semplice dichiarazione da lui fatta di essere maggiorenne non è di ostacolo all'impugnazione del contratto</w:t>
      </w:r>
      <w:r w:rsidRPr="00B34626">
        <w:rPr>
          <w:rFonts w:ascii="Times New Roman" w:hAnsi="Times New Roman" w:cs="Times New Roman"/>
          <w:sz w:val="24"/>
          <w:szCs w:val="24"/>
        </w:rPr>
        <w:t>”.</w:t>
      </w:r>
    </w:p>
  </w:footnote>
  <w:footnote w:id="124">
    <w:p w14:paraId="5D359752" w14:textId="4D2FCE0C" w:rsidR="000463A6" w:rsidRPr="00BE27B0" w:rsidRDefault="000463A6" w:rsidP="00BE27B0">
      <w:pPr>
        <w:pStyle w:val="Testonotaapidipagina"/>
        <w:jc w:val="both"/>
        <w:rPr>
          <w:rFonts w:ascii="Times New Roman" w:hAnsi="Times New Roman" w:cs="Times New Roman"/>
          <w:sz w:val="24"/>
          <w:szCs w:val="24"/>
        </w:rPr>
      </w:pPr>
      <w:r w:rsidRPr="00BE27B0">
        <w:rPr>
          <w:rStyle w:val="Rimandonotaapidipagina"/>
          <w:rFonts w:ascii="Times New Roman" w:hAnsi="Times New Roman" w:cs="Times New Roman"/>
          <w:sz w:val="24"/>
          <w:szCs w:val="24"/>
        </w:rPr>
        <w:footnoteRef/>
      </w:r>
      <w:r w:rsidRPr="00BE27B0">
        <w:rPr>
          <w:rFonts w:ascii="Times New Roman" w:hAnsi="Times New Roman" w:cs="Times New Roman"/>
          <w:sz w:val="24"/>
          <w:szCs w:val="24"/>
        </w:rPr>
        <w:t xml:space="preserve"> Sul tema del pericoloso rapporto tra digitale e minori, si veda anche </w:t>
      </w:r>
      <w:r w:rsidRPr="00BE27B0">
        <w:rPr>
          <w:rFonts w:ascii="Times New Roman" w:hAnsi="Times New Roman" w:cs="Times New Roman"/>
          <w:smallCaps/>
          <w:sz w:val="24"/>
          <w:szCs w:val="24"/>
        </w:rPr>
        <w:t xml:space="preserve">M. </w:t>
      </w:r>
      <w:proofErr w:type="spellStart"/>
      <w:r w:rsidRPr="00BE27B0">
        <w:rPr>
          <w:rFonts w:ascii="Times New Roman" w:hAnsi="Times New Roman" w:cs="Times New Roman"/>
          <w:smallCaps/>
          <w:sz w:val="24"/>
          <w:szCs w:val="24"/>
        </w:rPr>
        <w:t>Martorana</w:t>
      </w:r>
      <w:proofErr w:type="spellEnd"/>
      <w:r w:rsidRPr="00BE27B0">
        <w:rPr>
          <w:rFonts w:ascii="Times New Roman" w:hAnsi="Times New Roman" w:cs="Times New Roman"/>
          <w:sz w:val="24"/>
          <w:szCs w:val="24"/>
        </w:rPr>
        <w:t>, “</w:t>
      </w:r>
      <w:r w:rsidRPr="00BE27B0">
        <w:rPr>
          <w:rFonts w:ascii="Times New Roman" w:hAnsi="Times New Roman" w:cs="Times New Roman"/>
          <w:i/>
          <w:iCs/>
          <w:sz w:val="24"/>
          <w:szCs w:val="24"/>
        </w:rPr>
        <w:t>Minori sui social: educhiamoli per difenderli</w:t>
      </w:r>
      <w:r w:rsidRPr="00BE27B0">
        <w:rPr>
          <w:rFonts w:ascii="Times New Roman" w:hAnsi="Times New Roman" w:cs="Times New Roman"/>
          <w:sz w:val="24"/>
          <w:szCs w:val="24"/>
        </w:rPr>
        <w:t xml:space="preserve">”, su </w:t>
      </w:r>
      <w:r w:rsidRPr="00BE27B0">
        <w:rPr>
          <w:rFonts w:ascii="Times New Roman" w:hAnsi="Times New Roman" w:cs="Times New Roman"/>
          <w:i/>
          <w:iCs/>
          <w:sz w:val="24"/>
          <w:szCs w:val="24"/>
        </w:rPr>
        <w:t>agendadigitale.eu</w:t>
      </w:r>
      <w:r>
        <w:rPr>
          <w:rFonts w:ascii="Times New Roman" w:hAnsi="Times New Roman" w:cs="Times New Roman"/>
          <w:sz w:val="24"/>
          <w:szCs w:val="24"/>
        </w:rPr>
        <w:t xml:space="preserve">, che ci mette in guardia sulla necessità di agire contro i pericoli del digitale, prima che con la legge, con l’educazione dei minori a scuola e in casa. </w:t>
      </w:r>
    </w:p>
  </w:footnote>
  <w:footnote w:id="125">
    <w:p w14:paraId="52271DE9" w14:textId="00E77920" w:rsidR="000463A6" w:rsidRPr="00D867EB" w:rsidRDefault="000463A6" w:rsidP="00D867EB">
      <w:pPr>
        <w:jc w:val="both"/>
        <w:rPr>
          <w:rFonts w:ascii="Times New Roman" w:eastAsia="Times New Roman" w:hAnsi="Times New Roman" w:cs="Times New Roman"/>
          <w:sz w:val="24"/>
          <w:szCs w:val="24"/>
        </w:rPr>
      </w:pPr>
      <w:r w:rsidRPr="00D867EB">
        <w:rPr>
          <w:rStyle w:val="Rimandonotaapidipagina"/>
          <w:rFonts w:ascii="Times New Roman" w:hAnsi="Times New Roman" w:cs="Times New Roman"/>
          <w:sz w:val="24"/>
          <w:szCs w:val="24"/>
        </w:rPr>
        <w:footnoteRef/>
      </w:r>
      <w:r w:rsidRPr="00D867EB">
        <w:rPr>
          <w:rFonts w:ascii="Times New Roman" w:hAnsi="Times New Roman" w:cs="Times New Roman"/>
          <w:sz w:val="24"/>
          <w:szCs w:val="24"/>
        </w:rPr>
        <w:t xml:space="preserve"> </w:t>
      </w:r>
      <w:r w:rsidRPr="00D867EB">
        <w:rPr>
          <w:rFonts w:ascii="Times New Roman" w:eastAsia="Times New Roman" w:hAnsi="Times New Roman" w:cs="Times New Roman"/>
          <w:smallCaps/>
          <w:sz w:val="24"/>
          <w:szCs w:val="24"/>
        </w:rPr>
        <w:t>W. Nonnis</w:t>
      </w:r>
      <w:r w:rsidRPr="00D867EB">
        <w:rPr>
          <w:rFonts w:ascii="Times New Roman" w:eastAsia="Times New Roman" w:hAnsi="Times New Roman" w:cs="Times New Roman"/>
          <w:sz w:val="24"/>
          <w:szCs w:val="24"/>
        </w:rPr>
        <w:t>, “</w:t>
      </w:r>
      <w:proofErr w:type="spellStart"/>
      <w:r w:rsidRPr="00D867EB">
        <w:rPr>
          <w:rFonts w:ascii="Times New Roman" w:eastAsia="Times New Roman" w:hAnsi="Times New Roman" w:cs="Times New Roman"/>
          <w:i/>
          <w:sz w:val="24"/>
          <w:szCs w:val="24"/>
        </w:rPr>
        <w:t>Blockchain</w:t>
      </w:r>
      <w:proofErr w:type="spellEnd"/>
      <w:r w:rsidRPr="00D867EB">
        <w:rPr>
          <w:rFonts w:ascii="Times New Roman" w:eastAsia="Times New Roman" w:hAnsi="Times New Roman" w:cs="Times New Roman"/>
          <w:i/>
          <w:sz w:val="24"/>
          <w:szCs w:val="24"/>
        </w:rPr>
        <w:t>, il suo contributo durante la pandemia</w:t>
      </w:r>
      <w:r w:rsidRPr="00E37FAC">
        <w:rPr>
          <w:rFonts w:ascii="Times New Roman" w:eastAsia="Times New Roman" w:hAnsi="Times New Roman" w:cs="Times New Roman"/>
          <w:iCs/>
          <w:sz w:val="24"/>
          <w:szCs w:val="24"/>
        </w:rPr>
        <w:t>”,</w:t>
      </w:r>
      <w:r w:rsidRPr="00D867EB">
        <w:rPr>
          <w:rFonts w:ascii="Times New Roman" w:eastAsia="Times New Roman" w:hAnsi="Times New Roman" w:cs="Times New Roman"/>
          <w:sz w:val="24"/>
          <w:szCs w:val="24"/>
        </w:rPr>
        <w:t xml:space="preserve"> </w:t>
      </w:r>
      <w:r w:rsidRPr="00AA67CB">
        <w:rPr>
          <w:rFonts w:ascii="Times New Roman" w:eastAsia="Times New Roman" w:hAnsi="Times New Roman" w:cs="Times New Roman"/>
          <w:sz w:val="24"/>
          <w:szCs w:val="24"/>
        </w:rPr>
        <w:t xml:space="preserve">in </w:t>
      </w:r>
      <w:r w:rsidRPr="00E37FAC">
        <w:rPr>
          <w:rFonts w:ascii="Times New Roman" w:eastAsia="Times New Roman" w:hAnsi="Times New Roman" w:cs="Times New Roman"/>
          <w:i/>
          <w:iCs/>
          <w:sz w:val="24"/>
          <w:szCs w:val="24"/>
        </w:rPr>
        <w:t>www.blockchain4innovation.it</w:t>
      </w:r>
      <w:r w:rsidRPr="00AA67CB">
        <w:rPr>
          <w:rFonts w:ascii="Times New Roman" w:eastAsia="Times New Roman" w:hAnsi="Times New Roman" w:cs="Times New Roman"/>
          <w:sz w:val="24"/>
          <w:szCs w:val="24"/>
        </w:rPr>
        <w:t>, 1</w:t>
      </w:r>
      <w:r w:rsidRPr="00D867EB">
        <w:rPr>
          <w:rFonts w:ascii="Times New Roman" w:eastAsia="Times New Roman" w:hAnsi="Times New Roman" w:cs="Times New Roman"/>
          <w:sz w:val="24"/>
          <w:szCs w:val="24"/>
        </w:rPr>
        <w:t xml:space="preserve">9 aprile 2021; </w:t>
      </w:r>
      <w:r w:rsidRPr="00D867EB">
        <w:rPr>
          <w:rFonts w:ascii="Times New Roman" w:eastAsia="Times New Roman" w:hAnsi="Times New Roman" w:cs="Times New Roman"/>
          <w:smallCaps/>
          <w:sz w:val="24"/>
          <w:szCs w:val="24"/>
        </w:rPr>
        <w:t>A. Bello</w:t>
      </w:r>
      <w:r w:rsidRPr="00D867EB">
        <w:rPr>
          <w:rFonts w:ascii="Times New Roman" w:eastAsia="Times New Roman" w:hAnsi="Times New Roman" w:cs="Times New Roman"/>
          <w:sz w:val="24"/>
          <w:szCs w:val="24"/>
        </w:rPr>
        <w:t>, “</w:t>
      </w:r>
      <w:proofErr w:type="spellStart"/>
      <w:r w:rsidRPr="00D867EB">
        <w:rPr>
          <w:rFonts w:ascii="Times New Roman" w:eastAsia="Times New Roman" w:hAnsi="Times New Roman" w:cs="Times New Roman"/>
          <w:i/>
          <w:sz w:val="24"/>
          <w:szCs w:val="24"/>
        </w:rPr>
        <w:t>Blockchain</w:t>
      </w:r>
      <w:proofErr w:type="spellEnd"/>
      <w:r w:rsidRPr="00D867EB">
        <w:rPr>
          <w:rFonts w:ascii="Times New Roman" w:eastAsia="Times New Roman" w:hAnsi="Times New Roman" w:cs="Times New Roman"/>
          <w:i/>
          <w:sz w:val="24"/>
          <w:szCs w:val="24"/>
        </w:rPr>
        <w:t xml:space="preserve"> e privacy: soluzioni per la </w:t>
      </w:r>
      <w:proofErr w:type="spellStart"/>
      <w:r w:rsidRPr="00D867EB">
        <w:rPr>
          <w:rFonts w:ascii="Times New Roman" w:eastAsia="Times New Roman" w:hAnsi="Times New Roman" w:cs="Times New Roman"/>
          <w:i/>
          <w:sz w:val="24"/>
          <w:szCs w:val="24"/>
        </w:rPr>
        <w:t>compliance</w:t>
      </w:r>
      <w:proofErr w:type="spellEnd"/>
      <w:r w:rsidRPr="00D867EB">
        <w:rPr>
          <w:rFonts w:ascii="Times New Roman" w:eastAsia="Times New Roman" w:hAnsi="Times New Roman" w:cs="Times New Roman"/>
          <w:i/>
          <w:sz w:val="24"/>
          <w:szCs w:val="24"/>
        </w:rPr>
        <w:t xml:space="preserve"> alle norme</w:t>
      </w:r>
      <w:r w:rsidRPr="00D867EB">
        <w:rPr>
          <w:rFonts w:ascii="Times New Roman" w:eastAsia="Times New Roman" w:hAnsi="Times New Roman" w:cs="Times New Roman"/>
          <w:sz w:val="24"/>
          <w:szCs w:val="24"/>
        </w:rPr>
        <w:t xml:space="preserve">”, 15 </w:t>
      </w:r>
      <w:r w:rsidR="008A7240">
        <w:rPr>
          <w:rFonts w:ascii="Times New Roman" w:eastAsia="Times New Roman" w:hAnsi="Times New Roman" w:cs="Times New Roman"/>
          <w:sz w:val="24"/>
          <w:szCs w:val="24"/>
        </w:rPr>
        <w:t>maggio</w:t>
      </w:r>
      <w:r w:rsidRPr="00D867EB">
        <w:rPr>
          <w:rFonts w:ascii="Times New Roman" w:eastAsia="Times New Roman" w:hAnsi="Times New Roman" w:cs="Times New Roman"/>
          <w:sz w:val="24"/>
          <w:szCs w:val="24"/>
        </w:rPr>
        <w:t xml:space="preserve"> 2019, in </w:t>
      </w:r>
      <w:r w:rsidRPr="00E37FAC">
        <w:rPr>
          <w:rFonts w:ascii="Times New Roman" w:eastAsia="Times New Roman" w:hAnsi="Times New Roman" w:cs="Times New Roman"/>
          <w:i/>
          <w:iCs/>
          <w:sz w:val="24"/>
          <w:szCs w:val="24"/>
        </w:rPr>
        <w:t>agendadigitale.eu</w:t>
      </w:r>
      <w:r w:rsidRPr="00AA67CB">
        <w:rPr>
          <w:rFonts w:ascii="Times New Roman" w:eastAsia="Times New Roman" w:hAnsi="Times New Roman" w:cs="Times New Roman"/>
          <w:sz w:val="24"/>
          <w:szCs w:val="24"/>
        </w:rPr>
        <w:t>;</w:t>
      </w:r>
      <w:r w:rsidRPr="00D867EB">
        <w:rPr>
          <w:rFonts w:ascii="Times New Roman" w:eastAsia="Times New Roman" w:hAnsi="Times New Roman" w:cs="Times New Roman"/>
          <w:sz w:val="24"/>
          <w:szCs w:val="24"/>
        </w:rPr>
        <w:t xml:space="preserve"> </w:t>
      </w:r>
      <w:r w:rsidRPr="00D867EB">
        <w:rPr>
          <w:rFonts w:ascii="Times New Roman" w:eastAsia="Times New Roman" w:hAnsi="Times New Roman" w:cs="Times New Roman"/>
          <w:smallCaps/>
          <w:sz w:val="24"/>
          <w:szCs w:val="24"/>
        </w:rPr>
        <w:t>M. Iaselli</w:t>
      </w:r>
      <w:r w:rsidRPr="00D867EB">
        <w:rPr>
          <w:rFonts w:ascii="Times New Roman" w:eastAsia="Times New Roman" w:hAnsi="Times New Roman" w:cs="Times New Roman"/>
          <w:sz w:val="24"/>
          <w:szCs w:val="24"/>
        </w:rPr>
        <w:t>, “</w:t>
      </w:r>
      <w:proofErr w:type="spellStart"/>
      <w:r w:rsidRPr="00D867EB">
        <w:rPr>
          <w:rFonts w:ascii="Times New Roman" w:eastAsia="Times New Roman" w:hAnsi="Times New Roman" w:cs="Times New Roman"/>
          <w:i/>
          <w:sz w:val="24"/>
          <w:szCs w:val="24"/>
        </w:rPr>
        <w:t>Blockchain</w:t>
      </w:r>
      <w:proofErr w:type="spellEnd"/>
      <w:r w:rsidRPr="00D867EB">
        <w:rPr>
          <w:rFonts w:ascii="Times New Roman" w:eastAsia="Times New Roman" w:hAnsi="Times New Roman" w:cs="Times New Roman"/>
          <w:i/>
          <w:sz w:val="24"/>
          <w:szCs w:val="24"/>
        </w:rPr>
        <w:t xml:space="preserve"> e privacy, bisogna lavorare ancora molto</w:t>
      </w:r>
      <w:r w:rsidRPr="00D867EB">
        <w:rPr>
          <w:rFonts w:ascii="Times New Roman" w:eastAsia="Times New Roman" w:hAnsi="Times New Roman" w:cs="Times New Roman"/>
          <w:sz w:val="24"/>
          <w:szCs w:val="24"/>
        </w:rPr>
        <w:t xml:space="preserve">”, in </w:t>
      </w:r>
      <w:r w:rsidRPr="00E37FAC">
        <w:rPr>
          <w:rFonts w:ascii="Times New Roman" w:eastAsia="Times New Roman" w:hAnsi="Times New Roman" w:cs="Times New Roman"/>
          <w:i/>
          <w:iCs/>
          <w:sz w:val="24"/>
          <w:szCs w:val="24"/>
        </w:rPr>
        <w:t>federprivacy.org</w:t>
      </w:r>
      <w:r>
        <w:rPr>
          <w:rFonts w:ascii="Times New Roman" w:eastAsia="Times New Roman" w:hAnsi="Times New Roman" w:cs="Times New Roman"/>
          <w:i/>
          <w:iCs/>
          <w:sz w:val="24"/>
          <w:szCs w:val="24"/>
        </w:rPr>
        <w:t>,</w:t>
      </w:r>
      <w:r w:rsidRPr="00D867EB">
        <w:rPr>
          <w:rFonts w:ascii="Times New Roman" w:eastAsia="Times New Roman" w:hAnsi="Times New Roman" w:cs="Times New Roman"/>
          <w:sz w:val="24"/>
          <w:szCs w:val="24"/>
        </w:rPr>
        <w:t xml:space="preserve"> luglio 2020; </w:t>
      </w:r>
      <w:r w:rsidRPr="00D867EB">
        <w:rPr>
          <w:rFonts w:ascii="Times New Roman" w:eastAsia="Times New Roman" w:hAnsi="Times New Roman" w:cs="Times New Roman"/>
          <w:smallCaps/>
          <w:sz w:val="24"/>
          <w:szCs w:val="24"/>
        </w:rPr>
        <w:t>N. Boldrini</w:t>
      </w:r>
      <w:r w:rsidRPr="00D867EB">
        <w:rPr>
          <w:rFonts w:ascii="Times New Roman" w:eastAsia="Times New Roman" w:hAnsi="Times New Roman" w:cs="Times New Roman"/>
          <w:sz w:val="24"/>
          <w:szCs w:val="24"/>
        </w:rPr>
        <w:t>, “</w:t>
      </w:r>
      <w:proofErr w:type="spellStart"/>
      <w:r w:rsidRPr="00D867EB">
        <w:rPr>
          <w:rFonts w:ascii="Times New Roman" w:eastAsia="Times New Roman" w:hAnsi="Times New Roman" w:cs="Times New Roman"/>
          <w:i/>
          <w:sz w:val="24"/>
          <w:szCs w:val="24"/>
        </w:rPr>
        <w:t>Blockchain</w:t>
      </w:r>
      <w:proofErr w:type="spellEnd"/>
      <w:r w:rsidRPr="00D867EB">
        <w:rPr>
          <w:rFonts w:ascii="Times New Roman" w:eastAsia="Times New Roman" w:hAnsi="Times New Roman" w:cs="Times New Roman"/>
          <w:i/>
          <w:sz w:val="24"/>
          <w:szCs w:val="24"/>
        </w:rPr>
        <w:t xml:space="preserve"> e GDPR: le sfide (e le opportunità) per la protezione dei dati</w:t>
      </w:r>
      <w:r w:rsidRPr="00D867EB">
        <w:rPr>
          <w:rFonts w:ascii="Times New Roman" w:eastAsia="Times New Roman" w:hAnsi="Times New Roman" w:cs="Times New Roman"/>
          <w:sz w:val="24"/>
          <w:szCs w:val="24"/>
        </w:rPr>
        <w:t xml:space="preserve">”, in </w:t>
      </w:r>
      <w:r w:rsidRPr="00E37FAC">
        <w:rPr>
          <w:rFonts w:ascii="Times New Roman" w:eastAsia="Times New Roman" w:hAnsi="Times New Roman" w:cs="Times New Roman"/>
          <w:i/>
          <w:iCs/>
          <w:sz w:val="24"/>
          <w:szCs w:val="24"/>
        </w:rPr>
        <w:t>blockchain4innovation.it</w:t>
      </w:r>
      <w:r w:rsidRPr="00AA67CB">
        <w:rPr>
          <w:rFonts w:ascii="Times New Roman" w:eastAsia="Times New Roman" w:hAnsi="Times New Roman" w:cs="Times New Roman"/>
          <w:sz w:val="24"/>
          <w:szCs w:val="24"/>
        </w:rPr>
        <w:t>, 2018;</w:t>
      </w:r>
      <w:r w:rsidRPr="00D867EB">
        <w:rPr>
          <w:rFonts w:ascii="Times New Roman" w:eastAsia="Times New Roman" w:hAnsi="Times New Roman" w:cs="Times New Roman"/>
          <w:sz w:val="24"/>
          <w:szCs w:val="24"/>
        </w:rPr>
        <w:t xml:space="preserve"> </w:t>
      </w:r>
      <w:r w:rsidRPr="00D867EB">
        <w:rPr>
          <w:rFonts w:ascii="Times New Roman" w:eastAsia="Times New Roman" w:hAnsi="Times New Roman" w:cs="Times New Roman"/>
          <w:smallCaps/>
          <w:sz w:val="24"/>
          <w:szCs w:val="24"/>
        </w:rPr>
        <w:t>V. Portale</w:t>
      </w:r>
      <w:r w:rsidRPr="00D867EB">
        <w:rPr>
          <w:rFonts w:ascii="Times New Roman" w:eastAsia="Times New Roman" w:hAnsi="Times New Roman" w:cs="Times New Roman"/>
          <w:sz w:val="24"/>
          <w:szCs w:val="24"/>
        </w:rPr>
        <w:t>, “</w:t>
      </w:r>
      <w:r w:rsidRPr="00D867EB">
        <w:rPr>
          <w:rFonts w:ascii="Times New Roman" w:eastAsia="Times New Roman" w:hAnsi="Times New Roman" w:cs="Times New Roman"/>
          <w:i/>
          <w:sz w:val="24"/>
          <w:szCs w:val="24"/>
        </w:rPr>
        <w:t xml:space="preserve">Quanto è legale la </w:t>
      </w:r>
      <w:proofErr w:type="spellStart"/>
      <w:r w:rsidRPr="00D867EB">
        <w:rPr>
          <w:rFonts w:ascii="Times New Roman" w:eastAsia="Times New Roman" w:hAnsi="Times New Roman" w:cs="Times New Roman"/>
          <w:i/>
          <w:sz w:val="24"/>
          <w:szCs w:val="24"/>
        </w:rPr>
        <w:t>Blockchain</w:t>
      </w:r>
      <w:proofErr w:type="spellEnd"/>
      <w:r w:rsidRPr="00D867EB">
        <w:rPr>
          <w:rFonts w:ascii="Times New Roman" w:eastAsia="Times New Roman" w:hAnsi="Times New Roman" w:cs="Times New Roman"/>
          <w:i/>
          <w:sz w:val="24"/>
          <w:szCs w:val="24"/>
        </w:rPr>
        <w:t xml:space="preserve">? La compatibilità tra </w:t>
      </w:r>
      <w:proofErr w:type="spellStart"/>
      <w:r w:rsidRPr="00D867EB">
        <w:rPr>
          <w:rFonts w:ascii="Times New Roman" w:eastAsia="Times New Roman" w:hAnsi="Times New Roman" w:cs="Times New Roman"/>
          <w:i/>
          <w:sz w:val="24"/>
          <w:szCs w:val="24"/>
        </w:rPr>
        <w:t>Blockchain</w:t>
      </w:r>
      <w:proofErr w:type="spellEnd"/>
      <w:r w:rsidRPr="00D867EB">
        <w:rPr>
          <w:rFonts w:ascii="Times New Roman" w:eastAsia="Times New Roman" w:hAnsi="Times New Roman" w:cs="Times New Roman"/>
          <w:i/>
          <w:sz w:val="24"/>
          <w:szCs w:val="24"/>
        </w:rPr>
        <w:t xml:space="preserve"> e normativa GDPR</w:t>
      </w:r>
      <w:r w:rsidRPr="00E37FAC">
        <w:rPr>
          <w:rFonts w:ascii="Times New Roman" w:eastAsia="Times New Roman" w:hAnsi="Times New Roman" w:cs="Times New Roman"/>
          <w:iCs/>
          <w:sz w:val="24"/>
          <w:szCs w:val="24"/>
        </w:rPr>
        <w:t>”,</w:t>
      </w:r>
      <w:r w:rsidRPr="00D867EB">
        <w:rPr>
          <w:rFonts w:ascii="Times New Roman" w:eastAsia="Times New Roman" w:hAnsi="Times New Roman" w:cs="Times New Roman"/>
          <w:sz w:val="24"/>
          <w:szCs w:val="24"/>
        </w:rPr>
        <w:t xml:space="preserve"> in </w:t>
      </w:r>
      <w:r w:rsidRPr="00E37FAC">
        <w:rPr>
          <w:rFonts w:ascii="Times New Roman" w:eastAsia="Times New Roman" w:hAnsi="Times New Roman" w:cs="Times New Roman"/>
          <w:i/>
          <w:sz w:val="24"/>
          <w:szCs w:val="24"/>
        </w:rPr>
        <w:t>www.blog.osservatori.net</w:t>
      </w:r>
      <w:r w:rsidRPr="00AA67CB">
        <w:rPr>
          <w:rFonts w:ascii="Times New Roman" w:eastAsia="Times New Roman" w:hAnsi="Times New Roman" w:cs="Times New Roman"/>
          <w:iCs/>
          <w:sz w:val="24"/>
          <w:szCs w:val="24"/>
        </w:rPr>
        <w:t>,</w:t>
      </w:r>
      <w:r w:rsidRPr="00D867EB">
        <w:rPr>
          <w:rFonts w:ascii="Times New Roman" w:eastAsia="Times New Roman" w:hAnsi="Times New Roman" w:cs="Times New Roman"/>
          <w:sz w:val="24"/>
          <w:szCs w:val="24"/>
        </w:rPr>
        <w:t xml:space="preserve"> 31 luglio 2020; </w:t>
      </w:r>
      <w:r w:rsidRPr="00D867EB">
        <w:rPr>
          <w:rFonts w:ascii="Times New Roman" w:eastAsia="Times New Roman" w:hAnsi="Times New Roman" w:cs="Times New Roman"/>
          <w:smallCaps/>
          <w:sz w:val="24"/>
          <w:szCs w:val="24"/>
        </w:rPr>
        <w:t xml:space="preserve">A. Gambino, C. </w:t>
      </w:r>
      <w:proofErr w:type="spellStart"/>
      <w:r w:rsidRPr="00D867EB">
        <w:rPr>
          <w:rFonts w:ascii="Times New Roman" w:eastAsia="Times New Roman" w:hAnsi="Times New Roman" w:cs="Times New Roman"/>
          <w:smallCaps/>
          <w:sz w:val="24"/>
          <w:szCs w:val="24"/>
        </w:rPr>
        <w:t>Bomprezzi</w:t>
      </w:r>
      <w:proofErr w:type="spellEnd"/>
      <w:r w:rsidRPr="00D867EB">
        <w:rPr>
          <w:rFonts w:ascii="Times New Roman" w:eastAsia="Times New Roman" w:hAnsi="Times New Roman" w:cs="Times New Roman"/>
          <w:sz w:val="24"/>
          <w:szCs w:val="24"/>
        </w:rPr>
        <w:t>, “</w:t>
      </w:r>
      <w:proofErr w:type="spellStart"/>
      <w:r w:rsidRPr="00D867EB">
        <w:rPr>
          <w:rFonts w:ascii="Times New Roman" w:eastAsia="Times New Roman" w:hAnsi="Times New Roman" w:cs="Times New Roman"/>
          <w:i/>
          <w:sz w:val="24"/>
          <w:szCs w:val="24"/>
        </w:rPr>
        <w:t>Blockchain</w:t>
      </w:r>
      <w:proofErr w:type="spellEnd"/>
      <w:r w:rsidRPr="00D867EB">
        <w:rPr>
          <w:rFonts w:ascii="Times New Roman" w:eastAsia="Times New Roman" w:hAnsi="Times New Roman" w:cs="Times New Roman"/>
          <w:i/>
          <w:sz w:val="24"/>
          <w:szCs w:val="24"/>
        </w:rPr>
        <w:t xml:space="preserve"> e titolare del trattamento dei dati personali: il nodo rimane irrisolto</w:t>
      </w:r>
      <w:r w:rsidRPr="00E37FAC">
        <w:rPr>
          <w:rFonts w:ascii="Times New Roman" w:eastAsia="Times New Roman" w:hAnsi="Times New Roman" w:cs="Times New Roman"/>
          <w:iCs/>
          <w:sz w:val="24"/>
          <w:szCs w:val="24"/>
        </w:rPr>
        <w:t>”,</w:t>
      </w:r>
      <w:r w:rsidRPr="00D867EB">
        <w:rPr>
          <w:rFonts w:ascii="Times New Roman" w:eastAsia="Times New Roman" w:hAnsi="Times New Roman" w:cs="Times New Roman"/>
          <w:sz w:val="24"/>
          <w:szCs w:val="24"/>
        </w:rPr>
        <w:t xml:space="preserve"> in </w:t>
      </w:r>
      <w:r w:rsidRPr="00E37FAC">
        <w:rPr>
          <w:rFonts w:ascii="Times New Roman" w:eastAsia="Times New Roman" w:hAnsi="Times New Roman" w:cs="Times New Roman"/>
          <w:i/>
          <w:sz w:val="24"/>
          <w:szCs w:val="24"/>
        </w:rPr>
        <w:t>www.iaic.it</w:t>
      </w:r>
      <w:r w:rsidRPr="00AA67CB">
        <w:rPr>
          <w:rFonts w:ascii="Times New Roman" w:eastAsia="Times New Roman" w:hAnsi="Times New Roman" w:cs="Times New Roman"/>
          <w:iCs/>
          <w:sz w:val="24"/>
          <w:szCs w:val="24"/>
        </w:rPr>
        <w:t>,</w:t>
      </w:r>
      <w:r w:rsidRPr="00D867EB">
        <w:rPr>
          <w:rFonts w:ascii="Times New Roman" w:eastAsia="Times New Roman" w:hAnsi="Times New Roman" w:cs="Times New Roman"/>
          <w:sz w:val="24"/>
          <w:szCs w:val="24"/>
        </w:rPr>
        <w:t xml:space="preserve"> 20 gennaio 2020; </w:t>
      </w:r>
      <w:r w:rsidRPr="00D867EB">
        <w:rPr>
          <w:rFonts w:ascii="Times New Roman" w:eastAsia="Times New Roman" w:hAnsi="Times New Roman" w:cs="Times New Roman"/>
          <w:smallCaps/>
          <w:sz w:val="24"/>
          <w:szCs w:val="24"/>
        </w:rPr>
        <w:t xml:space="preserve">D. Marciano, G. </w:t>
      </w:r>
      <w:proofErr w:type="spellStart"/>
      <w:r w:rsidRPr="00D867EB">
        <w:rPr>
          <w:rFonts w:ascii="Times New Roman" w:eastAsia="Times New Roman" w:hAnsi="Times New Roman" w:cs="Times New Roman"/>
          <w:smallCaps/>
          <w:sz w:val="24"/>
          <w:szCs w:val="24"/>
        </w:rPr>
        <w:t>Capaccioli</w:t>
      </w:r>
      <w:proofErr w:type="spellEnd"/>
      <w:r w:rsidRPr="00D867EB">
        <w:rPr>
          <w:rFonts w:ascii="Times New Roman" w:eastAsia="Times New Roman" w:hAnsi="Times New Roman" w:cs="Times New Roman"/>
          <w:sz w:val="24"/>
          <w:szCs w:val="24"/>
        </w:rPr>
        <w:t>, “</w:t>
      </w:r>
      <w:r w:rsidRPr="00D867EB">
        <w:rPr>
          <w:rFonts w:ascii="Times New Roman" w:eastAsia="Times New Roman" w:hAnsi="Times New Roman" w:cs="Times New Roman"/>
          <w:i/>
          <w:sz w:val="24"/>
          <w:szCs w:val="24"/>
        </w:rPr>
        <w:t xml:space="preserve">La </w:t>
      </w:r>
      <w:proofErr w:type="spellStart"/>
      <w:r w:rsidRPr="00D867EB">
        <w:rPr>
          <w:rFonts w:ascii="Times New Roman" w:eastAsia="Times New Roman" w:hAnsi="Times New Roman" w:cs="Times New Roman"/>
          <w:i/>
          <w:sz w:val="24"/>
          <w:szCs w:val="24"/>
        </w:rPr>
        <w:t>blockchain</w:t>
      </w:r>
      <w:proofErr w:type="spellEnd"/>
      <w:r w:rsidRPr="00D867EB">
        <w:rPr>
          <w:rFonts w:ascii="Times New Roman" w:eastAsia="Times New Roman" w:hAnsi="Times New Roman" w:cs="Times New Roman"/>
          <w:i/>
          <w:sz w:val="24"/>
          <w:szCs w:val="24"/>
        </w:rPr>
        <w:t xml:space="preserve"> ed il problema del trattamento dei dati personali</w:t>
      </w:r>
      <w:r w:rsidRPr="00E37FAC">
        <w:rPr>
          <w:rFonts w:ascii="Times New Roman" w:eastAsia="Times New Roman" w:hAnsi="Times New Roman" w:cs="Times New Roman"/>
          <w:iCs/>
          <w:sz w:val="24"/>
          <w:szCs w:val="24"/>
        </w:rPr>
        <w:t xml:space="preserve">”, </w:t>
      </w:r>
      <w:r w:rsidRPr="00D867EB">
        <w:rPr>
          <w:rFonts w:ascii="Times New Roman" w:eastAsia="Times New Roman" w:hAnsi="Times New Roman" w:cs="Times New Roman"/>
          <w:sz w:val="24"/>
          <w:szCs w:val="24"/>
        </w:rPr>
        <w:t xml:space="preserve">in </w:t>
      </w:r>
      <w:r w:rsidRPr="00AA67CB">
        <w:rPr>
          <w:rFonts w:ascii="Times New Roman" w:eastAsia="Times New Roman" w:hAnsi="Times New Roman" w:cs="Times New Roman"/>
          <w:i/>
          <w:sz w:val="24"/>
          <w:szCs w:val="24"/>
        </w:rPr>
        <w:t>www.affidaty.io, 4</w:t>
      </w:r>
      <w:r w:rsidRPr="00D867EB">
        <w:rPr>
          <w:rFonts w:ascii="Times New Roman" w:eastAsia="Times New Roman" w:hAnsi="Times New Roman" w:cs="Times New Roman"/>
          <w:sz w:val="24"/>
          <w:szCs w:val="24"/>
        </w:rPr>
        <w:t xml:space="preserve"> giugno 2019; </w:t>
      </w:r>
      <w:r w:rsidRPr="00D867EB">
        <w:rPr>
          <w:rFonts w:ascii="Times New Roman" w:hAnsi="Times New Roman" w:cs="Times New Roman"/>
          <w:smallCaps/>
          <w:sz w:val="24"/>
          <w:szCs w:val="24"/>
        </w:rPr>
        <w:t>R. Battaglini, M. Giordano</w:t>
      </w:r>
      <w:r w:rsidRPr="00D867EB">
        <w:rPr>
          <w:rFonts w:ascii="Times New Roman" w:hAnsi="Times New Roman" w:cs="Times New Roman"/>
          <w:sz w:val="24"/>
          <w:szCs w:val="24"/>
        </w:rPr>
        <w:t xml:space="preserve"> (a cura di), “</w:t>
      </w:r>
      <w:proofErr w:type="spellStart"/>
      <w:r w:rsidRPr="00D867EB">
        <w:rPr>
          <w:rFonts w:ascii="Times New Roman" w:hAnsi="Times New Roman" w:cs="Times New Roman"/>
          <w:i/>
          <w:iCs/>
          <w:sz w:val="24"/>
          <w:szCs w:val="24"/>
        </w:rPr>
        <w:t>Blockchain</w:t>
      </w:r>
      <w:proofErr w:type="spellEnd"/>
      <w:r w:rsidRPr="00D867EB">
        <w:rPr>
          <w:rFonts w:ascii="Times New Roman" w:hAnsi="Times New Roman" w:cs="Times New Roman"/>
          <w:i/>
          <w:iCs/>
          <w:sz w:val="24"/>
          <w:szCs w:val="24"/>
        </w:rPr>
        <w:t xml:space="preserve"> e </w:t>
      </w:r>
      <w:proofErr w:type="spellStart"/>
      <w:r w:rsidRPr="00D867EB">
        <w:rPr>
          <w:rFonts w:ascii="Times New Roman" w:hAnsi="Times New Roman" w:cs="Times New Roman"/>
          <w:i/>
          <w:iCs/>
          <w:sz w:val="24"/>
          <w:szCs w:val="24"/>
        </w:rPr>
        <w:t>smart</w:t>
      </w:r>
      <w:proofErr w:type="spellEnd"/>
      <w:r w:rsidRPr="00D867EB">
        <w:rPr>
          <w:rFonts w:ascii="Times New Roman" w:hAnsi="Times New Roman" w:cs="Times New Roman"/>
          <w:i/>
          <w:iCs/>
          <w:sz w:val="24"/>
          <w:szCs w:val="24"/>
        </w:rPr>
        <w:t xml:space="preserve"> </w:t>
      </w:r>
      <w:proofErr w:type="spellStart"/>
      <w:r w:rsidRPr="00D867EB">
        <w:rPr>
          <w:rFonts w:ascii="Times New Roman" w:hAnsi="Times New Roman" w:cs="Times New Roman"/>
          <w:i/>
          <w:iCs/>
          <w:sz w:val="24"/>
          <w:szCs w:val="24"/>
        </w:rPr>
        <w:t>contract</w:t>
      </w:r>
      <w:proofErr w:type="spellEnd"/>
      <w:r w:rsidRPr="00D867EB">
        <w:rPr>
          <w:rFonts w:ascii="Times New Roman" w:hAnsi="Times New Roman" w:cs="Times New Roman"/>
          <w:i/>
          <w:iCs/>
          <w:sz w:val="24"/>
          <w:szCs w:val="24"/>
        </w:rPr>
        <w:t>. Funzionamento, profili giuridici e internazionali, applicazioni pratiche</w:t>
      </w:r>
      <w:r w:rsidRPr="00D867EB">
        <w:rPr>
          <w:rFonts w:ascii="Times New Roman" w:hAnsi="Times New Roman" w:cs="Times New Roman"/>
          <w:sz w:val="24"/>
          <w:szCs w:val="24"/>
        </w:rPr>
        <w:t xml:space="preserve">”, 2019; </w:t>
      </w:r>
      <w:r w:rsidRPr="00D867EB">
        <w:rPr>
          <w:rFonts w:ascii="Times New Roman" w:hAnsi="Times New Roman" w:cs="Times New Roman"/>
          <w:smallCaps/>
          <w:sz w:val="24"/>
          <w:szCs w:val="24"/>
        </w:rPr>
        <w:t>M. Bellini</w:t>
      </w:r>
      <w:r w:rsidRPr="00D867EB">
        <w:rPr>
          <w:rFonts w:ascii="Times New Roman" w:hAnsi="Times New Roman" w:cs="Times New Roman"/>
          <w:sz w:val="24"/>
          <w:szCs w:val="24"/>
        </w:rPr>
        <w:t>, “</w:t>
      </w:r>
      <w:r w:rsidRPr="00D867EB">
        <w:rPr>
          <w:rFonts w:ascii="Times New Roman" w:hAnsi="Times New Roman" w:cs="Times New Roman"/>
          <w:i/>
          <w:iCs/>
          <w:sz w:val="24"/>
          <w:szCs w:val="24"/>
        </w:rPr>
        <w:t xml:space="preserve">La </w:t>
      </w:r>
      <w:proofErr w:type="spellStart"/>
      <w:r w:rsidRPr="00D867EB">
        <w:rPr>
          <w:rFonts w:ascii="Times New Roman" w:hAnsi="Times New Roman" w:cs="Times New Roman"/>
          <w:i/>
          <w:iCs/>
          <w:sz w:val="24"/>
          <w:szCs w:val="24"/>
        </w:rPr>
        <w:t>blockchain</w:t>
      </w:r>
      <w:proofErr w:type="spellEnd"/>
      <w:r w:rsidRPr="00D867EB">
        <w:rPr>
          <w:rFonts w:ascii="Times New Roman" w:hAnsi="Times New Roman" w:cs="Times New Roman"/>
          <w:i/>
          <w:iCs/>
          <w:sz w:val="24"/>
          <w:szCs w:val="24"/>
        </w:rPr>
        <w:t xml:space="preserve"> per le imprese. Come prepararsi alla nuova «internet del valore»</w:t>
      </w:r>
      <w:r w:rsidRPr="00D867EB">
        <w:rPr>
          <w:rFonts w:ascii="Times New Roman" w:hAnsi="Times New Roman" w:cs="Times New Roman"/>
          <w:sz w:val="24"/>
          <w:szCs w:val="24"/>
        </w:rPr>
        <w:t xml:space="preserve">”, 2019; </w:t>
      </w:r>
      <w:r w:rsidRPr="00D867EB">
        <w:rPr>
          <w:rFonts w:ascii="Times New Roman" w:hAnsi="Times New Roman" w:cs="Times New Roman"/>
          <w:smallCaps/>
          <w:sz w:val="24"/>
          <w:szCs w:val="24"/>
        </w:rPr>
        <w:t>A. Basile</w:t>
      </w:r>
      <w:r w:rsidRPr="00D867EB">
        <w:rPr>
          <w:rFonts w:ascii="Times New Roman" w:hAnsi="Times New Roman" w:cs="Times New Roman"/>
          <w:sz w:val="24"/>
          <w:szCs w:val="24"/>
        </w:rPr>
        <w:t>; “</w:t>
      </w:r>
      <w:proofErr w:type="spellStart"/>
      <w:r w:rsidRPr="00D867EB">
        <w:rPr>
          <w:rFonts w:ascii="Times New Roman" w:hAnsi="Times New Roman" w:cs="Times New Roman"/>
          <w:i/>
          <w:iCs/>
          <w:sz w:val="24"/>
          <w:szCs w:val="24"/>
        </w:rPr>
        <w:t>Blockchain</w:t>
      </w:r>
      <w:proofErr w:type="spellEnd"/>
      <w:r w:rsidRPr="00D867EB">
        <w:rPr>
          <w:rFonts w:ascii="Times New Roman" w:hAnsi="Times New Roman" w:cs="Times New Roman"/>
          <w:i/>
          <w:iCs/>
          <w:sz w:val="24"/>
          <w:szCs w:val="24"/>
        </w:rPr>
        <w:t>: La Nuova Rivoluzione Industriale</w:t>
      </w:r>
      <w:r w:rsidRPr="00D867EB">
        <w:rPr>
          <w:rFonts w:ascii="Times New Roman" w:hAnsi="Times New Roman" w:cs="Times New Roman"/>
          <w:sz w:val="24"/>
          <w:szCs w:val="24"/>
        </w:rPr>
        <w:t>”, 2019.</w:t>
      </w:r>
    </w:p>
  </w:footnote>
  <w:footnote w:id="126">
    <w:p w14:paraId="3CA99DDF" w14:textId="02491AAC" w:rsidR="000463A6" w:rsidRPr="00983E0F" w:rsidRDefault="000463A6" w:rsidP="00983E0F">
      <w:pPr>
        <w:pStyle w:val="Testonotaapidipagina"/>
        <w:jc w:val="both"/>
        <w:rPr>
          <w:rFonts w:ascii="Times New Roman" w:hAnsi="Times New Roman" w:cs="Times New Roman"/>
          <w:sz w:val="24"/>
          <w:szCs w:val="24"/>
        </w:rPr>
      </w:pPr>
      <w:r w:rsidRPr="00983E0F">
        <w:rPr>
          <w:rStyle w:val="Rimandonotaapidipagina"/>
          <w:rFonts w:ascii="Times New Roman" w:hAnsi="Times New Roman" w:cs="Times New Roman"/>
          <w:sz w:val="24"/>
          <w:szCs w:val="24"/>
        </w:rPr>
        <w:footnoteRef/>
      </w:r>
      <w:r w:rsidRPr="00983E0F">
        <w:rPr>
          <w:rFonts w:ascii="Times New Roman" w:hAnsi="Times New Roman" w:cs="Times New Roman"/>
          <w:sz w:val="24"/>
          <w:szCs w:val="24"/>
        </w:rPr>
        <w:t xml:space="preserve"> </w:t>
      </w:r>
      <w:r w:rsidRPr="00983E0F">
        <w:rPr>
          <w:rFonts w:ascii="Times New Roman" w:hAnsi="Times New Roman" w:cs="Times New Roman"/>
          <w:smallCaps/>
          <w:sz w:val="24"/>
          <w:szCs w:val="24"/>
        </w:rPr>
        <w:t>F.</w:t>
      </w:r>
      <w:r>
        <w:rPr>
          <w:rFonts w:ascii="Times New Roman" w:hAnsi="Times New Roman" w:cs="Times New Roman"/>
          <w:smallCaps/>
          <w:sz w:val="24"/>
          <w:szCs w:val="24"/>
        </w:rPr>
        <w:t xml:space="preserve"> </w:t>
      </w:r>
      <w:r w:rsidRPr="00983E0F">
        <w:rPr>
          <w:rFonts w:ascii="Times New Roman" w:hAnsi="Times New Roman" w:cs="Times New Roman"/>
          <w:smallCaps/>
          <w:sz w:val="24"/>
          <w:szCs w:val="24"/>
        </w:rPr>
        <w:t>Pizzetti</w:t>
      </w:r>
      <w:r w:rsidRPr="00983E0F">
        <w:rPr>
          <w:rFonts w:ascii="Times New Roman" w:hAnsi="Times New Roman" w:cs="Times New Roman"/>
          <w:sz w:val="24"/>
          <w:szCs w:val="24"/>
        </w:rPr>
        <w:t>, “</w:t>
      </w:r>
      <w:r w:rsidRPr="00983E0F">
        <w:rPr>
          <w:rFonts w:ascii="Times New Roman" w:hAnsi="Times New Roman" w:cs="Times New Roman"/>
          <w:i/>
          <w:iCs/>
          <w:sz w:val="24"/>
          <w:szCs w:val="24"/>
        </w:rPr>
        <w:t>Intelligenza artificiale, protezione dei dati personali e regolazione</w:t>
      </w:r>
      <w:r w:rsidRPr="00983E0F">
        <w:rPr>
          <w:rFonts w:ascii="Times New Roman" w:hAnsi="Times New Roman" w:cs="Times New Roman"/>
          <w:sz w:val="24"/>
          <w:szCs w:val="24"/>
        </w:rPr>
        <w:t>”, cit.</w:t>
      </w:r>
      <w:r>
        <w:rPr>
          <w:rFonts w:ascii="Times New Roman" w:hAnsi="Times New Roman" w:cs="Times New Roman"/>
          <w:sz w:val="24"/>
          <w:szCs w:val="24"/>
        </w:rPr>
        <w:t xml:space="preserve">; </w:t>
      </w:r>
      <w:r w:rsidRPr="00983E0F">
        <w:rPr>
          <w:rFonts w:ascii="Times New Roman" w:hAnsi="Times New Roman" w:cs="Times New Roman"/>
          <w:smallCaps/>
          <w:sz w:val="24"/>
          <w:szCs w:val="24"/>
        </w:rPr>
        <w:t xml:space="preserve">Id., </w:t>
      </w:r>
      <w:r w:rsidRPr="00983E0F">
        <w:rPr>
          <w:rFonts w:ascii="Times New Roman" w:hAnsi="Times New Roman" w:cs="Times New Roman"/>
          <w:sz w:val="24"/>
          <w:szCs w:val="24"/>
        </w:rPr>
        <w:t>“</w:t>
      </w:r>
      <w:r w:rsidRPr="00983E0F">
        <w:rPr>
          <w:rFonts w:ascii="Times New Roman" w:hAnsi="Times New Roman" w:cs="Times New Roman"/>
          <w:i/>
          <w:iCs/>
          <w:sz w:val="24"/>
          <w:szCs w:val="24"/>
        </w:rPr>
        <w:t>Privacy e il diritto europeo alla protezione dei dati personali. dalla direttiva 95/46 al nuovo Regolamento europeo</w:t>
      </w:r>
      <w:r w:rsidRPr="00983E0F">
        <w:rPr>
          <w:rFonts w:ascii="Times New Roman" w:hAnsi="Times New Roman" w:cs="Times New Roman"/>
          <w:sz w:val="24"/>
          <w:szCs w:val="24"/>
        </w:rPr>
        <w:t>”, 2016;</w:t>
      </w:r>
      <w:r w:rsidRPr="00983E0F">
        <w:rPr>
          <w:rFonts w:ascii="Times New Roman" w:hAnsi="Times New Roman" w:cs="Times New Roman"/>
          <w:smallCaps/>
          <w:sz w:val="24"/>
          <w:szCs w:val="24"/>
        </w:rPr>
        <w:t xml:space="preserve"> Id.,</w:t>
      </w:r>
      <w:r w:rsidRPr="00983E0F">
        <w:rPr>
          <w:rFonts w:ascii="Times New Roman" w:hAnsi="Times New Roman" w:cs="Times New Roman"/>
          <w:sz w:val="24"/>
          <w:szCs w:val="24"/>
        </w:rPr>
        <w:t xml:space="preserve"> “</w:t>
      </w:r>
      <w:r w:rsidRPr="00983E0F">
        <w:rPr>
          <w:rFonts w:ascii="Times New Roman" w:hAnsi="Times New Roman" w:cs="Times New Roman"/>
          <w:i/>
          <w:iCs/>
          <w:sz w:val="24"/>
          <w:szCs w:val="24"/>
        </w:rPr>
        <w:t xml:space="preserve">Protezione dei dati personali in </w:t>
      </w:r>
      <w:r>
        <w:rPr>
          <w:rFonts w:ascii="Times New Roman" w:hAnsi="Times New Roman" w:cs="Times New Roman"/>
          <w:i/>
          <w:iCs/>
          <w:sz w:val="24"/>
          <w:szCs w:val="24"/>
        </w:rPr>
        <w:t>I</w:t>
      </w:r>
      <w:r w:rsidRPr="00983E0F">
        <w:rPr>
          <w:rFonts w:ascii="Times New Roman" w:hAnsi="Times New Roman" w:cs="Times New Roman"/>
          <w:i/>
          <w:iCs/>
          <w:sz w:val="24"/>
          <w:szCs w:val="24"/>
        </w:rPr>
        <w:t xml:space="preserve">talia tra GDPR e </w:t>
      </w:r>
      <w:r>
        <w:rPr>
          <w:rFonts w:ascii="Times New Roman" w:hAnsi="Times New Roman" w:cs="Times New Roman"/>
          <w:i/>
          <w:iCs/>
          <w:sz w:val="24"/>
          <w:szCs w:val="24"/>
        </w:rPr>
        <w:t>c</w:t>
      </w:r>
      <w:r w:rsidRPr="00983E0F">
        <w:rPr>
          <w:rFonts w:ascii="Times New Roman" w:hAnsi="Times New Roman" w:cs="Times New Roman"/>
          <w:i/>
          <w:iCs/>
          <w:sz w:val="24"/>
          <w:szCs w:val="24"/>
        </w:rPr>
        <w:t>odice novellato</w:t>
      </w:r>
      <w:r w:rsidRPr="00983E0F">
        <w:rPr>
          <w:rFonts w:ascii="Times New Roman" w:hAnsi="Times New Roman" w:cs="Times New Roman"/>
          <w:sz w:val="24"/>
          <w:szCs w:val="24"/>
        </w:rPr>
        <w:t>”, 2021.</w:t>
      </w:r>
    </w:p>
  </w:footnote>
  <w:footnote w:id="127">
    <w:p w14:paraId="2EFEA92A" w14:textId="19892F9A" w:rsidR="000463A6" w:rsidRDefault="000463A6" w:rsidP="00983E0F">
      <w:pPr>
        <w:pStyle w:val="Testonotaapidipagina"/>
        <w:jc w:val="both"/>
      </w:pPr>
      <w:r w:rsidRPr="00983E0F">
        <w:rPr>
          <w:rStyle w:val="Rimandonotaapidipagina"/>
          <w:rFonts w:ascii="Times New Roman" w:hAnsi="Times New Roman" w:cs="Times New Roman"/>
          <w:sz w:val="24"/>
          <w:szCs w:val="24"/>
        </w:rPr>
        <w:footnoteRef/>
      </w:r>
      <w:r w:rsidRPr="00983E0F">
        <w:rPr>
          <w:rFonts w:ascii="Times New Roman" w:hAnsi="Times New Roman" w:cs="Times New Roman"/>
          <w:sz w:val="24"/>
          <w:szCs w:val="24"/>
        </w:rPr>
        <w:t xml:space="preserve"> </w:t>
      </w:r>
      <w:r w:rsidRPr="00983E0F">
        <w:rPr>
          <w:rFonts w:ascii="Times New Roman" w:hAnsi="Times New Roman" w:cs="Times New Roman"/>
          <w:smallCaps/>
          <w:sz w:val="24"/>
          <w:szCs w:val="24"/>
        </w:rPr>
        <w:t>O. Pollicino</w:t>
      </w:r>
      <w:r>
        <w:rPr>
          <w:rFonts w:ascii="Times New Roman" w:hAnsi="Times New Roman" w:cs="Times New Roman"/>
          <w:sz w:val="24"/>
          <w:szCs w:val="24"/>
        </w:rPr>
        <w:t>, “</w:t>
      </w:r>
      <w:r w:rsidRPr="00983E0F">
        <w:rPr>
          <w:rFonts w:ascii="Times New Roman" w:hAnsi="Times New Roman" w:cs="Times New Roman"/>
          <w:i/>
          <w:iCs/>
          <w:sz w:val="24"/>
          <w:szCs w:val="24"/>
        </w:rPr>
        <w:t>Diritto dell’informazione e dei media</w:t>
      </w:r>
      <w:r>
        <w:rPr>
          <w:rFonts w:ascii="Times New Roman" w:hAnsi="Times New Roman" w:cs="Times New Roman"/>
          <w:sz w:val="24"/>
          <w:szCs w:val="24"/>
        </w:rPr>
        <w:t xml:space="preserve">”, 2019; </w:t>
      </w:r>
      <w:r w:rsidRPr="00983E0F">
        <w:rPr>
          <w:rFonts w:ascii="Times New Roman" w:hAnsi="Times New Roman" w:cs="Times New Roman"/>
          <w:smallCaps/>
          <w:sz w:val="24"/>
          <w:szCs w:val="24"/>
        </w:rPr>
        <w:t>Id.</w:t>
      </w:r>
      <w:r>
        <w:rPr>
          <w:rFonts w:ascii="Times New Roman" w:hAnsi="Times New Roman" w:cs="Times New Roman"/>
          <w:sz w:val="24"/>
          <w:szCs w:val="24"/>
        </w:rPr>
        <w:t>, “</w:t>
      </w:r>
      <w:r w:rsidRPr="00983E0F">
        <w:rPr>
          <w:rFonts w:ascii="Times New Roman" w:hAnsi="Times New Roman" w:cs="Times New Roman"/>
          <w:i/>
          <w:iCs/>
          <w:sz w:val="24"/>
          <w:szCs w:val="24"/>
        </w:rPr>
        <w:t>Parole e potere. Libertà di espressione</w:t>
      </w:r>
      <w:r>
        <w:rPr>
          <w:rFonts w:ascii="Times New Roman" w:hAnsi="Times New Roman" w:cs="Times New Roman"/>
          <w:sz w:val="24"/>
          <w:szCs w:val="24"/>
        </w:rPr>
        <w:t xml:space="preserve">, </w:t>
      </w:r>
      <w:proofErr w:type="spellStart"/>
      <w:r w:rsidRPr="002A7A3B">
        <w:rPr>
          <w:rFonts w:ascii="Times New Roman" w:hAnsi="Times New Roman" w:cs="Times New Roman"/>
          <w:i/>
          <w:iCs/>
          <w:sz w:val="24"/>
          <w:szCs w:val="24"/>
        </w:rPr>
        <w:t>hate</w:t>
      </w:r>
      <w:proofErr w:type="spellEnd"/>
      <w:r w:rsidRPr="002A7A3B">
        <w:rPr>
          <w:rFonts w:ascii="Times New Roman" w:hAnsi="Times New Roman" w:cs="Times New Roman"/>
          <w:i/>
          <w:iCs/>
          <w:sz w:val="24"/>
          <w:szCs w:val="24"/>
        </w:rPr>
        <w:t xml:space="preserve"> </w:t>
      </w:r>
      <w:proofErr w:type="spellStart"/>
      <w:r w:rsidRPr="002A7A3B">
        <w:rPr>
          <w:rFonts w:ascii="Times New Roman" w:hAnsi="Times New Roman" w:cs="Times New Roman"/>
          <w:i/>
          <w:iCs/>
          <w:sz w:val="24"/>
          <w:szCs w:val="24"/>
        </w:rPr>
        <w:t>speech</w:t>
      </w:r>
      <w:proofErr w:type="spellEnd"/>
      <w:r w:rsidRPr="002A7A3B">
        <w:rPr>
          <w:rFonts w:ascii="Times New Roman" w:hAnsi="Times New Roman" w:cs="Times New Roman"/>
          <w:i/>
          <w:iCs/>
          <w:sz w:val="24"/>
          <w:szCs w:val="24"/>
        </w:rPr>
        <w:t xml:space="preserve"> e </w:t>
      </w:r>
      <w:proofErr w:type="spellStart"/>
      <w:r w:rsidRPr="002A7A3B">
        <w:rPr>
          <w:rFonts w:ascii="Times New Roman" w:hAnsi="Times New Roman" w:cs="Times New Roman"/>
          <w:i/>
          <w:iCs/>
          <w:sz w:val="24"/>
          <w:szCs w:val="24"/>
        </w:rPr>
        <w:t>fake</w:t>
      </w:r>
      <w:proofErr w:type="spellEnd"/>
      <w:r w:rsidRPr="002A7A3B">
        <w:rPr>
          <w:rFonts w:ascii="Times New Roman" w:hAnsi="Times New Roman" w:cs="Times New Roman"/>
          <w:i/>
          <w:iCs/>
          <w:sz w:val="24"/>
          <w:szCs w:val="24"/>
        </w:rPr>
        <w:t xml:space="preserve"> news</w:t>
      </w:r>
      <w:r>
        <w:rPr>
          <w:rFonts w:ascii="Times New Roman" w:hAnsi="Times New Roman" w:cs="Times New Roman"/>
          <w:sz w:val="24"/>
          <w:szCs w:val="24"/>
        </w:rPr>
        <w:t xml:space="preserve">”, 2017; </w:t>
      </w:r>
      <w:r w:rsidRPr="00983E0F">
        <w:rPr>
          <w:rFonts w:ascii="Times New Roman" w:hAnsi="Times New Roman" w:cs="Times New Roman"/>
          <w:smallCaps/>
          <w:sz w:val="24"/>
          <w:szCs w:val="24"/>
        </w:rPr>
        <w:t>Id.</w:t>
      </w:r>
      <w:r>
        <w:rPr>
          <w:rFonts w:ascii="Times New Roman" w:hAnsi="Times New Roman" w:cs="Times New Roman"/>
          <w:sz w:val="24"/>
          <w:szCs w:val="24"/>
        </w:rPr>
        <w:t>, “</w:t>
      </w:r>
      <w:r w:rsidRPr="00983E0F">
        <w:rPr>
          <w:rFonts w:ascii="Times New Roman" w:hAnsi="Times New Roman" w:cs="Times New Roman"/>
          <w:i/>
          <w:iCs/>
          <w:sz w:val="24"/>
          <w:szCs w:val="24"/>
        </w:rPr>
        <w:t>Codice della comunicazione digitale</w:t>
      </w:r>
      <w:r>
        <w:rPr>
          <w:rFonts w:ascii="Times New Roman" w:hAnsi="Times New Roman" w:cs="Times New Roman"/>
          <w:sz w:val="24"/>
          <w:szCs w:val="24"/>
        </w:rPr>
        <w:t>”, 2015.</w:t>
      </w:r>
    </w:p>
  </w:footnote>
  <w:footnote w:id="128">
    <w:p w14:paraId="2DC79C9D" w14:textId="232DF60C" w:rsidR="000463A6" w:rsidRPr="00127EE4" w:rsidRDefault="000463A6" w:rsidP="00127EE4">
      <w:pPr>
        <w:pStyle w:val="Testonotaapidipagina"/>
        <w:jc w:val="both"/>
        <w:rPr>
          <w:rFonts w:ascii="Times New Roman" w:hAnsi="Times New Roman" w:cs="Times New Roman"/>
          <w:i/>
          <w:iCs/>
          <w:sz w:val="24"/>
          <w:szCs w:val="24"/>
        </w:rPr>
      </w:pPr>
      <w:r w:rsidRPr="00127EE4">
        <w:rPr>
          <w:rStyle w:val="Rimandonotaapidipagina"/>
          <w:rFonts w:ascii="Times New Roman" w:hAnsi="Times New Roman" w:cs="Times New Roman"/>
          <w:sz w:val="24"/>
          <w:szCs w:val="24"/>
        </w:rPr>
        <w:footnoteRef/>
      </w:r>
      <w:r w:rsidRPr="00127EE4">
        <w:rPr>
          <w:rFonts w:ascii="Times New Roman" w:hAnsi="Times New Roman" w:cs="Times New Roman"/>
          <w:sz w:val="24"/>
          <w:szCs w:val="24"/>
        </w:rPr>
        <w:t xml:space="preserve"> Art</w:t>
      </w:r>
      <w:r>
        <w:rPr>
          <w:rFonts w:ascii="Times New Roman" w:hAnsi="Times New Roman" w:cs="Times New Roman"/>
          <w:sz w:val="24"/>
          <w:szCs w:val="24"/>
        </w:rPr>
        <w:t>.</w:t>
      </w:r>
      <w:r w:rsidRPr="00127EE4">
        <w:rPr>
          <w:rFonts w:ascii="Times New Roman" w:hAnsi="Times New Roman" w:cs="Times New Roman"/>
          <w:sz w:val="24"/>
          <w:szCs w:val="24"/>
        </w:rPr>
        <w:t xml:space="preserve"> 6</w:t>
      </w:r>
      <w:r>
        <w:rPr>
          <w:rFonts w:ascii="Times New Roman" w:hAnsi="Times New Roman" w:cs="Times New Roman"/>
          <w:sz w:val="24"/>
          <w:szCs w:val="24"/>
        </w:rPr>
        <w:t xml:space="preserve"> GDPR (</w:t>
      </w:r>
      <w:r w:rsidRPr="00127EE4">
        <w:rPr>
          <w:rFonts w:ascii="Times New Roman" w:hAnsi="Times New Roman" w:cs="Times New Roman"/>
          <w:sz w:val="24"/>
          <w:szCs w:val="24"/>
        </w:rPr>
        <w:t>Liceità del trattamento</w:t>
      </w:r>
      <w:r>
        <w:rPr>
          <w:rFonts w:ascii="Times New Roman" w:hAnsi="Times New Roman" w:cs="Times New Roman"/>
          <w:sz w:val="24"/>
          <w:szCs w:val="24"/>
        </w:rPr>
        <w:t>): “</w:t>
      </w:r>
      <w:r w:rsidRPr="00127EE4">
        <w:rPr>
          <w:rFonts w:ascii="Times New Roman" w:hAnsi="Times New Roman" w:cs="Times New Roman"/>
          <w:i/>
          <w:iCs/>
          <w:sz w:val="24"/>
          <w:szCs w:val="24"/>
        </w:rPr>
        <w:t>1. Il trattamento è lecito solo se e nella misura in cui ricorre almeno una delle seguenti condizioni:</w:t>
      </w:r>
    </w:p>
    <w:p w14:paraId="0D325119" w14:textId="1663FD8F" w:rsidR="000463A6" w:rsidRPr="00127EE4" w:rsidRDefault="000463A6" w:rsidP="00127EE4">
      <w:pPr>
        <w:pStyle w:val="Testonotaapidipagina"/>
        <w:jc w:val="both"/>
        <w:rPr>
          <w:rFonts w:ascii="Times New Roman" w:hAnsi="Times New Roman" w:cs="Times New Roman"/>
          <w:i/>
          <w:iCs/>
          <w:sz w:val="24"/>
          <w:szCs w:val="24"/>
        </w:rPr>
      </w:pPr>
      <w:r w:rsidRPr="00127EE4">
        <w:rPr>
          <w:rFonts w:ascii="Times New Roman" w:hAnsi="Times New Roman" w:cs="Times New Roman"/>
          <w:i/>
          <w:iCs/>
          <w:sz w:val="24"/>
          <w:szCs w:val="24"/>
        </w:rPr>
        <w:t>a) l</w:t>
      </w:r>
      <w:r>
        <w:rPr>
          <w:rFonts w:ascii="Times New Roman" w:hAnsi="Times New Roman" w:cs="Times New Roman"/>
          <w:i/>
          <w:iCs/>
          <w:sz w:val="24"/>
          <w:szCs w:val="24"/>
        </w:rPr>
        <w:t>’</w:t>
      </w:r>
      <w:r w:rsidRPr="00127EE4">
        <w:rPr>
          <w:rFonts w:ascii="Times New Roman" w:hAnsi="Times New Roman" w:cs="Times New Roman"/>
          <w:i/>
          <w:iCs/>
          <w:sz w:val="24"/>
          <w:szCs w:val="24"/>
        </w:rPr>
        <w:t>interessato ha espresso il consenso al trattamento dei propri dati personali per una o più specifiche finalità;</w:t>
      </w:r>
    </w:p>
    <w:p w14:paraId="558F3D81" w14:textId="4487CDA1" w:rsidR="000463A6" w:rsidRPr="00127EE4" w:rsidRDefault="000463A6" w:rsidP="00127EE4">
      <w:pPr>
        <w:pStyle w:val="Testonotaapidipagina"/>
        <w:jc w:val="both"/>
        <w:rPr>
          <w:rFonts w:ascii="Times New Roman" w:hAnsi="Times New Roman" w:cs="Times New Roman"/>
          <w:i/>
          <w:iCs/>
          <w:sz w:val="24"/>
          <w:szCs w:val="24"/>
        </w:rPr>
      </w:pPr>
      <w:r w:rsidRPr="00127EE4">
        <w:rPr>
          <w:rFonts w:ascii="Times New Roman" w:hAnsi="Times New Roman" w:cs="Times New Roman"/>
          <w:i/>
          <w:iCs/>
          <w:sz w:val="24"/>
          <w:szCs w:val="24"/>
        </w:rPr>
        <w:t>b) il trattamento è necessario all</w:t>
      </w:r>
      <w:r>
        <w:rPr>
          <w:rFonts w:ascii="Times New Roman" w:hAnsi="Times New Roman" w:cs="Times New Roman"/>
          <w:i/>
          <w:iCs/>
          <w:sz w:val="24"/>
          <w:szCs w:val="24"/>
        </w:rPr>
        <w:t>’</w:t>
      </w:r>
      <w:r w:rsidRPr="00127EE4">
        <w:rPr>
          <w:rFonts w:ascii="Times New Roman" w:hAnsi="Times New Roman" w:cs="Times New Roman"/>
          <w:i/>
          <w:iCs/>
          <w:sz w:val="24"/>
          <w:szCs w:val="24"/>
        </w:rPr>
        <w:t>esecuzione di un contratto di cui l</w:t>
      </w:r>
      <w:r>
        <w:rPr>
          <w:rFonts w:ascii="Times New Roman" w:hAnsi="Times New Roman" w:cs="Times New Roman"/>
          <w:i/>
          <w:iCs/>
          <w:sz w:val="24"/>
          <w:szCs w:val="24"/>
        </w:rPr>
        <w:t>’</w:t>
      </w:r>
      <w:r w:rsidRPr="00127EE4">
        <w:rPr>
          <w:rFonts w:ascii="Times New Roman" w:hAnsi="Times New Roman" w:cs="Times New Roman"/>
          <w:i/>
          <w:iCs/>
          <w:sz w:val="24"/>
          <w:szCs w:val="24"/>
        </w:rPr>
        <w:t>interessato è parte o all</w:t>
      </w:r>
      <w:r>
        <w:rPr>
          <w:rFonts w:ascii="Times New Roman" w:hAnsi="Times New Roman" w:cs="Times New Roman"/>
          <w:i/>
          <w:iCs/>
          <w:sz w:val="24"/>
          <w:szCs w:val="24"/>
        </w:rPr>
        <w:t>’</w:t>
      </w:r>
      <w:r w:rsidRPr="00127EE4">
        <w:rPr>
          <w:rFonts w:ascii="Times New Roman" w:hAnsi="Times New Roman" w:cs="Times New Roman"/>
          <w:i/>
          <w:iCs/>
          <w:sz w:val="24"/>
          <w:szCs w:val="24"/>
        </w:rPr>
        <w:t>esecuzione di misure precontrattuali adottate su richiesta dello stesso;</w:t>
      </w:r>
    </w:p>
    <w:p w14:paraId="2E153B97" w14:textId="77777777" w:rsidR="000463A6" w:rsidRPr="00127EE4" w:rsidRDefault="000463A6" w:rsidP="00127EE4">
      <w:pPr>
        <w:pStyle w:val="Testonotaapidipagina"/>
        <w:jc w:val="both"/>
        <w:rPr>
          <w:rFonts w:ascii="Times New Roman" w:hAnsi="Times New Roman" w:cs="Times New Roman"/>
          <w:i/>
          <w:iCs/>
          <w:sz w:val="24"/>
          <w:szCs w:val="24"/>
        </w:rPr>
      </w:pPr>
      <w:r w:rsidRPr="00127EE4">
        <w:rPr>
          <w:rFonts w:ascii="Times New Roman" w:hAnsi="Times New Roman" w:cs="Times New Roman"/>
          <w:i/>
          <w:iCs/>
          <w:sz w:val="24"/>
          <w:szCs w:val="24"/>
        </w:rPr>
        <w:t>c) il trattamento è necessario per adempiere un obbligo legale al quale è soggetto il titolare del trattamento;</w:t>
      </w:r>
    </w:p>
    <w:p w14:paraId="174AD26A" w14:textId="6F375760" w:rsidR="000463A6" w:rsidRPr="00127EE4" w:rsidRDefault="000463A6" w:rsidP="00127EE4">
      <w:pPr>
        <w:pStyle w:val="Testonotaapidipagina"/>
        <w:jc w:val="both"/>
        <w:rPr>
          <w:rFonts w:ascii="Times New Roman" w:hAnsi="Times New Roman" w:cs="Times New Roman"/>
          <w:i/>
          <w:iCs/>
          <w:sz w:val="24"/>
          <w:szCs w:val="24"/>
        </w:rPr>
      </w:pPr>
      <w:r w:rsidRPr="00127EE4">
        <w:rPr>
          <w:rFonts w:ascii="Times New Roman" w:hAnsi="Times New Roman" w:cs="Times New Roman"/>
          <w:i/>
          <w:iCs/>
          <w:sz w:val="24"/>
          <w:szCs w:val="24"/>
        </w:rPr>
        <w:t>d) il trattamento è necessario per la salvaguardia degli interessi vitali dell</w:t>
      </w:r>
      <w:r>
        <w:rPr>
          <w:rFonts w:ascii="Times New Roman" w:hAnsi="Times New Roman" w:cs="Times New Roman"/>
          <w:i/>
          <w:iCs/>
          <w:sz w:val="24"/>
          <w:szCs w:val="24"/>
        </w:rPr>
        <w:t>’</w:t>
      </w:r>
      <w:r w:rsidRPr="00127EE4">
        <w:rPr>
          <w:rFonts w:ascii="Times New Roman" w:hAnsi="Times New Roman" w:cs="Times New Roman"/>
          <w:i/>
          <w:iCs/>
          <w:sz w:val="24"/>
          <w:szCs w:val="24"/>
        </w:rPr>
        <w:t>interessato o di un</w:t>
      </w:r>
      <w:r>
        <w:rPr>
          <w:rFonts w:ascii="Times New Roman" w:hAnsi="Times New Roman" w:cs="Times New Roman"/>
          <w:i/>
          <w:iCs/>
          <w:sz w:val="24"/>
          <w:szCs w:val="24"/>
        </w:rPr>
        <w:t>’</w:t>
      </w:r>
      <w:r w:rsidRPr="00127EE4">
        <w:rPr>
          <w:rFonts w:ascii="Times New Roman" w:hAnsi="Times New Roman" w:cs="Times New Roman"/>
          <w:i/>
          <w:iCs/>
          <w:sz w:val="24"/>
          <w:szCs w:val="24"/>
        </w:rPr>
        <w:t>altra persona fisica;</w:t>
      </w:r>
    </w:p>
    <w:p w14:paraId="38BF507C" w14:textId="41CDA61E" w:rsidR="000463A6" w:rsidRPr="00127EE4" w:rsidRDefault="000463A6" w:rsidP="00127EE4">
      <w:pPr>
        <w:pStyle w:val="Testonotaapidipagina"/>
        <w:jc w:val="both"/>
        <w:rPr>
          <w:rFonts w:ascii="Times New Roman" w:hAnsi="Times New Roman" w:cs="Times New Roman"/>
          <w:i/>
          <w:iCs/>
          <w:sz w:val="24"/>
          <w:szCs w:val="24"/>
        </w:rPr>
      </w:pPr>
      <w:r w:rsidRPr="00127EE4">
        <w:rPr>
          <w:rFonts w:ascii="Times New Roman" w:hAnsi="Times New Roman" w:cs="Times New Roman"/>
          <w:i/>
          <w:iCs/>
          <w:sz w:val="24"/>
          <w:szCs w:val="24"/>
        </w:rPr>
        <w:t>e) il trattamento è necessario per l</w:t>
      </w:r>
      <w:r>
        <w:rPr>
          <w:rFonts w:ascii="Times New Roman" w:hAnsi="Times New Roman" w:cs="Times New Roman"/>
          <w:i/>
          <w:iCs/>
          <w:sz w:val="24"/>
          <w:szCs w:val="24"/>
        </w:rPr>
        <w:t>’</w:t>
      </w:r>
      <w:r w:rsidRPr="00127EE4">
        <w:rPr>
          <w:rFonts w:ascii="Times New Roman" w:hAnsi="Times New Roman" w:cs="Times New Roman"/>
          <w:i/>
          <w:iCs/>
          <w:sz w:val="24"/>
          <w:szCs w:val="24"/>
        </w:rPr>
        <w:t>esecuzione di un compito di interesse pubblico o connesso all</w:t>
      </w:r>
      <w:r>
        <w:rPr>
          <w:rFonts w:ascii="Times New Roman" w:hAnsi="Times New Roman" w:cs="Times New Roman"/>
          <w:i/>
          <w:iCs/>
          <w:sz w:val="24"/>
          <w:szCs w:val="24"/>
        </w:rPr>
        <w:t>’</w:t>
      </w:r>
      <w:r w:rsidRPr="00127EE4">
        <w:rPr>
          <w:rFonts w:ascii="Times New Roman" w:hAnsi="Times New Roman" w:cs="Times New Roman"/>
          <w:i/>
          <w:iCs/>
          <w:sz w:val="24"/>
          <w:szCs w:val="24"/>
        </w:rPr>
        <w:t>esercizio di pubblici poteri di cui è investito il titolare del trattamento;</w:t>
      </w:r>
    </w:p>
    <w:p w14:paraId="1D27F125" w14:textId="0F16A134" w:rsidR="000463A6" w:rsidRPr="00127EE4" w:rsidRDefault="000463A6" w:rsidP="00127EE4">
      <w:pPr>
        <w:pStyle w:val="Testonotaapidipagina"/>
        <w:jc w:val="both"/>
        <w:rPr>
          <w:rFonts w:ascii="Times New Roman" w:hAnsi="Times New Roman" w:cs="Times New Roman"/>
          <w:i/>
          <w:iCs/>
          <w:sz w:val="24"/>
          <w:szCs w:val="24"/>
        </w:rPr>
      </w:pPr>
      <w:r w:rsidRPr="00127EE4">
        <w:rPr>
          <w:rFonts w:ascii="Times New Roman" w:hAnsi="Times New Roman" w:cs="Times New Roman"/>
          <w:i/>
          <w:iCs/>
          <w:sz w:val="24"/>
          <w:szCs w:val="24"/>
        </w:rPr>
        <w:t>f) il trattamento è necessario per il perseguimento del legittimo interesse del titolare del trattamento o di terzi, a condizione che non prevalgano gli interessi o i diritti e le libertà fondamentali del</w:t>
      </w:r>
      <w:r>
        <w:rPr>
          <w:rFonts w:ascii="Times New Roman" w:hAnsi="Times New Roman" w:cs="Times New Roman"/>
          <w:i/>
          <w:iCs/>
          <w:sz w:val="24"/>
          <w:szCs w:val="24"/>
        </w:rPr>
        <w:t>l’</w:t>
      </w:r>
      <w:r w:rsidRPr="00127EE4">
        <w:rPr>
          <w:rFonts w:ascii="Times New Roman" w:hAnsi="Times New Roman" w:cs="Times New Roman"/>
          <w:i/>
          <w:iCs/>
          <w:sz w:val="24"/>
          <w:szCs w:val="24"/>
        </w:rPr>
        <w:t>interessato che richiedono la protezione dei dati personali, in particolare se l'interessato è un minore.</w:t>
      </w:r>
    </w:p>
    <w:p w14:paraId="54D8E4A8" w14:textId="068CBCF5" w:rsidR="000463A6" w:rsidRPr="00127EE4" w:rsidRDefault="000463A6" w:rsidP="00127EE4">
      <w:pPr>
        <w:pStyle w:val="Testonotaapidipagina"/>
        <w:jc w:val="both"/>
        <w:rPr>
          <w:rFonts w:ascii="Times New Roman" w:hAnsi="Times New Roman" w:cs="Times New Roman"/>
          <w:sz w:val="24"/>
          <w:szCs w:val="24"/>
        </w:rPr>
      </w:pPr>
      <w:r w:rsidRPr="00127EE4">
        <w:rPr>
          <w:rFonts w:ascii="Times New Roman" w:hAnsi="Times New Roman" w:cs="Times New Roman"/>
          <w:i/>
          <w:iCs/>
          <w:sz w:val="24"/>
          <w:szCs w:val="24"/>
        </w:rPr>
        <w:t>La lettera f) del primo comma non si applica al trattamento di dati effettuato dalle autorità pubbliche nell</w:t>
      </w:r>
      <w:r>
        <w:rPr>
          <w:rFonts w:ascii="Times New Roman" w:hAnsi="Times New Roman" w:cs="Times New Roman"/>
          <w:i/>
          <w:iCs/>
          <w:sz w:val="24"/>
          <w:szCs w:val="24"/>
        </w:rPr>
        <w:t>’</w:t>
      </w:r>
      <w:r w:rsidRPr="00127EE4">
        <w:rPr>
          <w:rFonts w:ascii="Times New Roman" w:hAnsi="Times New Roman" w:cs="Times New Roman"/>
          <w:i/>
          <w:iCs/>
          <w:sz w:val="24"/>
          <w:szCs w:val="24"/>
        </w:rPr>
        <w:t>esecuzione dei loro compiti.</w:t>
      </w:r>
      <w:r w:rsidRPr="00127EE4">
        <w:rPr>
          <w:rFonts w:ascii="Times New Roman" w:hAnsi="Times New Roman" w:cs="Times New Roman"/>
          <w:sz w:val="24"/>
          <w:szCs w:val="24"/>
        </w:rPr>
        <w:t>”</w:t>
      </w:r>
    </w:p>
  </w:footnote>
  <w:footnote w:id="129">
    <w:p w14:paraId="76D3955F" w14:textId="5644DC11" w:rsidR="000463A6" w:rsidRPr="00290B0D" w:rsidRDefault="000463A6" w:rsidP="00290B0D">
      <w:pPr>
        <w:pStyle w:val="Testonotaapidipagina"/>
        <w:jc w:val="both"/>
        <w:rPr>
          <w:rFonts w:ascii="Times New Roman" w:hAnsi="Times New Roman" w:cs="Times New Roman"/>
          <w:sz w:val="24"/>
          <w:szCs w:val="24"/>
        </w:rPr>
      </w:pPr>
      <w:r w:rsidRPr="00290B0D">
        <w:rPr>
          <w:rStyle w:val="Rimandonotaapidipagina"/>
          <w:rFonts w:ascii="Times New Roman" w:hAnsi="Times New Roman" w:cs="Times New Roman"/>
          <w:sz w:val="24"/>
          <w:szCs w:val="24"/>
        </w:rPr>
        <w:footnoteRef/>
      </w:r>
      <w:r w:rsidRPr="00290B0D">
        <w:rPr>
          <w:rFonts w:ascii="Times New Roman" w:hAnsi="Times New Roman" w:cs="Times New Roman"/>
          <w:sz w:val="24"/>
          <w:szCs w:val="24"/>
        </w:rPr>
        <w:t xml:space="preserve"> Se le informazioni memorizzate nei computer “normali” sono assimilabili a una lunga sequenza di zero e uno, i </w:t>
      </w:r>
      <w:r w:rsidRPr="00290B0D">
        <w:rPr>
          <w:rFonts w:ascii="Times New Roman" w:hAnsi="Times New Roman" w:cs="Times New Roman"/>
          <w:i/>
          <w:iCs/>
          <w:sz w:val="24"/>
          <w:szCs w:val="24"/>
        </w:rPr>
        <w:t>bit</w:t>
      </w:r>
      <w:r w:rsidRPr="00290B0D">
        <w:rPr>
          <w:rFonts w:ascii="Times New Roman" w:hAnsi="Times New Roman" w:cs="Times New Roman"/>
          <w:sz w:val="24"/>
          <w:szCs w:val="24"/>
        </w:rPr>
        <w:t xml:space="preserve">, nella meccanica quantistica le informazioni sono memorizzate in bit quantistici, i c.d. </w:t>
      </w:r>
      <w:proofErr w:type="spellStart"/>
      <w:r w:rsidRPr="00290B0D">
        <w:rPr>
          <w:rFonts w:ascii="Times New Roman" w:hAnsi="Times New Roman" w:cs="Times New Roman"/>
          <w:i/>
          <w:iCs/>
          <w:sz w:val="24"/>
          <w:szCs w:val="24"/>
        </w:rPr>
        <w:t>qubit</w:t>
      </w:r>
      <w:proofErr w:type="spellEnd"/>
      <w:r w:rsidRPr="00290B0D">
        <w:rPr>
          <w:rFonts w:ascii="Times New Roman" w:hAnsi="Times New Roman" w:cs="Times New Roman"/>
          <w:sz w:val="24"/>
          <w:szCs w:val="24"/>
        </w:rPr>
        <w:t xml:space="preserve">, che assomigliano di più a un’onda piuttosto che a una serie di valori discreti. Quando i fisici vogliono rappresentare con precisione le informazioni contenute nei </w:t>
      </w:r>
      <w:proofErr w:type="spellStart"/>
      <w:r w:rsidRPr="00290B0D">
        <w:rPr>
          <w:rFonts w:ascii="Times New Roman" w:hAnsi="Times New Roman" w:cs="Times New Roman"/>
          <w:i/>
          <w:iCs/>
          <w:sz w:val="24"/>
          <w:szCs w:val="24"/>
        </w:rPr>
        <w:t>qubit</w:t>
      </w:r>
      <w:proofErr w:type="spellEnd"/>
      <w:r w:rsidRPr="00290B0D">
        <w:rPr>
          <w:rFonts w:ascii="Times New Roman" w:hAnsi="Times New Roman" w:cs="Times New Roman"/>
          <w:sz w:val="24"/>
          <w:szCs w:val="24"/>
        </w:rPr>
        <w:t>, usano quindi le funzioni d’onda.</w:t>
      </w:r>
      <w:r>
        <w:rPr>
          <w:rFonts w:ascii="Times New Roman" w:hAnsi="Times New Roman" w:cs="Times New Roman"/>
          <w:sz w:val="24"/>
          <w:szCs w:val="24"/>
        </w:rPr>
        <w:t xml:space="preserve"> </w:t>
      </w:r>
      <w:r w:rsidRPr="00290B0D">
        <w:rPr>
          <w:rFonts w:ascii="Times New Roman" w:hAnsi="Times New Roman" w:cs="Times New Roman"/>
          <w:sz w:val="24"/>
          <w:szCs w:val="24"/>
        </w:rPr>
        <w:t xml:space="preserve">Di recente, un gruppo di fisici dell’Università di </w:t>
      </w:r>
      <w:r w:rsidRPr="00290B0D">
        <w:rPr>
          <w:rFonts w:ascii="Times New Roman" w:hAnsi="Times New Roman" w:cs="Times New Roman"/>
          <w:i/>
          <w:iCs/>
          <w:sz w:val="24"/>
          <w:szCs w:val="24"/>
        </w:rPr>
        <w:t>Bonn</w:t>
      </w:r>
      <w:r w:rsidRPr="00290B0D">
        <w:rPr>
          <w:rFonts w:ascii="Times New Roman" w:hAnsi="Times New Roman" w:cs="Times New Roman"/>
          <w:sz w:val="24"/>
          <w:szCs w:val="24"/>
        </w:rPr>
        <w:t xml:space="preserve"> e del </w:t>
      </w:r>
      <w:proofErr w:type="spellStart"/>
      <w:r w:rsidRPr="00290B0D">
        <w:rPr>
          <w:rFonts w:ascii="Times New Roman" w:hAnsi="Times New Roman" w:cs="Times New Roman"/>
          <w:i/>
          <w:iCs/>
          <w:sz w:val="24"/>
          <w:szCs w:val="24"/>
        </w:rPr>
        <w:t>Technion</w:t>
      </w:r>
      <w:proofErr w:type="spellEnd"/>
      <w:r w:rsidRPr="00290B0D">
        <w:rPr>
          <w:rFonts w:ascii="Times New Roman" w:hAnsi="Times New Roman" w:cs="Times New Roman"/>
          <w:sz w:val="24"/>
          <w:szCs w:val="24"/>
        </w:rPr>
        <w:t xml:space="preserve"> – </w:t>
      </w:r>
      <w:proofErr w:type="spellStart"/>
      <w:r w:rsidRPr="00290B0D">
        <w:rPr>
          <w:rFonts w:ascii="Times New Roman" w:hAnsi="Times New Roman" w:cs="Times New Roman"/>
          <w:i/>
          <w:iCs/>
          <w:sz w:val="24"/>
          <w:szCs w:val="24"/>
        </w:rPr>
        <w:t>Israel</w:t>
      </w:r>
      <w:proofErr w:type="spellEnd"/>
      <w:r w:rsidRPr="00290B0D">
        <w:rPr>
          <w:rFonts w:ascii="Times New Roman" w:hAnsi="Times New Roman" w:cs="Times New Roman"/>
          <w:i/>
          <w:iCs/>
          <w:sz w:val="24"/>
          <w:szCs w:val="24"/>
        </w:rPr>
        <w:t xml:space="preserve"> </w:t>
      </w:r>
      <w:proofErr w:type="spellStart"/>
      <w:r w:rsidRPr="00290B0D">
        <w:rPr>
          <w:rFonts w:ascii="Times New Roman" w:hAnsi="Times New Roman" w:cs="Times New Roman"/>
          <w:i/>
          <w:iCs/>
          <w:sz w:val="24"/>
          <w:szCs w:val="24"/>
        </w:rPr>
        <w:t>Institute</w:t>
      </w:r>
      <w:proofErr w:type="spellEnd"/>
      <w:r w:rsidRPr="00290B0D">
        <w:rPr>
          <w:rFonts w:ascii="Times New Roman" w:hAnsi="Times New Roman" w:cs="Times New Roman"/>
          <w:i/>
          <w:iCs/>
          <w:sz w:val="24"/>
          <w:szCs w:val="24"/>
        </w:rPr>
        <w:t xml:space="preserve"> of Technology </w:t>
      </w:r>
      <w:r w:rsidRPr="00290B0D">
        <w:rPr>
          <w:rFonts w:ascii="Times New Roman" w:hAnsi="Times New Roman" w:cs="Times New Roman"/>
          <w:sz w:val="24"/>
          <w:szCs w:val="24"/>
        </w:rPr>
        <w:t xml:space="preserve">hanno effettuato un esperimento per capire quali fattori determinano la velocità con cui un computer quantistico può eseguire i suoi calcoli, e sono stati testati i limiti di velocità dei computer quantistici, ossia il limite di </w:t>
      </w:r>
      <w:proofErr w:type="spellStart"/>
      <w:r w:rsidRPr="00290B0D">
        <w:rPr>
          <w:rFonts w:ascii="Times New Roman" w:hAnsi="Times New Roman" w:cs="Times New Roman"/>
          <w:i/>
          <w:iCs/>
          <w:sz w:val="24"/>
          <w:szCs w:val="24"/>
        </w:rPr>
        <w:t>Mandelstam-Tamm</w:t>
      </w:r>
      <w:proofErr w:type="spellEnd"/>
      <w:r w:rsidRPr="00290B0D">
        <w:rPr>
          <w:rFonts w:ascii="Times New Roman" w:hAnsi="Times New Roman" w:cs="Times New Roman"/>
          <w:sz w:val="24"/>
          <w:szCs w:val="24"/>
        </w:rPr>
        <w:t xml:space="preserve"> e quello di </w:t>
      </w:r>
      <w:proofErr w:type="spellStart"/>
      <w:r w:rsidRPr="00290B0D">
        <w:rPr>
          <w:rFonts w:ascii="Times New Roman" w:hAnsi="Times New Roman" w:cs="Times New Roman"/>
          <w:i/>
          <w:iCs/>
          <w:sz w:val="24"/>
          <w:szCs w:val="24"/>
        </w:rPr>
        <w:t>Margolus-Levitin</w:t>
      </w:r>
      <w:proofErr w:type="spellEnd"/>
      <w:r w:rsidRPr="00290B0D">
        <w:rPr>
          <w:rFonts w:ascii="Times New Roman" w:hAnsi="Times New Roman" w:cs="Times New Roman"/>
          <w:sz w:val="24"/>
          <w:szCs w:val="24"/>
        </w:rPr>
        <w:t>, che mettono in relazione la velocità massima di evoluzione di uno stato con l’incertezza energetica del sistema e l’energia media</w:t>
      </w:r>
      <w:r>
        <w:rPr>
          <w:rFonts w:ascii="Times New Roman" w:hAnsi="Times New Roman" w:cs="Times New Roman"/>
          <w:sz w:val="24"/>
          <w:szCs w:val="24"/>
        </w:rPr>
        <w:t>.</w:t>
      </w:r>
      <w:r w:rsidRPr="00290B0D">
        <w:rPr>
          <w:rFonts w:ascii="Times New Roman" w:hAnsi="Times New Roman" w:cs="Times New Roman"/>
          <w:sz w:val="24"/>
          <w:szCs w:val="24"/>
        </w:rPr>
        <w:t xml:space="preserve"> I risultati dello studio sono pubblicati sulla rivista </w:t>
      </w:r>
      <w:r w:rsidRPr="00290B0D">
        <w:rPr>
          <w:rFonts w:ascii="Times New Roman" w:hAnsi="Times New Roman" w:cs="Times New Roman"/>
          <w:i/>
          <w:iCs/>
          <w:sz w:val="24"/>
          <w:szCs w:val="24"/>
        </w:rPr>
        <w:t xml:space="preserve">Science </w:t>
      </w:r>
      <w:proofErr w:type="spellStart"/>
      <w:r w:rsidRPr="00290B0D">
        <w:rPr>
          <w:rFonts w:ascii="Times New Roman" w:hAnsi="Times New Roman" w:cs="Times New Roman"/>
          <w:i/>
          <w:iCs/>
          <w:sz w:val="24"/>
          <w:szCs w:val="24"/>
        </w:rPr>
        <w:t>Advances</w:t>
      </w:r>
      <w:proofErr w:type="spellEnd"/>
      <w:r w:rsidRPr="00290B0D">
        <w:rPr>
          <w:rFonts w:ascii="Times New Roman" w:hAnsi="Times New Roman" w:cs="Times New Roman"/>
          <w:sz w:val="24"/>
          <w:szCs w:val="24"/>
        </w:rPr>
        <w:t xml:space="preserve">. </w:t>
      </w:r>
      <w:r>
        <w:rPr>
          <w:rFonts w:ascii="Times New Roman" w:hAnsi="Times New Roman" w:cs="Times New Roman"/>
          <w:sz w:val="24"/>
          <w:szCs w:val="24"/>
        </w:rPr>
        <w:t xml:space="preserve">V. </w:t>
      </w:r>
      <w:hyperlink r:id="rId25" w:history="1">
        <w:r w:rsidRPr="005422B4">
          <w:rPr>
            <w:rStyle w:val="Collegamentoipertestuale"/>
            <w:rFonts w:ascii="Times New Roman" w:hAnsi="Times New Roman" w:cs="Times New Roman"/>
            <w:sz w:val="24"/>
            <w:szCs w:val="24"/>
          </w:rPr>
          <w:t>https://www.media.inaf.it/2021/12/30/limiti-computer-quantistici/</w:t>
        </w:r>
      </w:hyperlink>
      <w:r>
        <w:rPr>
          <w:rFonts w:ascii="Times New Roman" w:hAnsi="Times New Roman" w:cs="Times New Roman"/>
          <w:sz w:val="24"/>
          <w:szCs w:val="24"/>
        </w:rPr>
        <w:t>.</w:t>
      </w:r>
    </w:p>
  </w:footnote>
  <w:footnote w:id="130">
    <w:p w14:paraId="17AF2295" w14:textId="4B84980E" w:rsidR="000463A6" w:rsidRPr="00F260E7" w:rsidRDefault="000463A6" w:rsidP="00290B0D">
      <w:pPr>
        <w:spacing w:after="0" w:line="240" w:lineRule="auto"/>
        <w:jc w:val="both"/>
        <w:rPr>
          <w:rFonts w:ascii="Times New Roman" w:hAnsi="Times New Roman" w:cs="Times New Roman"/>
          <w:sz w:val="24"/>
          <w:szCs w:val="24"/>
        </w:rPr>
      </w:pPr>
      <w:r w:rsidRPr="00290B0D">
        <w:rPr>
          <w:rStyle w:val="Rimandonotaapidipagina"/>
          <w:rFonts w:ascii="Times New Roman" w:hAnsi="Times New Roman" w:cs="Times New Roman"/>
          <w:sz w:val="24"/>
          <w:szCs w:val="24"/>
        </w:rPr>
        <w:footnoteRef/>
      </w:r>
      <w:r w:rsidRPr="00290B0D">
        <w:rPr>
          <w:rFonts w:ascii="Times New Roman" w:hAnsi="Times New Roman" w:cs="Times New Roman"/>
          <w:sz w:val="24"/>
          <w:szCs w:val="24"/>
        </w:rPr>
        <w:t xml:space="preserve"> Secondo Erminio Polito </w:t>
      </w:r>
      <w:proofErr w:type="spellStart"/>
      <w:r w:rsidRPr="00290B0D">
        <w:rPr>
          <w:rFonts w:ascii="Times New Roman" w:hAnsi="Times New Roman" w:cs="Times New Roman"/>
          <w:sz w:val="24"/>
          <w:szCs w:val="24"/>
        </w:rPr>
        <w:t>Minsait</w:t>
      </w:r>
      <w:proofErr w:type="spellEnd"/>
      <w:r w:rsidRPr="00290B0D">
        <w:rPr>
          <w:rFonts w:ascii="Times New Roman" w:hAnsi="Times New Roman" w:cs="Times New Roman"/>
          <w:sz w:val="24"/>
          <w:szCs w:val="24"/>
        </w:rPr>
        <w:t xml:space="preserve">, responsabile </w:t>
      </w:r>
      <w:r w:rsidRPr="00290B0D">
        <w:rPr>
          <w:rFonts w:ascii="Times New Roman" w:hAnsi="Times New Roman" w:cs="Times New Roman"/>
          <w:i/>
          <w:iCs/>
          <w:sz w:val="24"/>
          <w:szCs w:val="24"/>
        </w:rPr>
        <w:t>Energy &amp; Utilities</w:t>
      </w:r>
      <w:r w:rsidRPr="00290B0D">
        <w:rPr>
          <w:rFonts w:ascii="Times New Roman" w:hAnsi="Times New Roman" w:cs="Times New Roman"/>
          <w:sz w:val="24"/>
          <w:szCs w:val="24"/>
        </w:rPr>
        <w:t xml:space="preserve"> di </w:t>
      </w:r>
      <w:proofErr w:type="spellStart"/>
      <w:r w:rsidRPr="00290B0D">
        <w:rPr>
          <w:rFonts w:ascii="Times New Roman" w:hAnsi="Times New Roman" w:cs="Times New Roman"/>
          <w:sz w:val="24"/>
          <w:szCs w:val="24"/>
        </w:rPr>
        <w:t>Minsait</w:t>
      </w:r>
      <w:proofErr w:type="spellEnd"/>
      <w:r w:rsidRPr="00290B0D">
        <w:rPr>
          <w:rFonts w:ascii="Times New Roman" w:hAnsi="Times New Roman" w:cs="Times New Roman"/>
          <w:sz w:val="24"/>
          <w:szCs w:val="24"/>
        </w:rPr>
        <w:t xml:space="preserve"> in Italia, l’utilizzo del </w:t>
      </w:r>
      <w:r w:rsidRPr="00290B0D">
        <w:rPr>
          <w:rFonts w:ascii="Times New Roman" w:hAnsi="Times New Roman" w:cs="Times New Roman"/>
          <w:i/>
          <w:iCs/>
          <w:sz w:val="24"/>
          <w:szCs w:val="24"/>
        </w:rPr>
        <w:t>Quantum Computing</w:t>
      </w:r>
      <w:r w:rsidRPr="00290B0D">
        <w:rPr>
          <w:rFonts w:ascii="Times New Roman" w:hAnsi="Times New Roman" w:cs="Times New Roman"/>
          <w:sz w:val="24"/>
          <w:szCs w:val="24"/>
        </w:rPr>
        <w:t>, ossia del calcolo quantistico, potrebbe fare la differenza anche</w:t>
      </w:r>
      <w:r>
        <w:rPr>
          <w:rFonts w:ascii="Times New Roman" w:hAnsi="Times New Roman" w:cs="Times New Roman"/>
          <w:sz w:val="24"/>
          <w:szCs w:val="24"/>
        </w:rPr>
        <w:t xml:space="preserve"> </w:t>
      </w:r>
      <w:r w:rsidRPr="00F260E7">
        <w:rPr>
          <w:rFonts w:ascii="Times New Roman" w:hAnsi="Times New Roman" w:cs="Times New Roman"/>
          <w:sz w:val="24"/>
          <w:szCs w:val="24"/>
        </w:rPr>
        <w:t xml:space="preserve">nel settore dell’energia, riducendo i tempi di elaborazione delle scelte strategiche e migliorando la </w:t>
      </w:r>
      <w:r w:rsidRPr="00F260E7">
        <w:rPr>
          <w:rFonts w:ascii="Times New Roman" w:hAnsi="Times New Roman" w:cs="Times New Roman"/>
          <w:i/>
          <w:iCs/>
          <w:sz w:val="24"/>
          <w:szCs w:val="24"/>
        </w:rPr>
        <w:t>performance</w:t>
      </w:r>
      <w:r w:rsidRPr="00F260E7">
        <w:rPr>
          <w:rFonts w:ascii="Times New Roman" w:hAnsi="Times New Roman" w:cs="Times New Roman"/>
          <w:sz w:val="24"/>
          <w:szCs w:val="24"/>
        </w:rPr>
        <w:t xml:space="preserve"> degli algoritmi predittivi. È stato affermato che </w:t>
      </w:r>
      <w:r>
        <w:rPr>
          <w:rFonts w:ascii="Times New Roman" w:hAnsi="Times New Roman" w:cs="Times New Roman"/>
          <w:sz w:val="24"/>
          <w:szCs w:val="24"/>
        </w:rPr>
        <w:t>«</w:t>
      </w:r>
      <w:r w:rsidRPr="00F260E7">
        <w:rPr>
          <w:rFonts w:ascii="Times New Roman" w:hAnsi="Times New Roman" w:cs="Times New Roman"/>
          <w:i/>
          <w:iCs/>
          <w:sz w:val="24"/>
          <w:szCs w:val="24"/>
        </w:rPr>
        <w:t>da un lato</w:t>
      </w:r>
      <w:r>
        <w:rPr>
          <w:rFonts w:ascii="Times New Roman" w:hAnsi="Times New Roman" w:cs="Times New Roman"/>
          <w:i/>
          <w:iCs/>
          <w:sz w:val="24"/>
          <w:szCs w:val="24"/>
        </w:rPr>
        <w:t>,</w:t>
      </w:r>
      <w:r w:rsidRPr="00F260E7">
        <w:rPr>
          <w:rFonts w:ascii="Times New Roman" w:hAnsi="Times New Roman" w:cs="Times New Roman"/>
          <w:i/>
          <w:iCs/>
          <w:sz w:val="24"/>
          <w:szCs w:val="24"/>
        </w:rPr>
        <w:t xml:space="preserve"> l’aumento esponenziale della potenza di calcolo offerto dai computer quantistici sarà cruciale per la costruzione di un nuovo orizzonte energetico basato su ecosistemi collaborativi gestiti in una logica “</w:t>
      </w:r>
      <w:proofErr w:type="spellStart"/>
      <w:r w:rsidRPr="00F260E7">
        <w:rPr>
          <w:rFonts w:ascii="Times New Roman" w:hAnsi="Times New Roman" w:cs="Times New Roman"/>
          <w:i/>
          <w:iCs/>
          <w:sz w:val="24"/>
          <w:szCs w:val="24"/>
        </w:rPr>
        <w:t>platform-based</w:t>
      </w:r>
      <w:proofErr w:type="spellEnd"/>
      <w:r w:rsidRPr="00F260E7">
        <w:rPr>
          <w:rFonts w:ascii="Times New Roman" w:hAnsi="Times New Roman" w:cs="Times New Roman"/>
          <w:i/>
          <w:iCs/>
          <w:sz w:val="24"/>
          <w:szCs w:val="24"/>
        </w:rPr>
        <w:t>”, dall’altro</w:t>
      </w:r>
      <w:r>
        <w:rPr>
          <w:rFonts w:ascii="Times New Roman" w:hAnsi="Times New Roman" w:cs="Times New Roman"/>
          <w:i/>
          <w:iCs/>
          <w:sz w:val="24"/>
          <w:szCs w:val="24"/>
        </w:rPr>
        <w:t xml:space="preserve">, </w:t>
      </w:r>
      <w:r w:rsidRPr="00F260E7">
        <w:rPr>
          <w:rFonts w:ascii="Times New Roman" w:hAnsi="Times New Roman" w:cs="Times New Roman"/>
          <w:i/>
          <w:iCs/>
          <w:sz w:val="24"/>
          <w:szCs w:val="24"/>
        </w:rPr>
        <w:t xml:space="preserve">anche le tecnologie già in uso nei sistemi energetici più avanzati, come </w:t>
      </w:r>
      <w:proofErr w:type="spellStart"/>
      <w:r w:rsidRPr="00F260E7">
        <w:rPr>
          <w:rFonts w:ascii="Times New Roman" w:hAnsi="Times New Roman" w:cs="Times New Roman"/>
          <w:i/>
          <w:iCs/>
          <w:sz w:val="24"/>
          <w:szCs w:val="24"/>
        </w:rPr>
        <w:t>IoT</w:t>
      </w:r>
      <w:proofErr w:type="spellEnd"/>
      <w:r w:rsidRPr="00F260E7">
        <w:rPr>
          <w:rFonts w:ascii="Times New Roman" w:hAnsi="Times New Roman" w:cs="Times New Roman"/>
          <w:i/>
          <w:iCs/>
          <w:sz w:val="24"/>
          <w:szCs w:val="24"/>
        </w:rPr>
        <w:t xml:space="preserve">, Intelligenza Artificiale e </w:t>
      </w:r>
      <w:proofErr w:type="spellStart"/>
      <w:r w:rsidRPr="00F260E7">
        <w:rPr>
          <w:rFonts w:ascii="Times New Roman" w:hAnsi="Times New Roman" w:cs="Times New Roman"/>
          <w:i/>
          <w:iCs/>
          <w:sz w:val="24"/>
          <w:szCs w:val="24"/>
        </w:rPr>
        <w:t>Blockchain</w:t>
      </w:r>
      <w:proofErr w:type="spellEnd"/>
      <w:r w:rsidRPr="00F260E7">
        <w:rPr>
          <w:rFonts w:ascii="Times New Roman" w:hAnsi="Times New Roman" w:cs="Times New Roman"/>
          <w:i/>
          <w:iCs/>
          <w:sz w:val="24"/>
          <w:szCs w:val="24"/>
        </w:rPr>
        <w:t>, ne trarranno beneficio. Vi sono però vantaggi più immediati, come quelli che può offrire attualmente al trading di energia dove avere a disposizione una tecnologia quantistica rappresenta un miglioramento decisivo in termini di velocità delle transazioni</w:t>
      </w:r>
      <w:r>
        <w:rPr>
          <w:rFonts w:ascii="Times New Roman" w:hAnsi="Times New Roman" w:cs="Times New Roman"/>
          <w:sz w:val="24"/>
          <w:szCs w:val="24"/>
        </w:rPr>
        <w:t>»</w:t>
      </w:r>
      <w:r w:rsidRPr="00F260E7">
        <w:rPr>
          <w:rFonts w:ascii="Times New Roman" w:hAnsi="Times New Roman" w:cs="Times New Roman"/>
          <w:sz w:val="24"/>
          <w:szCs w:val="24"/>
        </w:rPr>
        <w:t xml:space="preserve">. Adottando il calcolo quantistico, dunque, si potrà prevedere con maggiore accuratezza il rendimento della rete elettrica in un dato momento, così da migliorarne la produzione, anche per una maggiore sostenibilità ambientale. Per quanto riguarda il settore della </w:t>
      </w:r>
      <w:proofErr w:type="spellStart"/>
      <w:r w:rsidRPr="00F260E7">
        <w:rPr>
          <w:rFonts w:ascii="Times New Roman" w:hAnsi="Times New Roman" w:cs="Times New Roman"/>
          <w:i/>
          <w:iCs/>
          <w:sz w:val="24"/>
          <w:szCs w:val="24"/>
        </w:rPr>
        <w:t>cybersecurity</w:t>
      </w:r>
      <w:proofErr w:type="spellEnd"/>
      <w:r w:rsidRPr="00F260E7">
        <w:rPr>
          <w:rFonts w:ascii="Times New Roman" w:hAnsi="Times New Roman" w:cs="Times New Roman"/>
          <w:sz w:val="24"/>
          <w:szCs w:val="24"/>
        </w:rPr>
        <w:t xml:space="preserve">, </w:t>
      </w:r>
      <w:proofErr w:type="spellStart"/>
      <w:r w:rsidRPr="00F260E7">
        <w:rPr>
          <w:rFonts w:ascii="Times New Roman" w:hAnsi="Times New Roman" w:cs="Times New Roman"/>
          <w:sz w:val="24"/>
          <w:szCs w:val="24"/>
        </w:rPr>
        <w:t>Minsait</w:t>
      </w:r>
      <w:proofErr w:type="spellEnd"/>
      <w:r w:rsidRPr="00F260E7">
        <w:rPr>
          <w:rFonts w:ascii="Times New Roman" w:hAnsi="Times New Roman" w:cs="Times New Roman"/>
          <w:sz w:val="24"/>
          <w:szCs w:val="24"/>
        </w:rPr>
        <w:t xml:space="preserve"> ha sostenuto che </w:t>
      </w:r>
      <w:r>
        <w:rPr>
          <w:rFonts w:ascii="Times New Roman" w:hAnsi="Times New Roman" w:cs="Times New Roman"/>
          <w:sz w:val="24"/>
          <w:szCs w:val="24"/>
        </w:rPr>
        <w:t>«</w:t>
      </w:r>
      <w:r w:rsidRPr="00F260E7">
        <w:rPr>
          <w:rFonts w:ascii="Times New Roman" w:hAnsi="Times New Roman" w:cs="Times New Roman"/>
          <w:i/>
          <w:iCs/>
          <w:sz w:val="24"/>
          <w:szCs w:val="24"/>
        </w:rPr>
        <w:t>ad oggi</w:t>
      </w:r>
      <w:r>
        <w:rPr>
          <w:rFonts w:ascii="Times New Roman" w:hAnsi="Times New Roman" w:cs="Times New Roman"/>
          <w:i/>
          <w:iCs/>
          <w:sz w:val="24"/>
          <w:szCs w:val="24"/>
        </w:rPr>
        <w:t>,</w:t>
      </w:r>
      <w:r w:rsidRPr="00F260E7">
        <w:rPr>
          <w:rFonts w:ascii="Times New Roman" w:hAnsi="Times New Roman" w:cs="Times New Roman"/>
          <w:i/>
          <w:iCs/>
          <w:sz w:val="24"/>
          <w:szCs w:val="24"/>
        </w:rPr>
        <w:t xml:space="preserve"> non esistono computer quantistici in grado di mettere a repentaglio la sicurezza della crittografia tradizionale</w:t>
      </w:r>
      <w:r w:rsidRPr="00F260E7">
        <w:rPr>
          <w:rFonts w:ascii="Times New Roman" w:hAnsi="Times New Roman" w:cs="Times New Roman"/>
          <w:sz w:val="24"/>
          <w:szCs w:val="24"/>
        </w:rPr>
        <w:t xml:space="preserve">, </w:t>
      </w:r>
      <w:r w:rsidRPr="00F260E7">
        <w:rPr>
          <w:rFonts w:ascii="Times New Roman" w:hAnsi="Times New Roman" w:cs="Times New Roman"/>
          <w:i/>
          <w:iCs/>
          <w:sz w:val="24"/>
          <w:szCs w:val="24"/>
        </w:rPr>
        <w:t xml:space="preserve">tuttavia, ci sono già le prime opportunità di business per prepararsi per un futuro di decrittazione quantistica: il potenziale dell’informatica quantistica non decreterà la fine della crittografia, bensì un cambiamento nelle pratiche come, ad esempio, chiavi crittografiche più lunghe e complesse. In un futuro con milioni di transazioni energetiche decentralizzate, simultanee e certificate tramite </w:t>
      </w:r>
      <w:proofErr w:type="spellStart"/>
      <w:r w:rsidRPr="00F260E7">
        <w:rPr>
          <w:rFonts w:ascii="Times New Roman" w:hAnsi="Times New Roman" w:cs="Times New Roman"/>
          <w:i/>
          <w:iCs/>
          <w:sz w:val="24"/>
          <w:szCs w:val="24"/>
        </w:rPr>
        <w:t>smart</w:t>
      </w:r>
      <w:proofErr w:type="spellEnd"/>
      <w:r w:rsidRPr="00F260E7">
        <w:rPr>
          <w:rFonts w:ascii="Times New Roman" w:hAnsi="Times New Roman" w:cs="Times New Roman"/>
          <w:i/>
          <w:iCs/>
          <w:sz w:val="24"/>
          <w:szCs w:val="24"/>
        </w:rPr>
        <w:t xml:space="preserve"> </w:t>
      </w:r>
      <w:proofErr w:type="spellStart"/>
      <w:r w:rsidRPr="00F260E7">
        <w:rPr>
          <w:rFonts w:ascii="Times New Roman" w:hAnsi="Times New Roman" w:cs="Times New Roman"/>
          <w:i/>
          <w:iCs/>
          <w:sz w:val="24"/>
          <w:szCs w:val="24"/>
        </w:rPr>
        <w:t>contract</w:t>
      </w:r>
      <w:proofErr w:type="spellEnd"/>
      <w:r w:rsidRPr="00F260E7">
        <w:rPr>
          <w:rFonts w:ascii="Times New Roman" w:hAnsi="Times New Roman" w:cs="Times New Roman"/>
          <w:i/>
          <w:iCs/>
          <w:sz w:val="24"/>
          <w:szCs w:val="24"/>
        </w:rPr>
        <w:t xml:space="preserve"> e </w:t>
      </w:r>
      <w:proofErr w:type="spellStart"/>
      <w:r w:rsidRPr="00F260E7">
        <w:rPr>
          <w:rFonts w:ascii="Times New Roman" w:hAnsi="Times New Roman" w:cs="Times New Roman"/>
          <w:i/>
          <w:iCs/>
          <w:sz w:val="24"/>
          <w:szCs w:val="24"/>
        </w:rPr>
        <w:t>blockchain</w:t>
      </w:r>
      <w:proofErr w:type="spellEnd"/>
      <w:r w:rsidRPr="00F260E7">
        <w:rPr>
          <w:rFonts w:ascii="Times New Roman" w:hAnsi="Times New Roman" w:cs="Times New Roman"/>
          <w:i/>
          <w:iCs/>
          <w:sz w:val="24"/>
          <w:szCs w:val="24"/>
        </w:rPr>
        <w:t>, la crittografia quantistica sarà un pilastro centrale del nuovo sistema</w:t>
      </w:r>
      <w:r>
        <w:rPr>
          <w:rFonts w:ascii="Times New Roman" w:hAnsi="Times New Roman" w:cs="Times New Roman"/>
          <w:sz w:val="24"/>
          <w:szCs w:val="24"/>
        </w:rPr>
        <w:t>»</w:t>
      </w:r>
      <w:r w:rsidRPr="00F260E7">
        <w:rPr>
          <w:rFonts w:ascii="Times New Roman" w:hAnsi="Times New Roman" w:cs="Times New Roman"/>
          <w:sz w:val="24"/>
          <w:szCs w:val="24"/>
        </w:rPr>
        <w:t>.</w:t>
      </w:r>
    </w:p>
  </w:footnote>
  <w:footnote w:id="131">
    <w:p w14:paraId="571AE3AB" w14:textId="7BD7BB18" w:rsidR="000463A6" w:rsidRPr="00126D1D" w:rsidRDefault="000463A6" w:rsidP="00126D1D">
      <w:pPr>
        <w:spacing w:after="0" w:line="240" w:lineRule="auto"/>
        <w:jc w:val="both"/>
        <w:rPr>
          <w:rFonts w:ascii="Times New Roman" w:hAnsi="Times New Roman" w:cs="Times New Roman"/>
          <w:sz w:val="24"/>
          <w:szCs w:val="24"/>
        </w:rPr>
      </w:pPr>
      <w:r w:rsidRPr="00126D1D">
        <w:rPr>
          <w:rStyle w:val="Rimandonotaapidipagina"/>
          <w:rFonts w:ascii="Times New Roman" w:hAnsi="Times New Roman" w:cs="Times New Roman"/>
          <w:sz w:val="24"/>
          <w:szCs w:val="24"/>
        </w:rPr>
        <w:footnoteRef/>
      </w:r>
      <w:r w:rsidRPr="00126D1D">
        <w:rPr>
          <w:rFonts w:ascii="Times New Roman" w:hAnsi="Times New Roman" w:cs="Times New Roman"/>
          <w:sz w:val="24"/>
          <w:szCs w:val="24"/>
        </w:rPr>
        <w:t xml:space="preserve"> È recente la notizia relativa alla sperimentazione dei c.d. cristalli temporali, strutture peculiari che si ripetono regolarmente nel tempo invece che nello spazio, teorizzati dai fisici negli ultimi anni e spiegati dalle leggi della meccanica quantistica. Come noto, i cristalli classici sono strutture solide, composte da atomi, molecole o ioni, che per definizione hanno una disposizione geometrica definita e che si ripetono nelle tre dimensioni spaziali. La recente notizia – che viene da </w:t>
      </w:r>
      <w:proofErr w:type="gramStart"/>
      <w:r w:rsidRPr="00126D1D">
        <w:rPr>
          <w:rFonts w:ascii="Times New Roman" w:hAnsi="Times New Roman" w:cs="Times New Roman"/>
          <w:sz w:val="24"/>
          <w:szCs w:val="24"/>
        </w:rPr>
        <w:t>un team</w:t>
      </w:r>
      <w:proofErr w:type="gramEnd"/>
      <w:r w:rsidRPr="00126D1D">
        <w:rPr>
          <w:rFonts w:ascii="Times New Roman" w:hAnsi="Times New Roman" w:cs="Times New Roman"/>
          <w:sz w:val="24"/>
          <w:szCs w:val="24"/>
        </w:rPr>
        <w:t xml:space="preserve"> dell’università di </w:t>
      </w:r>
      <w:r w:rsidRPr="00126D1D">
        <w:rPr>
          <w:rFonts w:ascii="Times New Roman" w:hAnsi="Times New Roman" w:cs="Times New Roman"/>
          <w:i/>
          <w:iCs/>
          <w:sz w:val="24"/>
          <w:szCs w:val="24"/>
        </w:rPr>
        <w:t>Stanford</w:t>
      </w:r>
      <w:r w:rsidRPr="00126D1D">
        <w:rPr>
          <w:rFonts w:ascii="Times New Roman" w:hAnsi="Times New Roman" w:cs="Times New Roman"/>
          <w:sz w:val="24"/>
          <w:szCs w:val="24"/>
        </w:rPr>
        <w:t xml:space="preserve">, di </w:t>
      </w:r>
      <w:r w:rsidRPr="00126D1D">
        <w:rPr>
          <w:rFonts w:ascii="Times New Roman" w:hAnsi="Times New Roman" w:cs="Times New Roman"/>
          <w:i/>
          <w:iCs/>
          <w:sz w:val="24"/>
          <w:szCs w:val="24"/>
        </w:rPr>
        <w:t>Oxford</w:t>
      </w:r>
      <w:r w:rsidRPr="00126D1D">
        <w:rPr>
          <w:rFonts w:ascii="Times New Roman" w:hAnsi="Times New Roman" w:cs="Times New Roman"/>
          <w:sz w:val="24"/>
          <w:szCs w:val="24"/>
        </w:rPr>
        <w:t xml:space="preserve"> e del </w:t>
      </w:r>
      <w:r w:rsidRPr="00126D1D">
        <w:rPr>
          <w:rFonts w:ascii="Times New Roman" w:hAnsi="Times New Roman" w:cs="Times New Roman"/>
          <w:i/>
          <w:iCs/>
          <w:sz w:val="24"/>
          <w:szCs w:val="24"/>
        </w:rPr>
        <w:t xml:space="preserve">Max </w:t>
      </w:r>
      <w:proofErr w:type="spellStart"/>
      <w:r w:rsidRPr="00126D1D">
        <w:rPr>
          <w:rFonts w:ascii="Times New Roman" w:hAnsi="Times New Roman" w:cs="Times New Roman"/>
          <w:i/>
          <w:iCs/>
          <w:sz w:val="24"/>
          <w:szCs w:val="24"/>
        </w:rPr>
        <w:t>Planck</w:t>
      </w:r>
      <w:proofErr w:type="spellEnd"/>
      <w:r w:rsidRPr="00126D1D">
        <w:rPr>
          <w:rFonts w:ascii="Times New Roman" w:hAnsi="Times New Roman" w:cs="Times New Roman"/>
          <w:i/>
          <w:iCs/>
          <w:sz w:val="24"/>
          <w:szCs w:val="24"/>
        </w:rPr>
        <w:t xml:space="preserve"> </w:t>
      </w:r>
      <w:proofErr w:type="spellStart"/>
      <w:r w:rsidRPr="00126D1D">
        <w:rPr>
          <w:rFonts w:ascii="Times New Roman" w:hAnsi="Times New Roman" w:cs="Times New Roman"/>
          <w:i/>
          <w:iCs/>
          <w:sz w:val="24"/>
          <w:szCs w:val="24"/>
        </w:rPr>
        <w:t>Institute</w:t>
      </w:r>
      <w:proofErr w:type="spellEnd"/>
      <w:r w:rsidRPr="00126D1D">
        <w:rPr>
          <w:rFonts w:ascii="Times New Roman" w:hAnsi="Times New Roman" w:cs="Times New Roman"/>
          <w:sz w:val="24"/>
          <w:szCs w:val="24"/>
        </w:rPr>
        <w:t xml:space="preserve">, insieme con </w:t>
      </w:r>
      <w:r w:rsidRPr="002C4768">
        <w:rPr>
          <w:rFonts w:ascii="Times New Roman" w:hAnsi="Times New Roman" w:cs="Times New Roman"/>
          <w:i/>
          <w:iCs/>
          <w:sz w:val="24"/>
          <w:szCs w:val="24"/>
        </w:rPr>
        <w:t>Google</w:t>
      </w:r>
      <w:r w:rsidRPr="00126D1D">
        <w:rPr>
          <w:rFonts w:ascii="Times New Roman" w:hAnsi="Times New Roman" w:cs="Times New Roman"/>
          <w:sz w:val="24"/>
          <w:szCs w:val="24"/>
        </w:rPr>
        <w:t xml:space="preserve"> </w:t>
      </w:r>
      <w:r w:rsidRPr="00126D1D">
        <w:rPr>
          <w:rFonts w:ascii="Times New Roman" w:hAnsi="Times New Roman" w:cs="Times New Roman"/>
          <w:i/>
          <w:iCs/>
          <w:sz w:val="24"/>
          <w:szCs w:val="24"/>
        </w:rPr>
        <w:t>Quantum AI Lab</w:t>
      </w:r>
      <w:r w:rsidRPr="00126D1D">
        <w:rPr>
          <w:rFonts w:ascii="Times New Roman" w:hAnsi="Times New Roman" w:cs="Times New Roman"/>
          <w:sz w:val="24"/>
          <w:szCs w:val="24"/>
        </w:rPr>
        <w:t xml:space="preserve"> – riguarda, invece, il caso dei cristalli temporali, in cui la regolarità si manifesta e si dispiega nel tempo. Se l’ipotesi teorica era stata avanzata nel 2012 ad opera del fisico premio Nobel </w:t>
      </w:r>
      <w:proofErr w:type="spellStart"/>
      <w:r w:rsidRPr="00126D1D">
        <w:rPr>
          <w:rFonts w:ascii="Times New Roman" w:hAnsi="Times New Roman" w:cs="Times New Roman"/>
          <w:i/>
          <w:iCs/>
          <w:sz w:val="24"/>
          <w:szCs w:val="24"/>
        </w:rPr>
        <w:t>Franck</w:t>
      </w:r>
      <w:proofErr w:type="spellEnd"/>
      <w:r w:rsidRPr="00126D1D">
        <w:rPr>
          <w:rFonts w:ascii="Times New Roman" w:hAnsi="Times New Roman" w:cs="Times New Roman"/>
          <w:i/>
          <w:iCs/>
          <w:sz w:val="24"/>
          <w:szCs w:val="24"/>
        </w:rPr>
        <w:t xml:space="preserve"> </w:t>
      </w:r>
      <w:proofErr w:type="spellStart"/>
      <w:r w:rsidRPr="00126D1D">
        <w:rPr>
          <w:rFonts w:ascii="Times New Roman" w:hAnsi="Times New Roman" w:cs="Times New Roman"/>
          <w:i/>
          <w:iCs/>
          <w:sz w:val="24"/>
          <w:szCs w:val="24"/>
        </w:rPr>
        <w:t>Wilczek</w:t>
      </w:r>
      <w:proofErr w:type="spellEnd"/>
      <w:r w:rsidRPr="00126D1D">
        <w:rPr>
          <w:rFonts w:ascii="Times New Roman" w:hAnsi="Times New Roman" w:cs="Times New Roman"/>
          <w:sz w:val="24"/>
          <w:szCs w:val="24"/>
        </w:rPr>
        <w:t xml:space="preserve">, docente al </w:t>
      </w:r>
      <w:proofErr w:type="spellStart"/>
      <w:r w:rsidRPr="00126D1D">
        <w:rPr>
          <w:rFonts w:ascii="Times New Roman" w:hAnsi="Times New Roman" w:cs="Times New Roman"/>
          <w:i/>
          <w:iCs/>
          <w:sz w:val="24"/>
          <w:szCs w:val="24"/>
        </w:rPr>
        <w:t>Mit</w:t>
      </w:r>
      <w:proofErr w:type="spellEnd"/>
      <w:r w:rsidRPr="00126D1D">
        <w:rPr>
          <w:rFonts w:ascii="Times New Roman" w:hAnsi="Times New Roman" w:cs="Times New Roman"/>
          <w:sz w:val="24"/>
          <w:szCs w:val="24"/>
        </w:rPr>
        <w:t xml:space="preserve">, il primo esperimento in laboratorio è avvenuto nel 2017, ed oggi gli scienziati hanno trasformato un gruppo di </w:t>
      </w:r>
      <w:proofErr w:type="spellStart"/>
      <w:r w:rsidRPr="00126D1D">
        <w:rPr>
          <w:rFonts w:ascii="Times New Roman" w:hAnsi="Times New Roman" w:cs="Times New Roman"/>
          <w:i/>
          <w:iCs/>
          <w:sz w:val="24"/>
          <w:szCs w:val="24"/>
        </w:rPr>
        <w:t>qubit</w:t>
      </w:r>
      <w:proofErr w:type="spellEnd"/>
      <w:r w:rsidRPr="00126D1D">
        <w:rPr>
          <w:rFonts w:ascii="Times New Roman" w:hAnsi="Times New Roman" w:cs="Times New Roman"/>
          <w:sz w:val="24"/>
          <w:szCs w:val="24"/>
        </w:rPr>
        <w:t xml:space="preserve"> in un cristallo temporale, mediante l’uso del computer quantistico di </w:t>
      </w:r>
      <w:r w:rsidRPr="00126D1D">
        <w:rPr>
          <w:rFonts w:ascii="Times New Roman" w:hAnsi="Times New Roman" w:cs="Times New Roman"/>
          <w:i/>
          <w:iCs/>
          <w:sz w:val="24"/>
          <w:szCs w:val="24"/>
        </w:rPr>
        <w:t xml:space="preserve">Google </w:t>
      </w:r>
      <w:proofErr w:type="spellStart"/>
      <w:r w:rsidRPr="00126D1D">
        <w:rPr>
          <w:rFonts w:ascii="Times New Roman" w:hAnsi="Times New Roman" w:cs="Times New Roman"/>
          <w:i/>
          <w:iCs/>
          <w:sz w:val="24"/>
          <w:szCs w:val="24"/>
        </w:rPr>
        <w:t>Sycamore</w:t>
      </w:r>
      <w:proofErr w:type="spellEnd"/>
      <w:r w:rsidRPr="00126D1D">
        <w:rPr>
          <w:rFonts w:ascii="Times New Roman" w:hAnsi="Times New Roman" w:cs="Times New Roman"/>
          <w:sz w:val="24"/>
          <w:szCs w:val="24"/>
        </w:rPr>
        <w:t xml:space="preserve">: i risultati dell’esperimento sono stati pubblicati sulla rivista </w:t>
      </w:r>
      <w:r w:rsidRPr="002C4768">
        <w:rPr>
          <w:rFonts w:ascii="Times New Roman" w:hAnsi="Times New Roman" w:cs="Times New Roman"/>
          <w:i/>
          <w:iCs/>
          <w:sz w:val="24"/>
          <w:szCs w:val="24"/>
        </w:rPr>
        <w:t>Nature</w:t>
      </w:r>
      <w:r w:rsidRPr="00126D1D">
        <w:rPr>
          <w:rFonts w:ascii="Times New Roman" w:hAnsi="Times New Roman" w:cs="Times New Roman"/>
          <w:sz w:val="24"/>
          <w:szCs w:val="24"/>
        </w:rPr>
        <w:t xml:space="preserve">. Si tratta di strutture diverse, che si modificano costantemente nel tempo e poi tornano sempre periodicamente nella configurazione iniziale. Sono catene di atomi che pulsano in assenza di energia, restando in movimento nel tempo senza richiedere l’azione di una forza esterna, la cui resistenza li rende interessanti per lo sviluppo dei potentissimi computer quantistici. In una recente sperimentazione pubblicata sulla rivista </w:t>
      </w:r>
      <w:r w:rsidRPr="00126D1D">
        <w:rPr>
          <w:rFonts w:ascii="Times New Roman" w:hAnsi="Times New Roman" w:cs="Times New Roman"/>
          <w:i/>
          <w:iCs/>
          <w:sz w:val="24"/>
          <w:szCs w:val="24"/>
        </w:rPr>
        <w:t>Science</w:t>
      </w:r>
      <w:r w:rsidRPr="00126D1D">
        <w:rPr>
          <w:rFonts w:ascii="Times New Roman" w:hAnsi="Times New Roman" w:cs="Times New Roman"/>
          <w:sz w:val="24"/>
          <w:szCs w:val="24"/>
        </w:rPr>
        <w:t xml:space="preserve">, gli scienziati sono riusciti a tenere in vita per alcuni secondi i cristalli temporali ottenuti utilizzando i </w:t>
      </w:r>
      <w:proofErr w:type="spellStart"/>
      <w:r w:rsidRPr="00126D1D">
        <w:rPr>
          <w:rFonts w:ascii="Times New Roman" w:hAnsi="Times New Roman" w:cs="Times New Roman"/>
          <w:i/>
          <w:iCs/>
          <w:sz w:val="24"/>
          <w:szCs w:val="24"/>
        </w:rPr>
        <w:t>qubit</w:t>
      </w:r>
      <w:proofErr w:type="spellEnd"/>
      <w:r w:rsidRPr="00126D1D">
        <w:rPr>
          <w:rFonts w:ascii="Times New Roman" w:hAnsi="Times New Roman" w:cs="Times New Roman"/>
          <w:sz w:val="24"/>
          <w:szCs w:val="24"/>
        </w:rPr>
        <w:t xml:space="preserve">. Queste catene di </w:t>
      </w:r>
      <w:proofErr w:type="spellStart"/>
      <w:r w:rsidRPr="00126D1D">
        <w:rPr>
          <w:rFonts w:ascii="Times New Roman" w:hAnsi="Times New Roman" w:cs="Times New Roman"/>
          <w:i/>
          <w:iCs/>
          <w:sz w:val="24"/>
          <w:szCs w:val="24"/>
        </w:rPr>
        <w:t>qubit</w:t>
      </w:r>
      <w:proofErr w:type="spellEnd"/>
      <w:r w:rsidRPr="00126D1D">
        <w:rPr>
          <w:rFonts w:ascii="Times New Roman" w:hAnsi="Times New Roman" w:cs="Times New Roman"/>
          <w:sz w:val="24"/>
          <w:szCs w:val="24"/>
        </w:rPr>
        <w:t xml:space="preserve"> hanno di fatto dimostrato di avere una simmetria temporale (e non spaziale, come i cristalli classici), riprodotta durante tutta la sperimentazione. Il fisico </w:t>
      </w:r>
      <w:r w:rsidRPr="00126D1D">
        <w:rPr>
          <w:rFonts w:ascii="Times New Roman" w:hAnsi="Times New Roman" w:cs="Times New Roman"/>
          <w:i/>
          <w:iCs/>
          <w:sz w:val="24"/>
          <w:szCs w:val="24"/>
        </w:rPr>
        <w:t xml:space="preserve">V. </w:t>
      </w:r>
      <w:proofErr w:type="spellStart"/>
      <w:r w:rsidRPr="00126D1D">
        <w:rPr>
          <w:rFonts w:ascii="Times New Roman" w:hAnsi="Times New Roman" w:cs="Times New Roman"/>
          <w:i/>
          <w:iCs/>
          <w:sz w:val="24"/>
          <w:szCs w:val="24"/>
        </w:rPr>
        <w:t>Khemani</w:t>
      </w:r>
      <w:proofErr w:type="spellEnd"/>
      <w:r w:rsidRPr="00126D1D">
        <w:rPr>
          <w:rFonts w:ascii="Times New Roman" w:hAnsi="Times New Roman" w:cs="Times New Roman"/>
          <w:sz w:val="24"/>
          <w:szCs w:val="24"/>
        </w:rPr>
        <w:t xml:space="preserve"> dell’Università di Stanford ha commentato così l’esperimento: </w:t>
      </w:r>
      <w:r>
        <w:rPr>
          <w:rFonts w:ascii="Times New Roman" w:hAnsi="Times New Roman" w:cs="Times New Roman"/>
          <w:sz w:val="24"/>
          <w:szCs w:val="24"/>
        </w:rPr>
        <w:t>«</w:t>
      </w:r>
      <w:r w:rsidRPr="00126D1D">
        <w:rPr>
          <w:rFonts w:ascii="Times New Roman" w:hAnsi="Times New Roman" w:cs="Times New Roman"/>
          <w:i/>
          <w:iCs/>
          <w:sz w:val="24"/>
          <w:szCs w:val="24"/>
        </w:rPr>
        <w:t>I cristalli temporali sono un esempio lampante di un nuovo tipo di fase quantistica della materia al non-equilibrio</w:t>
      </w:r>
      <w:r>
        <w:rPr>
          <w:rFonts w:ascii="Times New Roman" w:hAnsi="Times New Roman" w:cs="Times New Roman"/>
          <w:sz w:val="24"/>
          <w:szCs w:val="24"/>
        </w:rPr>
        <w:t>»</w:t>
      </w:r>
      <w:r w:rsidRPr="00126D1D">
        <w:rPr>
          <w:rFonts w:ascii="Times New Roman" w:hAnsi="Times New Roman" w:cs="Times New Roman"/>
          <w:sz w:val="24"/>
          <w:szCs w:val="24"/>
        </w:rPr>
        <w:t xml:space="preserve">. La ricerca sul tema, d’altronde, sta crescendo rapidamente, come dimostrano anche i recenti studi del 2021 sulle riviste </w:t>
      </w:r>
      <w:proofErr w:type="spellStart"/>
      <w:r w:rsidRPr="00126D1D">
        <w:rPr>
          <w:rFonts w:ascii="Times New Roman" w:hAnsi="Times New Roman" w:cs="Times New Roman"/>
          <w:i/>
          <w:iCs/>
          <w:sz w:val="24"/>
          <w:szCs w:val="24"/>
        </w:rPr>
        <w:t>Physical</w:t>
      </w:r>
      <w:proofErr w:type="spellEnd"/>
      <w:r w:rsidRPr="00126D1D">
        <w:rPr>
          <w:rFonts w:ascii="Times New Roman" w:hAnsi="Times New Roman" w:cs="Times New Roman"/>
          <w:i/>
          <w:iCs/>
          <w:sz w:val="24"/>
          <w:szCs w:val="24"/>
        </w:rPr>
        <w:t xml:space="preserve"> </w:t>
      </w:r>
      <w:proofErr w:type="spellStart"/>
      <w:r w:rsidRPr="00126D1D">
        <w:rPr>
          <w:rFonts w:ascii="Times New Roman" w:hAnsi="Times New Roman" w:cs="Times New Roman"/>
          <w:i/>
          <w:iCs/>
          <w:sz w:val="24"/>
          <w:szCs w:val="24"/>
        </w:rPr>
        <w:t>Review</w:t>
      </w:r>
      <w:proofErr w:type="spellEnd"/>
      <w:r w:rsidRPr="00126D1D">
        <w:rPr>
          <w:rFonts w:ascii="Times New Roman" w:hAnsi="Times New Roman" w:cs="Times New Roman"/>
          <w:i/>
          <w:iCs/>
          <w:sz w:val="24"/>
          <w:szCs w:val="24"/>
        </w:rPr>
        <w:t xml:space="preserve"> </w:t>
      </w:r>
      <w:proofErr w:type="spellStart"/>
      <w:r w:rsidRPr="00126D1D">
        <w:rPr>
          <w:rFonts w:ascii="Times New Roman" w:hAnsi="Times New Roman" w:cs="Times New Roman"/>
          <w:i/>
          <w:iCs/>
          <w:sz w:val="24"/>
          <w:szCs w:val="24"/>
        </w:rPr>
        <w:t>Letters</w:t>
      </w:r>
      <w:proofErr w:type="spellEnd"/>
      <w:r w:rsidRPr="00126D1D">
        <w:rPr>
          <w:rFonts w:ascii="Times New Roman" w:hAnsi="Times New Roman" w:cs="Times New Roman"/>
          <w:sz w:val="24"/>
          <w:szCs w:val="24"/>
        </w:rPr>
        <w:t xml:space="preserve"> e </w:t>
      </w:r>
      <w:proofErr w:type="spellStart"/>
      <w:r w:rsidRPr="00126D1D">
        <w:rPr>
          <w:rFonts w:ascii="Times New Roman" w:hAnsi="Times New Roman" w:cs="Times New Roman"/>
          <w:i/>
          <w:iCs/>
          <w:sz w:val="24"/>
          <w:szCs w:val="24"/>
        </w:rPr>
        <w:t>Physical</w:t>
      </w:r>
      <w:proofErr w:type="spellEnd"/>
      <w:r w:rsidRPr="00126D1D">
        <w:rPr>
          <w:rFonts w:ascii="Times New Roman" w:hAnsi="Times New Roman" w:cs="Times New Roman"/>
          <w:i/>
          <w:iCs/>
          <w:sz w:val="24"/>
          <w:szCs w:val="24"/>
        </w:rPr>
        <w:t xml:space="preserve"> </w:t>
      </w:r>
      <w:proofErr w:type="spellStart"/>
      <w:r w:rsidRPr="00126D1D">
        <w:rPr>
          <w:rFonts w:ascii="Times New Roman" w:hAnsi="Times New Roman" w:cs="Times New Roman"/>
          <w:i/>
          <w:iCs/>
          <w:sz w:val="24"/>
          <w:szCs w:val="24"/>
        </w:rPr>
        <w:t>Review</w:t>
      </w:r>
      <w:proofErr w:type="spellEnd"/>
      <w:r w:rsidRPr="00126D1D">
        <w:rPr>
          <w:rFonts w:ascii="Times New Roman" w:hAnsi="Times New Roman" w:cs="Times New Roman"/>
          <w:i/>
          <w:iCs/>
          <w:sz w:val="24"/>
          <w:szCs w:val="24"/>
        </w:rPr>
        <w:t xml:space="preserve"> B</w:t>
      </w:r>
      <w:r w:rsidRPr="00126D1D">
        <w:rPr>
          <w:rFonts w:ascii="Times New Roman" w:hAnsi="Times New Roman" w:cs="Times New Roman"/>
          <w:sz w:val="24"/>
          <w:szCs w:val="24"/>
        </w:rPr>
        <w:t>.</w:t>
      </w:r>
    </w:p>
  </w:footnote>
  <w:footnote w:id="132">
    <w:p w14:paraId="6A66BADD" w14:textId="08DD1C7B" w:rsidR="000463A6" w:rsidRPr="00AA2581" w:rsidRDefault="000463A6" w:rsidP="00AA2581">
      <w:pPr>
        <w:pStyle w:val="Testonotaapidipagina"/>
        <w:jc w:val="both"/>
        <w:rPr>
          <w:rFonts w:ascii="Times New Roman" w:hAnsi="Times New Roman" w:cs="Times New Roman"/>
          <w:sz w:val="24"/>
          <w:szCs w:val="24"/>
        </w:rPr>
      </w:pPr>
      <w:r w:rsidRPr="00AA2581">
        <w:rPr>
          <w:rStyle w:val="Rimandonotaapidipagina"/>
          <w:rFonts w:ascii="Times New Roman" w:hAnsi="Times New Roman" w:cs="Times New Roman"/>
          <w:sz w:val="24"/>
          <w:szCs w:val="24"/>
        </w:rPr>
        <w:footnoteRef/>
      </w:r>
      <w:r w:rsidRPr="00AA2581">
        <w:rPr>
          <w:rFonts w:ascii="Times New Roman" w:hAnsi="Times New Roman" w:cs="Times New Roman"/>
          <w:sz w:val="24"/>
          <w:szCs w:val="24"/>
        </w:rPr>
        <w:t xml:space="preserve"> Si parla sempre più spesso del </w:t>
      </w:r>
      <w:proofErr w:type="spellStart"/>
      <w:r w:rsidRPr="00AA2581">
        <w:rPr>
          <w:rFonts w:ascii="Times New Roman" w:hAnsi="Times New Roman" w:cs="Times New Roman"/>
          <w:sz w:val="24"/>
          <w:szCs w:val="24"/>
        </w:rPr>
        <w:t>Metaverso</w:t>
      </w:r>
      <w:proofErr w:type="spellEnd"/>
      <w:r w:rsidRPr="00AA2581">
        <w:rPr>
          <w:rFonts w:ascii="Times New Roman" w:hAnsi="Times New Roman" w:cs="Times New Roman"/>
          <w:sz w:val="24"/>
          <w:szCs w:val="24"/>
        </w:rPr>
        <w:t>, tuttavia è necessario anche chiedersi se le aziende dispongono effettivamente delle capacità computazionali necessarie e in generale dell’</w:t>
      </w:r>
      <w:r w:rsidRPr="00AA2581">
        <w:rPr>
          <w:rFonts w:ascii="Times New Roman" w:hAnsi="Times New Roman" w:cs="Times New Roman"/>
          <w:i/>
          <w:iCs/>
          <w:sz w:val="24"/>
          <w:szCs w:val="24"/>
        </w:rPr>
        <w:t xml:space="preserve">hardware </w:t>
      </w:r>
      <w:r w:rsidRPr="00AA2581">
        <w:rPr>
          <w:rFonts w:ascii="Times New Roman" w:hAnsi="Times New Roman" w:cs="Times New Roman"/>
          <w:sz w:val="24"/>
          <w:szCs w:val="24"/>
        </w:rPr>
        <w:t xml:space="preserve">di cui ci sarà bisogno. Sappiamo che il </w:t>
      </w:r>
      <w:proofErr w:type="spellStart"/>
      <w:r w:rsidRPr="00AA2581">
        <w:rPr>
          <w:rFonts w:ascii="Times New Roman" w:hAnsi="Times New Roman" w:cs="Times New Roman"/>
          <w:sz w:val="24"/>
          <w:szCs w:val="24"/>
        </w:rPr>
        <w:t>metaverso</w:t>
      </w:r>
      <w:proofErr w:type="spellEnd"/>
      <w:r w:rsidRPr="00AA2581">
        <w:rPr>
          <w:rFonts w:ascii="Times New Roman" w:hAnsi="Times New Roman" w:cs="Times New Roman"/>
          <w:sz w:val="24"/>
          <w:szCs w:val="24"/>
        </w:rPr>
        <w:t xml:space="preserve"> di </w:t>
      </w:r>
      <w:proofErr w:type="spellStart"/>
      <w:r w:rsidRPr="00AA2581">
        <w:rPr>
          <w:rFonts w:ascii="Times New Roman" w:hAnsi="Times New Roman" w:cs="Times New Roman"/>
          <w:sz w:val="24"/>
          <w:szCs w:val="24"/>
        </w:rPr>
        <w:t>Zuckerberg</w:t>
      </w:r>
      <w:proofErr w:type="spellEnd"/>
      <w:r w:rsidRPr="00AA2581">
        <w:rPr>
          <w:rFonts w:ascii="Times New Roman" w:hAnsi="Times New Roman" w:cs="Times New Roman"/>
          <w:sz w:val="24"/>
          <w:szCs w:val="24"/>
        </w:rPr>
        <w:t xml:space="preserve"> sarà una specie di mondo 3D in cui ogni utente assumerà le sembianze di un </w:t>
      </w:r>
      <w:r w:rsidRPr="00AA2581">
        <w:rPr>
          <w:rFonts w:ascii="Times New Roman" w:hAnsi="Times New Roman" w:cs="Times New Roman"/>
          <w:i/>
          <w:iCs/>
          <w:sz w:val="24"/>
          <w:szCs w:val="24"/>
        </w:rPr>
        <w:t>avatar</w:t>
      </w:r>
      <w:r w:rsidRPr="00AA2581">
        <w:rPr>
          <w:rFonts w:ascii="Times New Roman" w:hAnsi="Times New Roman" w:cs="Times New Roman"/>
          <w:sz w:val="24"/>
          <w:szCs w:val="24"/>
        </w:rPr>
        <w:t xml:space="preserve"> che, riproducendolo voce e movimenti della persona fisica, potrà interagire in tempo reale con altre persone dal salotto di casa. Secondo </w:t>
      </w:r>
      <w:proofErr w:type="spellStart"/>
      <w:r w:rsidRPr="00AA2581">
        <w:rPr>
          <w:rFonts w:ascii="Times New Roman" w:hAnsi="Times New Roman" w:cs="Times New Roman"/>
          <w:i/>
          <w:iCs/>
          <w:sz w:val="24"/>
          <w:szCs w:val="24"/>
        </w:rPr>
        <w:t>Raja</w:t>
      </w:r>
      <w:proofErr w:type="spellEnd"/>
      <w:r w:rsidRPr="00AA2581">
        <w:rPr>
          <w:rFonts w:ascii="Times New Roman" w:hAnsi="Times New Roman" w:cs="Times New Roman"/>
          <w:i/>
          <w:iCs/>
          <w:sz w:val="24"/>
          <w:szCs w:val="24"/>
        </w:rPr>
        <w:t xml:space="preserve"> </w:t>
      </w:r>
      <w:proofErr w:type="spellStart"/>
      <w:r w:rsidRPr="00AA2581">
        <w:rPr>
          <w:rFonts w:ascii="Times New Roman" w:hAnsi="Times New Roman" w:cs="Times New Roman"/>
          <w:i/>
          <w:iCs/>
          <w:sz w:val="24"/>
          <w:szCs w:val="24"/>
        </w:rPr>
        <w:t>Koduri</w:t>
      </w:r>
      <w:proofErr w:type="spellEnd"/>
      <w:r>
        <w:rPr>
          <w:rFonts w:ascii="Times New Roman" w:hAnsi="Times New Roman" w:cs="Times New Roman"/>
          <w:sz w:val="24"/>
          <w:szCs w:val="24"/>
        </w:rPr>
        <w:t xml:space="preserve">, </w:t>
      </w:r>
      <w:r w:rsidRPr="007852E6">
        <w:rPr>
          <w:rFonts w:ascii="Times New Roman" w:hAnsi="Times New Roman" w:cs="Times New Roman"/>
          <w:i/>
          <w:iCs/>
          <w:sz w:val="24"/>
          <w:szCs w:val="24"/>
        </w:rPr>
        <w:t xml:space="preserve">senior vice </w:t>
      </w:r>
      <w:proofErr w:type="spellStart"/>
      <w:r w:rsidRPr="007852E6">
        <w:rPr>
          <w:rFonts w:ascii="Times New Roman" w:hAnsi="Times New Roman" w:cs="Times New Roman"/>
          <w:i/>
          <w:iCs/>
          <w:sz w:val="24"/>
          <w:szCs w:val="24"/>
        </w:rPr>
        <w:t>president</w:t>
      </w:r>
      <w:proofErr w:type="spellEnd"/>
      <w:r w:rsidRPr="007852E6">
        <w:rPr>
          <w:rFonts w:ascii="Times New Roman" w:hAnsi="Times New Roman" w:cs="Times New Roman"/>
          <w:sz w:val="24"/>
          <w:szCs w:val="24"/>
        </w:rPr>
        <w:t xml:space="preserve"> e </w:t>
      </w:r>
      <w:r w:rsidRPr="007852E6">
        <w:rPr>
          <w:rFonts w:ascii="Times New Roman" w:hAnsi="Times New Roman" w:cs="Times New Roman"/>
          <w:i/>
          <w:iCs/>
          <w:sz w:val="24"/>
          <w:szCs w:val="24"/>
        </w:rPr>
        <w:t>general manager</w:t>
      </w:r>
      <w:r>
        <w:rPr>
          <w:rFonts w:ascii="Times New Roman" w:hAnsi="Times New Roman" w:cs="Times New Roman"/>
          <w:i/>
          <w:iCs/>
          <w:sz w:val="24"/>
          <w:szCs w:val="24"/>
        </w:rPr>
        <w:t xml:space="preserve"> </w:t>
      </w:r>
      <w:proofErr w:type="gramStart"/>
      <w:r w:rsidRPr="007852E6">
        <w:rPr>
          <w:rFonts w:ascii="Times New Roman" w:hAnsi="Times New Roman" w:cs="Times New Roman"/>
          <w:sz w:val="24"/>
          <w:szCs w:val="24"/>
        </w:rPr>
        <w:t>del</w:t>
      </w:r>
      <w:r w:rsidRPr="00AA2581">
        <w:rPr>
          <w:rFonts w:ascii="Times New Roman" w:hAnsi="Times New Roman" w:cs="Times New Roman"/>
          <w:sz w:val="24"/>
          <w:szCs w:val="24"/>
        </w:rPr>
        <w:t xml:space="preserve"> </w:t>
      </w:r>
      <w:r w:rsidRPr="00AA2581">
        <w:rPr>
          <w:rFonts w:ascii="Times New Roman" w:hAnsi="Times New Roman" w:cs="Times New Roman"/>
          <w:i/>
          <w:iCs/>
          <w:sz w:val="24"/>
          <w:szCs w:val="24"/>
        </w:rPr>
        <w:t>team</w:t>
      </w:r>
      <w:proofErr w:type="gramEnd"/>
      <w:r w:rsidRPr="00AA2581">
        <w:rPr>
          <w:rFonts w:ascii="Times New Roman" w:hAnsi="Times New Roman" w:cs="Times New Roman"/>
          <w:sz w:val="24"/>
          <w:szCs w:val="24"/>
        </w:rPr>
        <w:t xml:space="preserve"> di </w:t>
      </w:r>
      <w:r w:rsidRPr="00AA2581">
        <w:rPr>
          <w:rFonts w:ascii="Times New Roman" w:hAnsi="Times New Roman" w:cs="Times New Roman"/>
          <w:i/>
          <w:iCs/>
          <w:sz w:val="24"/>
          <w:szCs w:val="24"/>
        </w:rPr>
        <w:t>Intel</w:t>
      </w:r>
      <w:r w:rsidRPr="00AA2581">
        <w:rPr>
          <w:rFonts w:ascii="Times New Roman" w:hAnsi="Times New Roman" w:cs="Times New Roman"/>
          <w:sz w:val="24"/>
          <w:szCs w:val="24"/>
        </w:rPr>
        <w:t xml:space="preserve"> (</w:t>
      </w:r>
      <w:r w:rsidRPr="00AA2581">
        <w:rPr>
          <w:rFonts w:ascii="Times New Roman" w:hAnsi="Times New Roman" w:cs="Times New Roman"/>
          <w:i/>
          <w:iCs/>
          <w:sz w:val="24"/>
          <w:szCs w:val="24"/>
        </w:rPr>
        <w:t>Computing Systems and Graphics Group</w:t>
      </w:r>
      <w:r w:rsidRPr="00AA2581">
        <w:rPr>
          <w:rFonts w:ascii="Times New Roman" w:hAnsi="Times New Roman" w:cs="Times New Roman"/>
          <w:sz w:val="24"/>
          <w:szCs w:val="24"/>
        </w:rPr>
        <w:t xml:space="preserve">) una rete del genere necessiterà di un livello computazionale molto alto e di un’infrastruttura </w:t>
      </w:r>
      <w:r w:rsidRPr="00AA2581">
        <w:rPr>
          <w:rFonts w:ascii="Times New Roman" w:hAnsi="Times New Roman" w:cs="Times New Roman"/>
          <w:i/>
          <w:iCs/>
          <w:sz w:val="24"/>
          <w:szCs w:val="24"/>
        </w:rPr>
        <w:t>hardware/software</w:t>
      </w:r>
      <w:r w:rsidRPr="00AA2581">
        <w:rPr>
          <w:rFonts w:ascii="Times New Roman" w:hAnsi="Times New Roman" w:cs="Times New Roman"/>
          <w:sz w:val="24"/>
          <w:szCs w:val="24"/>
        </w:rPr>
        <w:t xml:space="preserve"> che dovrà essere almeno 1000 volte più potente di quella disponibile oggi (es. </w:t>
      </w:r>
      <w:proofErr w:type="spellStart"/>
      <w:r w:rsidRPr="00AA2581">
        <w:rPr>
          <w:rFonts w:ascii="Times New Roman" w:hAnsi="Times New Roman" w:cs="Times New Roman"/>
          <w:i/>
          <w:iCs/>
          <w:sz w:val="24"/>
          <w:szCs w:val="24"/>
        </w:rPr>
        <w:t>petaflop</w:t>
      </w:r>
      <w:proofErr w:type="spellEnd"/>
      <w:r w:rsidRPr="00AA2581">
        <w:rPr>
          <w:rFonts w:ascii="Times New Roman" w:hAnsi="Times New Roman" w:cs="Times New Roman"/>
          <w:sz w:val="24"/>
          <w:szCs w:val="24"/>
        </w:rPr>
        <w:t xml:space="preserve">, una potenza computazionale che dovrà essere disponibile in pochi 10 millisecondi per un uso in tempo reale). Non sarà facile digitalizzare caratteristiche come la pelle, le funzionalità vocali, il movimento delle persone, elementi che vanno inseriti in un dispositivo con sensori indossato dagli utenti. Secondo </w:t>
      </w:r>
      <w:proofErr w:type="spellStart"/>
      <w:r w:rsidRPr="00AA2581">
        <w:rPr>
          <w:rFonts w:ascii="Times New Roman" w:hAnsi="Times New Roman" w:cs="Times New Roman"/>
          <w:i/>
          <w:iCs/>
          <w:sz w:val="24"/>
          <w:szCs w:val="24"/>
        </w:rPr>
        <w:t>Koduri</w:t>
      </w:r>
      <w:proofErr w:type="spellEnd"/>
      <w:r w:rsidRPr="00AA2581">
        <w:rPr>
          <w:rFonts w:ascii="Times New Roman" w:hAnsi="Times New Roman" w:cs="Times New Roman"/>
          <w:sz w:val="24"/>
          <w:szCs w:val="24"/>
        </w:rPr>
        <w:t xml:space="preserve"> serve una banda molto larga con una latenza bassissima, che gli odierni </w:t>
      </w:r>
      <w:r w:rsidRPr="00AA2581">
        <w:rPr>
          <w:rFonts w:ascii="Times New Roman" w:hAnsi="Times New Roman" w:cs="Times New Roman"/>
          <w:i/>
          <w:iCs/>
          <w:sz w:val="24"/>
          <w:szCs w:val="24"/>
        </w:rPr>
        <w:t>server</w:t>
      </w:r>
      <w:r w:rsidRPr="00AA2581">
        <w:rPr>
          <w:rFonts w:ascii="Times New Roman" w:hAnsi="Times New Roman" w:cs="Times New Roman"/>
          <w:sz w:val="24"/>
          <w:szCs w:val="24"/>
        </w:rPr>
        <w:t xml:space="preserve"> del </w:t>
      </w:r>
      <w:proofErr w:type="spellStart"/>
      <w:r w:rsidRPr="00AA2581">
        <w:rPr>
          <w:rFonts w:ascii="Times New Roman" w:hAnsi="Times New Roman" w:cs="Times New Roman"/>
          <w:i/>
          <w:iCs/>
          <w:sz w:val="24"/>
          <w:szCs w:val="24"/>
        </w:rPr>
        <w:t>cloud</w:t>
      </w:r>
      <w:proofErr w:type="spellEnd"/>
      <w:r w:rsidRPr="00AA2581">
        <w:rPr>
          <w:rFonts w:ascii="Times New Roman" w:hAnsi="Times New Roman" w:cs="Times New Roman"/>
          <w:i/>
          <w:iCs/>
          <w:sz w:val="24"/>
          <w:szCs w:val="24"/>
        </w:rPr>
        <w:t xml:space="preserve"> </w:t>
      </w:r>
      <w:proofErr w:type="spellStart"/>
      <w:r w:rsidRPr="00AA2581">
        <w:rPr>
          <w:rFonts w:ascii="Times New Roman" w:hAnsi="Times New Roman" w:cs="Times New Roman"/>
          <w:i/>
          <w:iCs/>
          <w:sz w:val="24"/>
          <w:szCs w:val="24"/>
        </w:rPr>
        <w:t>computing</w:t>
      </w:r>
      <w:proofErr w:type="spellEnd"/>
      <w:r w:rsidRPr="00AA2581">
        <w:rPr>
          <w:rFonts w:ascii="Times New Roman" w:hAnsi="Times New Roman" w:cs="Times New Roman"/>
          <w:sz w:val="24"/>
          <w:szCs w:val="24"/>
        </w:rPr>
        <w:t xml:space="preserve"> non posseggono, per cui è difficile che il sistema possa funzionare. Se si pensa a “</w:t>
      </w:r>
      <w:r w:rsidRPr="00AA2581">
        <w:rPr>
          <w:rFonts w:ascii="Times New Roman" w:hAnsi="Times New Roman" w:cs="Times New Roman"/>
          <w:i/>
          <w:iCs/>
          <w:sz w:val="24"/>
          <w:szCs w:val="24"/>
        </w:rPr>
        <w:t>Second Life</w:t>
      </w:r>
      <w:r w:rsidRPr="00AA2581">
        <w:rPr>
          <w:rFonts w:ascii="Times New Roman" w:hAnsi="Times New Roman" w:cs="Times New Roman"/>
          <w:sz w:val="24"/>
          <w:szCs w:val="24"/>
        </w:rPr>
        <w:t>”, “</w:t>
      </w:r>
      <w:proofErr w:type="spellStart"/>
      <w:r w:rsidRPr="00AA2581">
        <w:rPr>
          <w:rFonts w:ascii="Times New Roman" w:hAnsi="Times New Roman" w:cs="Times New Roman"/>
          <w:i/>
          <w:iCs/>
          <w:sz w:val="24"/>
          <w:szCs w:val="24"/>
        </w:rPr>
        <w:t>Roblox</w:t>
      </w:r>
      <w:proofErr w:type="spellEnd"/>
      <w:r w:rsidRPr="00AA2581">
        <w:rPr>
          <w:rFonts w:ascii="Times New Roman" w:hAnsi="Times New Roman" w:cs="Times New Roman"/>
          <w:sz w:val="24"/>
          <w:szCs w:val="24"/>
        </w:rPr>
        <w:t xml:space="preserve">” e simili, già creati ed utilizzati, essi sono molto lontani dal vero </w:t>
      </w:r>
      <w:proofErr w:type="spellStart"/>
      <w:r w:rsidRPr="00AA2581">
        <w:rPr>
          <w:rFonts w:ascii="Times New Roman" w:hAnsi="Times New Roman" w:cs="Times New Roman"/>
          <w:sz w:val="24"/>
          <w:szCs w:val="24"/>
        </w:rPr>
        <w:t>metaverso</w:t>
      </w:r>
      <w:proofErr w:type="spellEnd"/>
      <w:r w:rsidRPr="00AA2581">
        <w:rPr>
          <w:rFonts w:ascii="Times New Roman" w:hAnsi="Times New Roman" w:cs="Times New Roman"/>
          <w:sz w:val="24"/>
          <w:szCs w:val="24"/>
        </w:rPr>
        <w:t xml:space="preserve">. Comunque, </w:t>
      </w:r>
      <w:r w:rsidRPr="00AA2581">
        <w:rPr>
          <w:rFonts w:ascii="Times New Roman" w:hAnsi="Times New Roman" w:cs="Times New Roman"/>
          <w:i/>
          <w:iCs/>
          <w:sz w:val="24"/>
          <w:szCs w:val="24"/>
        </w:rPr>
        <w:t>Intel</w:t>
      </w:r>
      <w:r w:rsidRPr="00AA2581">
        <w:rPr>
          <w:rFonts w:ascii="Times New Roman" w:hAnsi="Times New Roman" w:cs="Times New Roman"/>
          <w:sz w:val="24"/>
          <w:szCs w:val="24"/>
        </w:rPr>
        <w:t xml:space="preserve"> sta lavorando seriamente a questo fine e in un comunicato stampa ha fatto presente che, tramite una “</w:t>
      </w:r>
      <w:proofErr w:type="spellStart"/>
      <w:r w:rsidRPr="00AA2581">
        <w:rPr>
          <w:rFonts w:ascii="Times New Roman" w:hAnsi="Times New Roman" w:cs="Times New Roman"/>
          <w:i/>
          <w:iCs/>
          <w:sz w:val="24"/>
          <w:szCs w:val="24"/>
        </w:rPr>
        <w:t>roadmap</w:t>
      </w:r>
      <w:proofErr w:type="spellEnd"/>
      <w:r w:rsidRPr="00AA2581">
        <w:rPr>
          <w:rFonts w:ascii="Times New Roman" w:hAnsi="Times New Roman" w:cs="Times New Roman"/>
          <w:i/>
          <w:iCs/>
          <w:sz w:val="24"/>
          <w:szCs w:val="24"/>
        </w:rPr>
        <w:t xml:space="preserve"> multigenerazionale</w:t>
      </w:r>
      <w:r w:rsidRPr="00AA2581">
        <w:rPr>
          <w:rFonts w:ascii="Times New Roman" w:hAnsi="Times New Roman" w:cs="Times New Roman"/>
          <w:sz w:val="24"/>
          <w:szCs w:val="24"/>
        </w:rPr>
        <w:t xml:space="preserve">”, vuole processare dati provenienti dal </w:t>
      </w:r>
      <w:r w:rsidRPr="00AA2581">
        <w:rPr>
          <w:rFonts w:ascii="Times New Roman" w:hAnsi="Times New Roman" w:cs="Times New Roman"/>
          <w:i/>
          <w:iCs/>
          <w:sz w:val="24"/>
          <w:szCs w:val="24"/>
        </w:rPr>
        <w:t>client</w:t>
      </w:r>
      <w:r w:rsidRPr="00AA2581">
        <w:rPr>
          <w:rFonts w:ascii="Times New Roman" w:hAnsi="Times New Roman" w:cs="Times New Roman"/>
          <w:sz w:val="24"/>
          <w:szCs w:val="24"/>
        </w:rPr>
        <w:t xml:space="preserve"> e diretti verso il </w:t>
      </w:r>
      <w:proofErr w:type="spellStart"/>
      <w:r w:rsidRPr="00AA2581">
        <w:rPr>
          <w:rFonts w:ascii="Times New Roman" w:hAnsi="Times New Roman" w:cs="Times New Roman"/>
          <w:i/>
          <w:iCs/>
          <w:sz w:val="24"/>
          <w:szCs w:val="24"/>
        </w:rPr>
        <w:t>cloud</w:t>
      </w:r>
      <w:proofErr w:type="spellEnd"/>
      <w:r w:rsidRPr="00AA2581">
        <w:rPr>
          <w:rFonts w:ascii="Times New Roman" w:hAnsi="Times New Roman" w:cs="Times New Roman"/>
          <w:sz w:val="24"/>
          <w:szCs w:val="24"/>
        </w:rPr>
        <w:t xml:space="preserve"> con un’elaborazione </w:t>
      </w:r>
      <w:proofErr w:type="spellStart"/>
      <w:r w:rsidRPr="00AA2581">
        <w:rPr>
          <w:rFonts w:ascii="Times New Roman" w:hAnsi="Times New Roman" w:cs="Times New Roman"/>
          <w:i/>
          <w:iCs/>
          <w:sz w:val="24"/>
          <w:szCs w:val="24"/>
        </w:rPr>
        <w:t>zettascale</w:t>
      </w:r>
      <w:proofErr w:type="spellEnd"/>
      <w:r w:rsidRPr="00AA2581">
        <w:rPr>
          <w:rFonts w:ascii="Times New Roman" w:hAnsi="Times New Roman" w:cs="Times New Roman"/>
          <w:sz w:val="24"/>
          <w:szCs w:val="24"/>
        </w:rPr>
        <w:t xml:space="preserve">. Lo </w:t>
      </w:r>
      <w:proofErr w:type="spellStart"/>
      <w:r w:rsidRPr="00AA2581">
        <w:rPr>
          <w:rFonts w:ascii="Times New Roman" w:hAnsi="Times New Roman" w:cs="Times New Roman"/>
          <w:i/>
          <w:iCs/>
          <w:sz w:val="24"/>
          <w:szCs w:val="24"/>
        </w:rPr>
        <w:t>zettascale</w:t>
      </w:r>
      <w:proofErr w:type="spellEnd"/>
      <w:r w:rsidRPr="00AA2581">
        <w:rPr>
          <w:rFonts w:ascii="Times New Roman" w:hAnsi="Times New Roman" w:cs="Times New Roman"/>
          <w:i/>
          <w:iCs/>
          <w:sz w:val="24"/>
          <w:szCs w:val="24"/>
        </w:rPr>
        <w:t xml:space="preserve"> </w:t>
      </w:r>
      <w:proofErr w:type="spellStart"/>
      <w:r w:rsidRPr="00AA2581">
        <w:rPr>
          <w:rFonts w:ascii="Times New Roman" w:hAnsi="Times New Roman" w:cs="Times New Roman"/>
          <w:i/>
          <w:iCs/>
          <w:sz w:val="24"/>
          <w:szCs w:val="24"/>
        </w:rPr>
        <w:t>computing</w:t>
      </w:r>
      <w:proofErr w:type="spellEnd"/>
      <w:r w:rsidRPr="00AA2581">
        <w:rPr>
          <w:rFonts w:ascii="Times New Roman" w:hAnsi="Times New Roman" w:cs="Times New Roman"/>
          <w:sz w:val="24"/>
          <w:szCs w:val="24"/>
        </w:rPr>
        <w:t xml:space="preserve"> si riferisce ai </w:t>
      </w:r>
      <w:proofErr w:type="spellStart"/>
      <w:r w:rsidRPr="00AA2581">
        <w:rPr>
          <w:rFonts w:ascii="Times New Roman" w:hAnsi="Times New Roman" w:cs="Times New Roman"/>
          <w:sz w:val="24"/>
          <w:szCs w:val="24"/>
        </w:rPr>
        <w:t>supercomputer</w:t>
      </w:r>
      <w:proofErr w:type="spellEnd"/>
      <w:r w:rsidRPr="00AA2581">
        <w:rPr>
          <w:rFonts w:ascii="Times New Roman" w:hAnsi="Times New Roman" w:cs="Times New Roman"/>
          <w:sz w:val="24"/>
          <w:szCs w:val="24"/>
        </w:rPr>
        <w:t xml:space="preserve"> che permettono prestazioni nell’ordine degli </w:t>
      </w:r>
      <w:proofErr w:type="spellStart"/>
      <w:r w:rsidRPr="00AA2581">
        <w:rPr>
          <w:rFonts w:ascii="Times New Roman" w:hAnsi="Times New Roman" w:cs="Times New Roman"/>
          <w:i/>
          <w:iCs/>
          <w:sz w:val="24"/>
          <w:szCs w:val="24"/>
        </w:rPr>
        <w:t>zettaflop</w:t>
      </w:r>
      <w:proofErr w:type="spellEnd"/>
      <w:r w:rsidRPr="00AA2581">
        <w:rPr>
          <w:rFonts w:ascii="Times New Roman" w:hAnsi="Times New Roman" w:cs="Times New Roman"/>
          <w:sz w:val="24"/>
          <w:szCs w:val="24"/>
        </w:rPr>
        <w:t xml:space="preserve">. Uno </w:t>
      </w:r>
      <w:proofErr w:type="spellStart"/>
      <w:r w:rsidRPr="00AA2581">
        <w:rPr>
          <w:rFonts w:ascii="Times New Roman" w:hAnsi="Times New Roman" w:cs="Times New Roman"/>
          <w:i/>
          <w:iCs/>
          <w:sz w:val="24"/>
          <w:szCs w:val="24"/>
        </w:rPr>
        <w:t>zettaflop</w:t>
      </w:r>
      <w:proofErr w:type="spellEnd"/>
      <w:r w:rsidRPr="00AA2581">
        <w:rPr>
          <w:rFonts w:ascii="Times New Roman" w:hAnsi="Times New Roman" w:cs="Times New Roman"/>
          <w:sz w:val="24"/>
          <w:szCs w:val="24"/>
        </w:rPr>
        <w:t xml:space="preserve"> è uguale a circa un sestilione di operazioni in virgola mobile al secondo. Un sistema </w:t>
      </w:r>
      <w:proofErr w:type="spellStart"/>
      <w:r w:rsidRPr="00AA2581">
        <w:rPr>
          <w:rFonts w:ascii="Times New Roman" w:hAnsi="Times New Roman" w:cs="Times New Roman"/>
          <w:i/>
          <w:iCs/>
          <w:sz w:val="24"/>
          <w:szCs w:val="24"/>
        </w:rPr>
        <w:t>zettaflop</w:t>
      </w:r>
      <w:proofErr w:type="spellEnd"/>
      <w:r w:rsidRPr="00AA2581">
        <w:rPr>
          <w:rFonts w:ascii="Times New Roman" w:hAnsi="Times New Roman" w:cs="Times New Roman"/>
          <w:sz w:val="24"/>
          <w:szCs w:val="24"/>
        </w:rPr>
        <w:t xml:space="preserve"> può generare una marea di dati in virgola mobile in un secondo. Secondo gli scienziati dobbiamo aspettare il 2035 per avere un sistema </w:t>
      </w:r>
      <w:proofErr w:type="spellStart"/>
      <w:r w:rsidRPr="00AA2581">
        <w:rPr>
          <w:rFonts w:ascii="Times New Roman" w:hAnsi="Times New Roman" w:cs="Times New Roman"/>
          <w:i/>
          <w:iCs/>
          <w:sz w:val="24"/>
          <w:szCs w:val="24"/>
        </w:rPr>
        <w:t>zettascale</w:t>
      </w:r>
      <w:proofErr w:type="spellEnd"/>
      <w:r w:rsidRPr="00AA2581">
        <w:rPr>
          <w:rFonts w:ascii="Times New Roman" w:hAnsi="Times New Roman" w:cs="Times New Roman"/>
          <w:sz w:val="24"/>
          <w:szCs w:val="24"/>
        </w:rPr>
        <w:t xml:space="preserve"> perfettamente funzionante, e prima di arrivare ad un </w:t>
      </w:r>
      <w:proofErr w:type="spellStart"/>
      <w:r w:rsidRPr="00AA2581">
        <w:rPr>
          <w:rFonts w:ascii="Times New Roman" w:hAnsi="Times New Roman" w:cs="Times New Roman"/>
          <w:sz w:val="24"/>
          <w:szCs w:val="24"/>
        </w:rPr>
        <w:t>Metaverso</w:t>
      </w:r>
      <w:proofErr w:type="spellEnd"/>
      <w:r w:rsidRPr="00AA2581">
        <w:rPr>
          <w:rFonts w:ascii="Times New Roman" w:hAnsi="Times New Roman" w:cs="Times New Roman"/>
          <w:sz w:val="24"/>
          <w:szCs w:val="24"/>
        </w:rPr>
        <w:t xml:space="preserve"> completamente funzionante devono passare tanti altri anni. Ci sarà bisogno anche di algoritmi specializzati, di una nuova architettura (che </w:t>
      </w:r>
      <w:r w:rsidRPr="00AA2581">
        <w:rPr>
          <w:rFonts w:ascii="Times New Roman" w:hAnsi="Times New Roman" w:cs="Times New Roman"/>
          <w:i/>
          <w:iCs/>
          <w:sz w:val="24"/>
          <w:szCs w:val="24"/>
        </w:rPr>
        <w:t>Intel</w:t>
      </w:r>
      <w:r w:rsidRPr="00AA2581">
        <w:rPr>
          <w:rFonts w:ascii="Times New Roman" w:hAnsi="Times New Roman" w:cs="Times New Roman"/>
          <w:sz w:val="24"/>
          <w:szCs w:val="24"/>
        </w:rPr>
        <w:t xml:space="preserve"> ha denominato </w:t>
      </w:r>
      <w:r w:rsidRPr="00AA2581">
        <w:rPr>
          <w:rFonts w:ascii="Times New Roman" w:hAnsi="Times New Roman" w:cs="Times New Roman"/>
          <w:i/>
          <w:iCs/>
          <w:sz w:val="24"/>
          <w:szCs w:val="24"/>
        </w:rPr>
        <w:t>Xe</w:t>
      </w:r>
      <w:r w:rsidRPr="00AA2581">
        <w:rPr>
          <w:rFonts w:ascii="Times New Roman" w:hAnsi="Times New Roman" w:cs="Times New Roman"/>
          <w:sz w:val="24"/>
          <w:szCs w:val="24"/>
        </w:rPr>
        <w:t xml:space="preserve">) e di nuovi </w:t>
      </w:r>
      <w:r w:rsidRPr="00AA2581">
        <w:rPr>
          <w:rFonts w:ascii="Times New Roman" w:hAnsi="Times New Roman" w:cs="Times New Roman"/>
          <w:i/>
          <w:iCs/>
          <w:sz w:val="24"/>
          <w:szCs w:val="24"/>
        </w:rPr>
        <w:t>software</w:t>
      </w:r>
      <w:r w:rsidRPr="00AA2581">
        <w:rPr>
          <w:rFonts w:ascii="Times New Roman" w:hAnsi="Times New Roman" w:cs="Times New Roman"/>
          <w:sz w:val="24"/>
          <w:szCs w:val="24"/>
        </w:rPr>
        <w:t xml:space="preserve">, tutto comunque alla nostra portata secondo </w:t>
      </w:r>
      <w:proofErr w:type="spellStart"/>
      <w:r w:rsidRPr="00AA2581">
        <w:rPr>
          <w:rFonts w:ascii="Times New Roman" w:hAnsi="Times New Roman" w:cs="Times New Roman"/>
          <w:i/>
          <w:iCs/>
          <w:sz w:val="24"/>
          <w:szCs w:val="24"/>
        </w:rPr>
        <w:t>Koduri</w:t>
      </w:r>
      <w:proofErr w:type="spellEnd"/>
      <w:r w:rsidRPr="00AA2581">
        <w:rPr>
          <w:rFonts w:ascii="Times New Roman" w:hAnsi="Times New Roman" w:cs="Times New Roman"/>
          <w:sz w:val="24"/>
          <w:szCs w:val="24"/>
        </w:rPr>
        <w:t xml:space="preserve">. V. </w:t>
      </w:r>
      <w:hyperlink r:id="rId26" w:history="1">
        <w:r w:rsidRPr="005A4A5D">
          <w:rPr>
            <w:rStyle w:val="Collegamentoipertestuale"/>
            <w:rFonts w:ascii="Times New Roman" w:hAnsi="Times New Roman" w:cs="Times New Roman"/>
            <w:sz w:val="24"/>
            <w:szCs w:val="24"/>
          </w:rPr>
          <w:t>https://notiziescientifiche.it/metaverso-serviranno-potenza-computazionale-enorme-e-decenni-di-sviluppo/</w:t>
        </w:r>
      </w:hyperlink>
      <w:r>
        <w:rPr>
          <w:rFonts w:ascii="Times New Roman" w:hAnsi="Times New Roman" w:cs="Times New Roman"/>
          <w:sz w:val="24"/>
          <w:szCs w:val="24"/>
        </w:rPr>
        <w:t xml:space="preserve">; </w:t>
      </w:r>
      <w:hyperlink r:id="rId27" w:history="1">
        <w:r w:rsidRPr="005A4A5D">
          <w:rPr>
            <w:rStyle w:val="Collegamentoipertestuale"/>
            <w:rFonts w:ascii="Times New Roman" w:hAnsi="Times New Roman" w:cs="Times New Roman"/>
            <w:sz w:val="24"/>
            <w:szCs w:val="24"/>
          </w:rPr>
          <w:t>https://www.punto-informatico.it/intel-potenza-di-calcolo-1000-volte-maggiore-per-il-metaverso/</w:t>
        </w:r>
      </w:hyperlink>
      <w:r>
        <w:rPr>
          <w:rFonts w:ascii="Times New Roman" w:hAnsi="Times New Roman" w:cs="Times New Roman"/>
          <w:sz w:val="24"/>
          <w:szCs w:val="24"/>
        </w:rPr>
        <w:t>.</w:t>
      </w:r>
    </w:p>
  </w:footnote>
  <w:footnote w:id="133">
    <w:p w14:paraId="655F93FE" w14:textId="365C8FD4" w:rsidR="000463A6" w:rsidRPr="00150822" w:rsidRDefault="000463A6" w:rsidP="00150822">
      <w:pPr>
        <w:pStyle w:val="Testonotaapidipagina"/>
        <w:jc w:val="both"/>
        <w:rPr>
          <w:rFonts w:ascii="Times New Roman" w:hAnsi="Times New Roman" w:cs="Times New Roman"/>
          <w:sz w:val="24"/>
          <w:szCs w:val="24"/>
        </w:rPr>
      </w:pPr>
      <w:r w:rsidRPr="00150822">
        <w:rPr>
          <w:rStyle w:val="Rimandonotaapidipagina"/>
          <w:rFonts w:ascii="Times New Roman" w:hAnsi="Times New Roman" w:cs="Times New Roman"/>
          <w:sz w:val="24"/>
          <w:szCs w:val="24"/>
        </w:rPr>
        <w:footnoteRef/>
      </w:r>
      <w:r w:rsidRPr="00150822">
        <w:rPr>
          <w:rFonts w:ascii="Times New Roman" w:hAnsi="Times New Roman" w:cs="Times New Roman"/>
          <w:sz w:val="24"/>
          <w:szCs w:val="24"/>
        </w:rPr>
        <w:t xml:space="preserve"> Il decreto legislativo modifica gli articoli da 128 a 135 del Codice del Consumo (introducendo anche gli artt. da 135</w:t>
      </w:r>
      <w:r>
        <w:rPr>
          <w:rFonts w:ascii="Times New Roman" w:hAnsi="Times New Roman" w:cs="Times New Roman"/>
          <w:sz w:val="24"/>
          <w:szCs w:val="24"/>
        </w:rPr>
        <w:t>-</w:t>
      </w:r>
      <w:r w:rsidRPr="00150822">
        <w:rPr>
          <w:rFonts w:ascii="Times New Roman" w:hAnsi="Times New Roman" w:cs="Times New Roman"/>
          <w:sz w:val="24"/>
          <w:szCs w:val="24"/>
        </w:rPr>
        <w:t>bis a 135</w:t>
      </w:r>
      <w:r>
        <w:rPr>
          <w:rFonts w:ascii="Times New Roman" w:hAnsi="Times New Roman" w:cs="Times New Roman"/>
          <w:sz w:val="24"/>
          <w:szCs w:val="24"/>
        </w:rPr>
        <w:t>-</w:t>
      </w:r>
      <w:r w:rsidRPr="00150822">
        <w:rPr>
          <w:rFonts w:ascii="Times New Roman" w:hAnsi="Times New Roman" w:cs="Times New Roman"/>
          <w:sz w:val="24"/>
          <w:szCs w:val="24"/>
        </w:rPr>
        <w:t>septies) ed entrerà in vigore il 1° gennaio 2022. Le modifiche concernono la vendita di beni tra il venditore e il consumatore, che non viene più limitata ai beni di consumo. Vengono inserite le nozioni di “</w:t>
      </w:r>
      <w:r w:rsidRPr="00150822">
        <w:rPr>
          <w:rFonts w:ascii="Times New Roman" w:hAnsi="Times New Roman" w:cs="Times New Roman"/>
          <w:i/>
          <w:iCs/>
          <w:sz w:val="24"/>
          <w:szCs w:val="24"/>
        </w:rPr>
        <w:t>bene con elementi digitali</w:t>
      </w:r>
      <w:r w:rsidRPr="00150822">
        <w:rPr>
          <w:rFonts w:ascii="Times New Roman" w:hAnsi="Times New Roman" w:cs="Times New Roman"/>
          <w:sz w:val="24"/>
          <w:szCs w:val="24"/>
        </w:rPr>
        <w:t>” e di “</w:t>
      </w:r>
      <w:r w:rsidRPr="00150822">
        <w:rPr>
          <w:rFonts w:ascii="Times New Roman" w:hAnsi="Times New Roman" w:cs="Times New Roman"/>
          <w:i/>
          <w:iCs/>
          <w:sz w:val="24"/>
          <w:szCs w:val="24"/>
        </w:rPr>
        <w:t>aggiornamento dei beni digitali</w:t>
      </w:r>
      <w:r w:rsidRPr="00150822">
        <w:rPr>
          <w:rFonts w:ascii="Times New Roman" w:hAnsi="Times New Roman" w:cs="Times New Roman"/>
          <w:sz w:val="24"/>
          <w:szCs w:val="24"/>
        </w:rPr>
        <w:t xml:space="preserve">”. Il Capo I del Titolo III, che prima era dedicato alla vendita di beni di consumo, è ora dedicato alla vendita di beni </w:t>
      </w:r>
      <w:r w:rsidRPr="00150822">
        <w:rPr>
          <w:rFonts w:ascii="Times New Roman" w:hAnsi="Times New Roman" w:cs="Times New Roman"/>
          <w:i/>
          <w:iCs/>
          <w:sz w:val="24"/>
          <w:szCs w:val="24"/>
        </w:rPr>
        <w:t>tout court</w:t>
      </w:r>
      <w:r w:rsidRPr="00150822">
        <w:rPr>
          <w:rFonts w:ascii="Times New Roman" w:hAnsi="Times New Roman" w:cs="Times New Roman"/>
          <w:sz w:val="24"/>
          <w:szCs w:val="24"/>
        </w:rPr>
        <w:t>, tra cui rientrano anche i beni con elementi digitali; parallelamente viene ampliata la nozione di venditore, che ora comprende anche il “</w:t>
      </w:r>
      <w:r w:rsidRPr="00150822">
        <w:rPr>
          <w:rFonts w:ascii="Times New Roman" w:hAnsi="Times New Roman" w:cs="Times New Roman"/>
          <w:i/>
          <w:iCs/>
          <w:sz w:val="24"/>
          <w:szCs w:val="24"/>
        </w:rPr>
        <w:t>fornitore di piattaforme se agisce per finalità che rientrano nel quadro della sua attività e quale controparte contrattuale del consumatore per la fornitura di contenuto digitale o di servizi digitali</w:t>
      </w:r>
      <w:r w:rsidRPr="00150822">
        <w:rPr>
          <w:rFonts w:ascii="Times New Roman" w:hAnsi="Times New Roman" w:cs="Times New Roman"/>
          <w:sz w:val="24"/>
          <w:szCs w:val="24"/>
        </w:rPr>
        <w:t>”</w:t>
      </w:r>
      <w:r>
        <w:rPr>
          <w:rFonts w:ascii="Times New Roman" w:hAnsi="Times New Roman" w:cs="Times New Roman"/>
          <w:sz w:val="24"/>
          <w:szCs w:val="24"/>
        </w:rPr>
        <w:t>. Vengono inserite</w:t>
      </w:r>
      <w:r w:rsidRPr="00150822">
        <w:rPr>
          <w:rFonts w:ascii="Times New Roman" w:hAnsi="Times New Roman" w:cs="Times New Roman"/>
          <w:sz w:val="24"/>
          <w:szCs w:val="24"/>
        </w:rPr>
        <w:t xml:space="preserve"> anche le definizioni </w:t>
      </w:r>
      <w:r>
        <w:rPr>
          <w:rFonts w:ascii="Times New Roman" w:hAnsi="Times New Roman" w:cs="Times New Roman"/>
          <w:sz w:val="24"/>
          <w:szCs w:val="24"/>
        </w:rPr>
        <w:t>dei</w:t>
      </w:r>
      <w:r w:rsidRPr="00150822">
        <w:rPr>
          <w:rFonts w:ascii="Times New Roman" w:hAnsi="Times New Roman" w:cs="Times New Roman"/>
          <w:sz w:val="24"/>
          <w:szCs w:val="24"/>
        </w:rPr>
        <w:t xml:space="preserve"> contenuti digitali, </w:t>
      </w:r>
      <w:r>
        <w:rPr>
          <w:rFonts w:ascii="Times New Roman" w:hAnsi="Times New Roman" w:cs="Times New Roman"/>
          <w:sz w:val="24"/>
          <w:szCs w:val="24"/>
        </w:rPr>
        <w:t>del</w:t>
      </w:r>
      <w:r w:rsidRPr="00150822">
        <w:rPr>
          <w:rFonts w:ascii="Times New Roman" w:hAnsi="Times New Roman" w:cs="Times New Roman"/>
          <w:sz w:val="24"/>
          <w:szCs w:val="24"/>
        </w:rPr>
        <w:t xml:space="preserve"> servizio digitale, </w:t>
      </w:r>
      <w:r>
        <w:rPr>
          <w:rFonts w:ascii="Times New Roman" w:hAnsi="Times New Roman" w:cs="Times New Roman"/>
          <w:sz w:val="24"/>
          <w:szCs w:val="24"/>
        </w:rPr>
        <w:t>della</w:t>
      </w:r>
      <w:r w:rsidRPr="00150822">
        <w:rPr>
          <w:rFonts w:ascii="Times New Roman" w:hAnsi="Times New Roman" w:cs="Times New Roman"/>
          <w:sz w:val="24"/>
          <w:szCs w:val="24"/>
        </w:rPr>
        <w:t xml:space="preserve"> compatibilità, interoperabilità e </w:t>
      </w:r>
      <w:r>
        <w:rPr>
          <w:rFonts w:ascii="Times New Roman" w:hAnsi="Times New Roman" w:cs="Times New Roman"/>
          <w:sz w:val="24"/>
          <w:szCs w:val="24"/>
        </w:rPr>
        <w:t>del</w:t>
      </w:r>
      <w:r w:rsidRPr="00150822">
        <w:rPr>
          <w:rFonts w:ascii="Times New Roman" w:hAnsi="Times New Roman" w:cs="Times New Roman"/>
          <w:sz w:val="24"/>
          <w:szCs w:val="24"/>
        </w:rPr>
        <w:t xml:space="preserve"> supporto durevole. </w:t>
      </w:r>
      <w:r>
        <w:rPr>
          <w:rFonts w:ascii="Times New Roman" w:hAnsi="Times New Roman" w:cs="Times New Roman"/>
          <w:sz w:val="24"/>
          <w:szCs w:val="24"/>
        </w:rPr>
        <w:t>Per quanto riguarda i</w:t>
      </w:r>
      <w:r w:rsidRPr="00150822">
        <w:rPr>
          <w:rFonts w:ascii="Times New Roman" w:hAnsi="Times New Roman" w:cs="Times New Roman"/>
          <w:sz w:val="24"/>
          <w:szCs w:val="24"/>
        </w:rPr>
        <w:t xml:space="preserve"> contratti di fornitura di contenuti digitali o </w:t>
      </w:r>
      <w:r>
        <w:rPr>
          <w:rFonts w:ascii="Times New Roman" w:hAnsi="Times New Roman" w:cs="Times New Roman"/>
          <w:sz w:val="24"/>
          <w:szCs w:val="24"/>
        </w:rPr>
        <w:t xml:space="preserve">di </w:t>
      </w:r>
      <w:r w:rsidRPr="00150822">
        <w:rPr>
          <w:rFonts w:ascii="Times New Roman" w:hAnsi="Times New Roman" w:cs="Times New Roman"/>
          <w:sz w:val="24"/>
          <w:szCs w:val="24"/>
        </w:rPr>
        <w:t xml:space="preserve">servizi digitali, le </w:t>
      </w:r>
      <w:r>
        <w:rPr>
          <w:rFonts w:ascii="Times New Roman" w:hAnsi="Times New Roman" w:cs="Times New Roman"/>
          <w:sz w:val="24"/>
          <w:szCs w:val="24"/>
        </w:rPr>
        <w:t xml:space="preserve">nuove </w:t>
      </w:r>
      <w:r w:rsidRPr="00150822">
        <w:rPr>
          <w:rFonts w:ascii="Times New Roman" w:hAnsi="Times New Roman" w:cs="Times New Roman"/>
          <w:sz w:val="24"/>
          <w:szCs w:val="24"/>
        </w:rPr>
        <w:t xml:space="preserve">disposizioni </w:t>
      </w:r>
      <w:r>
        <w:rPr>
          <w:rFonts w:ascii="Times New Roman" w:hAnsi="Times New Roman" w:cs="Times New Roman"/>
          <w:sz w:val="24"/>
          <w:szCs w:val="24"/>
        </w:rPr>
        <w:t xml:space="preserve">vengono applicate </w:t>
      </w:r>
      <w:r w:rsidRPr="00150822">
        <w:rPr>
          <w:rFonts w:ascii="Times New Roman" w:hAnsi="Times New Roman" w:cs="Times New Roman"/>
          <w:sz w:val="24"/>
          <w:szCs w:val="24"/>
        </w:rPr>
        <w:t>ai contenuti digitali o ai servizi digitali incorporati o interconnessi con beni</w:t>
      </w:r>
      <w:r>
        <w:rPr>
          <w:rFonts w:ascii="Times New Roman" w:hAnsi="Times New Roman" w:cs="Times New Roman"/>
          <w:sz w:val="24"/>
          <w:szCs w:val="24"/>
        </w:rPr>
        <w:t xml:space="preserve">. Vengono </w:t>
      </w:r>
      <w:r w:rsidRPr="00150822">
        <w:rPr>
          <w:rFonts w:ascii="Times New Roman" w:hAnsi="Times New Roman" w:cs="Times New Roman"/>
          <w:sz w:val="24"/>
          <w:szCs w:val="24"/>
        </w:rPr>
        <w:t>previsti a carico del venditore appositi obblighi con riferimento agli aggiornamenti nel caso di beni con elementi digitali</w:t>
      </w:r>
      <w:r>
        <w:rPr>
          <w:rFonts w:ascii="Times New Roman" w:hAnsi="Times New Roman" w:cs="Times New Roman"/>
          <w:sz w:val="24"/>
          <w:szCs w:val="24"/>
        </w:rPr>
        <w:t>, con conseguente precisa responsabilità ex art. 133; il venditore è responsabile per ogni vizio di conformità del bene esistente al momento della consegna e che si manifesta entro due anni. Tuttavia, per quanto riguarda i beni con elementi digitali, vi è una possibile estensione della responsabilità nel caso in cui il contratto preveda la fornitura continuativa del contenuto digitale per più di due anni.</w:t>
      </w:r>
    </w:p>
  </w:footnote>
  <w:footnote w:id="134">
    <w:p w14:paraId="10B91387" w14:textId="5CFEA65F" w:rsidR="000463A6" w:rsidRPr="00A27247" w:rsidRDefault="000463A6" w:rsidP="00A27247">
      <w:pPr>
        <w:pStyle w:val="Testonotaapidipagina"/>
        <w:jc w:val="both"/>
        <w:rPr>
          <w:rFonts w:ascii="Times New Roman" w:hAnsi="Times New Roman" w:cs="Times New Roman"/>
          <w:sz w:val="24"/>
          <w:szCs w:val="24"/>
        </w:rPr>
      </w:pPr>
      <w:r w:rsidRPr="00A27247">
        <w:rPr>
          <w:rStyle w:val="Rimandonotaapidipagina"/>
          <w:rFonts w:ascii="Times New Roman" w:hAnsi="Times New Roman" w:cs="Times New Roman"/>
          <w:sz w:val="24"/>
          <w:szCs w:val="24"/>
        </w:rPr>
        <w:footnoteRef/>
      </w:r>
      <w:r w:rsidRPr="00A27247">
        <w:rPr>
          <w:rFonts w:ascii="Times New Roman" w:hAnsi="Times New Roman" w:cs="Times New Roman"/>
          <w:sz w:val="24"/>
          <w:szCs w:val="24"/>
        </w:rPr>
        <w:t xml:space="preserve"> </w:t>
      </w:r>
      <w:r>
        <w:rPr>
          <w:rFonts w:ascii="Times New Roman" w:hAnsi="Times New Roman" w:cs="Times New Roman"/>
          <w:sz w:val="24"/>
          <w:szCs w:val="24"/>
        </w:rPr>
        <w:t>“</w:t>
      </w:r>
      <w:r w:rsidRPr="00A27247">
        <w:rPr>
          <w:rFonts w:ascii="Times New Roman" w:hAnsi="Times New Roman" w:cs="Times New Roman"/>
          <w:i/>
          <w:iCs/>
          <w:sz w:val="24"/>
          <w:szCs w:val="24"/>
        </w:rPr>
        <w:t>Linee Guida Tecnologie e standard per la sicurezza dell’interoperabilità tramite API dei sistemi informatici</w:t>
      </w:r>
      <w:r>
        <w:rPr>
          <w:rFonts w:ascii="Times New Roman" w:hAnsi="Times New Roman" w:cs="Times New Roman"/>
          <w:sz w:val="24"/>
          <w:szCs w:val="24"/>
        </w:rPr>
        <w:t>” e “</w:t>
      </w:r>
      <w:r w:rsidRPr="00A27247">
        <w:rPr>
          <w:rFonts w:ascii="Times New Roman" w:hAnsi="Times New Roman" w:cs="Times New Roman"/>
          <w:i/>
          <w:iCs/>
          <w:sz w:val="24"/>
          <w:szCs w:val="24"/>
        </w:rPr>
        <w:t>Linee Guida sull’interoperabilità tecnica delle Pubbliche Amministrazioni</w:t>
      </w:r>
      <w:r>
        <w:rPr>
          <w:rFonts w:ascii="Times New Roman" w:hAnsi="Times New Roman" w:cs="Times New Roman"/>
          <w:sz w:val="24"/>
          <w:szCs w:val="24"/>
        </w:rPr>
        <w:t>”, pubblicate in data 22 ottobre 2021 sul sito dell’</w:t>
      </w:r>
      <w:proofErr w:type="spellStart"/>
      <w:r>
        <w:rPr>
          <w:rFonts w:ascii="Times New Roman" w:hAnsi="Times New Roman" w:cs="Times New Roman"/>
          <w:sz w:val="24"/>
          <w:szCs w:val="24"/>
        </w:rPr>
        <w:t>Agid</w:t>
      </w:r>
      <w:proofErr w:type="spellEnd"/>
      <w:r>
        <w:rPr>
          <w:rFonts w:ascii="Times New Roman" w:hAnsi="Times New Roman" w:cs="Times New Roman"/>
          <w:sz w:val="24"/>
          <w:szCs w:val="24"/>
        </w:rPr>
        <w:t>.</w:t>
      </w:r>
    </w:p>
  </w:footnote>
  <w:footnote w:id="135">
    <w:p w14:paraId="560ECBEC" w14:textId="285A6DEA" w:rsidR="000463A6" w:rsidRPr="00731B4D" w:rsidRDefault="000463A6" w:rsidP="00731B4D">
      <w:pPr>
        <w:pStyle w:val="Testonotaapidipagina"/>
        <w:jc w:val="both"/>
        <w:rPr>
          <w:rFonts w:ascii="Times New Roman" w:hAnsi="Times New Roman" w:cs="Times New Roman"/>
          <w:sz w:val="24"/>
          <w:szCs w:val="24"/>
        </w:rPr>
      </w:pPr>
      <w:r w:rsidRPr="00731B4D">
        <w:rPr>
          <w:rStyle w:val="Rimandonotaapidipagina"/>
          <w:rFonts w:ascii="Times New Roman" w:hAnsi="Times New Roman" w:cs="Times New Roman"/>
          <w:sz w:val="24"/>
          <w:szCs w:val="24"/>
        </w:rPr>
        <w:footnoteRef/>
      </w:r>
      <w:r w:rsidRPr="00731B4D">
        <w:rPr>
          <w:rFonts w:ascii="Times New Roman" w:hAnsi="Times New Roman" w:cs="Times New Roman"/>
          <w:sz w:val="24"/>
          <w:szCs w:val="24"/>
        </w:rPr>
        <w:t xml:space="preserve"> Il FATCA (</w:t>
      </w:r>
      <w:proofErr w:type="spellStart"/>
      <w:r w:rsidRPr="001A7CA4">
        <w:rPr>
          <w:rFonts w:ascii="Times New Roman" w:hAnsi="Times New Roman" w:cs="Times New Roman"/>
          <w:i/>
          <w:iCs/>
          <w:sz w:val="24"/>
          <w:szCs w:val="24"/>
        </w:rPr>
        <w:t>Foreign</w:t>
      </w:r>
      <w:proofErr w:type="spellEnd"/>
      <w:r w:rsidRPr="001A7CA4">
        <w:rPr>
          <w:rFonts w:ascii="Times New Roman" w:hAnsi="Times New Roman" w:cs="Times New Roman"/>
          <w:i/>
          <w:iCs/>
          <w:sz w:val="24"/>
          <w:szCs w:val="24"/>
        </w:rPr>
        <w:t xml:space="preserve"> Account </w:t>
      </w:r>
      <w:proofErr w:type="spellStart"/>
      <w:r w:rsidRPr="001A7CA4">
        <w:rPr>
          <w:rFonts w:ascii="Times New Roman" w:hAnsi="Times New Roman" w:cs="Times New Roman"/>
          <w:i/>
          <w:iCs/>
          <w:sz w:val="24"/>
          <w:szCs w:val="24"/>
        </w:rPr>
        <w:t>Tax</w:t>
      </w:r>
      <w:proofErr w:type="spellEnd"/>
      <w:r w:rsidRPr="001A7CA4">
        <w:rPr>
          <w:rFonts w:ascii="Times New Roman" w:hAnsi="Times New Roman" w:cs="Times New Roman"/>
          <w:i/>
          <w:iCs/>
          <w:sz w:val="24"/>
          <w:szCs w:val="24"/>
        </w:rPr>
        <w:t xml:space="preserve"> </w:t>
      </w:r>
      <w:proofErr w:type="spellStart"/>
      <w:r w:rsidRPr="001A7CA4">
        <w:rPr>
          <w:rFonts w:ascii="Times New Roman" w:hAnsi="Times New Roman" w:cs="Times New Roman"/>
          <w:i/>
          <w:iCs/>
          <w:sz w:val="24"/>
          <w:szCs w:val="24"/>
        </w:rPr>
        <w:t>Compliance</w:t>
      </w:r>
      <w:proofErr w:type="spellEnd"/>
      <w:r w:rsidRPr="001A7CA4">
        <w:rPr>
          <w:rFonts w:ascii="Times New Roman" w:hAnsi="Times New Roman" w:cs="Times New Roman"/>
          <w:i/>
          <w:iCs/>
          <w:sz w:val="24"/>
          <w:szCs w:val="24"/>
        </w:rPr>
        <w:t xml:space="preserve"> </w:t>
      </w:r>
      <w:proofErr w:type="spellStart"/>
      <w:r w:rsidRPr="001A7CA4">
        <w:rPr>
          <w:rFonts w:ascii="Times New Roman" w:hAnsi="Times New Roman" w:cs="Times New Roman"/>
          <w:i/>
          <w:iCs/>
          <w:sz w:val="24"/>
          <w:szCs w:val="24"/>
        </w:rPr>
        <w:t>Act</w:t>
      </w:r>
      <w:proofErr w:type="spellEnd"/>
      <w:r w:rsidRPr="00731B4D">
        <w:rPr>
          <w:rFonts w:ascii="Times New Roman" w:hAnsi="Times New Roman" w:cs="Times New Roman"/>
          <w:sz w:val="24"/>
          <w:szCs w:val="24"/>
        </w:rPr>
        <w:t>) è un accordo sottoscritto da Italia e Stati Uniti che prevede lo scambio di informazioni finanziarie per contrastare l’evasione fiscale internazionale, in particolare quella relativa a cittadini e residenti statunitensi attraverso conti correnti detenuti presso le istituzioni finanziarie italiane e quella relativa a residenti italiani tramite conti correnti presso le istituzioni finanziarie statunitensi.</w:t>
      </w:r>
      <w:r>
        <w:rPr>
          <w:rFonts w:ascii="Times New Roman" w:hAnsi="Times New Roman" w:cs="Times New Roman"/>
          <w:sz w:val="24"/>
          <w:szCs w:val="24"/>
        </w:rPr>
        <w:t xml:space="preserve"> Le comunicazioni dei dati avvengono tra l’Agenzia delle Entrate e l’IRS statunitense, che nel 2016 hanno sottoscritto un accordo, concludendo così l’implementazione della normativa FATCA.</w:t>
      </w:r>
    </w:p>
  </w:footnote>
  <w:footnote w:id="136">
    <w:p w14:paraId="268E57D0" w14:textId="01437DDB" w:rsidR="000463A6" w:rsidRPr="009C29F1" w:rsidRDefault="000463A6" w:rsidP="00C00F45">
      <w:pPr>
        <w:pStyle w:val="Testonotaapidipagina"/>
        <w:jc w:val="both"/>
        <w:rPr>
          <w:rFonts w:ascii="Times New Roman" w:hAnsi="Times New Roman" w:cs="Times New Roman"/>
          <w:sz w:val="24"/>
          <w:szCs w:val="24"/>
        </w:rPr>
      </w:pPr>
      <w:r w:rsidRPr="009C29F1">
        <w:rPr>
          <w:rStyle w:val="Rimandonotaapidipagina"/>
          <w:rFonts w:ascii="Times New Roman" w:hAnsi="Times New Roman" w:cs="Times New Roman"/>
          <w:sz w:val="24"/>
          <w:szCs w:val="24"/>
        </w:rPr>
        <w:footnoteRef/>
      </w:r>
      <w:r w:rsidRPr="009C29F1">
        <w:rPr>
          <w:rFonts w:ascii="Times New Roman" w:hAnsi="Times New Roman" w:cs="Times New Roman"/>
          <w:sz w:val="24"/>
          <w:szCs w:val="24"/>
        </w:rPr>
        <w:t xml:space="preserve"> Sono i </w:t>
      </w:r>
      <w:r>
        <w:rPr>
          <w:rFonts w:ascii="Times New Roman" w:hAnsi="Times New Roman" w:cs="Times New Roman"/>
          <w:sz w:val="24"/>
          <w:szCs w:val="24"/>
        </w:rPr>
        <w:t>c.d.</w:t>
      </w:r>
      <w:r w:rsidRPr="009C29F1">
        <w:rPr>
          <w:rFonts w:ascii="Times New Roman" w:hAnsi="Times New Roman" w:cs="Times New Roman"/>
          <w:sz w:val="24"/>
          <w:szCs w:val="24"/>
        </w:rPr>
        <w:t xml:space="preserve"> “</w:t>
      </w:r>
      <w:r w:rsidRPr="009C29F1">
        <w:rPr>
          <w:rFonts w:ascii="Times New Roman" w:hAnsi="Times New Roman" w:cs="Times New Roman"/>
          <w:i/>
          <w:iCs/>
          <w:sz w:val="24"/>
          <w:szCs w:val="24"/>
        </w:rPr>
        <w:t>americani accidentali</w:t>
      </w:r>
      <w:r w:rsidRPr="009C29F1">
        <w:rPr>
          <w:rFonts w:ascii="Times New Roman" w:hAnsi="Times New Roman" w:cs="Times New Roman"/>
          <w:sz w:val="24"/>
          <w:szCs w:val="24"/>
        </w:rPr>
        <w:t>”, o americani “per caso”, perché nati negli Stati Uniti o perché sposati con una statunitense, che, anche se non vivono negli Usa, sono tenuti a rispettare tutti gli obblighi dei cittadini del Paese, compreso quello di pagare le tasse; vi rientrano anche i cittadini con doppia cittadinanza europea/statunitense e i loro familiari non statunitensi.</w:t>
      </w:r>
    </w:p>
  </w:footnote>
  <w:footnote w:id="137">
    <w:p w14:paraId="5EC42DA6" w14:textId="1AB93B5B" w:rsidR="000463A6" w:rsidRPr="009C29F1" w:rsidRDefault="000463A6" w:rsidP="00C00F45">
      <w:pPr>
        <w:pStyle w:val="Testonotaapidipagina"/>
        <w:jc w:val="both"/>
        <w:rPr>
          <w:rFonts w:ascii="Times New Roman" w:hAnsi="Times New Roman" w:cs="Times New Roman"/>
          <w:sz w:val="24"/>
          <w:szCs w:val="24"/>
        </w:rPr>
      </w:pPr>
      <w:r w:rsidRPr="009C29F1">
        <w:rPr>
          <w:rStyle w:val="Rimandonotaapidipagina"/>
          <w:rFonts w:ascii="Times New Roman" w:hAnsi="Times New Roman" w:cs="Times New Roman"/>
          <w:sz w:val="24"/>
          <w:szCs w:val="24"/>
        </w:rPr>
        <w:footnoteRef/>
      </w:r>
      <w:r w:rsidRPr="009C29F1">
        <w:rPr>
          <w:rFonts w:ascii="Times New Roman" w:hAnsi="Times New Roman" w:cs="Times New Roman"/>
          <w:sz w:val="24"/>
          <w:szCs w:val="24"/>
        </w:rPr>
        <w:t xml:space="preserve"> Vedi, già nel 2018, l’interrogazione parlamentare del parlamento europeo sugli effetti negativi della normativa statunitense “</w:t>
      </w:r>
      <w:proofErr w:type="spellStart"/>
      <w:r w:rsidRPr="009C29F1">
        <w:rPr>
          <w:rFonts w:ascii="Times New Roman" w:hAnsi="Times New Roman" w:cs="Times New Roman"/>
          <w:i/>
          <w:iCs/>
          <w:sz w:val="24"/>
          <w:szCs w:val="24"/>
        </w:rPr>
        <w:t>Foreign</w:t>
      </w:r>
      <w:proofErr w:type="spellEnd"/>
      <w:r w:rsidRPr="009C29F1">
        <w:rPr>
          <w:rFonts w:ascii="Times New Roman" w:hAnsi="Times New Roman" w:cs="Times New Roman"/>
          <w:i/>
          <w:iCs/>
          <w:sz w:val="24"/>
          <w:szCs w:val="24"/>
        </w:rPr>
        <w:t xml:space="preserve"> </w:t>
      </w:r>
      <w:proofErr w:type="spellStart"/>
      <w:r w:rsidRPr="009C29F1">
        <w:rPr>
          <w:rFonts w:ascii="Times New Roman" w:hAnsi="Times New Roman" w:cs="Times New Roman"/>
          <w:i/>
          <w:iCs/>
          <w:sz w:val="24"/>
          <w:szCs w:val="24"/>
        </w:rPr>
        <w:t>Tax</w:t>
      </w:r>
      <w:proofErr w:type="spellEnd"/>
      <w:r w:rsidRPr="009C29F1">
        <w:rPr>
          <w:rFonts w:ascii="Times New Roman" w:hAnsi="Times New Roman" w:cs="Times New Roman"/>
          <w:i/>
          <w:iCs/>
          <w:sz w:val="24"/>
          <w:szCs w:val="24"/>
        </w:rPr>
        <w:t xml:space="preserve"> </w:t>
      </w:r>
      <w:proofErr w:type="spellStart"/>
      <w:r w:rsidRPr="009C29F1">
        <w:rPr>
          <w:rFonts w:ascii="Times New Roman" w:hAnsi="Times New Roman" w:cs="Times New Roman"/>
          <w:i/>
          <w:iCs/>
          <w:sz w:val="24"/>
          <w:szCs w:val="24"/>
        </w:rPr>
        <w:t>Compliance</w:t>
      </w:r>
      <w:proofErr w:type="spellEnd"/>
      <w:r w:rsidRPr="009C29F1">
        <w:rPr>
          <w:rFonts w:ascii="Times New Roman" w:hAnsi="Times New Roman" w:cs="Times New Roman"/>
          <w:i/>
          <w:iCs/>
          <w:sz w:val="24"/>
          <w:szCs w:val="24"/>
        </w:rPr>
        <w:t xml:space="preserve"> </w:t>
      </w:r>
      <w:proofErr w:type="spellStart"/>
      <w:r w:rsidRPr="009C29F1">
        <w:rPr>
          <w:rFonts w:ascii="Times New Roman" w:hAnsi="Times New Roman" w:cs="Times New Roman"/>
          <w:i/>
          <w:iCs/>
          <w:sz w:val="24"/>
          <w:szCs w:val="24"/>
        </w:rPr>
        <w:t>Act</w:t>
      </w:r>
      <w:proofErr w:type="spellEnd"/>
      <w:r w:rsidRPr="009C29F1">
        <w:rPr>
          <w:rFonts w:ascii="Times New Roman" w:hAnsi="Times New Roman" w:cs="Times New Roman"/>
          <w:sz w:val="24"/>
          <w:szCs w:val="24"/>
        </w:rPr>
        <w:t>” (FATCA) sui cittadini dell’UE e in particolare sugli “</w:t>
      </w:r>
      <w:r w:rsidRPr="008354FD">
        <w:rPr>
          <w:rFonts w:ascii="Times New Roman" w:hAnsi="Times New Roman" w:cs="Times New Roman"/>
          <w:i/>
          <w:iCs/>
          <w:sz w:val="24"/>
          <w:szCs w:val="24"/>
        </w:rPr>
        <w:t>americani casuali</w:t>
      </w:r>
      <w:r w:rsidRPr="009C29F1">
        <w:rPr>
          <w:rFonts w:ascii="Times New Roman" w:hAnsi="Times New Roman" w:cs="Times New Roman"/>
          <w:sz w:val="24"/>
          <w:szCs w:val="24"/>
        </w:rPr>
        <w:t xml:space="preserve">”, </w:t>
      </w:r>
      <w:hyperlink r:id="rId28" w:history="1">
        <w:r w:rsidRPr="009C29F1">
          <w:rPr>
            <w:rStyle w:val="Collegamentoipertestuale"/>
            <w:rFonts w:ascii="Times New Roman" w:hAnsi="Times New Roman" w:cs="Times New Roman"/>
            <w:sz w:val="24"/>
            <w:szCs w:val="24"/>
          </w:rPr>
          <w:t>https://www.europarl.europa.eu/doceo/document/O-8-2018-000053_IT.html</w:t>
        </w:r>
      </w:hyperlink>
      <w:r w:rsidRPr="009C29F1">
        <w:rPr>
          <w:rFonts w:ascii="Times New Roman" w:hAnsi="Times New Roman" w:cs="Times New Roman"/>
          <w:sz w:val="24"/>
          <w:szCs w:val="24"/>
        </w:rPr>
        <w:t>.</w:t>
      </w:r>
    </w:p>
  </w:footnote>
  <w:footnote w:id="138">
    <w:p w14:paraId="3CF6D748" w14:textId="65B9BB20" w:rsidR="000463A6" w:rsidRPr="004B287D" w:rsidRDefault="000463A6" w:rsidP="00C00F45">
      <w:pPr>
        <w:pStyle w:val="Testonotaapidipagina"/>
        <w:jc w:val="both"/>
      </w:pPr>
      <w:r w:rsidRPr="009C29F1">
        <w:rPr>
          <w:rStyle w:val="Rimandonotaapidipagina"/>
          <w:rFonts w:ascii="Times New Roman" w:hAnsi="Times New Roman" w:cs="Times New Roman"/>
          <w:sz w:val="24"/>
          <w:szCs w:val="24"/>
        </w:rPr>
        <w:footnoteRef/>
      </w:r>
      <w:r w:rsidRPr="009C29F1">
        <w:rPr>
          <w:rFonts w:ascii="Times New Roman" w:hAnsi="Times New Roman" w:cs="Times New Roman"/>
          <w:sz w:val="24"/>
          <w:szCs w:val="24"/>
        </w:rPr>
        <w:t xml:space="preserve"> </w:t>
      </w:r>
      <w:r w:rsidRPr="009C29F1">
        <w:rPr>
          <w:rFonts w:ascii="Times New Roman" w:hAnsi="Times New Roman" w:cs="Times New Roman"/>
          <w:smallCaps/>
          <w:sz w:val="24"/>
          <w:szCs w:val="24"/>
        </w:rPr>
        <w:t xml:space="preserve">C. </w:t>
      </w:r>
      <w:proofErr w:type="spellStart"/>
      <w:r w:rsidRPr="009C29F1">
        <w:rPr>
          <w:rFonts w:ascii="Times New Roman" w:hAnsi="Times New Roman" w:cs="Times New Roman"/>
          <w:smallCaps/>
          <w:sz w:val="24"/>
          <w:szCs w:val="24"/>
        </w:rPr>
        <w:t>Garbarino</w:t>
      </w:r>
      <w:proofErr w:type="spellEnd"/>
      <w:r w:rsidRPr="009C29F1">
        <w:rPr>
          <w:rFonts w:ascii="Times New Roman" w:hAnsi="Times New Roman" w:cs="Times New Roman"/>
          <w:sz w:val="24"/>
          <w:szCs w:val="24"/>
        </w:rPr>
        <w:t>, “</w:t>
      </w:r>
      <w:r w:rsidRPr="009C29F1">
        <w:rPr>
          <w:rFonts w:ascii="Times New Roman" w:hAnsi="Times New Roman" w:cs="Times New Roman"/>
          <w:i/>
          <w:iCs/>
          <w:sz w:val="24"/>
          <w:szCs w:val="24"/>
        </w:rPr>
        <w:t>Applicazione del FATCA a livello europeo e protezione dei dati</w:t>
      </w:r>
      <w:r w:rsidRPr="009C29F1">
        <w:rPr>
          <w:rFonts w:ascii="Times New Roman" w:hAnsi="Times New Roman" w:cs="Times New Roman"/>
          <w:sz w:val="24"/>
          <w:szCs w:val="24"/>
        </w:rPr>
        <w:t xml:space="preserve">”, 2018, in </w:t>
      </w:r>
      <w:hyperlink r:id="rId29" w:history="1">
        <w:r w:rsidRPr="009C29F1">
          <w:rPr>
            <w:rStyle w:val="Collegamentoipertestuale"/>
            <w:rFonts w:ascii="Times New Roman" w:hAnsi="Times New Roman" w:cs="Times New Roman"/>
            <w:sz w:val="24"/>
            <w:szCs w:val="24"/>
          </w:rPr>
          <w:t>https://privatebank.jpmorgan.com/content/dam/jpm-wm-aem/documents/JPM%20Wealth%20Journal_Article_2019-04_Applicazione%20del%20FATCA.pdf</w:t>
        </w:r>
      </w:hyperlink>
      <w:r w:rsidRPr="009C29F1">
        <w:rPr>
          <w:rFonts w:ascii="Times New Roman" w:hAnsi="Times New Roman" w:cs="Times New Roman"/>
          <w:sz w:val="24"/>
          <w:szCs w:val="24"/>
        </w:rPr>
        <w:t>.</w:t>
      </w:r>
    </w:p>
  </w:footnote>
  <w:footnote w:id="139">
    <w:p w14:paraId="1D3BF074" w14:textId="4042B165" w:rsidR="000463A6" w:rsidRPr="00547B29" w:rsidRDefault="000463A6" w:rsidP="00681768">
      <w:pPr>
        <w:pStyle w:val="Testonotaapidipagina"/>
        <w:jc w:val="both"/>
        <w:rPr>
          <w:rFonts w:ascii="Times New Roman" w:hAnsi="Times New Roman" w:cs="Times New Roman"/>
          <w:sz w:val="24"/>
          <w:szCs w:val="24"/>
        </w:rPr>
      </w:pPr>
      <w:r w:rsidRPr="00547B29">
        <w:rPr>
          <w:rStyle w:val="Rimandonotaapidipagina"/>
          <w:rFonts w:ascii="Times New Roman" w:hAnsi="Times New Roman" w:cs="Times New Roman"/>
          <w:sz w:val="24"/>
          <w:szCs w:val="24"/>
        </w:rPr>
        <w:footnoteRef/>
      </w:r>
      <w:r w:rsidRPr="00547B29">
        <w:rPr>
          <w:rFonts w:ascii="Times New Roman" w:hAnsi="Times New Roman" w:cs="Times New Roman"/>
          <w:sz w:val="24"/>
          <w:szCs w:val="24"/>
        </w:rPr>
        <w:t xml:space="preserve"> Vedi “</w:t>
      </w:r>
      <w:r w:rsidRPr="00547B29">
        <w:rPr>
          <w:rFonts w:ascii="Times New Roman" w:hAnsi="Times New Roman" w:cs="Times New Roman"/>
          <w:i/>
          <w:iCs/>
          <w:sz w:val="24"/>
          <w:szCs w:val="24"/>
        </w:rPr>
        <w:t xml:space="preserve">Privacy </w:t>
      </w:r>
      <w:proofErr w:type="spellStart"/>
      <w:r w:rsidRPr="00547B29">
        <w:rPr>
          <w:rFonts w:ascii="Times New Roman" w:hAnsi="Times New Roman" w:cs="Times New Roman"/>
          <w:i/>
          <w:iCs/>
          <w:sz w:val="24"/>
          <w:szCs w:val="24"/>
        </w:rPr>
        <w:t>Shield</w:t>
      </w:r>
      <w:proofErr w:type="spellEnd"/>
      <w:r w:rsidRPr="00547B29">
        <w:rPr>
          <w:rFonts w:ascii="Times New Roman" w:hAnsi="Times New Roman" w:cs="Times New Roman"/>
          <w:i/>
          <w:iCs/>
          <w:sz w:val="24"/>
          <w:szCs w:val="24"/>
        </w:rPr>
        <w:t xml:space="preserve">: le FAQ dell’EDPB sulla sentenza </w:t>
      </w:r>
      <w:proofErr w:type="spellStart"/>
      <w:r w:rsidRPr="00547B29">
        <w:rPr>
          <w:rFonts w:ascii="Times New Roman" w:hAnsi="Times New Roman" w:cs="Times New Roman"/>
          <w:i/>
          <w:iCs/>
          <w:sz w:val="24"/>
          <w:szCs w:val="24"/>
        </w:rPr>
        <w:t>Schrems</w:t>
      </w:r>
      <w:proofErr w:type="spellEnd"/>
      <w:r w:rsidRPr="00547B29">
        <w:rPr>
          <w:rFonts w:ascii="Times New Roman" w:hAnsi="Times New Roman" w:cs="Times New Roman"/>
          <w:i/>
          <w:iCs/>
          <w:sz w:val="24"/>
          <w:szCs w:val="24"/>
        </w:rPr>
        <w:t xml:space="preserve"> II</w:t>
      </w:r>
      <w:r w:rsidRPr="00547B29">
        <w:rPr>
          <w:rFonts w:ascii="Times New Roman" w:hAnsi="Times New Roman" w:cs="Times New Roman"/>
          <w:sz w:val="24"/>
          <w:szCs w:val="24"/>
        </w:rPr>
        <w:t xml:space="preserve">”, tradotte dal Garante della Privacy, </w:t>
      </w:r>
      <w:hyperlink r:id="rId30" w:history="1">
        <w:r w:rsidRPr="00547B29">
          <w:rPr>
            <w:rStyle w:val="Collegamentoipertestuale"/>
            <w:rFonts w:ascii="Times New Roman" w:hAnsi="Times New Roman" w:cs="Times New Roman"/>
            <w:sz w:val="24"/>
            <w:szCs w:val="24"/>
          </w:rPr>
          <w:t>https://www.garanteprivacy.it/web/guest/home/docweb/-/docweb-display/docweb/9442415</w:t>
        </w:r>
      </w:hyperlink>
      <w:r w:rsidRPr="00547B29">
        <w:rPr>
          <w:rFonts w:ascii="Times New Roman" w:hAnsi="Times New Roman" w:cs="Times New Roman"/>
          <w:sz w:val="24"/>
          <w:szCs w:val="24"/>
        </w:rPr>
        <w:t>.</w:t>
      </w:r>
    </w:p>
  </w:footnote>
  <w:footnote w:id="140">
    <w:p w14:paraId="1B3D17AA" w14:textId="33085F79" w:rsidR="000463A6" w:rsidRPr="00547B29" w:rsidRDefault="000463A6" w:rsidP="00547B29">
      <w:pPr>
        <w:pStyle w:val="Testonotaapidipagina"/>
        <w:jc w:val="both"/>
        <w:rPr>
          <w:rFonts w:ascii="Times New Roman" w:hAnsi="Times New Roman" w:cs="Times New Roman"/>
          <w:sz w:val="24"/>
          <w:szCs w:val="24"/>
        </w:rPr>
      </w:pPr>
      <w:r w:rsidRPr="00547B29">
        <w:rPr>
          <w:rStyle w:val="Rimandonotaapidipagina"/>
          <w:rFonts w:ascii="Times New Roman" w:hAnsi="Times New Roman" w:cs="Times New Roman"/>
          <w:sz w:val="24"/>
          <w:szCs w:val="24"/>
        </w:rPr>
        <w:footnoteRef/>
      </w:r>
      <w:r w:rsidRPr="00547B29">
        <w:rPr>
          <w:rFonts w:ascii="Times New Roman" w:hAnsi="Times New Roman" w:cs="Times New Roman"/>
          <w:sz w:val="24"/>
          <w:szCs w:val="24"/>
        </w:rPr>
        <w:t xml:space="preserve"> Si vedano le clausole contrattuali standard aggiornate ai sensi del GDPR emesse il 4 giugno 2021 dalla Commissione per i trasferimenti di dati da titolari o responsabili del trattamento nell’UE/SEE (o altrimenti soggetti al GDPR) a titolari o responsabili del trattamento stabiliti al di fuori dell’UE/SEE (e non soggetti al GDPR): queste clausole modernizzate sostituiranno i tre insiemi di clausole contrattuali tipo adottate ai sensi della precedente Direttiva sulla protezione dei dati 95/46.</w:t>
      </w:r>
    </w:p>
  </w:footnote>
  <w:footnote w:id="141">
    <w:p w14:paraId="40EE9193" w14:textId="2542DD85" w:rsidR="000463A6" w:rsidRPr="00547B29" w:rsidRDefault="000463A6" w:rsidP="00547B29">
      <w:pPr>
        <w:spacing w:after="0" w:line="240" w:lineRule="auto"/>
        <w:jc w:val="both"/>
        <w:rPr>
          <w:rFonts w:ascii="Times New Roman" w:hAnsi="Times New Roman" w:cs="Times New Roman"/>
        </w:rPr>
      </w:pPr>
      <w:r w:rsidRPr="00547B29">
        <w:rPr>
          <w:rStyle w:val="Rimandonotaapidipagina"/>
          <w:rFonts w:ascii="Times New Roman" w:hAnsi="Times New Roman" w:cs="Times New Roman"/>
          <w:sz w:val="24"/>
          <w:szCs w:val="24"/>
        </w:rPr>
        <w:footnoteRef/>
      </w:r>
      <w:r w:rsidRPr="00547B29">
        <w:rPr>
          <w:rFonts w:ascii="Times New Roman" w:hAnsi="Times New Roman" w:cs="Times New Roman"/>
          <w:sz w:val="24"/>
          <w:szCs w:val="24"/>
        </w:rPr>
        <w:t xml:space="preserve"> </w:t>
      </w:r>
      <w:r>
        <w:rPr>
          <w:rFonts w:ascii="Times New Roman" w:hAnsi="Times New Roman" w:cs="Times New Roman"/>
          <w:sz w:val="24"/>
          <w:szCs w:val="24"/>
        </w:rPr>
        <w:t xml:space="preserve">Per </w:t>
      </w:r>
      <w:r w:rsidRPr="00547B29">
        <w:rPr>
          <w:rFonts w:ascii="Times New Roman" w:hAnsi="Times New Roman" w:cs="Times New Roman"/>
          <w:sz w:val="24"/>
          <w:szCs w:val="24"/>
        </w:rPr>
        <w:t xml:space="preserve">quanto riguarda il </w:t>
      </w:r>
      <w:proofErr w:type="spellStart"/>
      <w:r w:rsidRPr="00547B29">
        <w:rPr>
          <w:rFonts w:ascii="Times New Roman" w:hAnsi="Times New Roman" w:cs="Times New Roman"/>
          <w:i/>
          <w:iCs/>
          <w:sz w:val="24"/>
          <w:szCs w:val="24"/>
        </w:rPr>
        <w:t>trade</w:t>
      </w:r>
      <w:proofErr w:type="spellEnd"/>
      <w:r w:rsidRPr="00547B29">
        <w:rPr>
          <w:rFonts w:ascii="Times New Roman" w:hAnsi="Times New Roman" w:cs="Times New Roman"/>
          <w:i/>
          <w:iCs/>
          <w:sz w:val="24"/>
          <w:szCs w:val="24"/>
        </w:rPr>
        <w:t>-off</w:t>
      </w:r>
      <w:r w:rsidRPr="00547B29">
        <w:rPr>
          <w:rFonts w:ascii="Times New Roman" w:hAnsi="Times New Roman" w:cs="Times New Roman"/>
          <w:sz w:val="24"/>
          <w:szCs w:val="24"/>
        </w:rPr>
        <w:t xml:space="preserve"> tra privacy e interesse pubblico, è utile menzionare la recente giurisprudenza della Corte EDU, che nella sentenza 36345/16 del 12 gennaio 2021 nel caso L.B. v. HUNGARY</w:t>
      </w:r>
      <w:r>
        <w:rPr>
          <w:rFonts w:ascii="Times New Roman" w:hAnsi="Times New Roman" w:cs="Times New Roman"/>
          <w:sz w:val="24"/>
          <w:szCs w:val="24"/>
        </w:rPr>
        <w:t>,</w:t>
      </w:r>
      <w:r w:rsidRPr="00547B29">
        <w:rPr>
          <w:rFonts w:ascii="Times New Roman" w:hAnsi="Times New Roman" w:cs="Times New Roman"/>
          <w:sz w:val="24"/>
          <w:szCs w:val="24"/>
        </w:rPr>
        <w:t xml:space="preserve"> ha mostrato una certa apertura verso una “deroga” ai principi in materia di privacy in nome dell’interesse pubblico, contestando che in alcuni casi la privacy non può divenire un ostacolo al controllo fiscale. La Corte </w:t>
      </w:r>
      <w:r>
        <w:rPr>
          <w:rFonts w:ascii="Times New Roman" w:hAnsi="Times New Roman" w:cs="Times New Roman"/>
          <w:sz w:val="24"/>
          <w:szCs w:val="24"/>
        </w:rPr>
        <w:t>ha contraddetto</w:t>
      </w:r>
      <w:r w:rsidRPr="00547B29">
        <w:rPr>
          <w:rFonts w:ascii="Times New Roman" w:hAnsi="Times New Roman" w:cs="Times New Roman"/>
          <w:sz w:val="24"/>
          <w:szCs w:val="24"/>
        </w:rPr>
        <w:t xml:space="preserve"> il </w:t>
      </w:r>
      <w:r>
        <w:rPr>
          <w:rFonts w:ascii="Times New Roman" w:hAnsi="Times New Roman" w:cs="Times New Roman"/>
          <w:sz w:val="24"/>
          <w:szCs w:val="24"/>
        </w:rPr>
        <w:t>G</w:t>
      </w:r>
      <w:r w:rsidRPr="00547B29">
        <w:rPr>
          <w:rFonts w:ascii="Times New Roman" w:hAnsi="Times New Roman" w:cs="Times New Roman"/>
          <w:sz w:val="24"/>
          <w:szCs w:val="24"/>
        </w:rPr>
        <w:t xml:space="preserve">arante </w:t>
      </w:r>
      <w:r>
        <w:rPr>
          <w:rFonts w:ascii="Times New Roman" w:hAnsi="Times New Roman" w:cs="Times New Roman"/>
          <w:sz w:val="24"/>
          <w:szCs w:val="24"/>
        </w:rPr>
        <w:t xml:space="preserve">della </w:t>
      </w:r>
      <w:r w:rsidRPr="00547B29">
        <w:rPr>
          <w:rFonts w:ascii="Times New Roman" w:hAnsi="Times New Roman" w:cs="Times New Roman"/>
          <w:sz w:val="24"/>
          <w:szCs w:val="24"/>
        </w:rPr>
        <w:t>privacy ung</w:t>
      </w:r>
      <w:r>
        <w:rPr>
          <w:rFonts w:ascii="Times New Roman" w:hAnsi="Times New Roman" w:cs="Times New Roman"/>
          <w:sz w:val="24"/>
          <w:szCs w:val="24"/>
        </w:rPr>
        <w:t>he</w:t>
      </w:r>
      <w:r w:rsidRPr="00547B29">
        <w:rPr>
          <w:rFonts w:ascii="Times New Roman" w:hAnsi="Times New Roman" w:cs="Times New Roman"/>
          <w:sz w:val="24"/>
          <w:szCs w:val="24"/>
        </w:rPr>
        <w:t>rese</w:t>
      </w:r>
      <w:r>
        <w:rPr>
          <w:rFonts w:ascii="Times New Roman" w:hAnsi="Times New Roman" w:cs="Times New Roman"/>
          <w:sz w:val="24"/>
          <w:szCs w:val="24"/>
        </w:rPr>
        <w:t>,</w:t>
      </w:r>
      <w:r w:rsidRPr="00547B29">
        <w:rPr>
          <w:rFonts w:ascii="Times New Roman" w:hAnsi="Times New Roman" w:cs="Times New Roman"/>
          <w:sz w:val="24"/>
          <w:szCs w:val="24"/>
        </w:rPr>
        <w:t xml:space="preserve"> affermando che è ammissibile la pubblicazione sul sito dell’autorità fiscale dei dati dei contribuenti che non hanno pagato le tasse. Secondo la Corte, in un’opera di bilanciamento degli interessi, la riservatezza di questi dati (nome, indirizzo, morosità fiscali) può cedere il passo all’interesse pubblico alla trasparenza sull’affidabilità economica delle persone: prevale la considerazione che chi non adempie agli obblighi fiscali costituisce una minaccia per gli interessi di chi potrebbe entrarvi in contatto per stringere rapporti commerciali.</w:t>
      </w:r>
    </w:p>
  </w:footnote>
  <w:footnote w:id="142">
    <w:p w14:paraId="4BFB6181" w14:textId="77777777" w:rsidR="000463A6" w:rsidRPr="007C7A04" w:rsidRDefault="000463A6" w:rsidP="000021BF">
      <w:pPr>
        <w:pStyle w:val="Testonotaapidipagina"/>
        <w:jc w:val="both"/>
        <w:rPr>
          <w:rFonts w:ascii="Times New Roman" w:hAnsi="Times New Roman" w:cs="Times New Roman"/>
          <w:sz w:val="24"/>
          <w:szCs w:val="24"/>
        </w:rPr>
      </w:pPr>
      <w:r w:rsidRPr="007C7A04">
        <w:rPr>
          <w:rStyle w:val="Rimandonotaapidipagina"/>
          <w:rFonts w:ascii="Times New Roman" w:hAnsi="Times New Roman" w:cs="Times New Roman"/>
          <w:sz w:val="24"/>
          <w:szCs w:val="24"/>
        </w:rPr>
        <w:footnoteRef/>
      </w:r>
      <w:r w:rsidRPr="007C7A04">
        <w:rPr>
          <w:rFonts w:ascii="Times New Roman" w:hAnsi="Times New Roman" w:cs="Times New Roman"/>
          <w:sz w:val="24"/>
          <w:szCs w:val="24"/>
        </w:rPr>
        <w:t xml:space="preserve"> Il testo dell’indagine conoscitiva è accessibile da </w:t>
      </w:r>
      <w:hyperlink r:id="rId31" w:history="1">
        <w:r w:rsidRPr="007C7A04">
          <w:rPr>
            <w:rStyle w:val="Collegamentoipertestuale"/>
            <w:rFonts w:ascii="Times New Roman" w:hAnsi="Times New Roman" w:cs="Times New Roman"/>
            <w:sz w:val="24"/>
            <w:szCs w:val="24"/>
          </w:rPr>
          <w:t>https://www.garanteprivacy.it/documents/10160/0/Indagine+conoscitiva+sui+Big+Data.pdf/58490808-c024-bf04-7e4e-e953b3d38a9a?version=1.0</w:t>
        </w:r>
      </w:hyperlink>
      <w:r w:rsidRPr="007C7A04">
        <w:rPr>
          <w:rFonts w:ascii="Times New Roman" w:hAnsi="Times New Roman" w:cs="Times New Roman"/>
          <w:sz w:val="24"/>
          <w:szCs w:val="24"/>
        </w:rPr>
        <w:t xml:space="preserve">. Interessante, sul punto, </w:t>
      </w:r>
      <w:r w:rsidRPr="007C7A04">
        <w:rPr>
          <w:rFonts w:ascii="Times New Roman" w:hAnsi="Times New Roman" w:cs="Times New Roman"/>
          <w:smallCaps/>
          <w:sz w:val="24"/>
          <w:szCs w:val="24"/>
        </w:rPr>
        <w:t xml:space="preserve">G. </w:t>
      </w:r>
      <w:proofErr w:type="spellStart"/>
      <w:r w:rsidRPr="007C7A04">
        <w:rPr>
          <w:rFonts w:ascii="Times New Roman" w:hAnsi="Times New Roman" w:cs="Times New Roman"/>
          <w:smallCaps/>
          <w:sz w:val="24"/>
          <w:szCs w:val="24"/>
        </w:rPr>
        <w:t>Busia</w:t>
      </w:r>
      <w:proofErr w:type="spellEnd"/>
      <w:r w:rsidRPr="007C7A04">
        <w:rPr>
          <w:rFonts w:ascii="Times New Roman" w:hAnsi="Times New Roman" w:cs="Times New Roman"/>
          <w:smallCaps/>
          <w:sz w:val="24"/>
          <w:szCs w:val="24"/>
        </w:rPr>
        <w:t>, L. Ferola</w:t>
      </w:r>
      <w:r w:rsidRPr="007C7A04">
        <w:rPr>
          <w:rFonts w:ascii="Times New Roman" w:hAnsi="Times New Roman" w:cs="Times New Roman"/>
          <w:sz w:val="24"/>
          <w:szCs w:val="24"/>
        </w:rPr>
        <w:t xml:space="preserve">, </w:t>
      </w:r>
      <w:r>
        <w:rPr>
          <w:rFonts w:ascii="Times New Roman" w:hAnsi="Times New Roman" w:cs="Times New Roman"/>
          <w:sz w:val="24"/>
          <w:szCs w:val="24"/>
        </w:rPr>
        <w:t>“</w:t>
      </w:r>
      <w:r w:rsidRPr="007C7A04">
        <w:rPr>
          <w:rFonts w:ascii="Times New Roman" w:hAnsi="Times New Roman" w:cs="Times New Roman"/>
          <w:i/>
          <w:iCs/>
          <w:sz w:val="24"/>
          <w:szCs w:val="24"/>
        </w:rPr>
        <w:t>Il Garante per la protezione dei dati personali: le funzioni, i rapporti con le altre Istituzioni ed Autorità in Italia e in Europa</w:t>
      </w:r>
      <w:r>
        <w:rPr>
          <w:rFonts w:ascii="Times New Roman" w:hAnsi="Times New Roman" w:cs="Times New Roman"/>
          <w:sz w:val="24"/>
          <w:szCs w:val="24"/>
        </w:rPr>
        <w:t>”</w:t>
      </w:r>
      <w:r w:rsidRPr="007C7A04">
        <w:rPr>
          <w:rFonts w:ascii="Times New Roman" w:hAnsi="Times New Roman" w:cs="Times New Roman"/>
          <w:sz w:val="24"/>
          <w:szCs w:val="24"/>
        </w:rPr>
        <w:t xml:space="preserve">, in </w:t>
      </w:r>
      <w:r w:rsidRPr="007C7A04">
        <w:rPr>
          <w:rFonts w:ascii="Times New Roman" w:hAnsi="Times New Roman" w:cs="Times New Roman"/>
          <w:smallCaps/>
          <w:sz w:val="24"/>
          <w:szCs w:val="24"/>
        </w:rPr>
        <w:t xml:space="preserve">G. </w:t>
      </w:r>
      <w:proofErr w:type="spellStart"/>
      <w:r w:rsidRPr="007C7A04">
        <w:rPr>
          <w:rFonts w:ascii="Times New Roman" w:hAnsi="Times New Roman" w:cs="Times New Roman"/>
          <w:smallCaps/>
          <w:sz w:val="24"/>
          <w:szCs w:val="24"/>
        </w:rPr>
        <w:t>Busia</w:t>
      </w:r>
      <w:proofErr w:type="spellEnd"/>
      <w:r w:rsidRPr="007C7A04">
        <w:rPr>
          <w:rFonts w:ascii="Times New Roman" w:hAnsi="Times New Roman" w:cs="Times New Roman"/>
          <w:smallCaps/>
          <w:sz w:val="24"/>
          <w:szCs w:val="24"/>
        </w:rPr>
        <w:t>, L. Liguori, O. Pollicino</w:t>
      </w:r>
      <w:r w:rsidRPr="007C7A04">
        <w:rPr>
          <w:rFonts w:ascii="Times New Roman" w:hAnsi="Times New Roman" w:cs="Times New Roman"/>
          <w:sz w:val="24"/>
          <w:szCs w:val="24"/>
        </w:rPr>
        <w:t xml:space="preserve"> (a cura di), </w:t>
      </w:r>
      <w:r>
        <w:rPr>
          <w:rFonts w:ascii="Times New Roman" w:hAnsi="Times New Roman" w:cs="Times New Roman"/>
          <w:sz w:val="24"/>
          <w:szCs w:val="24"/>
        </w:rPr>
        <w:t>“</w:t>
      </w:r>
      <w:r w:rsidRPr="007C7A04">
        <w:rPr>
          <w:rFonts w:ascii="Times New Roman" w:hAnsi="Times New Roman" w:cs="Times New Roman"/>
          <w:i/>
          <w:iCs/>
          <w:sz w:val="24"/>
          <w:szCs w:val="24"/>
        </w:rPr>
        <w:t>Le nuove frontiere della privacy nelle tecnologie digitali: bilanci e prospettive</w:t>
      </w:r>
      <w:r>
        <w:rPr>
          <w:rFonts w:ascii="Times New Roman" w:hAnsi="Times New Roman" w:cs="Times New Roman"/>
          <w:sz w:val="24"/>
          <w:szCs w:val="24"/>
        </w:rPr>
        <w:t>”</w:t>
      </w:r>
      <w:r w:rsidRPr="007C7A04">
        <w:rPr>
          <w:rFonts w:ascii="Times New Roman" w:hAnsi="Times New Roman" w:cs="Times New Roman"/>
          <w:sz w:val="24"/>
          <w:szCs w:val="24"/>
        </w:rPr>
        <w:t xml:space="preserve">, </w:t>
      </w:r>
      <w:proofErr w:type="spellStart"/>
      <w:r w:rsidRPr="007C7A04">
        <w:rPr>
          <w:rFonts w:ascii="Times New Roman" w:hAnsi="Times New Roman" w:cs="Times New Roman"/>
          <w:sz w:val="24"/>
          <w:szCs w:val="24"/>
        </w:rPr>
        <w:t>Aracne</w:t>
      </w:r>
      <w:proofErr w:type="spellEnd"/>
      <w:r w:rsidRPr="007C7A04">
        <w:rPr>
          <w:rFonts w:ascii="Times New Roman" w:hAnsi="Times New Roman" w:cs="Times New Roman"/>
          <w:sz w:val="24"/>
          <w:szCs w:val="24"/>
        </w:rPr>
        <w:t>, 2016.</w:t>
      </w:r>
    </w:p>
  </w:footnote>
  <w:footnote w:id="143">
    <w:p w14:paraId="05D87167" w14:textId="77777777" w:rsidR="000463A6" w:rsidRPr="00186D1E" w:rsidRDefault="000463A6" w:rsidP="000021BF">
      <w:pPr>
        <w:pStyle w:val="Testonotaapidipagina"/>
        <w:jc w:val="both"/>
        <w:rPr>
          <w:rFonts w:ascii="Times New Roman" w:hAnsi="Times New Roman" w:cs="Times New Roman"/>
          <w:sz w:val="24"/>
          <w:szCs w:val="24"/>
        </w:rPr>
      </w:pPr>
      <w:r w:rsidRPr="00186D1E">
        <w:rPr>
          <w:rStyle w:val="Rimandonotaapidipagina"/>
          <w:rFonts w:ascii="Times New Roman" w:hAnsi="Times New Roman" w:cs="Times New Roman"/>
          <w:sz w:val="24"/>
          <w:szCs w:val="24"/>
        </w:rPr>
        <w:footnoteRef/>
      </w:r>
      <w:r w:rsidRPr="00186D1E">
        <w:rPr>
          <w:rFonts w:ascii="Times New Roman" w:hAnsi="Times New Roman" w:cs="Times New Roman"/>
          <w:sz w:val="24"/>
          <w:szCs w:val="24"/>
        </w:rPr>
        <w:t xml:space="preserve"> Accessibile da </w:t>
      </w:r>
      <w:hyperlink r:id="rId32" w:history="1">
        <w:r w:rsidRPr="00186D1E">
          <w:rPr>
            <w:rStyle w:val="Collegamentoipertestuale"/>
            <w:rFonts w:ascii="Times New Roman" w:hAnsi="Times New Roman" w:cs="Times New Roman"/>
            <w:sz w:val="24"/>
            <w:szCs w:val="24"/>
          </w:rPr>
          <w:t>https://edps.europa.eu/system/files/2021-02/21-02-10-opinion_on_digital_markets_act_en.pdf</w:t>
        </w:r>
      </w:hyperlink>
      <w:r w:rsidRPr="00186D1E">
        <w:rPr>
          <w:rFonts w:ascii="Times New Roman" w:hAnsi="Times New Roman" w:cs="Times New Roman"/>
          <w:sz w:val="24"/>
          <w:szCs w:val="24"/>
        </w:rPr>
        <w:t>.</w:t>
      </w:r>
    </w:p>
  </w:footnote>
  <w:footnote w:id="144">
    <w:p w14:paraId="5B83373C" w14:textId="77777777" w:rsidR="000463A6" w:rsidRPr="00AC6686" w:rsidRDefault="000463A6" w:rsidP="000021BF">
      <w:pPr>
        <w:pStyle w:val="Testonotaapidipagina"/>
        <w:jc w:val="both"/>
        <w:rPr>
          <w:rFonts w:ascii="Times New Roman" w:hAnsi="Times New Roman" w:cs="Times New Roman"/>
          <w:sz w:val="24"/>
          <w:szCs w:val="24"/>
        </w:rPr>
      </w:pPr>
      <w:r w:rsidRPr="00AC6686">
        <w:rPr>
          <w:rStyle w:val="Rimandonotaapidipagina"/>
          <w:rFonts w:ascii="Times New Roman" w:hAnsi="Times New Roman" w:cs="Times New Roman"/>
          <w:sz w:val="24"/>
          <w:szCs w:val="24"/>
        </w:rPr>
        <w:footnoteRef/>
      </w:r>
      <w:r w:rsidRPr="00AC6686">
        <w:rPr>
          <w:rFonts w:ascii="Times New Roman" w:hAnsi="Times New Roman" w:cs="Times New Roman"/>
          <w:sz w:val="24"/>
          <w:szCs w:val="24"/>
        </w:rPr>
        <w:t xml:space="preserve"> In conclusione, sul tema dei rischi che la condivisione dei dati così come regolata nelle nuove proposte EU (DGA, DSA, DMA), può far correre agli interessati, minacciando in tal modo di violare proprio il GDPR, si veda il commento dell’ex Garante della Privacy, </w:t>
      </w:r>
      <w:r w:rsidRPr="00AC6686">
        <w:rPr>
          <w:rFonts w:ascii="Times New Roman" w:hAnsi="Times New Roman" w:cs="Times New Roman"/>
          <w:smallCaps/>
          <w:sz w:val="24"/>
          <w:szCs w:val="24"/>
        </w:rPr>
        <w:t>F. Pizzetti</w:t>
      </w:r>
      <w:r w:rsidRPr="00AC6686">
        <w:rPr>
          <w:rFonts w:ascii="Times New Roman" w:hAnsi="Times New Roman" w:cs="Times New Roman"/>
          <w:sz w:val="24"/>
          <w:szCs w:val="24"/>
        </w:rPr>
        <w:t>, “</w:t>
      </w:r>
      <w:r w:rsidRPr="00AC6686">
        <w:rPr>
          <w:rFonts w:ascii="Times New Roman" w:hAnsi="Times New Roman" w:cs="Times New Roman"/>
          <w:i/>
          <w:iCs/>
          <w:sz w:val="24"/>
          <w:szCs w:val="24"/>
        </w:rPr>
        <w:t>La nuova era digitale europea ha un problema privacy, bene EDPB-EDPS</w:t>
      </w:r>
      <w:r w:rsidRPr="00AC6686">
        <w:rPr>
          <w:rFonts w:ascii="Times New Roman" w:hAnsi="Times New Roman" w:cs="Times New Roman"/>
          <w:sz w:val="24"/>
          <w:szCs w:val="24"/>
        </w:rPr>
        <w:t xml:space="preserve">” su </w:t>
      </w:r>
      <w:r w:rsidRPr="00AC6686">
        <w:rPr>
          <w:rFonts w:ascii="Times New Roman" w:hAnsi="Times New Roman" w:cs="Times New Roman"/>
          <w:i/>
          <w:iCs/>
          <w:sz w:val="24"/>
          <w:szCs w:val="24"/>
        </w:rPr>
        <w:t>agendadigitale.eu</w:t>
      </w:r>
      <w:r w:rsidRPr="00AC6686">
        <w:rPr>
          <w:rFonts w:ascii="Times New Roman" w:hAnsi="Times New Roman" w:cs="Times New Roman"/>
          <w:sz w:val="24"/>
          <w:szCs w:val="24"/>
        </w:rPr>
        <w:t xml:space="preserve">, in cui si mette in luce l’importanza del parere dell’EDPB e dell’EDPS sulle proposte </w:t>
      </w:r>
      <w:proofErr w:type="spellStart"/>
      <w:r w:rsidRPr="00AC6686">
        <w:rPr>
          <w:rFonts w:ascii="Times New Roman" w:hAnsi="Times New Roman" w:cs="Times New Roman"/>
          <w:sz w:val="24"/>
          <w:szCs w:val="24"/>
        </w:rPr>
        <w:t>regolatorie</w:t>
      </w:r>
      <w:proofErr w:type="spellEnd"/>
      <w:r w:rsidRPr="00AC6686">
        <w:rPr>
          <w:rFonts w:ascii="Times New Roman" w:hAnsi="Times New Roman" w:cs="Times New Roman"/>
          <w:sz w:val="24"/>
          <w:szCs w:val="24"/>
        </w:rPr>
        <w:t xml:space="preserve"> della Commissione contenute nel DGA, nel DMA e nel DSA</w:t>
      </w:r>
      <w:r>
        <w:rPr>
          <w:rFonts w:ascii="Times New Roman" w:hAnsi="Times New Roman" w:cs="Times New Roman"/>
          <w:sz w:val="24"/>
          <w:szCs w:val="24"/>
        </w:rPr>
        <w:t>, parere</w:t>
      </w:r>
      <w:r w:rsidRPr="00AC6686">
        <w:rPr>
          <w:rFonts w:ascii="Times New Roman" w:hAnsi="Times New Roman" w:cs="Times New Roman"/>
          <w:sz w:val="24"/>
          <w:szCs w:val="24"/>
        </w:rPr>
        <w:t xml:space="preserve"> reso pubblico il 18 novembre 2021 sul sito del Garante privacy italiano.</w:t>
      </w:r>
    </w:p>
  </w:footnote>
  <w:footnote w:id="145">
    <w:p w14:paraId="4C295DCF" w14:textId="48B2EB0C" w:rsidR="000463A6" w:rsidRPr="00AE1216" w:rsidRDefault="000463A6" w:rsidP="00AE1216">
      <w:pPr>
        <w:pStyle w:val="Testonotaapidipagina"/>
        <w:jc w:val="both"/>
        <w:rPr>
          <w:rFonts w:ascii="Times New Roman" w:hAnsi="Times New Roman" w:cs="Times New Roman"/>
          <w:sz w:val="24"/>
          <w:szCs w:val="24"/>
        </w:rPr>
      </w:pPr>
      <w:r w:rsidRPr="00AE1216">
        <w:rPr>
          <w:rStyle w:val="Rimandonotaapidipagina"/>
          <w:rFonts w:ascii="Times New Roman" w:hAnsi="Times New Roman" w:cs="Times New Roman"/>
          <w:sz w:val="24"/>
          <w:szCs w:val="24"/>
        </w:rPr>
        <w:footnoteRef/>
      </w:r>
      <w:r w:rsidRPr="00AE1216">
        <w:rPr>
          <w:rFonts w:ascii="Times New Roman" w:hAnsi="Times New Roman" w:cs="Times New Roman"/>
          <w:sz w:val="24"/>
          <w:szCs w:val="24"/>
        </w:rPr>
        <w:t xml:space="preserve"> Tra i soggetti pubblici capaci di arginare lo strapotere delle piattaforme, l’Antitrust ha sempre svolto un ruolo fondamentale. Si pensi anche alle ultime vicende che hanno visto coinvolta la società fondata da Jeff </w:t>
      </w:r>
      <w:proofErr w:type="spellStart"/>
      <w:r w:rsidRPr="00AE1216">
        <w:rPr>
          <w:rFonts w:ascii="Times New Roman" w:hAnsi="Times New Roman" w:cs="Times New Roman"/>
          <w:sz w:val="24"/>
          <w:szCs w:val="24"/>
        </w:rPr>
        <w:t>Bezos</w:t>
      </w:r>
      <w:proofErr w:type="spellEnd"/>
      <w:r w:rsidRPr="00AE1216">
        <w:rPr>
          <w:rFonts w:ascii="Times New Roman" w:hAnsi="Times New Roman" w:cs="Times New Roman"/>
          <w:sz w:val="24"/>
          <w:szCs w:val="24"/>
        </w:rPr>
        <w:t xml:space="preserve">. L’AGCM ha irrogato una sanzione di oltre 1 miliardo di euro ad Amazon per abuso di posizione dominante. La multa inflitta riguarda i comportamenti discriminatori posti in essere da Amazon nei confronti dei venditori che non si affidano alla sua logistica: praticamente il colosso americano ha creato un canale preferenziale per i commercianti che seguono le sue scelte logistiche (es. aderire a creare un negozio virtuale sul suo sito) ed ha dato preferenza agli acquirenti </w:t>
      </w:r>
      <w:r w:rsidRPr="00AE1216">
        <w:rPr>
          <w:rFonts w:ascii="Times New Roman" w:hAnsi="Times New Roman" w:cs="Times New Roman"/>
          <w:i/>
          <w:iCs/>
          <w:sz w:val="24"/>
          <w:szCs w:val="24"/>
        </w:rPr>
        <w:t>Prime</w:t>
      </w:r>
      <w:r w:rsidRPr="00AE1216">
        <w:rPr>
          <w:rFonts w:ascii="Times New Roman" w:hAnsi="Times New Roman" w:cs="Times New Roman"/>
          <w:sz w:val="24"/>
          <w:szCs w:val="24"/>
        </w:rPr>
        <w:t xml:space="preserve"> a maggior capacità di spesa. L’azienda fondata da Jeff </w:t>
      </w:r>
      <w:proofErr w:type="spellStart"/>
      <w:r w:rsidRPr="00AE1216">
        <w:rPr>
          <w:rFonts w:ascii="Times New Roman" w:hAnsi="Times New Roman" w:cs="Times New Roman"/>
          <w:sz w:val="24"/>
          <w:szCs w:val="24"/>
        </w:rPr>
        <w:t>Bezos</w:t>
      </w:r>
      <w:proofErr w:type="spellEnd"/>
      <w:r w:rsidRPr="00AE1216">
        <w:rPr>
          <w:rFonts w:ascii="Times New Roman" w:hAnsi="Times New Roman" w:cs="Times New Roman"/>
          <w:sz w:val="24"/>
          <w:szCs w:val="24"/>
        </w:rPr>
        <w:t xml:space="preserve"> avrebbe sfruttato queste dinamiche per condizionare il mercato in termini distorsivi. L’azione è stata promossa per violazione dell’art. 102 del TFUE che, come noto, vieta “</w:t>
      </w:r>
      <w:r w:rsidRPr="00AE1216">
        <w:rPr>
          <w:rFonts w:ascii="Times New Roman" w:hAnsi="Times New Roman" w:cs="Times New Roman"/>
          <w:i/>
          <w:iCs/>
          <w:sz w:val="24"/>
          <w:szCs w:val="24"/>
        </w:rPr>
        <w:t>lo sfruttamento abusivo da parte di una o più imprese di una posizione dominante sul mercato interno o su una parte sostanziale di questo</w:t>
      </w:r>
      <w:r w:rsidRPr="00AE1216">
        <w:rPr>
          <w:rFonts w:ascii="Times New Roman" w:hAnsi="Times New Roman" w:cs="Times New Roman"/>
          <w:sz w:val="24"/>
          <w:szCs w:val="24"/>
        </w:rPr>
        <w:t xml:space="preserve">”. Siccome durante il </w:t>
      </w:r>
      <w:proofErr w:type="spellStart"/>
      <w:r w:rsidRPr="00AE1216">
        <w:rPr>
          <w:rFonts w:ascii="Times New Roman" w:hAnsi="Times New Roman" w:cs="Times New Roman"/>
          <w:sz w:val="24"/>
          <w:szCs w:val="24"/>
        </w:rPr>
        <w:t>lockdown</w:t>
      </w:r>
      <w:proofErr w:type="spellEnd"/>
      <w:r w:rsidRPr="00AE1216">
        <w:rPr>
          <w:rFonts w:ascii="Times New Roman" w:hAnsi="Times New Roman" w:cs="Times New Roman"/>
          <w:sz w:val="24"/>
          <w:szCs w:val="24"/>
        </w:rPr>
        <w:t xml:space="preserve"> l’Italia è stata una delle nazioni dove Amazon è cresciuta di più (il 75% degli italiani ha fatto acquisti </w:t>
      </w:r>
      <w:r w:rsidRPr="00AE1216">
        <w:rPr>
          <w:rFonts w:ascii="Times New Roman" w:hAnsi="Times New Roman" w:cs="Times New Roman"/>
          <w:i/>
          <w:iCs/>
          <w:sz w:val="24"/>
          <w:szCs w:val="24"/>
        </w:rPr>
        <w:t>online</w:t>
      </w:r>
      <w:r w:rsidRPr="00AE1216">
        <w:rPr>
          <w:rFonts w:ascii="Times New Roman" w:hAnsi="Times New Roman" w:cs="Times New Roman"/>
          <w:sz w:val="24"/>
          <w:szCs w:val="24"/>
        </w:rPr>
        <w:t xml:space="preserve">), l’impresa ne ha approfittato per aumentare non solo le vendite di beni materiali, ma anche per collezionare dati e creare </w:t>
      </w:r>
      <w:proofErr w:type="spellStart"/>
      <w:r w:rsidRPr="00AE1216">
        <w:rPr>
          <w:rFonts w:ascii="Times New Roman" w:hAnsi="Times New Roman" w:cs="Times New Roman"/>
          <w:sz w:val="24"/>
          <w:szCs w:val="24"/>
        </w:rPr>
        <w:t>profilazioni</w:t>
      </w:r>
      <w:proofErr w:type="spellEnd"/>
      <w:r w:rsidRPr="00AE1216">
        <w:rPr>
          <w:rFonts w:ascii="Times New Roman" w:hAnsi="Times New Roman" w:cs="Times New Roman"/>
          <w:sz w:val="24"/>
          <w:szCs w:val="24"/>
        </w:rPr>
        <w:t xml:space="preserve"> dei consumatori (le merci sono uno strumento per arrivare ai dati degli utenti), crescendo sul mercato a un prezzo e con modalità che ne hanno distorto il meccanismo, penalizzando i concorrenti incapaci di stare al passo. Le conseguenze e gli effetti della sua posizione dominante hanno portato l’Antitrust italiana ad agire. Qui il testo del provvedimento: </w:t>
      </w:r>
      <w:hyperlink r:id="rId33" w:history="1">
        <w:r w:rsidRPr="00AE1216">
          <w:rPr>
            <w:rStyle w:val="Collegamentoipertestuale"/>
            <w:rFonts w:ascii="Times New Roman" w:hAnsi="Times New Roman" w:cs="Times New Roman"/>
            <w:sz w:val="24"/>
            <w:szCs w:val="24"/>
          </w:rPr>
          <w:t>https://www.agcm.it/dotcmsdoc/allegati-news/A528_chiusura%20istruttoria.pdf</w:t>
        </w:r>
      </w:hyperlink>
      <w:r w:rsidRPr="00AE1216">
        <w:rPr>
          <w:rFonts w:ascii="Times New Roman" w:hAnsi="Times New Roman" w:cs="Times New Roman"/>
          <w:sz w:val="24"/>
          <w:szCs w:val="24"/>
        </w:rPr>
        <w:t>.</w:t>
      </w:r>
    </w:p>
  </w:footnote>
  <w:footnote w:id="146">
    <w:p w14:paraId="21678589" w14:textId="1CBEE31F" w:rsidR="000463A6" w:rsidRPr="00BC58EB" w:rsidRDefault="000463A6" w:rsidP="00BC58EB">
      <w:pPr>
        <w:pStyle w:val="Testonotaapidipagina"/>
        <w:jc w:val="both"/>
        <w:rPr>
          <w:rFonts w:ascii="Times New Roman" w:hAnsi="Times New Roman" w:cs="Times New Roman"/>
          <w:sz w:val="24"/>
          <w:szCs w:val="24"/>
          <w:lang w:val="en-US"/>
        </w:rPr>
      </w:pPr>
      <w:r w:rsidRPr="00BC58EB">
        <w:rPr>
          <w:rStyle w:val="Rimandonotaapidipagina"/>
          <w:rFonts w:ascii="Times New Roman" w:hAnsi="Times New Roman" w:cs="Times New Roman"/>
          <w:sz w:val="24"/>
          <w:szCs w:val="24"/>
        </w:rPr>
        <w:footnoteRef/>
      </w:r>
      <w:r w:rsidRPr="00BC58EB">
        <w:rPr>
          <w:rFonts w:ascii="Times New Roman" w:hAnsi="Times New Roman" w:cs="Times New Roman"/>
          <w:sz w:val="24"/>
          <w:szCs w:val="24"/>
          <w:lang w:val="en-US"/>
        </w:rPr>
        <w:t xml:space="preserve"> </w:t>
      </w:r>
      <w:r w:rsidRPr="00BC58EB">
        <w:rPr>
          <w:rFonts w:ascii="Times New Roman" w:hAnsi="Times New Roman" w:cs="Times New Roman"/>
          <w:smallCaps/>
          <w:sz w:val="24"/>
          <w:szCs w:val="24"/>
          <w:lang w:val="en-US"/>
        </w:rPr>
        <w:t xml:space="preserve">R. </w:t>
      </w:r>
      <w:proofErr w:type="spellStart"/>
      <w:r w:rsidRPr="00BC58EB">
        <w:rPr>
          <w:rFonts w:ascii="Times New Roman" w:hAnsi="Times New Roman" w:cs="Times New Roman"/>
          <w:smallCaps/>
          <w:sz w:val="24"/>
          <w:szCs w:val="24"/>
          <w:lang w:val="en-US"/>
        </w:rPr>
        <w:t>Mardon</w:t>
      </w:r>
      <w:proofErr w:type="spellEnd"/>
      <w:r w:rsidRPr="00BC58EB">
        <w:rPr>
          <w:rFonts w:ascii="Times New Roman" w:hAnsi="Times New Roman" w:cs="Times New Roman"/>
          <w:sz w:val="24"/>
          <w:szCs w:val="24"/>
          <w:lang w:val="en-US"/>
        </w:rPr>
        <w:t>, “</w:t>
      </w:r>
      <w:r w:rsidRPr="00BC58EB">
        <w:rPr>
          <w:rFonts w:ascii="Times New Roman" w:hAnsi="Times New Roman" w:cs="Times New Roman"/>
          <w:i/>
          <w:iCs/>
          <w:sz w:val="24"/>
          <w:szCs w:val="24"/>
          <w:lang w:val="en-US"/>
        </w:rPr>
        <w:t>The relationship between ownership and possession: observations from the context of digital virtual goods</w:t>
      </w:r>
      <w:r w:rsidRPr="00BC58EB">
        <w:rPr>
          <w:rFonts w:ascii="Times New Roman" w:hAnsi="Times New Roman" w:cs="Times New Roman"/>
          <w:sz w:val="24"/>
          <w:szCs w:val="24"/>
          <w:lang w:val="en-US"/>
        </w:rPr>
        <w:t>”, 2016.</w:t>
      </w:r>
    </w:p>
  </w:footnote>
  <w:footnote w:id="147">
    <w:p w14:paraId="40EF8D6B" w14:textId="7E90F9BA" w:rsidR="000463A6" w:rsidRPr="00B001FE" w:rsidRDefault="000463A6" w:rsidP="00B001FE">
      <w:pPr>
        <w:pStyle w:val="Testonotaapidipagina"/>
        <w:jc w:val="both"/>
        <w:rPr>
          <w:rFonts w:ascii="Times New Roman" w:hAnsi="Times New Roman" w:cs="Times New Roman"/>
          <w:sz w:val="24"/>
          <w:szCs w:val="24"/>
        </w:rPr>
      </w:pPr>
      <w:r w:rsidRPr="00B001FE">
        <w:rPr>
          <w:rStyle w:val="Rimandonotaapidipagina"/>
          <w:rFonts w:ascii="Times New Roman" w:hAnsi="Times New Roman" w:cs="Times New Roman"/>
          <w:sz w:val="24"/>
          <w:szCs w:val="24"/>
        </w:rPr>
        <w:footnoteRef/>
      </w:r>
      <w:r w:rsidRPr="00B001FE">
        <w:rPr>
          <w:rFonts w:ascii="Times New Roman" w:hAnsi="Times New Roman" w:cs="Times New Roman"/>
          <w:sz w:val="24"/>
          <w:szCs w:val="24"/>
        </w:rPr>
        <w:t xml:space="preserve"> </w:t>
      </w:r>
      <w:r w:rsidRPr="00B001FE">
        <w:rPr>
          <w:rFonts w:ascii="Times New Roman" w:hAnsi="Times New Roman" w:cs="Times New Roman"/>
          <w:smallCaps/>
          <w:sz w:val="24"/>
          <w:szCs w:val="24"/>
        </w:rPr>
        <w:t>G. Marino</w:t>
      </w:r>
      <w:r w:rsidRPr="00B001FE">
        <w:rPr>
          <w:rFonts w:ascii="Times New Roman" w:hAnsi="Times New Roman" w:cs="Times New Roman"/>
          <w:sz w:val="24"/>
          <w:szCs w:val="24"/>
        </w:rPr>
        <w:t>, “</w:t>
      </w:r>
      <w:r w:rsidRPr="00B001FE">
        <w:rPr>
          <w:rFonts w:ascii="Times New Roman" w:hAnsi="Times New Roman" w:cs="Times New Roman"/>
          <w:i/>
          <w:iCs/>
          <w:sz w:val="24"/>
          <w:szCs w:val="24"/>
        </w:rPr>
        <w:t>La successione digitale</w:t>
      </w:r>
      <w:r w:rsidRPr="00050E59">
        <w:rPr>
          <w:rFonts w:ascii="Times New Roman" w:hAnsi="Times New Roman" w:cs="Times New Roman"/>
          <w:sz w:val="24"/>
          <w:szCs w:val="24"/>
        </w:rPr>
        <w:t xml:space="preserve">”, </w:t>
      </w:r>
      <w:r w:rsidRPr="00B001FE">
        <w:rPr>
          <w:rFonts w:ascii="Times New Roman" w:hAnsi="Times New Roman" w:cs="Times New Roman"/>
          <w:sz w:val="24"/>
          <w:szCs w:val="24"/>
        </w:rPr>
        <w:t xml:space="preserve">in </w:t>
      </w:r>
      <w:proofErr w:type="spellStart"/>
      <w:r w:rsidRPr="00B001FE">
        <w:rPr>
          <w:rFonts w:ascii="Times New Roman" w:hAnsi="Times New Roman" w:cs="Times New Roman"/>
          <w:i/>
          <w:iCs/>
          <w:sz w:val="24"/>
          <w:szCs w:val="24"/>
        </w:rPr>
        <w:t>Oss</w:t>
      </w:r>
      <w:proofErr w:type="spellEnd"/>
      <w:r w:rsidRPr="00B001FE">
        <w:rPr>
          <w:rFonts w:ascii="Times New Roman" w:hAnsi="Times New Roman" w:cs="Times New Roman"/>
          <w:i/>
          <w:iCs/>
          <w:sz w:val="24"/>
          <w:szCs w:val="24"/>
        </w:rPr>
        <w:t>.</w:t>
      </w:r>
      <w:r>
        <w:rPr>
          <w:rFonts w:ascii="Times New Roman" w:hAnsi="Times New Roman" w:cs="Times New Roman"/>
          <w:i/>
          <w:iCs/>
          <w:sz w:val="24"/>
          <w:szCs w:val="24"/>
        </w:rPr>
        <w:t xml:space="preserve"> </w:t>
      </w:r>
      <w:r w:rsidRPr="00B001FE">
        <w:rPr>
          <w:rFonts w:ascii="Times New Roman" w:hAnsi="Times New Roman" w:cs="Times New Roman"/>
          <w:i/>
          <w:iCs/>
          <w:sz w:val="24"/>
          <w:szCs w:val="24"/>
        </w:rPr>
        <w:t>dir.</w:t>
      </w:r>
      <w:r>
        <w:rPr>
          <w:rFonts w:ascii="Times New Roman" w:hAnsi="Times New Roman" w:cs="Times New Roman"/>
          <w:i/>
          <w:iCs/>
          <w:sz w:val="24"/>
          <w:szCs w:val="24"/>
        </w:rPr>
        <w:t xml:space="preserve"> </w:t>
      </w:r>
      <w:r w:rsidRPr="00B001FE">
        <w:rPr>
          <w:rFonts w:ascii="Times New Roman" w:hAnsi="Times New Roman" w:cs="Times New Roman"/>
          <w:i/>
          <w:iCs/>
          <w:sz w:val="24"/>
          <w:szCs w:val="24"/>
        </w:rPr>
        <w:t>civ.</w:t>
      </w:r>
      <w:r>
        <w:rPr>
          <w:rFonts w:ascii="Times New Roman" w:hAnsi="Times New Roman" w:cs="Times New Roman"/>
          <w:i/>
          <w:iCs/>
          <w:sz w:val="24"/>
          <w:szCs w:val="24"/>
        </w:rPr>
        <w:t xml:space="preserve"> </w:t>
      </w:r>
      <w:r w:rsidRPr="00B001FE">
        <w:rPr>
          <w:rFonts w:ascii="Times New Roman" w:hAnsi="Times New Roman" w:cs="Times New Roman"/>
          <w:i/>
          <w:iCs/>
          <w:sz w:val="24"/>
          <w:szCs w:val="24"/>
        </w:rPr>
        <w:t>e comm</w:t>
      </w:r>
      <w:r w:rsidRPr="00B001FE">
        <w:rPr>
          <w:rFonts w:ascii="Times New Roman" w:hAnsi="Times New Roman" w:cs="Times New Roman"/>
          <w:sz w:val="24"/>
          <w:szCs w:val="24"/>
        </w:rPr>
        <w:t>.</w:t>
      </w:r>
      <w:r>
        <w:rPr>
          <w:rFonts w:ascii="Times New Roman" w:hAnsi="Times New Roman" w:cs="Times New Roman"/>
          <w:sz w:val="24"/>
          <w:szCs w:val="24"/>
        </w:rPr>
        <w:t>,</w:t>
      </w:r>
      <w:r w:rsidRPr="00B001FE">
        <w:rPr>
          <w:rFonts w:ascii="Times New Roman" w:hAnsi="Times New Roman" w:cs="Times New Roman"/>
          <w:sz w:val="24"/>
          <w:szCs w:val="24"/>
        </w:rPr>
        <w:t xml:space="preserve"> 2018; </w:t>
      </w:r>
      <w:r w:rsidRPr="00B001FE">
        <w:rPr>
          <w:rFonts w:ascii="Times New Roman" w:hAnsi="Times New Roman" w:cs="Times New Roman"/>
          <w:smallCaps/>
          <w:sz w:val="24"/>
          <w:szCs w:val="24"/>
        </w:rPr>
        <w:t>A. Magnani</w:t>
      </w:r>
      <w:r w:rsidRPr="00B001FE">
        <w:rPr>
          <w:rFonts w:ascii="Times New Roman" w:hAnsi="Times New Roman" w:cs="Times New Roman"/>
          <w:sz w:val="24"/>
          <w:szCs w:val="24"/>
        </w:rPr>
        <w:t>, “</w:t>
      </w:r>
      <w:r w:rsidRPr="00B001FE">
        <w:rPr>
          <w:rFonts w:ascii="Times New Roman" w:hAnsi="Times New Roman" w:cs="Times New Roman"/>
          <w:i/>
          <w:iCs/>
          <w:sz w:val="24"/>
          <w:szCs w:val="24"/>
        </w:rPr>
        <w:t>L’eredità</w:t>
      </w:r>
      <w:r w:rsidRPr="00B001FE">
        <w:rPr>
          <w:rFonts w:ascii="Times New Roman" w:hAnsi="Times New Roman" w:cs="Times New Roman"/>
          <w:sz w:val="24"/>
          <w:szCs w:val="24"/>
        </w:rPr>
        <w:t xml:space="preserve"> </w:t>
      </w:r>
      <w:r w:rsidRPr="00B001FE">
        <w:rPr>
          <w:rFonts w:ascii="Times New Roman" w:hAnsi="Times New Roman" w:cs="Times New Roman"/>
          <w:i/>
          <w:iCs/>
          <w:sz w:val="24"/>
          <w:szCs w:val="24"/>
        </w:rPr>
        <w:t>digitale</w:t>
      </w:r>
      <w:r w:rsidRPr="00B001FE">
        <w:rPr>
          <w:rFonts w:ascii="Times New Roman" w:hAnsi="Times New Roman" w:cs="Times New Roman"/>
          <w:sz w:val="24"/>
          <w:szCs w:val="24"/>
        </w:rPr>
        <w:t>”, in</w:t>
      </w:r>
      <w:r w:rsidRPr="00B001FE">
        <w:rPr>
          <w:rFonts w:ascii="Times New Roman" w:hAnsi="Times New Roman" w:cs="Times New Roman"/>
          <w:i/>
          <w:iCs/>
          <w:sz w:val="24"/>
          <w:szCs w:val="24"/>
        </w:rPr>
        <w:t xml:space="preserve"> Notariato</w:t>
      </w:r>
      <w:r w:rsidRPr="009F6423">
        <w:rPr>
          <w:rFonts w:ascii="Times New Roman" w:hAnsi="Times New Roman" w:cs="Times New Roman"/>
          <w:sz w:val="24"/>
          <w:szCs w:val="24"/>
        </w:rPr>
        <w:t>, 2014</w:t>
      </w:r>
      <w:r w:rsidRPr="00B001FE">
        <w:rPr>
          <w:rFonts w:ascii="Times New Roman" w:hAnsi="Times New Roman" w:cs="Times New Roman"/>
          <w:i/>
          <w:iCs/>
          <w:sz w:val="24"/>
          <w:szCs w:val="24"/>
        </w:rPr>
        <w:t xml:space="preserve">; </w:t>
      </w:r>
      <w:r w:rsidRPr="00B001FE">
        <w:rPr>
          <w:rFonts w:ascii="Times New Roman" w:hAnsi="Times New Roman" w:cs="Times New Roman"/>
          <w:smallCaps/>
          <w:sz w:val="24"/>
          <w:szCs w:val="24"/>
        </w:rPr>
        <w:t>A. Serena</w:t>
      </w:r>
      <w:r w:rsidRPr="00B001FE">
        <w:rPr>
          <w:rFonts w:ascii="Times New Roman" w:hAnsi="Times New Roman" w:cs="Times New Roman"/>
          <w:sz w:val="24"/>
          <w:szCs w:val="24"/>
        </w:rPr>
        <w:t>, “</w:t>
      </w:r>
      <w:r w:rsidRPr="00B001FE">
        <w:rPr>
          <w:rFonts w:ascii="Times New Roman" w:hAnsi="Times New Roman" w:cs="Times New Roman"/>
          <w:i/>
          <w:iCs/>
          <w:sz w:val="24"/>
          <w:szCs w:val="24"/>
        </w:rPr>
        <w:t>Eredità digitale</w:t>
      </w:r>
      <w:r w:rsidRPr="00B001FE">
        <w:rPr>
          <w:rFonts w:ascii="Times New Roman" w:hAnsi="Times New Roman" w:cs="Times New Roman"/>
          <w:sz w:val="24"/>
          <w:szCs w:val="24"/>
        </w:rPr>
        <w:t xml:space="preserve">”, in AA.VV, </w:t>
      </w:r>
      <w:r>
        <w:rPr>
          <w:rFonts w:ascii="Times New Roman" w:hAnsi="Times New Roman" w:cs="Times New Roman"/>
          <w:sz w:val="24"/>
          <w:szCs w:val="24"/>
        </w:rPr>
        <w:t>“</w:t>
      </w:r>
      <w:r w:rsidRPr="00B001FE">
        <w:rPr>
          <w:rFonts w:ascii="Times New Roman" w:hAnsi="Times New Roman" w:cs="Times New Roman"/>
          <w:i/>
          <w:iCs/>
          <w:sz w:val="24"/>
          <w:szCs w:val="24"/>
        </w:rPr>
        <w:t>Identità ed eredità digitali, stato dell’arte e</w:t>
      </w:r>
      <w:r w:rsidRPr="00B001FE">
        <w:rPr>
          <w:rFonts w:ascii="Times New Roman" w:hAnsi="Times New Roman" w:cs="Times New Roman"/>
          <w:sz w:val="24"/>
          <w:szCs w:val="24"/>
        </w:rPr>
        <w:t xml:space="preserve"> </w:t>
      </w:r>
      <w:r w:rsidRPr="00B001FE">
        <w:rPr>
          <w:rFonts w:ascii="Times New Roman" w:hAnsi="Times New Roman" w:cs="Times New Roman"/>
          <w:i/>
          <w:iCs/>
          <w:sz w:val="24"/>
          <w:szCs w:val="24"/>
        </w:rPr>
        <w:t>possibili soluzioni</w:t>
      </w:r>
      <w:r w:rsidRPr="00050E59">
        <w:rPr>
          <w:rFonts w:ascii="Times New Roman" w:hAnsi="Times New Roman" w:cs="Times New Roman"/>
          <w:sz w:val="24"/>
          <w:szCs w:val="24"/>
        </w:rPr>
        <w:t xml:space="preserve">”, </w:t>
      </w:r>
      <w:proofErr w:type="spellStart"/>
      <w:r w:rsidRPr="00B001FE">
        <w:rPr>
          <w:rFonts w:ascii="Times New Roman" w:hAnsi="Times New Roman" w:cs="Times New Roman"/>
          <w:sz w:val="24"/>
          <w:szCs w:val="24"/>
        </w:rPr>
        <w:t>Aracne</w:t>
      </w:r>
      <w:proofErr w:type="spellEnd"/>
      <w:r w:rsidRPr="00B001FE">
        <w:rPr>
          <w:rFonts w:ascii="Times New Roman" w:hAnsi="Times New Roman" w:cs="Times New Roman"/>
          <w:sz w:val="24"/>
          <w:szCs w:val="24"/>
        </w:rPr>
        <w:t>,</w:t>
      </w:r>
      <w:r>
        <w:rPr>
          <w:rFonts w:ascii="Times New Roman" w:hAnsi="Times New Roman" w:cs="Times New Roman"/>
          <w:sz w:val="24"/>
          <w:szCs w:val="24"/>
        </w:rPr>
        <w:t xml:space="preserve"> </w:t>
      </w:r>
      <w:r w:rsidRPr="00B001FE">
        <w:rPr>
          <w:rFonts w:ascii="Times New Roman" w:hAnsi="Times New Roman" w:cs="Times New Roman"/>
          <w:sz w:val="24"/>
          <w:szCs w:val="24"/>
        </w:rPr>
        <w:t xml:space="preserve">2016; </w:t>
      </w:r>
      <w:r w:rsidRPr="00B001FE">
        <w:rPr>
          <w:rFonts w:ascii="Times New Roman" w:hAnsi="Times New Roman" w:cs="Times New Roman"/>
          <w:smallCaps/>
          <w:sz w:val="24"/>
          <w:szCs w:val="24"/>
        </w:rPr>
        <w:t xml:space="preserve">C. </w:t>
      </w:r>
      <w:proofErr w:type="spellStart"/>
      <w:r w:rsidRPr="00B001FE">
        <w:rPr>
          <w:rFonts w:ascii="Times New Roman" w:hAnsi="Times New Roman" w:cs="Times New Roman"/>
          <w:smallCaps/>
          <w:sz w:val="24"/>
          <w:szCs w:val="24"/>
        </w:rPr>
        <w:t>Camardi</w:t>
      </w:r>
      <w:proofErr w:type="spellEnd"/>
      <w:r w:rsidRPr="00B001FE">
        <w:rPr>
          <w:rFonts w:ascii="Times New Roman" w:hAnsi="Times New Roman" w:cs="Times New Roman"/>
          <w:sz w:val="24"/>
          <w:szCs w:val="24"/>
        </w:rPr>
        <w:t>, “</w:t>
      </w:r>
      <w:r w:rsidRPr="00B001FE">
        <w:rPr>
          <w:rFonts w:ascii="Times New Roman" w:hAnsi="Times New Roman" w:cs="Times New Roman"/>
          <w:i/>
          <w:iCs/>
          <w:sz w:val="24"/>
          <w:szCs w:val="24"/>
        </w:rPr>
        <w:t>L’eredità digitale. Tra reale e virtuale</w:t>
      </w:r>
      <w:r w:rsidRPr="008C173A">
        <w:rPr>
          <w:rFonts w:ascii="Times New Roman" w:hAnsi="Times New Roman" w:cs="Times New Roman"/>
          <w:sz w:val="24"/>
          <w:szCs w:val="24"/>
        </w:rPr>
        <w:t xml:space="preserve">”, </w:t>
      </w:r>
      <w:r w:rsidRPr="00B001FE">
        <w:rPr>
          <w:rFonts w:ascii="Times New Roman" w:hAnsi="Times New Roman" w:cs="Times New Roman"/>
          <w:sz w:val="24"/>
          <w:szCs w:val="24"/>
        </w:rPr>
        <w:t>in</w:t>
      </w:r>
      <w:r w:rsidRPr="00B001FE">
        <w:rPr>
          <w:rFonts w:ascii="Times New Roman" w:hAnsi="Times New Roman" w:cs="Times New Roman"/>
          <w:i/>
          <w:iCs/>
          <w:sz w:val="24"/>
          <w:szCs w:val="24"/>
        </w:rPr>
        <w:t xml:space="preserve"> </w:t>
      </w:r>
      <w:r>
        <w:rPr>
          <w:rFonts w:ascii="Times New Roman" w:hAnsi="Times New Roman" w:cs="Times New Roman"/>
          <w:i/>
          <w:iCs/>
          <w:sz w:val="24"/>
          <w:szCs w:val="24"/>
        </w:rPr>
        <w:t>“</w:t>
      </w:r>
      <w:r w:rsidRPr="00B001FE">
        <w:rPr>
          <w:rFonts w:ascii="Times New Roman" w:hAnsi="Times New Roman" w:cs="Times New Roman"/>
          <w:i/>
          <w:iCs/>
          <w:sz w:val="24"/>
          <w:szCs w:val="24"/>
        </w:rPr>
        <w:t>Il diritto dell’informazione e dell’informatica</w:t>
      </w:r>
      <w:r w:rsidRPr="008C173A">
        <w:rPr>
          <w:rFonts w:ascii="Times New Roman" w:hAnsi="Times New Roman" w:cs="Times New Roman"/>
          <w:sz w:val="24"/>
          <w:szCs w:val="24"/>
        </w:rPr>
        <w:t>”,</w:t>
      </w:r>
      <w:r>
        <w:rPr>
          <w:rFonts w:ascii="Times New Roman" w:hAnsi="Times New Roman" w:cs="Times New Roman"/>
          <w:i/>
          <w:iCs/>
          <w:sz w:val="24"/>
          <w:szCs w:val="24"/>
        </w:rPr>
        <w:t xml:space="preserve"> </w:t>
      </w:r>
      <w:r w:rsidRPr="00B001FE">
        <w:rPr>
          <w:rFonts w:ascii="Times New Roman" w:hAnsi="Times New Roman" w:cs="Times New Roman"/>
          <w:sz w:val="24"/>
          <w:szCs w:val="24"/>
        </w:rPr>
        <w:t>2018.</w:t>
      </w:r>
    </w:p>
  </w:footnote>
  <w:footnote w:id="148">
    <w:p w14:paraId="3BFE7D7B" w14:textId="557BDB20" w:rsidR="000463A6" w:rsidRPr="00E03AED" w:rsidRDefault="000463A6" w:rsidP="00E03AED">
      <w:pPr>
        <w:pStyle w:val="Testonotaapidipagina"/>
        <w:jc w:val="both"/>
        <w:rPr>
          <w:rFonts w:ascii="Times New Roman" w:hAnsi="Times New Roman" w:cs="Times New Roman"/>
          <w:sz w:val="24"/>
          <w:szCs w:val="24"/>
        </w:rPr>
      </w:pPr>
      <w:r w:rsidRPr="00E03AED">
        <w:rPr>
          <w:rStyle w:val="Rimandonotaapidipagina"/>
          <w:rFonts w:ascii="Times New Roman" w:hAnsi="Times New Roman" w:cs="Times New Roman"/>
          <w:sz w:val="24"/>
          <w:szCs w:val="24"/>
        </w:rPr>
        <w:footnoteRef/>
      </w:r>
      <w:r w:rsidRPr="00E03AED">
        <w:rPr>
          <w:rFonts w:ascii="Times New Roman" w:hAnsi="Times New Roman" w:cs="Times New Roman"/>
          <w:sz w:val="24"/>
          <w:szCs w:val="24"/>
        </w:rPr>
        <w:t xml:space="preserve"> </w:t>
      </w:r>
      <w:r>
        <w:rPr>
          <w:rFonts w:ascii="Times New Roman" w:hAnsi="Times New Roman" w:cs="Times New Roman"/>
          <w:sz w:val="24"/>
          <w:szCs w:val="24"/>
        </w:rPr>
        <w:t>La distinzione tra l</w:t>
      </w:r>
      <w:r w:rsidRPr="00E03AED">
        <w:rPr>
          <w:rFonts w:ascii="Times New Roman" w:hAnsi="Times New Roman" w:cs="Times New Roman"/>
          <w:sz w:val="24"/>
          <w:szCs w:val="24"/>
        </w:rPr>
        <w:t>e proprietà e la proprietà</w:t>
      </w:r>
      <w:r>
        <w:rPr>
          <w:rFonts w:ascii="Times New Roman" w:hAnsi="Times New Roman" w:cs="Times New Roman"/>
          <w:sz w:val="24"/>
          <w:szCs w:val="24"/>
        </w:rPr>
        <w:t xml:space="preserve">, </w:t>
      </w:r>
      <w:r w:rsidRPr="00BB2F7D">
        <w:rPr>
          <w:rFonts w:ascii="Times New Roman" w:hAnsi="Times New Roman" w:cs="Times New Roman"/>
          <w:smallCaps/>
          <w:sz w:val="24"/>
          <w:szCs w:val="24"/>
        </w:rPr>
        <w:t xml:space="preserve">S. </w:t>
      </w:r>
      <w:proofErr w:type="spellStart"/>
      <w:r w:rsidRPr="00BB2F7D">
        <w:rPr>
          <w:rFonts w:ascii="Times New Roman" w:hAnsi="Times New Roman" w:cs="Times New Roman"/>
          <w:smallCaps/>
          <w:sz w:val="24"/>
          <w:szCs w:val="24"/>
        </w:rPr>
        <w:t>Pugliatti</w:t>
      </w:r>
      <w:proofErr w:type="spellEnd"/>
      <w:r>
        <w:rPr>
          <w:rFonts w:ascii="Times New Roman" w:hAnsi="Times New Roman" w:cs="Times New Roman"/>
          <w:sz w:val="24"/>
          <w:szCs w:val="24"/>
        </w:rPr>
        <w:t>, “</w:t>
      </w:r>
      <w:r w:rsidRPr="00BB2F7D">
        <w:rPr>
          <w:rFonts w:ascii="Times New Roman" w:hAnsi="Times New Roman" w:cs="Times New Roman"/>
          <w:i/>
          <w:iCs/>
          <w:sz w:val="24"/>
          <w:szCs w:val="24"/>
        </w:rPr>
        <w:t>La proprietà nel nuovo diritto</w:t>
      </w:r>
      <w:r>
        <w:rPr>
          <w:rFonts w:ascii="Times New Roman" w:hAnsi="Times New Roman" w:cs="Times New Roman"/>
          <w:sz w:val="24"/>
          <w:szCs w:val="24"/>
        </w:rPr>
        <w:t>”, 1964.</w:t>
      </w:r>
    </w:p>
  </w:footnote>
  <w:footnote w:id="149">
    <w:p w14:paraId="7A9EDA3D" w14:textId="35266B14" w:rsidR="000463A6" w:rsidRPr="00E03AED" w:rsidRDefault="000463A6" w:rsidP="00E03AED">
      <w:pPr>
        <w:pStyle w:val="Testonotaapidipagina"/>
        <w:jc w:val="both"/>
        <w:rPr>
          <w:rFonts w:ascii="Times New Roman" w:hAnsi="Times New Roman" w:cs="Times New Roman"/>
          <w:sz w:val="24"/>
          <w:szCs w:val="24"/>
        </w:rPr>
      </w:pPr>
      <w:r w:rsidRPr="00E03AED">
        <w:rPr>
          <w:rStyle w:val="Rimandonotaapidipagina"/>
          <w:rFonts w:ascii="Times New Roman" w:hAnsi="Times New Roman" w:cs="Times New Roman"/>
          <w:sz w:val="24"/>
          <w:szCs w:val="24"/>
        </w:rPr>
        <w:footnoteRef/>
      </w:r>
      <w:r w:rsidRPr="00E03AED">
        <w:rPr>
          <w:rFonts w:ascii="Times New Roman" w:hAnsi="Times New Roman" w:cs="Times New Roman"/>
          <w:sz w:val="24"/>
          <w:szCs w:val="24"/>
        </w:rPr>
        <w:t xml:space="preserve"> </w:t>
      </w:r>
      <w:r w:rsidRPr="00E03AED">
        <w:rPr>
          <w:rFonts w:ascii="Times New Roman" w:hAnsi="Times New Roman" w:cs="Times New Roman"/>
          <w:smallCaps/>
          <w:sz w:val="24"/>
          <w:szCs w:val="24"/>
        </w:rPr>
        <w:t>C. Schmitt</w:t>
      </w:r>
      <w:r w:rsidRPr="00E03AED">
        <w:rPr>
          <w:rFonts w:ascii="Times New Roman" w:hAnsi="Times New Roman" w:cs="Times New Roman"/>
          <w:sz w:val="24"/>
          <w:szCs w:val="24"/>
        </w:rPr>
        <w:t>, “</w:t>
      </w:r>
      <w:r w:rsidRPr="00E03AED">
        <w:rPr>
          <w:rFonts w:ascii="Times New Roman" w:hAnsi="Times New Roman" w:cs="Times New Roman"/>
          <w:i/>
          <w:iCs/>
          <w:sz w:val="24"/>
          <w:szCs w:val="24"/>
        </w:rPr>
        <w:t xml:space="preserve">Il </w:t>
      </w:r>
      <w:proofErr w:type="spellStart"/>
      <w:r w:rsidRPr="00E03AED">
        <w:rPr>
          <w:rFonts w:ascii="Times New Roman" w:hAnsi="Times New Roman" w:cs="Times New Roman"/>
          <w:i/>
          <w:iCs/>
          <w:sz w:val="24"/>
          <w:szCs w:val="24"/>
        </w:rPr>
        <w:t>nomos</w:t>
      </w:r>
      <w:proofErr w:type="spellEnd"/>
      <w:r w:rsidRPr="00E03AED">
        <w:rPr>
          <w:rFonts w:ascii="Times New Roman" w:hAnsi="Times New Roman" w:cs="Times New Roman"/>
          <w:i/>
          <w:iCs/>
          <w:sz w:val="24"/>
          <w:szCs w:val="24"/>
        </w:rPr>
        <w:t xml:space="preserve"> della terra nel diritto internazionale dello «</w:t>
      </w:r>
      <w:proofErr w:type="spellStart"/>
      <w:r w:rsidRPr="00E03AED">
        <w:rPr>
          <w:rFonts w:ascii="Times New Roman" w:hAnsi="Times New Roman" w:cs="Times New Roman"/>
          <w:i/>
          <w:iCs/>
          <w:sz w:val="24"/>
          <w:szCs w:val="24"/>
        </w:rPr>
        <w:t>Jus</w:t>
      </w:r>
      <w:proofErr w:type="spellEnd"/>
      <w:r w:rsidRPr="00E03AED">
        <w:rPr>
          <w:rFonts w:ascii="Times New Roman" w:hAnsi="Times New Roman" w:cs="Times New Roman"/>
          <w:i/>
          <w:iCs/>
          <w:sz w:val="24"/>
          <w:szCs w:val="24"/>
        </w:rPr>
        <w:t xml:space="preserve"> </w:t>
      </w:r>
      <w:proofErr w:type="spellStart"/>
      <w:r w:rsidRPr="00E03AED">
        <w:rPr>
          <w:rFonts w:ascii="Times New Roman" w:hAnsi="Times New Roman" w:cs="Times New Roman"/>
          <w:i/>
          <w:iCs/>
          <w:sz w:val="24"/>
          <w:szCs w:val="24"/>
        </w:rPr>
        <w:t>publicum</w:t>
      </w:r>
      <w:proofErr w:type="spellEnd"/>
      <w:r w:rsidRPr="00E03AED">
        <w:rPr>
          <w:rFonts w:ascii="Times New Roman" w:hAnsi="Times New Roman" w:cs="Times New Roman"/>
          <w:i/>
          <w:iCs/>
          <w:sz w:val="24"/>
          <w:szCs w:val="24"/>
        </w:rPr>
        <w:t xml:space="preserve"> </w:t>
      </w:r>
      <w:proofErr w:type="spellStart"/>
      <w:r w:rsidRPr="00E03AED">
        <w:rPr>
          <w:rFonts w:ascii="Times New Roman" w:hAnsi="Times New Roman" w:cs="Times New Roman"/>
          <w:i/>
          <w:iCs/>
          <w:sz w:val="24"/>
          <w:szCs w:val="24"/>
        </w:rPr>
        <w:t>europaeum</w:t>
      </w:r>
      <w:proofErr w:type="spellEnd"/>
      <w:r w:rsidRPr="00E03AED">
        <w:rPr>
          <w:rFonts w:ascii="Times New Roman" w:hAnsi="Times New Roman" w:cs="Times New Roman"/>
          <w:i/>
          <w:iCs/>
          <w:sz w:val="24"/>
          <w:szCs w:val="24"/>
        </w:rPr>
        <w:t>»</w:t>
      </w:r>
      <w:r w:rsidRPr="00E03AED">
        <w:rPr>
          <w:rFonts w:ascii="Times New Roman" w:hAnsi="Times New Roman" w:cs="Times New Roman"/>
          <w:sz w:val="24"/>
          <w:szCs w:val="24"/>
        </w:rPr>
        <w:t>”, Adelphi, 2011.</w:t>
      </w:r>
    </w:p>
  </w:footnote>
  <w:footnote w:id="150">
    <w:p w14:paraId="0D2FA277" w14:textId="6246FBA7" w:rsidR="000463A6" w:rsidRPr="00E03AED" w:rsidRDefault="000463A6" w:rsidP="00E03AED">
      <w:pPr>
        <w:pStyle w:val="Testonotaapidipagina"/>
        <w:jc w:val="both"/>
        <w:rPr>
          <w:rFonts w:ascii="Times New Roman" w:hAnsi="Times New Roman" w:cs="Times New Roman"/>
          <w:sz w:val="24"/>
          <w:szCs w:val="24"/>
        </w:rPr>
      </w:pPr>
      <w:r w:rsidRPr="00E03AED">
        <w:rPr>
          <w:rStyle w:val="Rimandonotaapidipagina"/>
          <w:rFonts w:ascii="Times New Roman" w:hAnsi="Times New Roman" w:cs="Times New Roman"/>
          <w:sz w:val="24"/>
          <w:szCs w:val="24"/>
        </w:rPr>
        <w:footnoteRef/>
      </w:r>
      <w:r w:rsidRPr="00E03AED">
        <w:rPr>
          <w:rFonts w:ascii="Times New Roman" w:hAnsi="Times New Roman" w:cs="Times New Roman"/>
          <w:sz w:val="24"/>
          <w:szCs w:val="24"/>
        </w:rPr>
        <w:t xml:space="preserve"> </w:t>
      </w:r>
      <w:r w:rsidRPr="00E03AED">
        <w:rPr>
          <w:rFonts w:ascii="Times New Roman" w:hAnsi="Times New Roman" w:cs="Times New Roman"/>
          <w:smallCaps/>
          <w:sz w:val="24"/>
          <w:szCs w:val="24"/>
        </w:rPr>
        <w:t>N. Irti</w:t>
      </w:r>
      <w:r>
        <w:rPr>
          <w:rFonts w:ascii="Times New Roman" w:hAnsi="Times New Roman" w:cs="Times New Roman"/>
          <w:sz w:val="24"/>
          <w:szCs w:val="24"/>
        </w:rPr>
        <w:t>,</w:t>
      </w:r>
      <w:r w:rsidRPr="00E03AED">
        <w:rPr>
          <w:rFonts w:ascii="Times New Roman" w:hAnsi="Times New Roman" w:cs="Times New Roman"/>
          <w:sz w:val="24"/>
          <w:szCs w:val="24"/>
        </w:rPr>
        <w:t xml:space="preserve"> “</w:t>
      </w:r>
      <w:r w:rsidRPr="00E03AED">
        <w:rPr>
          <w:rFonts w:ascii="Times New Roman" w:hAnsi="Times New Roman" w:cs="Times New Roman"/>
          <w:i/>
          <w:iCs/>
          <w:sz w:val="24"/>
          <w:szCs w:val="24"/>
        </w:rPr>
        <w:t>Il diritto nell’età della tecnica</w:t>
      </w:r>
      <w:r w:rsidRPr="00E03AED">
        <w:rPr>
          <w:rFonts w:ascii="Times New Roman" w:hAnsi="Times New Roman" w:cs="Times New Roman"/>
          <w:sz w:val="24"/>
          <w:szCs w:val="24"/>
        </w:rPr>
        <w:t xml:space="preserve">”, </w:t>
      </w:r>
      <w:r w:rsidRPr="008C173A">
        <w:rPr>
          <w:rFonts w:ascii="Times New Roman" w:hAnsi="Times New Roman" w:cs="Times New Roman"/>
          <w:sz w:val="24"/>
          <w:szCs w:val="24"/>
        </w:rPr>
        <w:t>Editoriale Scientifica</w:t>
      </w:r>
      <w:r w:rsidRPr="00E03AED">
        <w:rPr>
          <w:rFonts w:ascii="Times New Roman" w:hAnsi="Times New Roman" w:cs="Times New Roman"/>
          <w:sz w:val="24"/>
          <w:szCs w:val="24"/>
        </w:rPr>
        <w:t>, 2007.</w:t>
      </w:r>
    </w:p>
  </w:footnote>
  <w:footnote w:id="151">
    <w:p w14:paraId="4581B07E" w14:textId="44E97439" w:rsidR="000463A6" w:rsidRDefault="000463A6" w:rsidP="00E03AED">
      <w:pPr>
        <w:pStyle w:val="Testonotaapidipagina"/>
        <w:jc w:val="both"/>
      </w:pPr>
      <w:r w:rsidRPr="00E03AED">
        <w:rPr>
          <w:rStyle w:val="Rimandonotaapidipagina"/>
          <w:rFonts w:ascii="Times New Roman" w:hAnsi="Times New Roman" w:cs="Times New Roman"/>
          <w:sz w:val="24"/>
          <w:szCs w:val="24"/>
        </w:rPr>
        <w:footnoteRef/>
      </w:r>
      <w:r w:rsidRPr="00E03AED">
        <w:rPr>
          <w:rFonts w:ascii="Times New Roman" w:hAnsi="Times New Roman" w:cs="Times New Roman"/>
          <w:sz w:val="24"/>
          <w:szCs w:val="24"/>
        </w:rPr>
        <w:t xml:space="preserve"> </w:t>
      </w:r>
      <w:r w:rsidRPr="00E03AED">
        <w:rPr>
          <w:rFonts w:ascii="Times New Roman" w:hAnsi="Times New Roman" w:cs="Times New Roman"/>
          <w:smallCaps/>
          <w:sz w:val="24"/>
          <w:szCs w:val="24"/>
        </w:rPr>
        <w:t>I. Kant</w:t>
      </w:r>
      <w:r w:rsidRPr="00E03AED">
        <w:rPr>
          <w:rFonts w:ascii="Times New Roman" w:hAnsi="Times New Roman" w:cs="Times New Roman"/>
          <w:sz w:val="24"/>
          <w:szCs w:val="24"/>
        </w:rPr>
        <w:t>, “</w:t>
      </w:r>
      <w:r w:rsidRPr="00E03AED">
        <w:rPr>
          <w:rFonts w:ascii="Times New Roman" w:hAnsi="Times New Roman" w:cs="Times New Roman"/>
          <w:i/>
          <w:iCs/>
          <w:sz w:val="24"/>
          <w:szCs w:val="24"/>
        </w:rPr>
        <w:t>Principi metafisici della dottrina del diritto</w:t>
      </w:r>
      <w:r w:rsidRPr="00E03AED">
        <w:rPr>
          <w:rFonts w:ascii="Times New Roman" w:hAnsi="Times New Roman" w:cs="Times New Roman"/>
          <w:sz w:val="24"/>
          <w:szCs w:val="24"/>
        </w:rPr>
        <w:t>”, 1797.</w:t>
      </w:r>
    </w:p>
  </w:footnote>
  <w:footnote w:id="152">
    <w:p w14:paraId="09ADDA04" w14:textId="3FA68DDB" w:rsidR="000463A6" w:rsidRPr="007431EC" w:rsidRDefault="000463A6" w:rsidP="007431EC">
      <w:pPr>
        <w:pStyle w:val="Testonotaapidipagina"/>
        <w:jc w:val="both"/>
        <w:rPr>
          <w:rFonts w:ascii="Times New Roman" w:hAnsi="Times New Roman" w:cs="Times New Roman"/>
          <w:sz w:val="24"/>
          <w:szCs w:val="24"/>
        </w:rPr>
      </w:pPr>
      <w:r w:rsidRPr="007431EC">
        <w:rPr>
          <w:rStyle w:val="Rimandonotaapidipagina"/>
          <w:rFonts w:ascii="Times New Roman" w:hAnsi="Times New Roman" w:cs="Times New Roman"/>
          <w:sz w:val="24"/>
          <w:szCs w:val="24"/>
        </w:rPr>
        <w:footnoteRef/>
      </w:r>
      <w:r w:rsidRPr="007431EC">
        <w:rPr>
          <w:rFonts w:ascii="Times New Roman" w:hAnsi="Times New Roman" w:cs="Times New Roman"/>
          <w:sz w:val="24"/>
          <w:szCs w:val="24"/>
        </w:rPr>
        <w:t xml:space="preserve"> Il sociologo </w:t>
      </w:r>
      <w:r w:rsidRPr="007431EC">
        <w:rPr>
          <w:rFonts w:ascii="Times New Roman" w:hAnsi="Times New Roman" w:cs="Times New Roman"/>
          <w:i/>
          <w:iCs/>
          <w:sz w:val="24"/>
          <w:szCs w:val="24"/>
        </w:rPr>
        <w:t xml:space="preserve">Georg </w:t>
      </w:r>
      <w:proofErr w:type="spellStart"/>
      <w:r w:rsidRPr="007431EC">
        <w:rPr>
          <w:rFonts w:ascii="Times New Roman" w:hAnsi="Times New Roman" w:cs="Times New Roman"/>
          <w:i/>
          <w:iCs/>
          <w:sz w:val="24"/>
          <w:szCs w:val="24"/>
        </w:rPr>
        <w:t>Simmel</w:t>
      </w:r>
      <w:proofErr w:type="spellEnd"/>
      <w:r w:rsidRPr="007431EC">
        <w:rPr>
          <w:rFonts w:ascii="Times New Roman" w:hAnsi="Times New Roman" w:cs="Times New Roman"/>
          <w:sz w:val="24"/>
          <w:szCs w:val="24"/>
        </w:rPr>
        <w:t xml:space="preserve"> nella sua opera “</w:t>
      </w:r>
      <w:r w:rsidRPr="007431EC">
        <w:rPr>
          <w:rFonts w:ascii="Times New Roman" w:hAnsi="Times New Roman" w:cs="Times New Roman"/>
          <w:i/>
          <w:iCs/>
          <w:sz w:val="24"/>
          <w:szCs w:val="24"/>
        </w:rPr>
        <w:t>La socievolezza</w:t>
      </w:r>
      <w:r w:rsidRPr="007431EC">
        <w:rPr>
          <w:rFonts w:ascii="Times New Roman" w:hAnsi="Times New Roman" w:cs="Times New Roman"/>
          <w:sz w:val="24"/>
          <w:szCs w:val="24"/>
        </w:rPr>
        <w:t xml:space="preserve">” </w:t>
      </w:r>
      <w:r>
        <w:rPr>
          <w:rFonts w:ascii="Times New Roman" w:hAnsi="Times New Roman" w:cs="Times New Roman"/>
          <w:sz w:val="24"/>
          <w:szCs w:val="24"/>
        </w:rPr>
        <w:t>evidenzia</w:t>
      </w:r>
      <w:r w:rsidRPr="007431EC">
        <w:rPr>
          <w:rFonts w:ascii="Times New Roman" w:hAnsi="Times New Roman" w:cs="Times New Roman"/>
          <w:sz w:val="24"/>
          <w:szCs w:val="24"/>
        </w:rPr>
        <w:t xml:space="preserve"> che nella dimensione digitale deve essere recuperata l’importanza del comportamento</w:t>
      </w:r>
      <w:r>
        <w:rPr>
          <w:rFonts w:ascii="Times New Roman" w:hAnsi="Times New Roman" w:cs="Times New Roman"/>
          <w:sz w:val="24"/>
          <w:szCs w:val="24"/>
        </w:rPr>
        <w:t>,</w:t>
      </w:r>
      <w:r w:rsidRPr="007431EC">
        <w:rPr>
          <w:rFonts w:ascii="Times New Roman" w:hAnsi="Times New Roman" w:cs="Times New Roman"/>
          <w:sz w:val="24"/>
          <w:szCs w:val="24"/>
        </w:rPr>
        <w:t xml:space="preserve"> che è la sintesi di un processo di razionalizzazione delle emozioni e dei sentimenti individuali. Il rispetto di tale galateo digitale realizzerebbe quello che </w:t>
      </w:r>
      <w:proofErr w:type="spellStart"/>
      <w:r w:rsidRPr="00AE5C00">
        <w:rPr>
          <w:rFonts w:ascii="Times New Roman" w:hAnsi="Times New Roman" w:cs="Times New Roman"/>
          <w:i/>
          <w:iCs/>
          <w:sz w:val="24"/>
          <w:szCs w:val="24"/>
        </w:rPr>
        <w:t>Simmel</w:t>
      </w:r>
      <w:proofErr w:type="spellEnd"/>
      <w:r w:rsidRPr="007431EC">
        <w:rPr>
          <w:rFonts w:ascii="Times New Roman" w:hAnsi="Times New Roman" w:cs="Times New Roman"/>
          <w:sz w:val="24"/>
          <w:szCs w:val="24"/>
        </w:rPr>
        <w:t xml:space="preserve"> definiva estetica che si fa etica. Allo stesso modo</w:t>
      </w:r>
      <w:r>
        <w:rPr>
          <w:rFonts w:ascii="Times New Roman" w:hAnsi="Times New Roman" w:cs="Times New Roman"/>
          <w:sz w:val="24"/>
          <w:szCs w:val="24"/>
        </w:rPr>
        <w:t>,</w:t>
      </w:r>
      <w:r w:rsidRPr="007431EC">
        <w:rPr>
          <w:rFonts w:ascii="Times New Roman" w:hAnsi="Times New Roman" w:cs="Times New Roman"/>
          <w:sz w:val="24"/>
          <w:szCs w:val="24"/>
        </w:rPr>
        <w:t xml:space="preserve"> </w:t>
      </w:r>
      <w:proofErr w:type="spellStart"/>
      <w:r w:rsidRPr="007431EC">
        <w:rPr>
          <w:rFonts w:ascii="Times New Roman" w:hAnsi="Times New Roman" w:cs="Times New Roman"/>
          <w:i/>
          <w:iCs/>
          <w:sz w:val="24"/>
          <w:szCs w:val="24"/>
        </w:rPr>
        <w:t>Norbert</w:t>
      </w:r>
      <w:proofErr w:type="spellEnd"/>
      <w:r w:rsidRPr="007431EC">
        <w:rPr>
          <w:rFonts w:ascii="Times New Roman" w:hAnsi="Times New Roman" w:cs="Times New Roman"/>
          <w:i/>
          <w:iCs/>
          <w:sz w:val="24"/>
          <w:szCs w:val="24"/>
        </w:rPr>
        <w:t xml:space="preserve"> Elias</w:t>
      </w:r>
      <w:r w:rsidRPr="007431EC">
        <w:rPr>
          <w:rFonts w:ascii="Times New Roman" w:hAnsi="Times New Roman" w:cs="Times New Roman"/>
          <w:sz w:val="24"/>
          <w:szCs w:val="24"/>
        </w:rPr>
        <w:t xml:space="preserve"> nella sua opera “</w:t>
      </w:r>
      <w:r w:rsidRPr="007431EC">
        <w:rPr>
          <w:rFonts w:ascii="Times New Roman" w:hAnsi="Times New Roman" w:cs="Times New Roman"/>
          <w:i/>
          <w:iCs/>
          <w:sz w:val="24"/>
          <w:szCs w:val="24"/>
        </w:rPr>
        <w:t>La civiltà delle buone maniere</w:t>
      </w:r>
      <w:r w:rsidRPr="007431EC">
        <w:rPr>
          <w:rFonts w:ascii="Times New Roman" w:hAnsi="Times New Roman" w:cs="Times New Roman"/>
          <w:sz w:val="24"/>
          <w:szCs w:val="24"/>
        </w:rPr>
        <w:t>” sottolinea l’importanza del rispetto dell’altro intes</w:t>
      </w:r>
      <w:r>
        <w:rPr>
          <w:rFonts w:ascii="Times New Roman" w:hAnsi="Times New Roman" w:cs="Times New Roman"/>
          <w:sz w:val="24"/>
          <w:szCs w:val="24"/>
        </w:rPr>
        <w:t>o</w:t>
      </w:r>
      <w:r w:rsidRPr="007431EC">
        <w:rPr>
          <w:rFonts w:ascii="Times New Roman" w:hAnsi="Times New Roman" w:cs="Times New Roman"/>
          <w:sz w:val="24"/>
          <w:szCs w:val="24"/>
        </w:rPr>
        <w:t xml:space="preserve"> come </w:t>
      </w:r>
      <w:proofErr w:type="spellStart"/>
      <w:r w:rsidRPr="007431EC">
        <w:rPr>
          <w:rFonts w:ascii="Times New Roman" w:hAnsi="Times New Roman" w:cs="Times New Roman"/>
          <w:i/>
          <w:iCs/>
          <w:sz w:val="24"/>
          <w:szCs w:val="24"/>
        </w:rPr>
        <w:t>kindness</w:t>
      </w:r>
      <w:proofErr w:type="spellEnd"/>
      <w:r w:rsidRPr="007431EC">
        <w:rPr>
          <w:rFonts w:ascii="Times New Roman" w:hAnsi="Times New Roman" w:cs="Times New Roman"/>
          <w:sz w:val="24"/>
          <w:szCs w:val="24"/>
        </w:rPr>
        <w:t xml:space="preserve">, ossia come gentilezza delle forme comunicative. Il concetto della gentilezza comunicativa rientra nel più grande concetto di </w:t>
      </w:r>
      <w:proofErr w:type="spellStart"/>
      <w:r w:rsidRPr="007431EC">
        <w:rPr>
          <w:rFonts w:ascii="Times New Roman" w:hAnsi="Times New Roman" w:cs="Times New Roman"/>
          <w:i/>
          <w:iCs/>
          <w:sz w:val="24"/>
          <w:szCs w:val="24"/>
        </w:rPr>
        <w:t>paideia</w:t>
      </w:r>
      <w:proofErr w:type="spellEnd"/>
      <w:r w:rsidRPr="007431EC">
        <w:rPr>
          <w:rFonts w:ascii="Times New Roman" w:hAnsi="Times New Roman" w:cs="Times New Roman"/>
          <w:sz w:val="24"/>
          <w:szCs w:val="24"/>
        </w:rPr>
        <w:t xml:space="preserve"> digitale.</w:t>
      </w:r>
    </w:p>
  </w:footnote>
  <w:footnote w:id="153">
    <w:p w14:paraId="13198B97" w14:textId="77777777" w:rsidR="000463A6" w:rsidRPr="00E30364" w:rsidRDefault="000463A6" w:rsidP="007431EC">
      <w:pPr>
        <w:pStyle w:val="Testonotaapidipagina"/>
        <w:jc w:val="both"/>
        <w:rPr>
          <w:rFonts w:ascii="Times New Roman" w:hAnsi="Times New Roman" w:cs="Times New Roman"/>
          <w:sz w:val="24"/>
          <w:szCs w:val="24"/>
        </w:rPr>
      </w:pPr>
      <w:r w:rsidRPr="007431EC">
        <w:rPr>
          <w:rStyle w:val="Rimandonotaapidipagina"/>
          <w:rFonts w:ascii="Times New Roman" w:hAnsi="Times New Roman" w:cs="Times New Roman"/>
          <w:sz w:val="24"/>
          <w:szCs w:val="24"/>
        </w:rPr>
        <w:footnoteRef/>
      </w:r>
      <w:r w:rsidRPr="007431EC">
        <w:rPr>
          <w:rFonts w:ascii="Times New Roman" w:hAnsi="Times New Roman" w:cs="Times New Roman"/>
          <w:sz w:val="24"/>
          <w:szCs w:val="24"/>
        </w:rPr>
        <w:t xml:space="preserve"> Si veda la recente opera di </w:t>
      </w:r>
      <w:r w:rsidRPr="007431EC">
        <w:rPr>
          <w:rFonts w:ascii="Times New Roman" w:hAnsi="Times New Roman" w:cs="Times New Roman"/>
          <w:smallCaps/>
          <w:sz w:val="24"/>
          <w:szCs w:val="24"/>
        </w:rPr>
        <w:t xml:space="preserve">E. </w:t>
      </w:r>
      <w:proofErr w:type="spellStart"/>
      <w:r w:rsidRPr="007431EC">
        <w:rPr>
          <w:rFonts w:ascii="Times New Roman" w:hAnsi="Times New Roman" w:cs="Times New Roman"/>
          <w:smallCaps/>
          <w:sz w:val="24"/>
          <w:szCs w:val="24"/>
        </w:rPr>
        <w:t>Dhawan</w:t>
      </w:r>
      <w:proofErr w:type="spellEnd"/>
      <w:r w:rsidRPr="007431EC">
        <w:rPr>
          <w:rFonts w:ascii="Times New Roman" w:hAnsi="Times New Roman" w:cs="Times New Roman"/>
          <w:sz w:val="24"/>
          <w:szCs w:val="24"/>
        </w:rPr>
        <w:t>, “</w:t>
      </w:r>
      <w:r w:rsidRPr="007431EC">
        <w:rPr>
          <w:rFonts w:ascii="Times New Roman" w:hAnsi="Times New Roman" w:cs="Times New Roman"/>
          <w:i/>
          <w:iCs/>
          <w:sz w:val="24"/>
          <w:szCs w:val="24"/>
        </w:rPr>
        <w:t xml:space="preserve">Digital body </w:t>
      </w:r>
      <w:proofErr w:type="spellStart"/>
      <w:r w:rsidRPr="007431EC">
        <w:rPr>
          <w:rFonts w:ascii="Times New Roman" w:hAnsi="Times New Roman" w:cs="Times New Roman"/>
          <w:i/>
          <w:iCs/>
          <w:sz w:val="24"/>
          <w:szCs w:val="24"/>
        </w:rPr>
        <w:t>language</w:t>
      </w:r>
      <w:proofErr w:type="spellEnd"/>
      <w:r w:rsidRPr="007431EC">
        <w:rPr>
          <w:rFonts w:ascii="Times New Roman" w:hAnsi="Times New Roman" w:cs="Times New Roman"/>
          <w:i/>
          <w:iCs/>
          <w:sz w:val="24"/>
          <w:szCs w:val="24"/>
        </w:rPr>
        <w:t xml:space="preserve">. How to </w:t>
      </w:r>
      <w:proofErr w:type="spellStart"/>
      <w:r w:rsidRPr="007431EC">
        <w:rPr>
          <w:rFonts w:ascii="Times New Roman" w:hAnsi="Times New Roman" w:cs="Times New Roman"/>
          <w:i/>
          <w:iCs/>
          <w:sz w:val="24"/>
          <w:szCs w:val="24"/>
        </w:rPr>
        <w:t>build</w:t>
      </w:r>
      <w:proofErr w:type="spellEnd"/>
      <w:r w:rsidRPr="007431EC">
        <w:rPr>
          <w:rFonts w:ascii="Times New Roman" w:hAnsi="Times New Roman" w:cs="Times New Roman"/>
          <w:i/>
          <w:iCs/>
          <w:sz w:val="24"/>
          <w:szCs w:val="24"/>
        </w:rPr>
        <w:t xml:space="preserve"> trust &amp; connection no </w:t>
      </w:r>
      <w:proofErr w:type="spellStart"/>
      <w:r w:rsidRPr="007431EC">
        <w:rPr>
          <w:rFonts w:ascii="Times New Roman" w:hAnsi="Times New Roman" w:cs="Times New Roman"/>
          <w:i/>
          <w:iCs/>
          <w:sz w:val="24"/>
          <w:szCs w:val="24"/>
        </w:rPr>
        <w:t>matter</w:t>
      </w:r>
      <w:proofErr w:type="spellEnd"/>
      <w:r w:rsidRPr="007431EC">
        <w:rPr>
          <w:rFonts w:ascii="Times New Roman" w:hAnsi="Times New Roman" w:cs="Times New Roman"/>
          <w:i/>
          <w:iCs/>
          <w:sz w:val="24"/>
          <w:szCs w:val="24"/>
        </w:rPr>
        <w:t xml:space="preserve"> the </w:t>
      </w:r>
      <w:proofErr w:type="spellStart"/>
      <w:r w:rsidRPr="007431EC">
        <w:rPr>
          <w:rFonts w:ascii="Times New Roman" w:hAnsi="Times New Roman" w:cs="Times New Roman"/>
          <w:i/>
          <w:iCs/>
          <w:sz w:val="24"/>
          <w:szCs w:val="24"/>
        </w:rPr>
        <w:t>distance</w:t>
      </w:r>
      <w:proofErr w:type="spellEnd"/>
      <w:r w:rsidRPr="007431EC">
        <w:rPr>
          <w:rFonts w:ascii="Times New Roman" w:hAnsi="Times New Roman" w:cs="Times New Roman"/>
          <w:sz w:val="24"/>
          <w:szCs w:val="24"/>
        </w:rPr>
        <w:t>”, 2021, sull’importanza della correttezza e della misura del linguaggio digitale. L’autrice sottolinea l’importanza del linguaggio digitale nel mondo del lavoro per evitare il c.d. “</w:t>
      </w:r>
      <w:proofErr w:type="spellStart"/>
      <w:r w:rsidRPr="007431EC">
        <w:rPr>
          <w:rFonts w:ascii="Times New Roman" w:hAnsi="Times New Roman" w:cs="Times New Roman"/>
          <w:i/>
          <w:iCs/>
          <w:sz w:val="24"/>
          <w:szCs w:val="24"/>
        </w:rPr>
        <w:t>distancing</w:t>
      </w:r>
      <w:proofErr w:type="spellEnd"/>
      <w:r w:rsidRPr="007431EC">
        <w:rPr>
          <w:rFonts w:ascii="Times New Roman" w:hAnsi="Times New Roman" w:cs="Times New Roman"/>
          <w:i/>
          <w:iCs/>
          <w:sz w:val="24"/>
          <w:szCs w:val="24"/>
        </w:rPr>
        <w:t xml:space="preserve"> </w:t>
      </w:r>
      <w:proofErr w:type="spellStart"/>
      <w:r w:rsidRPr="007431EC">
        <w:rPr>
          <w:rFonts w:ascii="Times New Roman" w:hAnsi="Times New Roman" w:cs="Times New Roman"/>
          <w:i/>
          <w:iCs/>
          <w:sz w:val="24"/>
          <w:szCs w:val="24"/>
        </w:rPr>
        <w:t>effect</w:t>
      </w:r>
      <w:proofErr w:type="spellEnd"/>
      <w:r w:rsidRPr="007431EC">
        <w:rPr>
          <w:rFonts w:ascii="Times New Roman" w:hAnsi="Times New Roman" w:cs="Times New Roman"/>
          <w:sz w:val="24"/>
          <w:szCs w:val="24"/>
        </w:rPr>
        <w:t>” e realizzare il c.d. “</w:t>
      </w:r>
      <w:r w:rsidRPr="007431EC">
        <w:rPr>
          <w:rFonts w:ascii="Times New Roman" w:hAnsi="Times New Roman" w:cs="Times New Roman"/>
          <w:i/>
          <w:iCs/>
          <w:sz w:val="24"/>
          <w:szCs w:val="24"/>
        </w:rPr>
        <w:t xml:space="preserve">water cooler </w:t>
      </w:r>
      <w:proofErr w:type="spellStart"/>
      <w:r w:rsidRPr="007431EC">
        <w:rPr>
          <w:rFonts w:ascii="Times New Roman" w:hAnsi="Times New Roman" w:cs="Times New Roman"/>
          <w:i/>
          <w:iCs/>
          <w:sz w:val="24"/>
          <w:szCs w:val="24"/>
        </w:rPr>
        <w:t>effect</w:t>
      </w:r>
      <w:proofErr w:type="spellEnd"/>
      <w:r w:rsidRPr="007431EC">
        <w:rPr>
          <w:rFonts w:ascii="Times New Roman" w:hAnsi="Times New Roman" w:cs="Times New Roman"/>
          <w:sz w:val="24"/>
          <w:szCs w:val="24"/>
        </w:rPr>
        <w:t>”, ossia un linguaggio informale collaborativo nel mondo del lavoro.</w:t>
      </w:r>
    </w:p>
  </w:footnote>
  <w:footnote w:id="154">
    <w:p w14:paraId="3D512B41" w14:textId="77777777" w:rsidR="000463A6" w:rsidRPr="00A2749B" w:rsidRDefault="000463A6" w:rsidP="00A2749B">
      <w:pPr>
        <w:pStyle w:val="Testonotaapidipagina"/>
        <w:jc w:val="both"/>
        <w:rPr>
          <w:rFonts w:ascii="Times New Roman" w:hAnsi="Times New Roman" w:cs="Times New Roman"/>
          <w:sz w:val="24"/>
          <w:szCs w:val="24"/>
        </w:rPr>
      </w:pPr>
      <w:r w:rsidRPr="00A2749B">
        <w:rPr>
          <w:rStyle w:val="Rimandonotaapidipagina"/>
          <w:rFonts w:ascii="Times New Roman" w:hAnsi="Times New Roman" w:cs="Times New Roman"/>
          <w:sz w:val="24"/>
          <w:szCs w:val="24"/>
        </w:rPr>
        <w:footnoteRef/>
      </w:r>
      <w:r w:rsidRPr="00A2749B">
        <w:rPr>
          <w:rFonts w:ascii="Times New Roman" w:hAnsi="Times New Roman" w:cs="Times New Roman"/>
          <w:sz w:val="24"/>
          <w:szCs w:val="24"/>
        </w:rPr>
        <w:t xml:space="preserve"> Il 10 dicembre 2021, ricevendo il Premio Nobel per la pace, la giornalista filippina Maria Ressa ha lanciato un forte messaggio contro i colossi tecnologici americani, colpevoli, secondo lei, di aver lasciato che l’avidità alimentasse sentimenti negativi sui </w:t>
      </w:r>
      <w:r w:rsidRPr="00A2749B">
        <w:rPr>
          <w:rFonts w:ascii="Times New Roman" w:hAnsi="Times New Roman" w:cs="Times New Roman"/>
          <w:i/>
          <w:iCs/>
          <w:sz w:val="24"/>
          <w:szCs w:val="24"/>
        </w:rPr>
        <w:t>social network</w:t>
      </w:r>
      <w:r w:rsidRPr="00A2749B">
        <w:rPr>
          <w:rFonts w:ascii="Times New Roman" w:hAnsi="Times New Roman" w:cs="Times New Roman"/>
          <w:sz w:val="24"/>
          <w:szCs w:val="24"/>
        </w:rPr>
        <w:t xml:space="preserve">. La giornalista Ressa, cofondatrice del sito </w:t>
      </w:r>
      <w:proofErr w:type="spellStart"/>
      <w:r w:rsidRPr="00A2749B">
        <w:rPr>
          <w:rFonts w:ascii="Times New Roman" w:hAnsi="Times New Roman" w:cs="Times New Roman"/>
          <w:i/>
          <w:iCs/>
          <w:sz w:val="24"/>
          <w:szCs w:val="24"/>
        </w:rPr>
        <w:t>Rappler</w:t>
      </w:r>
      <w:proofErr w:type="spellEnd"/>
      <w:r w:rsidRPr="00A2749B">
        <w:rPr>
          <w:rFonts w:ascii="Times New Roman" w:hAnsi="Times New Roman" w:cs="Times New Roman"/>
          <w:sz w:val="24"/>
          <w:szCs w:val="24"/>
        </w:rPr>
        <w:t xml:space="preserve">, che ha vinto il premio insieme al collega russo </w:t>
      </w:r>
      <w:proofErr w:type="spellStart"/>
      <w:r w:rsidRPr="00A2749B">
        <w:rPr>
          <w:rFonts w:ascii="Times New Roman" w:hAnsi="Times New Roman" w:cs="Times New Roman"/>
          <w:sz w:val="24"/>
          <w:szCs w:val="24"/>
        </w:rPr>
        <w:t>Dimitry</w:t>
      </w:r>
      <w:proofErr w:type="spellEnd"/>
      <w:r w:rsidRPr="00A2749B">
        <w:rPr>
          <w:rFonts w:ascii="Times New Roman" w:hAnsi="Times New Roman" w:cs="Times New Roman"/>
          <w:sz w:val="24"/>
          <w:szCs w:val="24"/>
        </w:rPr>
        <w:t xml:space="preserve"> </w:t>
      </w:r>
      <w:proofErr w:type="spellStart"/>
      <w:r w:rsidRPr="00A2749B">
        <w:rPr>
          <w:rFonts w:ascii="Times New Roman" w:hAnsi="Times New Roman" w:cs="Times New Roman"/>
          <w:sz w:val="24"/>
          <w:szCs w:val="24"/>
        </w:rPr>
        <w:t>Muratov</w:t>
      </w:r>
      <w:proofErr w:type="spellEnd"/>
      <w:r w:rsidRPr="00A2749B">
        <w:rPr>
          <w:rFonts w:ascii="Times New Roman" w:hAnsi="Times New Roman" w:cs="Times New Roman"/>
          <w:sz w:val="24"/>
          <w:szCs w:val="24"/>
        </w:rPr>
        <w:t>, ha attaccato le società di internet americane che «</w:t>
      </w:r>
      <w:r w:rsidRPr="00A2749B">
        <w:rPr>
          <w:rFonts w:ascii="Times New Roman" w:hAnsi="Times New Roman" w:cs="Times New Roman"/>
          <w:i/>
          <w:iCs/>
          <w:sz w:val="24"/>
          <w:szCs w:val="24"/>
        </w:rPr>
        <w:t>hanno permesso a un virus di bugie di infettare ognuno di noi, mettendoci l’uno contro l’altro, facendo emergere le nostre paure, la rabbia e l’odio. Ciò che accade sui social media non rimane sui social media. La violenza online è la violenza del mondo reale. I fatti e la verità sono al centro della risoluzione delle maggiori sfide che la società deve affrontare oggi. Senza fatti, non c’è verità. Senza verità non c’è fiducia. Senza fiducia non abbiamo realtà condivisa, nessuna democrazia e diventa impossibile affrontare i problemi esistenziali del nostro mondo: clima, coronavirus, battaglia per la verità</w:t>
      </w:r>
      <w:r w:rsidRPr="00A2749B">
        <w:rPr>
          <w:rFonts w:ascii="Times New Roman" w:hAnsi="Times New Roman" w:cs="Times New Roman"/>
          <w:sz w:val="24"/>
          <w:szCs w:val="24"/>
        </w:rPr>
        <w:t xml:space="preserve">». Ressa – il cui sito web è molto critico nei confronti del Presidente filippino Rodrigo </w:t>
      </w:r>
      <w:proofErr w:type="spellStart"/>
      <w:r w:rsidRPr="00A2749B">
        <w:rPr>
          <w:rFonts w:ascii="Times New Roman" w:hAnsi="Times New Roman" w:cs="Times New Roman"/>
          <w:sz w:val="24"/>
          <w:szCs w:val="24"/>
        </w:rPr>
        <w:t>Duterte</w:t>
      </w:r>
      <w:proofErr w:type="spellEnd"/>
      <w:r w:rsidRPr="00A2749B">
        <w:rPr>
          <w:rFonts w:ascii="Times New Roman" w:hAnsi="Times New Roman" w:cs="Times New Roman"/>
          <w:sz w:val="24"/>
          <w:szCs w:val="24"/>
        </w:rPr>
        <w:t xml:space="preserve"> – è oggetto di 7 cause legali nel suo paese che, secondo lei, rischiano di metterla in prigione per 100 anni. Attualmente in libertà vigilata, in attesa di appello dopo essere stata condannata per diffamazione lo scorso anno, ha dovuto chiedere a </w:t>
      </w:r>
      <w:proofErr w:type="gramStart"/>
      <w:r w:rsidRPr="00A2749B">
        <w:rPr>
          <w:rFonts w:ascii="Times New Roman" w:hAnsi="Times New Roman" w:cs="Times New Roman"/>
          <w:sz w:val="24"/>
          <w:szCs w:val="24"/>
        </w:rPr>
        <w:t>4</w:t>
      </w:r>
      <w:proofErr w:type="gramEnd"/>
      <w:r w:rsidRPr="00A2749B">
        <w:rPr>
          <w:rFonts w:ascii="Times New Roman" w:hAnsi="Times New Roman" w:cs="Times New Roman"/>
          <w:sz w:val="24"/>
          <w:szCs w:val="24"/>
        </w:rPr>
        <w:t xml:space="preserve"> tribunali il permesso di viaggiare e di ritirare di persona il suo Nobel per la pace.</w:t>
      </w:r>
    </w:p>
  </w:footnote>
  <w:footnote w:id="155">
    <w:p w14:paraId="438EEA84" w14:textId="4EDEA79B" w:rsidR="000463A6" w:rsidRPr="00E01F2B" w:rsidRDefault="000463A6" w:rsidP="00A2749B">
      <w:pPr>
        <w:pStyle w:val="Testonotaapidipagina"/>
        <w:jc w:val="both"/>
        <w:rPr>
          <w:rFonts w:ascii="Times New Roman" w:hAnsi="Times New Roman" w:cs="Times New Roman"/>
          <w:sz w:val="24"/>
          <w:szCs w:val="24"/>
        </w:rPr>
      </w:pPr>
      <w:r w:rsidRPr="00A2749B">
        <w:rPr>
          <w:rStyle w:val="Rimandonotaapidipagina"/>
          <w:rFonts w:ascii="Times New Roman" w:hAnsi="Times New Roman" w:cs="Times New Roman"/>
          <w:sz w:val="24"/>
          <w:szCs w:val="24"/>
        </w:rPr>
        <w:footnoteRef/>
      </w:r>
      <w:r w:rsidRPr="00A2749B">
        <w:rPr>
          <w:rFonts w:ascii="Times New Roman" w:hAnsi="Times New Roman" w:cs="Times New Roman"/>
          <w:sz w:val="24"/>
          <w:szCs w:val="24"/>
        </w:rPr>
        <w:t xml:space="preserve"> Tribunale di Roma, ordinanza del 23/02/2020, resa nell’ambito del procedimento cautelare ex art. 700 c.p.c.</w:t>
      </w:r>
      <w:r>
        <w:rPr>
          <w:rFonts w:ascii="Times New Roman" w:hAnsi="Times New Roman" w:cs="Times New Roman"/>
          <w:sz w:val="24"/>
          <w:szCs w:val="24"/>
        </w:rPr>
        <w:t xml:space="preserve"> (</w:t>
      </w:r>
      <w:r w:rsidRPr="00A2749B">
        <w:rPr>
          <w:rFonts w:ascii="Times New Roman" w:hAnsi="Times New Roman" w:cs="Times New Roman"/>
          <w:sz w:val="24"/>
          <w:szCs w:val="24"/>
        </w:rPr>
        <w:t>R.G. 64894/2019</w:t>
      </w:r>
      <w:r>
        <w:rPr>
          <w:rFonts w:ascii="Times New Roman" w:hAnsi="Times New Roman" w:cs="Times New Roman"/>
          <w:sz w:val="24"/>
          <w:szCs w:val="24"/>
        </w:rPr>
        <w:t>)</w:t>
      </w:r>
      <w:r w:rsidRPr="00A2749B">
        <w:rPr>
          <w:rFonts w:ascii="Times New Roman" w:hAnsi="Times New Roman" w:cs="Times New Roman"/>
          <w:sz w:val="24"/>
          <w:szCs w:val="24"/>
        </w:rPr>
        <w:t xml:space="preserve"> e Tribunale di Roma, ordinanza del 14/02/2020, resa nell’ambito della causa n. 80961/19, entrambe commentate e reperibili su </w:t>
      </w:r>
      <w:hyperlink r:id="rId34" w:history="1">
        <w:r w:rsidRPr="00A2749B">
          <w:rPr>
            <w:rStyle w:val="Collegamentoipertestuale"/>
            <w:rFonts w:ascii="Times New Roman" w:hAnsi="Times New Roman" w:cs="Times New Roman"/>
            <w:sz w:val="24"/>
            <w:szCs w:val="24"/>
          </w:rPr>
          <w:t>https://www.iusinitinere.it/liberta-di-espressione-facebook-e-movimenti-di-estrema-destra-provvedimenti-a-confronto-27066</w:t>
        </w:r>
      </w:hyperlink>
      <w:r w:rsidRPr="00A2749B">
        <w:rPr>
          <w:rFonts w:ascii="Times New Roman" w:hAnsi="Times New Roman" w:cs="Times New Roman"/>
          <w:sz w:val="24"/>
          <w:szCs w:val="24"/>
        </w:rPr>
        <w:t>, “</w:t>
      </w:r>
      <w:r w:rsidRPr="00A2749B">
        <w:rPr>
          <w:rFonts w:ascii="Times New Roman" w:hAnsi="Times New Roman" w:cs="Times New Roman"/>
          <w:i/>
          <w:iCs/>
          <w:sz w:val="24"/>
          <w:szCs w:val="24"/>
        </w:rPr>
        <w:t xml:space="preserve">Libertà di espressione, </w:t>
      </w:r>
      <w:proofErr w:type="spellStart"/>
      <w:r w:rsidRPr="00A2749B">
        <w:rPr>
          <w:rFonts w:ascii="Times New Roman" w:hAnsi="Times New Roman" w:cs="Times New Roman"/>
          <w:i/>
          <w:iCs/>
          <w:sz w:val="24"/>
          <w:szCs w:val="24"/>
        </w:rPr>
        <w:t>Facebook</w:t>
      </w:r>
      <w:proofErr w:type="spellEnd"/>
      <w:r w:rsidRPr="00A2749B">
        <w:rPr>
          <w:rFonts w:ascii="Times New Roman" w:hAnsi="Times New Roman" w:cs="Times New Roman"/>
          <w:i/>
          <w:iCs/>
          <w:sz w:val="24"/>
          <w:szCs w:val="24"/>
        </w:rPr>
        <w:t xml:space="preserve"> e movimenti di estrema destra: provvedimenti a confronto</w:t>
      </w:r>
      <w:r w:rsidRPr="00A2749B">
        <w:rPr>
          <w:rFonts w:ascii="Times New Roman" w:hAnsi="Times New Roman" w:cs="Times New Roman"/>
          <w:sz w:val="24"/>
          <w:szCs w:val="24"/>
        </w:rPr>
        <w:t xml:space="preserve">”, di </w:t>
      </w:r>
      <w:r w:rsidRPr="00A2749B">
        <w:rPr>
          <w:rFonts w:ascii="Times New Roman" w:hAnsi="Times New Roman" w:cs="Times New Roman"/>
          <w:smallCaps/>
          <w:sz w:val="24"/>
          <w:szCs w:val="24"/>
        </w:rPr>
        <w:t>E. Palazzolo</w:t>
      </w:r>
      <w:r w:rsidRPr="00A2749B">
        <w:rPr>
          <w:rFonts w:ascii="Times New Roman" w:hAnsi="Times New Roman" w:cs="Times New Roman"/>
          <w:sz w:val="24"/>
          <w:szCs w:val="24"/>
        </w:rPr>
        <w:t>, 2020.</w:t>
      </w:r>
    </w:p>
  </w:footnote>
  <w:footnote w:id="156">
    <w:p w14:paraId="27540192" w14:textId="2A429C9D" w:rsidR="000463A6" w:rsidRPr="00931F9E" w:rsidRDefault="000463A6" w:rsidP="00931F9E">
      <w:pPr>
        <w:pStyle w:val="Testonotaapidipagina"/>
        <w:jc w:val="both"/>
        <w:rPr>
          <w:rFonts w:ascii="Times New Roman" w:hAnsi="Times New Roman" w:cs="Times New Roman"/>
          <w:sz w:val="24"/>
          <w:szCs w:val="24"/>
        </w:rPr>
      </w:pPr>
      <w:r w:rsidRPr="00931F9E">
        <w:rPr>
          <w:rStyle w:val="Rimandonotaapidipagina"/>
          <w:rFonts w:ascii="Times New Roman" w:hAnsi="Times New Roman" w:cs="Times New Roman"/>
          <w:sz w:val="24"/>
          <w:szCs w:val="24"/>
        </w:rPr>
        <w:footnoteRef/>
      </w:r>
      <w:r w:rsidRPr="00931F9E">
        <w:rPr>
          <w:rFonts w:ascii="Times New Roman" w:hAnsi="Times New Roman" w:cs="Times New Roman"/>
          <w:sz w:val="24"/>
          <w:szCs w:val="24"/>
        </w:rPr>
        <w:t xml:space="preserve"> Per una puntuale ricostruzione delle alternative definitorie concernenti gli </w:t>
      </w:r>
      <w:proofErr w:type="spellStart"/>
      <w:r w:rsidRPr="00931F9E">
        <w:rPr>
          <w:rFonts w:ascii="Times New Roman" w:hAnsi="Times New Roman" w:cs="Times New Roman"/>
          <w:i/>
          <w:iCs/>
          <w:sz w:val="24"/>
          <w:szCs w:val="24"/>
        </w:rPr>
        <w:t>hate</w:t>
      </w:r>
      <w:proofErr w:type="spellEnd"/>
      <w:r w:rsidRPr="00931F9E">
        <w:rPr>
          <w:rFonts w:ascii="Times New Roman" w:hAnsi="Times New Roman" w:cs="Times New Roman"/>
          <w:i/>
          <w:iCs/>
          <w:sz w:val="24"/>
          <w:szCs w:val="24"/>
        </w:rPr>
        <w:t xml:space="preserve"> </w:t>
      </w:r>
      <w:proofErr w:type="spellStart"/>
      <w:r w:rsidRPr="00931F9E">
        <w:rPr>
          <w:rFonts w:ascii="Times New Roman" w:hAnsi="Times New Roman" w:cs="Times New Roman"/>
          <w:i/>
          <w:iCs/>
          <w:sz w:val="24"/>
          <w:szCs w:val="24"/>
        </w:rPr>
        <w:t>crimes</w:t>
      </w:r>
      <w:proofErr w:type="spellEnd"/>
      <w:r w:rsidRPr="00931F9E">
        <w:rPr>
          <w:rFonts w:ascii="Times New Roman" w:hAnsi="Times New Roman" w:cs="Times New Roman"/>
          <w:sz w:val="24"/>
          <w:szCs w:val="24"/>
        </w:rPr>
        <w:t xml:space="preserve">, v. da ultimo </w:t>
      </w:r>
      <w:r w:rsidRPr="00931F9E">
        <w:rPr>
          <w:rFonts w:ascii="Times New Roman" w:hAnsi="Times New Roman" w:cs="Times New Roman"/>
          <w:smallCaps/>
          <w:sz w:val="24"/>
          <w:szCs w:val="24"/>
        </w:rPr>
        <w:t xml:space="preserve">L. </w:t>
      </w:r>
      <w:proofErr w:type="spellStart"/>
      <w:r w:rsidRPr="00931F9E">
        <w:rPr>
          <w:rFonts w:ascii="Times New Roman" w:hAnsi="Times New Roman" w:cs="Times New Roman"/>
          <w:smallCaps/>
          <w:sz w:val="24"/>
          <w:szCs w:val="24"/>
        </w:rPr>
        <w:t>Goisis</w:t>
      </w:r>
      <w:proofErr w:type="spellEnd"/>
      <w:r w:rsidRPr="00931F9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931F9E">
        <w:rPr>
          <w:rFonts w:ascii="Times New Roman" w:hAnsi="Times New Roman" w:cs="Times New Roman"/>
          <w:i/>
          <w:iCs/>
          <w:sz w:val="24"/>
          <w:szCs w:val="24"/>
        </w:rPr>
        <w:t>Hate</w:t>
      </w:r>
      <w:proofErr w:type="spellEnd"/>
      <w:r w:rsidRPr="00931F9E">
        <w:rPr>
          <w:rFonts w:ascii="Times New Roman" w:hAnsi="Times New Roman" w:cs="Times New Roman"/>
          <w:i/>
          <w:iCs/>
          <w:sz w:val="24"/>
          <w:szCs w:val="24"/>
        </w:rPr>
        <w:t xml:space="preserve"> </w:t>
      </w:r>
      <w:proofErr w:type="spellStart"/>
      <w:r w:rsidRPr="00931F9E">
        <w:rPr>
          <w:rFonts w:ascii="Times New Roman" w:hAnsi="Times New Roman" w:cs="Times New Roman"/>
          <w:i/>
          <w:iCs/>
          <w:sz w:val="24"/>
          <w:szCs w:val="24"/>
        </w:rPr>
        <w:t>Crimes</w:t>
      </w:r>
      <w:proofErr w:type="spellEnd"/>
      <w:r w:rsidRPr="00931F9E">
        <w:rPr>
          <w:rFonts w:ascii="Times New Roman" w:hAnsi="Times New Roman" w:cs="Times New Roman"/>
          <w:i/>
          <w:iCs/>
          <w:sz w:val="24"/>
          <w:szCs w:val="24"/>
        </w:rPr>
        <w:t>: perché punire l’odio. Una prospettiva internazionale, comparatistica e politico-criminale</w:t>
      </w:r>
      <w:r>
        <w:rPr>
          <w:rFonts w:ascii="Times New Roman" w:hAnsi="Times New Roman" w:cs="Times New Roman"/>
          <w:sz w:val="24"/>
          <w:szCs w:val="24"/>
        </w:rPr>
        <w:t>”</w:t>
      </w:r>
      <w:r w:rsidRPr="00931F9E">
        <w:rPr>
          <w:rFonts w:ascii="Times New Roman" w:hAnsi="Times New Roman" w:cs="Times New Roman"/>
          <w:sz w:val="24"/>
          <w:szCs w:val="24"/>
        </w:rPr>
        <w:t xml:space="preserve">, in </w:t>
      </w:r>
      <w:r w:rsidRPr="00931F9E">
        <w:rPr>
          <w:rFonts w:ascii="Times New Roman" w:hAnsi="Times New Roman" w:cs="Times New Roman"/>
          <w:i/>
          <w:iCs/>
          <w:sz w:val="24"/>
          <w:szCs w:val="24"/>
        </w:rPr>
        <w:t>RIDPP</w:t>
      </w:r>
      <w:r w:rsidRPr="00931F9E">
        <w:rPr>
          <w:rFonts w:ascii="Times New Roman" w:hAnsi="Times New Roman" w:cs="Times New Roman"/>
          <w:sz w:val="24"/>
          <w:szCs w:val="24"/>
        </w:rPr>
        <w:t>, 2018, 2021</w:t>
      </w:r>
      <w:r>
        <w:rPr>
          <w:rFonts w:ascii="Times New Roman" w:hAnsi="Times New Roman" w:cs="Times New Roman"/>
          <w:sz w:val="24"/>
          <w:szCs w:val="24"/>
        </w:rPr>
        <w:t xml:space="preserve"> s. </w:t>
      </w:r>
      <w:r w:rsidRPr="00931F9E">
        <w:rPr>
          <w:rFonts w:ascii="Times New Roman" w:hAnsi="Times New Roman" w:cs="Times New Roman"/>
          <w:sz w:val="24"/>
          <w:szCs w:val="24"/>
        </w:rPr>
        <w:t xml:space="preserve">Secondo </w:t>
      </w:r>
      <w:r w:rsidRPr="00931F9E">
        <w:rPr>
          <w:rFonts w:ascii="Times New Roman" w:hAnsi="Times New Roman" w:cs="Times New Roman"/>
          <w:smallCaps/>
          <w:sz w:val="24"/>
          <w:szCs w:val="24"/>
        </w:rPr>
        <w:t>B. Perry</w:t>
      </w:r>
      <w:r w:rsidRPr="00931F9E">
        <w:rPr>
          <w:rFonts w:ascii="Times New Roman" w:hAnsi="Times New Roman" w:cs="Times New Roman"/>
          <w:sz w:val="24"/>
          <w:szCs w:val="24"/>
        </w:rPr>
        <w:t xml:space="preserve"> «</w:t>
      </w:r>
      <w:r w:rsidRPr="00931F9E">
        <w:rPr>
          <w:rFonts w:ascii="Times New Roman" w:hAnsi="Times New Roman" w:cs="Times New Roman"/>
          <w:i/>
          <w:iCs/>
          <w:sz w:val="24"/>
          <w:szCs w:val="24"/>
        </w:rPr>
        <w:t>il crimine d’odio (...) comporta atti violenti ed intimidatori, generalmente diretti verso gruppi già oggetto di marginalizzazione e stigmatizzazione. Così inteso, è un meccanismo di potere e di oppressione, teso a riaffermare le precarie gerarchie che caratterizzano un dato ordine sociale (...)</w:t>
      </w:r>
      <w:r w:rsidRPr="00931F9E">
        <w:rPr>
          <w:rFonts w:ascii="Times New Roman" w:hAnsi="Times New Roman" w:cs="Times New Roman"/>
          <w:sz w:val="24"/>
          <w:szCs w:val="24"/>
        </w:rPr>
        <w:t xml:space="preserve">» in </w:t>
      </w:r>
      <w:r w:rsidRPr="00931F9E">
        <w:rPr>
          <w:rFonts w:ascii="Times New Roman" w:hAnsi="Times New Roman" w:cs="Times New Roman"/>
          <w:smallCaps/>
          <w:sz w:val="24"/>
          <w:szCs w:val="24"/>
        </w:rPr>
        <w:t>B. Perry</w:t>
      </w:r>
      <w:r w:rsidRPr="00931F9E">
        <w:rPr>
          <w:rFonts w:ascii="Times New Roman" w:hAnsi="Times New Roman" w:cs="Times New Roman"/>
          <w:sz w:val="24"/>
          <w:szCs w:val="24"/>
        </w:rPr>
        <w:t xml:space="preserve">, </w:t>
      </w:r>
      <w:r>
        <w:rPr>
          <w:rFonts w:ascii="Times New Roman" w:hAnsi="Times New Roman" w:cs="Times New Roman"/>
          <w:sz w:val="24"/>
          <w:szCs w:val="24"/>
        </w:rPr>
        <w:t>“</w:t>
      </w:r>
      <w:r w:rsidRPr="00931F9E">
        <w:rPr>
          <w:rFonts w:ascii="Times New Roman" w:hAnsi="Times New Roman" w:cs="Times New Roman"/>
          <w:i/>
          <w:iCs/>
          <w:sz w:val="24"/>
          <w:szCs w:val="24"/>
        </w:rPr>
        <w:t xml:space="preserve">In the </w:t>
      </w:r>
      <w:proofErr w:type="spellStart"/>
      <w:r w:rsidRPr="00931F9E">
        <w:rPr>
          <w:rFonts w:ascii="Times New Roman" w:hAnsi="Times New Roman" w:cs="Times New Roman"/>
          <w:i/>
          <w:iCs/>
          <w:sz w:val="24"/>
          <w:szCs w:val="24"/>
        </w:rPr>
        <w:t>Name</w:t>
      </w:r>
      <w:proofErr w:type="spellEnd"/>
      <w:r w:rsidRPr="00931F9E">
        <w:rPr>
          <w:rFonts w:ascii="Times New Roman" w:hAnsi="Times New Roman" w:cs="Times New Roman"/>
          <w:i/>
          <w:iCs/>
          <w:sz w:val="24"/>
          <w:szCs w:val="24"/>
        </w:rPr>
        <w:t xml:space="preserve"> of </w:t>
      </w:r>
      <w:proofErr w:type="spellStart"/>
      <w:r w:rsidRPr="00931F9E">
        <w:rPr>
          <w:rFonts w:ascii="Times New Roman" w:hAnsi="Times New Roman" w:cs="Times New Roman"/>
          <w:i/>
          <w:iCs/>
          <w:sz w:val="24"/>
          <w:szCs w:val="24"/>
        </w:rPr>
        <w:t>Hate</w:t>
      </w:r>
      <w:proofErr w:type="spellEnd"/>
      <w:r w:rsidRPr="00931F9E">
        <w:rPr>
          <w:rFonts w:ascii="Times New Roman" w:hAnsi="Times New Roman" w:cs="Times New Roman"/>
          <w:i/>
          <w:iCs/>
          <w:sz w:val="24"/>
          <w:szCs w:val="24"/>
        </w:rPr>
        <w:t xml:space="preserve">: </w:t>
      </w:r>
      <w:proofErr w:type="spellStart"/>
      <w:r w:rsidRPr="00931F9E">
        <w:rPr>
          <w:rFonts w:ascii="Times New Roman" w:hAnsi="Times New Roman" w:cs="Times New Roman"/>
          <w:i/>
          <w:iCs/>
          <w:sz w:val="24"/>
          <w:szCs w:val="24"/>
        </w:rPr>
        <w:t>Understanding</w:t>
      </w:r>
      <w:proofErr w:type="spellEnd"/>
      <w:r w:rsidRPr="00931F9E">
        <w:rPr>
          <w:rFonts w:ascii="Times New Roman" w:hAnsi="Times New Roman" w:cs="Times New Roman"/>
          <w:i/>
          <w:iCs/>
          <w:sz w:val="24"/>
          <w:szCs w:val="24"/>
        </w:rPr>
        <w:t xml:space="preserve"> </w:t>
      </w:r>
      <w:proofErr w:type="spellStart"/>
      <w:r w:rsidRPr="00931F9E">
        <w:rPr>
          <w:rFonts w:ascii="Times New Roman" w:hAnsi="Times New Roman" w:cs="Times New Roman"/>
          <w:i/>
          <w:iCs/>
          <w:sz w:val="24"/>
          <w:szCs w:val="24"/>
        </w:rPr>
        <w:t>Hate</w:t>
      </w:r>
      <w:proofErr w:type="spellEnd"/>
      <w:r w:rsidRPr="00931F9E">
        <w:rPr>
          <w:rFonts w:ascii="Times New Roman" w:hAnsi="Times New Roman" w:cs="Times New Roman"/>
          <w:i/>
          <w:iCs/>
          <w:sz w:val="24"/>
          <w:szCs w:val="24"/>
        </w:rPr>
        <w:t xml:space="preserve"> </w:t>
      </w:r>
      <w:proofErr w:type="spellStart"/>
      <w:r w:rsidRPr="00931F9E">
        <w:rPr>
          <w:rFonts w:ascii="Times New Roman" w:hAnsi="Times New Roman" w:cs="Times New Roman"/>
          <w:i/>
          <w:iCs/>
          <w:sz w:val="24"/>
          <w:szCs w:val="24"/>
        </w:rPr>
        <w:t>Crimes</w:t>
      </w:r>
      <w:proofErr w:type="spellEnd"/>
      <w:r>
        <w:rPr>
          <w:rFonts w:ascii="Times New Roman" w:hAnsi="Times New Roman" w:cs="Times New Roman"/>
          <w:sz w:val="24"/>
          <w:szCs w:val="24"/>
        </w:rPr>
        <w:t>”</w:t>
      </w:r>
      <w:r w:rsidRPr="00931F9E">
        <w:rPr>
          <w:rFonts w:ascii="Times New Roman" w:hAnsi="Times New Roman" w:cs="Times New Roman"/>
          <w:sz w:val="24"/>
          <w:szCs w:val="24"/>
        </w:rPr>
        <w:t>, Londra</w:t>
      </w:r>
      <w:r w:rsidR="009025F0">
        <w:rPr>
          <w:rFonts w:ascii="Times New Roman" w:hAnsi="Times New Roman" w:cs="Times New Roman"/>
          <w:sz w:val="24"/>
          <w:szCs w:val="24"/>
        </w:rPr>
        <w:t>,</w:t>
      </w:r>
      <w:r w:rsidRPr="00931F9E">
        <w:rPr>
          <w:rFonts w:ascii="Times New Roman" w:hAnsi="Times New Roman" w:cs="Times New Roman"/>
          <w:sz w:val="24"/>
          <w:szCs w:val="24"/>
        </w:rPr>
        <w:t xml:space="preserve"> 2001, 1 e 10. Ancora, secondo </w:t>
      </w:r>
      <w:r w:rsidRPr="00931F9E">
        <w:rPr>
          <w:rFonts w:ascii="Times New Roman" w:hAnsi="Times New Roman" w:cs="Times New Roman"/>
          <w:smallCaps/>
          <w:sz w:val="24"/>
          <w:szCs w:val="24"/>
        </w:rPr>
        <w:t xml:space="preserve">N. </w:t>
      </w:r>
      <w:proofErr w:type="spellStart"/>
      <w:r w:rsidRPr="00931F9E">
        <w:rPr>
          <w:rFonts w:ascii="Times New Roman" w:hAnsi="Times New Roman" w:cs="Times New Roman"/>
          <w:smallCaps/>
          <w:sz w:val="24"/>
          <w:szCs w:val="24"/>
        </w:rPr>
        <w:t>Chakraborti</w:t>
      </w:r>
      <w:proofErr w:type="spellEnd"/>
      <w:r>
        <w:rPr>
          <w:rFonts w:ascii="Times New Roman" w:hAnsi="Times New Roman" w:cs="Times New Roman"/>
          <w:smallCaps/>
          <w:sz w:val="24"/>
          <w:szCs w:val="24"/>
        </w:rPr>
        <w:t>,</w:t>
      </w:r>
      <w:r w:rsidRPr="00931F9E">
        <w:rPr>
          <w:rFonts w:ascii="Times New Roman" w:hAnsi="Times New Roman" w:cs="Times New Roman"/>
          <w:sz w:val="24"/>
          <w:szCs w:val="24"/>
        </w:rPr>
        <w:t xml:space="preserve"> i crimini d’odio vanno individuati in quegli «</w:t>
      </w:r>
      <w:r w:rsidRPr="00931F9E">
        <w:rPr>
          <w:rFonts w:ascii="Times New Roman" w:hAnsi="Times New Roman" w:cs="Times New Roman"/>
          <w:i/>
          <w:iCs/>
          <w:sz w:val="24"/>
          <w:szCs w:val="24"/>
        </w:rPr>
        <w:t>atti di violenza, intimidazione e ostilità diretti verso persone a causa della loro identità o della loro percepita diversità</w:t>
      </w:r>
      <w:r w:rsidRPr="00931F9E">
        <w:rPr>
          <w:rFonts w:ascii="Times New Roman" w:hAnsi="Times New Roman" w:cs="Times New Roman"/>
          <w:sz w:val="24"/>
          <w:szCs w:val="24"/>
        </w:rPr>
        <w:t>»</w:t>
      </w:r>
      <w:r>
        <w:rPr>
          <w:rFonts w:ascii="Times New Roman" w:hAnsi="Times New Roman" w:cs="Times New Roman"/>
          <w:sz w:val="24"/>
          <w:szCs w:val="24"/>
        </w:rPr>
        <w:t>,</w:t>
      </w:r>
      <w:r w:rsidRPr="00931F9E">
        <w:rPr>
          <w:rFonts w:ascii="Times New Roman" w:hAnsi="Times New Roman" w:cs="Times New Roman"/>
          <w:sz w:val="24"/>
          <w:szCs w:val="24"/>
        </w:rPr>
        <w:t xml:space="preserve"> in </w:t>
      </w:r>
      <w:r w:rsidRPr="00931F9E">
        <w:rPr>
          <w:rFonts w:ascii="Times New Roman" w:hAnsi="Times New Roman" w:cs="Times New Roman"/>
          <w:smallCaps/>
          <w:sz w:val="24"/>
          <w:szCs w:val="24"/>
        </w:rPr>
        <w:t xml:space="preserve">N. </w:t>
      </w:r>
      <w:proofErr w:type="spellStart"/>
      <w:r w:rsidRPr="00931F9E">
        <w:rPr>
          <w:rFonts w:ascii="Times New Roman" w:hAnsi="Times New Roman" w:cs="Times New Roman"/>
          <w:smallCaps/>
          <w:sz w:val="24"/>
          <w:szCs w:val="24"/>
        </w:rPr>
        <w:t>Chakraborti</w:t>
      </w:r>
      <w:proofErr w:type="spellEnd"/>
      <w:r w:rsidRPr="00931F9E">
        <w:rPr>
          <w:rFonts w:ascii="Times New Roman" w:hAnsi="Times New Roman" w:cs="Times New Roman"/>
          <w:smallCaps/>
          <w:sz w:val="24"/>
          <w:szCs w:val="24"/>
        </w:rPr>
        <w:t>, J. Garland</w:t>
      </w:r>
      <w:r w:rsidRPr="00931F9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931F9E">
        <w:rPr>
          <w:rFonts w:ascii="Times New Roman" w:hAnsi="Times New Roman" w:cs="Times New Roman"/>
          <w:i/>
          <w:iCs/>
          <w:sz w:val="24"/>
          <w:szCs w:val="24"/>
        </w:rPr>
        <w:t>Hate</w:t>
      </w:r>
      <w:proofErr w:type="spellEnd"/>
      <w:r w:rsidRPr="00931F9E">
        <w:rPr>
          <w:rFonts w:ascii="Times New Roman" w:hAnsi="Times New Roman" w:cs="Times New Roman"/>
          <w:i/>
          <w:iCs/>
          <w:sz w:val="24"/>
          <w:szCs w:val="24"/>
        </w:rPr>
        <w:t xml:space="preserve"> Crime. Impact, </w:t>
      </w:r>
      <w:proofErr w:type="spellStart"/>
      <w:r w:rsidRPr="00931F9E">
        <w:rPr>
          <w:rFonts w:ascii="Times New Roman" w:hAnsi="Times New Roman" w:cs="Times New Roman"/>
          <w:i/>
          <w:iCs/>
          <w:sz w:val="24"/>
          <w:szCs w:val="24"/>
        </w:rPr>
        <w:t>Causes</w:t>
      </w:r>
      <w:proofErr w:type="spellEnd"/>
      <w:r w:rsidRPr="00931F9E">
        <w:rPr>
          <w:rFonts w:ascii="Times New Roman" w:hAnsi="Times New Roman" w:cs="Times New Roman"/>
          <w:i/>
          <w:iCs/>
          <w:sz w:val="24"/>
          <w:szCs w:val="24"/>
        </w:rPr>
        <w:t xml:space="preserve">, and </w:t>
      </w:r>
      <w:proofErr w:type="spellStart"/>
      <w:r w:rsidRPr="00931F9E">
        <w:rPr>
          <w:rFonts w:ascii="Times New Roman" w:hAnsi="Times New Roman" w:cs="Times New Roman"/>
          <w:i/>
          <w:iCs/>
          <w:sz w:val="24"/>
          <w:szCs w:val="24"/>
        </w:rPr>
        <w:t>Responses</w:t>
      </w:r>
      <w:proofErr w:type="spellEnd"/>
      <w:r>
        <w:rPr>
          <w:rFonts w:ascii="Times New Roman" w:hAnsi="Times New Roman" w:cs="Times New Roman"/>
          <w:sz w:val="24"/>
          <w:szCs w:val="24"/>
        </w:rPr>
        <w:t>”</w:t>
      </w:r>
      <w:r w:rsidRPr="00931F9E">
        <w:rPr>
          <w:rFonts w:ascii="Times New Roman" w:hAnsi="Times New Roman" w:cs="Times New Roman"/>
          <w:sz w:val="24"/>
          <w:szCs w:val="24"/>
        </w:rPr>
        <w:t>, Los Angeles-Londra</w:t>
      </w:r>
      <w:r w:rsidR="005B243A">
        <w:rPr>
          <w:rFonts w:ascii="Times New Roman" w:hAnsi="Times New Roman" w:cs="Times New Roman"/>
          <w:sz w:val="24"/>
          <w:szCs w:val="24"/>
        </w:rPr>
        <w:t>,</w:t>
      </w:r>
      <w:r w:rsidRPr="00931F9E">
        <w:rPr>
          <w:rFonts w:ascii="Times New Roman" w:hAnsi="Times New Roman" w:cs="Times New Roman"/>
          <w:sz w:val="24"/>
          <w:szCs w:val="24"/>
        </w:rPr>
        <w:t xml:space="preserve"> 2015, 5. Da ultimo</w:t>
      </w:r>
      <w:r>
        <w:rPr>
          <w:rFonts w:ascii="Times New Roman" w:hAnsi="Times New Roman" w:cs="Times New Roman"/>
          <w:sz w:val="24"/>
          <w:szCs w:val="24"/>
        </w:rPr>
        <w:t>,</w:t>
      </w:r>
      <w:r w:rsidRPr="00931F9E">
        <w:rPr>
          <w:rFonts w:ascii="Times New Roman" w:hAnsi="Times New Roman" w:cs="Times New Roman"/>
          <w:sz w:val="24"/>
          <w:szCs w:val="24"/>
        </w:rPr>
        <w:t xml:space="preserve"> </w:t>
      </w:r>
      <w:r w:rsidRPr="00931F9E">
        <w:rPr>
          <w:rFonts w:ascii="Times New Roman" w:hAnsi="Times New Roman" w:cs="Times New Roman"/>
          <w:smallCaps/>
          <w:sz w:val="24"/>
          <w:szCs w:val="24"/>
        </w:rPr>
        <w:t>F. Lawrence</w:t>
      </w:r>
      <w:r w:rsidRPr="00931F9E">
        <w:rPr>
          <w:rFonts w:ascii="Times New Roman" w:hAnsi="Times New Roman" w:cs="Times New Roman"/>
          <w:sz w:val="24"/>
          <w:szCs w:val="24"/>
        </w:rPr>
        <w:t xml:space="preserve"> definisce l’</w:t>
      </w:r>
      <w:proofErr w:type="spellStart"/>
      <w:r w:rsidRPr="00931F9E">
        <w:rPr>
          <w:rFonts w:ascii="Times New Roman" w:hAnsi="Times New Roman" w:cs="Times New Roman"/>
          <w:i/>
          <w:iCs/>
          <w:sz w:val="24"/>
          <w:szCs w:val="24"/>
        </w:rPr>
        <w:t>hate</w:t>
      </w:r>
      <w:proofErr w:type="spellEnd"/>
      <w:r w:rsidRPr="00931F9E">
        <w:rPr>
          <w:rFonts w:ascii="Times New Roman" w:hAnsi="Times New Roman" w:cs="Times New Roman"/>
          <w:i/>
          <w:iCs/>
          <w:sz w:val="24"/>
          <w:szCs w:val="24"/>
        </w:rPr>
        <w:t xml:space="preserve"> crime </w:t>
      </w:r>
      <w:r w:rsidRPr="00931F9E">
        <w:rPr>
          <w:rFonts w:ascii="Times New Roman" w:hAnsi="Times New Roman" w:cs="Times New Roman"/>
          <w:sz w:val="24"/>
          <w:szCs w:val="24"/>
        </w:rPr>
        <w:t xml:space="preserve">– o meglio il </w:t>
      </w:r>
      <w:proofErr w:type="spellStart"/>
      <w:r w:rsidRPr="00931F9E">
        <w:rPr>
          <w:rFonts w:ascii="Times New Roman" w:hAnsi="Times New Roman" w:cs="Times New Roman"/>
          <w:i/>
          <w:iCs/>
          <w:sz w:val="24"/>
          <w:szCs w:val="24"/>
        </w:rPr>
        <w:t>bias</w:t>
      </w:r>
      <w:proofErr w:type="spellEnd"/>
      <w:r w:rsidRPr="00931F9E">
        <w:rPr>
          <w:rFonts w:ascii="Times New Roman" w:hAnsi="Times New Roman" w:cs="Times New Roman"/>
          <w:i/>
          <w:iCs/>
          <w:sz w:val="24"/>
          <w:szCs w:val="24"/>
        </w:rPr>
        <w:t xml:space="preserve"> crime</w:t>
      </w:r>
      <w:r w:rsidRPr="00931F9E">
        <w:rPr>
          <w:rFonts w:ascii="Times New Roman" w:hAnsi="Times New Roman" w:cs="Times New Roman"/>
          <w:sz w:val="24"/>
          <w:szCs w:val="24"/>
        </w:rPr>
        <w:t xml:space="preserve"> – come un «</w:t>
      </w:r>
      <w:r w:rsidRPr="00931F9E">
        <w:rPr>
          <w:rFonts w:ascii="Times New Roman" w:hAnsi="Times New Roman" w:cs="Times New Roman"/>
          <w:i/>
          <w:iCs/>
          <w:sz w:val="24"/>
          <w:szCs w:val="24"/>
        </w:rPr>
        <w:t>crimine commesso per un motivo di pregiudizio (</w:t>
      </w:r>
      <w:proofErr w:type="spellStart"/>
      <w:r w:rsidRPr="00931F9E">
        <w:rPr>
          <w:rFonts w:ascii="Times New Roman" w:hAnsi="Times New Roman" w:cs="Times New Roman"/>
          <w:i/>
          <w:iCs/>
          <w:sz w:val="24"/>
          <w:szCs w:val="24"/>
        </w:rPr>
        <w:t>bias</w:t>
      </w:r>
      <w:proofErr w:type="spellEnd"/>
      <w:r w:rsidRPr="00931F9E">
        <w:rPr>
          <w:rFonts w:ascii="Times New Roman" w:hAnsi="Times New Roman" w:cs="Times New Roman"/>
          <w:i/>
          <w:iCs/>
          <w:sz w:val="24"/>
          <w:szCs w:val="24"/>
        </w:rPr>
        <w:t>) contro una “caratteristica protetta”, propria di un gruppo</w:t>
      </w:r>
      <w:r w:rsidRPr="00931F9E">
        <w:rPr>
          <w:rFonts w:ascii="Times New Roman" w:hAnsi="Times New Roman" w:cs="Times New Roman"/>
          <w:sz w:val="24"/>
          <w:szCs w:val="24"/>
        </w:rPr>
        <w:t>»</w:t>
      </w:r>
      <w:r>
        <w:rPr>
          <w:rFonts w:ascii="Times New Roman" w:hAnsi="Times New Roman" w:cs="Times New Roman"/>
          <w:sz w:val="24"/>
          <w:szCs w:val="24"/>
        </w:rPr>
        <w:t>,</w:t>
      </w:r>
      <w:r w:rsidRPr="00931F9E">
        <w:rPr>
          <w:rFonts w:ascii="Times New Roman" w:hAnsi="Times New Roman" w:cs="Times New Roman"/>
          <w:sz w:val="24"/>
          <w:szCs w:val="24"/>
        </w:rPr>
        <w:t xml:space="preserve"> in </w:t>
      </w:r>
      <w:r w:rsidRPr="00931F9E">
        <w:rPr>
          <w:rFonts w:ascii="Times New Roman" w:hAnsi="Times New Roman" w:cs="Times New Roman"/>
          <w:smallCaps/>
          <w:sz w:val="24"/>
          <w:szCs w:val="24"/>
        </w:rPr>
        <w:t>F. M. Lawrence</w:t>
      </w:r>
      <w:r w:rsidRPr="00931F9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931F9E">
        <w:rPr>
          <w:rFonts w:ascii="Times New Roman" w:hAnsi="Times New Roman" w:cs="Times New Roman"/>
          <w:i/>
          <w:iCs/>
          <w:sz w:val="24"/>
          <w:szCs w:val="24"/>
        </w:rPr>
        <w:t>Punishing</w:t>
      </w:r>
      <w:proofErr w:type="spellEnd"/>
      <w:r w:rsidRPr="00931F9E">
        <w:rPr>
          <w:rFonts w:ascii="Times New Roman" w:hAnsi="Times New Roman" w:cs="Times New Roman"/>
          <w:i/>
          <w:iCs/>
          <w:sz w:val="24"/>
          <w:szCs w:val="24"/>
        </w:rPr>
        <w:t xml:space="preserve"> </w:t>
      </w:r>
      <w:proofErr w:type="spellStart"/>
      <w:r w:rsidRPr="00931F9E">
        <w:rPr>
          <w:rFonts w:ascii="Times New Roman" w:hAnsi="Times New Roman" w:cs="Times New Roman"/>
          <w:i/>
          <w:iCs/>
          <w:sz w:val="24"/>
          <w:szCs w:val="24"/>
        </w:rPr>
        <w:t>Hate</w:t>
      </w:r>
      <w:proofErr w:type="spellEnd"/>
      <w:r w:rsidRPr="00931F9E">
        <w:rPr>
          <w:rFonts w:ascii="Times New Roman" w:hAnsi="Times New Roman" w:cs="Times New Roman"/>
          <w:i/>
          <w:iCs/>
          <w:sz w:val="24"/>
          <w:szCs w:val="24"/>
        </w:rPr>
        <w:t xml:space="preserve">. </w:t>
      </w:r>
      <w:proofErr w:type="spellStart"/>
      <w:r w:rsidRPr="00931F9E">
        <w:rPr>
          <w:rFonts w:ascii="Times New Roman" w:hAnsi="Times New Roman" w:cs="Times New Roman"/>
          <w:i/>
          <w:iCs/>
          <w:sz w:val="24"/>
          <w:szCs w:val="24"/>
        </w:rPr>
        <w:t>Bias</w:t>
      </w:r>
      <w:proofErr w:type="spellEnd"/>
      <w:r w:rsidRPr="00931F9E">
        <w:rPr>
          <w:rFonts w:ascii="Times New Roman" w:hAnsi="Times New Roman" w:cs="Times New Roman"/>
          <w:i/>
          <w:iCs/>
          <w:sz w:val="24"/>
          <w:szCs w:val="24"/>
        </w:rPr>
        <w:t xml:space="preserve"> </w:t>
      </w:r>
      <w:proofErr w:type="spellStart"/>
      <w:r w:rsidRPr="00931F9E">
        <w:rPr>
          <w:rFonts w:ascii="Times New Roman" w:hAnsi="Times New Roman" w:cs="Times New Roman"/>
          <w:i/>
          <w:iCs/>
          <w:sz w:val="24"/>
          <w:szCs w:val="24"/>
        </w:rPr>
        <w:t>Crimes</w:t>
      </w:r>
      <w:proofErr w:type="spellEnd"/>
      <w:r w:rsidRPr="00931F9E">
        <w:rPr>
          <w:rFonts w:ascii="Times New Roman" w:hAnsi="Times New Roman" w:cs="Times New Roman"/>
          <w:i/>
          <w:iCs/>
          <w:sz w:val="24"/>
          <w:szCs w:val="24"/>
        </w:rPr>
        <w:t xml:space="preserve"> under American Law</w:t>
      </w:r>
      <w:r>
        <w:rPr>
          <w:rFonts w:ascii="Times New Roman" w:hAnsi="Times New Roman" w:cs="Times New Roman"/>
          <w:sz w:val="24"/>
          <w:szCs w:val="24"/>
        </w:rPr>
        <w:t>”</w:t>
      </w:r>
      <w:r w:rsidRPr="00931F9E">
        <w:rPr>
          <w:rFonts w:ascii="Times New Roman" w:hAnsi="Times New Roman" w:cs="Times New Roman"/>
          <w:sz w:val="24"/>
          <w:szCs w:val="24"/>
        </w:rPr>
        <w:t>, Cambridge</w:t>
      </w:r>
      <w:r w:rsidR="001B209F">
        <w:rPr>
          <w:rFonts w:ascii="Times New Roman" w:hAnsi="Times New Roman" w:cs="Times New Roman"/>
          <w:sz w:val="24"/>
          <w:szCs w:val="24"/>
        </w:rPr>
        <w:t>,</w:t>
      </w:r>
      <w:r w:rsidRPr="00931F9E">
        <w:rPr>
          <w:rFonts w:ascii="Times New Roman" w:hAnsi="Times New Roman" w:cs="Times New Roman"/>
          <w:sz w:val="24"/>
          <w:szCs w:val="24"/>
        </w:rPr>
        <w:t xml:space="preserve"> 1999, 9.</w:t>
      </w:r>
    </w:p>
  </w:footnote>
  <w:footnote w:id="157">
    <w:p w14:paraId="225CB91D" w14:textId="65F69B65" w:rsidR="000463A6" w:rsidRPr="00EB75E5" w:rsidRDefault="000463A6" w:rsidP="00B330F0">
      <w:pPr>
        <w:pStyle w:val="Testonotaapidipagina"/>
        <w:jc w:val="both"/>
        <w:rPr>
          <w:rFonts w:ascii="Times New Roman" w:hAnsi="Times New Roman" w:cs="Times New Roman"/>
          <w:sz w:val="24"/>
          <w:szCs w:val="24"/>
        </w:rPr>
      </w:pPr>
      <w:r w:rsidRPr="00EB75E5">
        <w:rPr>
          <w:rStyle w:val="Rimandonotaapidipagina"/>
          <w:rFonts w:ascii="Times New Roman" w:hAnsi="Times New Roman" w:cs="Times New Roman"/>
          <w:sz w:val="24"/>
          <w:szCs w:val="24"/>
        </w:rPr>
        <w:footnoteRef/>
      </w:r>
      <w:r w:rsidRPr="00EB75E5">
        <w:rPr>
          <w:rFonts w:ascii="Times New Roman" w:hAnsi="Times New Roman" w:cs="Times New Roman"/>
          <w:sz w:val="24"/>
          <w:szCs w:val="24"/>
        </w:rPr>
        <w:t xml:space="preserve"> Accessibile da </w:t>
      </w:r>
      <w:hyperlink r:id="rId35" w:history="1">
        <w:r w:rsidRPr="00EB75E5">
          <w:rPr>
            <w:rStyle w:val="Collegamentoipertestuale"/>
            <w:rFonts w:ascii="Times New Roman" w:hAnsi="Times New Roman" w:cs="Times New Roman"/>
            <w:sz w:val="24"/>
            <w:szCs w:val="24"/>
          </w:rPr>
          <w:t>https://ec.europa.eu/commission/presscorner/detail/it/IP_19_805</w:t>
        </w:r>
      </w:hyperlink>
      <w:r w:rsidRPr="00EB75E5">
        <w:rPr>
          <w:rFonts w:ascii="Times New Roman" w:hAnsi="Times New Roman" w:cs="Times New Roman"/>
          <w:sz w:val="24"/>
          <w:szCs w:val="24"/>
        </w:rPr>
        <w:t>.</w:t>
      </w:r>
    </w:p>
  </w:footnote>
  <w:footnote w:id="158">
    <w:p w14:paraId="2BD9AA35" w14:textId="76B70FE5" w:rsidR="000463A6" w:rsidRPr="00EB75E5" w:rsidRDefault="000463A6" w:rsidP="00B330F0">
      <w:pPr>
        <w:pStyle w:val="Testonotaapidipagina"/>
        <w:jc w:val="both"/>
        <w:rPr>
          <w:rFonts w:ascii="Times New Roman" w:hAnsi="Times New Roman" w:cs="Times New Roman"/>
          <w:sz w:val="24"/>
          <w:szCs w:val="24"/>
        </w:rPr>
      </w:pPr>
      <w:r w:rsidRPr="00EB75E5">
        <w:rPr>
          <w:rStyle w:val="Rimandonotaapidipagina"/>
          <w:rFonts w:ascii="Times New Roman" w:hAnsi="Times New Roman" w:cs="Times New Roman"/>
          <w:sz w:val="24"/>
          <w:szCs w:val="24"/>
        </w:rPr>
        <w:footnoteRef/>
      </w:r>
      <w:r w:rsidRPr="00EB75E5">
        <w:rPr>
          <w:rFonts w:ascii="Times New Roman" w:hAnsi="Times New Roman" w:cs="Times New Roman"/>
          <w:sz w:val="24"/>
          <w:szCs w:val="24"/>
        </w:rPr>
        <w:t xml:space="preserve"> Disponibile su</w:t>
      </w:r>
      <w:r w:rsidRPr="00EB75E5">
        <w:rPr>
          <w:rFonts w:ascii="Times New Roman" w:hAnsi="Times New Roman" w:cs="Times New Roman"/>
          <w:sz w:val="24"/>
          <w:szCs w:val="24"/>
        </w:rPr>
        <w:tab/>
      </w:r>
      <w:hyperlink r:id="rId36" w:history="1">
        <w:r w:rsidRPr="00EB75E5">
          <w:rPr>
            <w:rStyle w:val="Collegamentoipertestuale"/>
            <w:rFonts w:ascii="Times New Roman" w:hAnsi="Times New Roman" w:cs="Times New Roman"/>
            <w:sz w:val="24"/>
            <w:szCs w:val="24"/>
          </w:rPr>
          <w:t>https://eur-lex.europa.eu/legal-content/IT/TXT/PDF/?uri=CELEX:02000L0031-20000717&amp;qid=1495727154628&amp;from=IT</w:t>
        </w:r>
      </w:hyperlink>
      <w:r w:rsidRPr="00EB75E5">
        <w:rPr>
          <w:rFonts w:ascii="Times New Roman" w:hAnsi="Times New Roman" w:cs="Times New Roman"/>
          <w:sz w:val="24"/>
          <w:szCs w:val="24"/>
        </w:rPr>
        <w:t>.</w:t>
      </w:r>
    </w:p>
  </w:footnote>
  <w:footnote w:id="159">
    <w:p w14:paraId="1099908A" w14:textId="77777777" w:rsidR="000463A6" w:rsidRPr="00EB75E5" w:rsidRDefault="000463A6" w:rsidP="00EB75E5">
      <w:pPr>
        <w:pStyle w:val="Testonotaapidipagina"/>
        <w:jc w:val="both"/>
        <w:rPr>
          <w:rFonts w:ascii="Times New Roman" w:hAnsi="Times New Roman" w:cs="Times New Roman"/>
          <w:sz w:val="24"/>
          <w:szCs w:val="24"/>
        </w:rPr>
      </w:pPr>
      <w:r w:rsidRPr="00EB75E5">
        <w:rPr>
          <w:rStyle w:val="Rimandonotaapidipagina"/>
          <w:rFonts w:ascii="Times New Roman" w:hAnsi="Times New Roman" w:cs="Times New Roman"/>
          <w:sz w:val="24"/>
          <w:szCs w:val="24"/>
        </w:rPr>
        <w:footnoteRef/>
      </w:r>
      <w:r w:rsidRPr="00EB75E5">
        <w:rPr>
          <w:rFonts w:ascii="Times New Roman" w:hAnsi="Times New Roman" w:cs="Times New Roman"/>
          <w:sz w:val="24"/>
          <w:szCs w:val="24"/>
        </w:rPr>
        <w:t xml:space="preserve"> Per un approfondimento sulla ricostruzione dei reati di opinione come fattispecie consistenti nella manifestazione di un pensiero critico, dove la condotta comunicativa viene incriminata perché idonea a turbare i valori morali sovra-individuali riconducibili a un’intera collettività, si veda </w:t>
      </w:r>
      <w:r w:rsidRPr="00EB75E5">
        <w:rPr>
          <w:rFonts w:ascii="Times New Roman" w:hAnsi="Times New Roman" w:cs="Times New Roman"/>
          <w:smallCaps/>
          <w:sz w:val="24"/>
          <w:szCs w:val="24"/>
        </w:rPr>
        <w:t xml:space="preserve">A. </w:t>
      </w:r>
      <w:proofErr w:type="spellStart"/>
      <w:r w:rsidRPr="00EB75E5">
        <w:rPr>
          <w:rFonts w:ascii="Times New Roman" w:hAnsi="Times New Roman" w:cs="Times New Roman"/>
          <w:smallCaps/>
          <w:sz w:val="24"/>
          <w:szCs w:val="24"/>
        </w:rPr>
        <w:t>Spena</w:t>
      </w:r>
      <w:proofErr w:type="spellEnd"/>
      <w:r w:rsidRPr="00EB75E5">
        <w:rPr>
          <w:rFonts w:ascii="Times New Roman" w:hAnsi="Times New Roman" w:cs="Times New Roman"/>
          <w:sz w:val="24"/>
          <w:szCs w:val="24"/>
        </w:rPr>
        <w:t xml:space="preserve">, </w:t>
      </w:r>
      <w:r>
        <w:rPr>
          <w:rFonts w:ascii="Times New Roman" w:hAnsi="Times New Roman" w:cs="Times New Roman"/>
          <w:sz w:val="24"/>
          <w:szCs w:val="24"/>
        </w:rPr>
        <w:t>“</w:t>
      </w:r>
      <w:r w:rsidRPr="00EB75E5">
        <w:rPr>
          <w:rFonts w:ascii="Times New Roman" w:hAnsi="Times New Roman" w:cs="Times New Roman"/>
          <w:i/>
          <w:iCs/>
          <w:sz w:val="24"/>
          <w:szCs w:val="24"/>
        </w:rPr>
        <w:t>Libertà di espressione e reati di opinione</w:t>
      </w:r>
      <w:r>
        <w:rPr>
          <w:rFonts w:ascii="Times New Roman" w:hAnsi="Times New Roman" w:cs="Times New Roman"/>
          <w:sz w:val="24"/>
          <w:szCs w:val="24"/>
        </w:rPr>
        <w:t>”</w:t>
      </w:r>
      <w:r w:rsidRPr="00EB75E5">
        <w:rPr>
          <w:rFonts w:ascii="Times New Roman" w:hAnsi="Times New Roman" w:cs="Times New Roman"/>
          <w:sz w:val="24"/>
          <w:szCs w:val="24"/>
        </w:rPr>
        <w:t xml:space="preserve">, in </w:t>
      </w:r>
      <w:r w:rsidRPr="00EB75E5">
        <w:rPr>
          <w:rFonts w:ascii="Times New Roman" w:hAnsi="Times New Roman" w:cs="Times New Roman"/>
          <w:i/>
          <w:iCs/>
          <w:sz w:val="24"/>
          <w:szCs w:val="24"/>
        </w:rPr>
        <w:t>RIDPP</w:t>
      </w:r>
      <w:r w:rsidRPr="00EB75E5">
        <w:rPr>
          <w:rFonts w:ascii="Times New Roman" w:hAnsi="Times New Roman" w:cs="Times New Roman"/>
          <w:sz w:val="24"/>
          <w:szCs w:val="24"/>
        </w:rPr>
        <w:t>, 2007, 692 ss.</w:t>
      </w:r>
    </w:p>
  </w:footnote>
  <w:footnote w:id="160">
    <w:p w14:paraId="314BB812" w14:textId="5BCAE1AF" w:rsidR="000463A6" w:rsidRPr="002D266D" w:rsidRDefault="000463A6" w:rsidP="00EB75E5">
      <w:pPr>
        <w:pStyle w:val="Testonotaapidipagina"/>
        <w:jc w:val="both"/>
        <w:rPr>
          <w:rFonts w:ascii="Times New Roman" w:hAnsi="Times New Roman" w:cs="Times New Roman"/>
          <w:sz w:val="24"/>
          <w:szCs w:val="24"/>
        </w:rPr>
      </w:pPr>
      <w:r w:rsidRPr="00EB75E5">
        <w:rPr>
          <w:rStyle w:val="Rimandonotaapidipagina"/>
          <w:rFonts w:ascii="Times New Roman" w:hAnsi="Times New Roman" w:cs="Times New Roman"/>
          <w:sz w:val="24"/>
          <w:szCs w:val="24"/>
        </w:rPr>
        <w:footnoteRef/>
      </w:r>
      <w:r w:rsidRPr="00EB75E5">
        <w:rPr>
          <w:rFonts w:ascii="Times New Roman" w:hAnsi="Times New Roman" w:cs="Times New Roman"/>
          <w:sz w:val="24"/>
          <w:szCs w:val="24"/>
        </w:rPr>
        <w:t xml:space="preserve"> Accessibile da </w:t>
      </w:r>
      <w:hyperlink r:id="rId37" w:history="1">
        <w:r w:rsidRPr="00EB75E5">
          <w:rPr>
            <w:rStyle w:val="Collegamentoipertestuale"/>
            <w:rFonts w:ascii="Times New Roman" w:hAnsi="Times New Roman" w:cs="Times New Roman"/>
            <w:sz w:val="24"/>
            <w:szCs w:val="24"/>
          </w:rPr>
          <w:t>https://edps.europa.eu/system/files/2021-02/21-02-10-opinion_on_digital_services_act_en.pdf</w:t>
        </w:r>
      </w:hyperlink>
      <w:r w:rsidRPr="00EB75E5">
        <w:rPr>
          <w:rFonts w:ascii="Times New Roman" w:hAnsi="Times New Roman" w:cs="Times New Roman"/>
          <w:sz w:val="24"/>
          <w:szCs w:val="24"/>
        </w:rPr>
        <w:t>.</w:t>
      </w:r>
    </w:p>
  </w:footnote>
  <w:footnote w:id="161">
    <w:p w14:paraId="7FA64EC5" w14:textId="5472242A" w:rsidR="000463A6" w:rsidRPr="00AD41A0" w:rsidRDefault="000463A6" w:rsidP="00550880">
      <w:pPr>
        <w:pStyle w:val="Testonotaapidipagina"/>
        <w:jc w:val="both"/>
        <w:rPr>
          <w:rFonts w:ascii="Times New Roman" w:hAnsi="Times New Roman" w:cs="Times New Roman"/>
          <w:sz w:val="24"/>
          <w:szCs w:val="24"/>
        </w:rPr>
      </w:pPr>
      <w:r w:rsidRPr="002D266D">
        <w:rPr>
          <w:rStyle w:val="Rimandonotaapidipagina"/>
          <w:rFonts w:ascii="Times New Roman" w:hAnsi="Times New Roman" w:cs="Times New Roman"/>
          <w:sz w:val="24"/>
          <w:szCs w:val="24"/>
        </w:rPr>
        <w:footnoteRef/>
      </w:r>
      <w:r w:rsidRPr="002D266D">
        <w:rPr>
          <w:rFonts w:ascii="Times New Roman" w:hAnsi="Times New Roman" w:cs="Times New Roman"/>
          <w:sz w:val="24"/>
          <w:szCs w:val="24"/>
        </w:rPr>
        <w:t xml:space="preserve"> Corte Europea dei Diritti dell’Uomo, </w:t>
      </w:r>
      <w:r>
        <w:rPr>
          <w:rFonts w:ascii="Times New Roman" w:hAnsi="Times New Roman" w:cs="Times New Roman"/>
          <w:sz w:val="24"/>
          <w:szCs w:val="24"/>
        </w:rPr>
        <w:t>s</w:t>
      </w:r>
      <w:r w:rsidRPr="002D266D">
        <w:rPr>
          <w:rFonts w:ascii="Times New Roman" w:hAnsi="Times New Roman" w:cs="Times New Roman"/>
          <w:sz w:val="24"/>
          <w:szCs w:val="24"/>
        </w:rPr>
        <w:t xml:space="preserve">ez. I, </w:t>
      </w:r>
      <w:proofErr w:type="spellStart"/>
      <w:r w:rsidRPr="002D266D">
        <w:rPr>
          <w:rFonts w:ascii="Times New Roman" w:hAnsi="Times New Roman" w:cs="Times New Roman"/>
          <w:sz w:val="24"/>
          <w:szCs w:val="24"/>
        </w:rPr>
        <w:t>sent</w:t>
      </w:r>
      <w:proofErr w:type="spellEnd"/>
      <w:r w:rsidRPr="002D266D">
        <w:rPr>
          <w:rFonts w:ascii="Times New Roman" w:hAnsi="Times New Roman" w:cs="Times New Roman"/>
          <w:sz w:val="24"/>
          <w:szCs w:val="24"/>
        </w:rPr>
        <w:t>. 16</w:t>
      </w:r>
      <w:r>
        <w:rPr>
          <w:rFonts w:ascii="Times New Roman" w:hAnsi="Times New Roman" w:cs="Times New Roman"/>
          <w:sz w:val="24"/>
          <w:szCs w:val="24"/>
        </w:rPr>
        <w:t>/01/</w:t>
      </w:r>
      <w:r w:rsidRPr="002D266D">
        <w:rPr>
          <w:rFonts w:ascii="Times New Roman" w:hAnsi="Times New Roman" w:cs="Times New Roman"/>
          <w:sz w:val="24"/>
          <w:szCs w:val="24"/>
        </w:rPr>
        <w:t xml:space="preserve">2020 </w:t>
      </w:r>
      <w:proofErr w:type="spellStart"/>
      <w:r w:rsidRPr="002D266D">
        <w:rPr>
          <w:rFonts w:ascii="Times New Roman" w:hAnsi="Times New Roman" w:cs="Times New Roman"/>
          <w:sz w:val="24"/>
          <w:szCs w:val="24"/>
        </w:rPr>
        <w:t>Magosso-Brindiani</w:t>
      </w:r>
      <w:proofErr w:type="spellEnd"/>
      <w:r w:rsidRPr="002D266D">
        <w:rPr>
          <w:rFonts w:ascii="Times New Roman" w:hAnsi="Times New Roman" w:cs="Times New Roman"/>
          <w:sz w:val="24"/>
          <w:szCs w:val="24"/>
        </w:rPr>
        <w:t xml:space="preserve"> c/ Italia, Ricorso 59347/11; Corte Europea Diritti dell’Uomo, </w:t>
      </w:r>
      <w:r>
        <w:rPr>
          <w:rFonts w:ascii="Times New Roman" w:hAnsi="Times New Roman" w:cs="Times New Roman"/>
          <w:sz w:val="24"/>
          <w:szCs w:val="24"/>
        </w:rPr>
        <w:t>sez. III,</w:t>
      </w:r>
      <w:r w:rsidRPr="002D266D">
        <w:rPr>
          <w:rFonts w:ascii="Times New Roman" w:hAnsi="Times New Roman" w:cs="Times New Roman"/>
          <w:sz w:val="24"/>
          <w:szCs w:val="24"/>
        </w:rPr>
        <w:t xml:space="preserve"> 22</w:t>
      </w:r>
      <w:r>
        <w:rPr>
          <w:rFonts w:ascii="Times New Roman" w:hAnsi="Times New Roman" w:cs="Times New Roman"/>
          <w:sz w:val="24"/>
          <w:szCs w:val="24"/>
        </w:rPr>
        <w:t>/06/</w:t>
      </w:r>
      <w:r w:rsidRPr="002D266D">
        <w:rPr>
          <w:rFonts w:ascii="Times New Roman" w:hAnsi="Times New Roman" w:cs="Times New Roman"/>
          <w:sz w:val="24"/>
          <w:szCs w:val="24"/>
        </w:rPr>
        <w:t xml:space="preserve">2021, ric. n. 5869/17, </w:t>
      </w:r>
      <w:proofErr w:type="spellStart"/>
      <w:r w:rsidRPr="002D266D">
        <w:rPr>
          <w:rFonts w:ascii="Times New Roman" w:hAnsi="Times New Roman" w:cs="Times New Roman"/>
          <w:sz w:val="24"/>
          <w:szCs w:val="24"/>
        </w:rPr>
        <w:t>Erkizia</w:t>
      </w:r>
      <w:proofErr w:type="spellEnd"/>
      <w:r w:rsidRPr="002D266D">
        <w:rPr>
          <w:rFonts w:ascii="Times New Roman" w:hAnsi="Times New Roman" w:cs="Times New Roman"/>
          <w:sz w:val="24"/>
          <w:szCs w:val="24"/>
        </w:rPr>
        <w:t xml:space="preserve"> </w:t>
      </w:r>
      <w:proofErr w:type="spellStart"/>
      <w:r w:rsidRPr="002D266D">
        <w:rPr>
          <w:rFonts w:ascii="Times New Roman" w:hAnsi="Times New Roman" w:cs="Times New Roman"/>
          <w:sz w:val="24"/>
          <w:szCs w:val="24"/>
        </w:rPr>
        <w:t>Almandoz</w:t>
      </w:r>
      <w:proofErr w:type="spellEnd"/>
      <w:r w:rsidRPr="002D266D">
        <w:rPr>
          <w:rFonts w:ascii="Times New Roman" w:hAnsi="Times New Roman" w:cs="Times New Roman"/>
          <w:sz w:val="24"/>
          <w:szCs w:val="24"/>
        </w:rPr>
        <w:t xml:space="preserve"> c. Spagna.</w:t>
      </w:r>
    </w:p>
  </w:footnote>
  <w:footnote w:id="162">
    <w:p w14:paraId="7EBD8722" w14:textId="79FB760C" w:rsidR="000463A6" w:rsidRPr="004B7469" w:rsidRDefault="000463A6" w:rsidP="004B7469">
      <w:pPr>
        <w:pStyle w:val="Testonotaapidipagina"/>
        <w:jc w:val="both"/>
        <w:rPr>
          <w:rFonts w:ascii="Times New Roman" w:hAnsi="Times New Roman" w:cs="Times New Roman"/>
          <w:sz w:val="24"/>
          <w:szCs w:val="24"/>
        </w:rPr>
      </w:pPr>
      <w:r w:rsidRPr="004B7469">
        <w:rPr>
          <w:rStyle w:val="Rimandonotaapidipagina"/>
          <w:rFonts w:ascii="Times New Roman" w:hAnsi="Times New Roman" w:cs="Times New Roman"/>
          <w:sz w:val="24"/>
          <w:szCs w:val="24"/>
        </w:rPr>
        <w:footnoteRef/>
      </w:r>
      <w:r w:rsidRPr="004B7469">
        <w:rPr>
          <w:rFonts w:ascii="Times New Roman" w:hAnsi="Times New Roman" w:cs="Times New Roman"/>
          <w:sz w:val="24"/>
          <w:szCs w:val="24"/>
        </w:rPr>
        <w:t xml:space="preserve"> </w:t>
      </w:r>
      <w:r>
        <w:rPr>
          <w:rFonts w:ascii="Times New Roman" w:hAnsi="Times New Roman" w:cs="Times New Roman"/>
          <w:sz w:val="24"/>
          <w:szCs w:val="24"/>
        </w:rPr>
        <w:t xml:space="preserve">Sul tema v. anche </w:t>
      </w:r>
      <w:r w:rsidRPr="004B7469">
        <w:rPr>
          <w:rFonts w:ascii="Times New Roman" w:hAnsi="Times New Roman" w:cs="Times New Roman"/>
          <w:smallCaps/>
          <w:sz w:val="24"/>
          <w:szCs w:val="24"/>
        </w:rPr>
        <w:t xml:space="preserve">L. </w:t>
      </w:r>
      <w:proofErr w:type="spellStart"/>
      <w:r w:rsidRPr="004B7469">
        <w:rPr>
          <w:rFonts w:ascii="Times New Roman" w:hAnsi="Times New Roman" w:cs="Times New Roman"/>
          <w:smallCaps/>
          <w:sz w:val="24"/>
          <w:szCs w:val="24"/>
        </w:rPr>
        <w:t>Goisis</w:t>
      </w:r>
      <w:proofErr w:type="spellEnd"/>
      <w:r w:rsidRPr="004B7469">
        <w:rPr>
          <w:rFonts w:ascii="Times New Roman" w:hAnsi="Times New Roman" w:cs="Times New Roman"/>
          <w:sz w:val="24"/>
          <w:szCs w:val="24"/>
        </w:rPr>
        <w:t xml:space="preserve">, </w:t>
      </w:r>
      <w:r>
        <w:rPr>
          <w:rFonts w:ascii="Times New Roman" w:hAnsi="Times New Roman" w:cs="Times New Roman"/>
          <w:sz w:val="24"/>
          <w:szCs w:val="24"/>
        </w:rPr>
        <w:t>“</w:t>
      </w:r>
      <w:r w:rsidRPr="004B7469">
        <w:rPr>
          <w:rFonts w:ascii="Times New Roman" w:hAnsi="Times New Roman" w:cs="Times New Roman"/>
          <w:i/>
          <w:iCs/>
          <w:sz w:val="24"/>
          <w:szCs w:val="24"/>
        </w:rPr>
        <w:t>Libertà di espressione e odio omofobico. La Corte europea dei diritti dell’uomo equipara la discriminazione in base all’orientamento sessuale alla discriminazione razziale</w:t>
      </w:r>
      <w:r>
        <w:rPr>
          <w:rFonts w:ascii="Times New Roman" w:hAnsi="Times New Roman" w:cs="Times New Roman"/>
          <w:sz w:val="24"/>
          <w:szCs w:val="24"/>
        </w:rPr>
        <w:t>”</w:t>
      </w:r>
      <w:r w:rsidRPr="004B7469">
        <w:rPr>
          <w:rFonts w:ascii="Times New Roman" w:hAnsi="Times New Roman" w:cs="Times New Roman"/>
          <w:sz w:val="24"/>
          <w:szCs w:val="24"/>
        </w:rPr>
        <w:t xml:space="preserve">, in </w:t>
      </w:r>
      <w:r w:rsidRPr="004B7469">
        <w:rPr>
          <w:rFonts w:ascii="Times New Roman" w:hAnsi="Times New Roman" w:cs="Times New Roman"/>
          <w:i/>
          <w:iCs/>
          <w:sz w:val="24"/>
          <w:szCs w:val="24"/>
        </w:rPr>
        <w:t>RIDPP</w:t>
      </w:r>
      <w:r w:rsidRPr="004B7469">
        <w:rPr>
          <w:rFonts w:ascii="Times New Roman" w:hAnsi="Times New Roman" w:cs="Times New Roman"/>
          <w:sz w:val="24"/>
          <w:szCs w:val="24"/>
        </w:rPr>
        <w:t xml:space="preserve">, 2013, 418 ss.; </w:t>
      </w:r>
      <w:r w:rsidRPr="004B7469">
        <w:rPr>
          <w:rFonts w:ascii="Times New Roman" w:hAnsi="Times New Roman" w:cs="Times New Roman"/>
          <w:smallCaps/>
          <w:sz w:val="24"/>
          <w:szCs w:val="24"/>
        </w:rPr>
        <w:t xml:space="preserve">L. </w:t>
      </w:r>
      <w:proofErr w:type="spellStart"/>
      <w:r w:rsidRPr="004B7469">
        <w:rPr>
          <w:rFonts w:ascii="Times New Roman" w:hAnsi="Times New Roman" w:cs="Times New Roman"/>
          <w:smallCaps/>
          <w:sz w:val="24"/>
          <w:szCs w:val="24"/>
        </w:rPr>
        <w:t>Goisis</w:t>
      </w:r>
      <w:proofErr w:type="spellEnd"/>
      <w:r w:rsidRPr="004B7469">
        <w:rPr>
          <w:rFonts w:ascii="Times New Roman" w:hAnsi="Times New Roman" w:cs="Times New Roman"/>
          <w:sz w:val="24"/>
          <w:szCs w:val="24"/>
        </w:rPr>
        <w:t xml:space="preserve">, </w:t>
      </w:r>
      <w:r>
        <w:rPr>
          <w:rFonts w:ascii="Times New Roman" w:hAnsi="Times New Roman" w:cs="Times New Roman"/>
          <w:sz w:val="24"/>
          <w:szCs w:val="24"/>
        </w:rPr>
        <w:t>“</w:t>
      </w:r>
      <w:r w:rsidRPr="004B7469">
        <w:rPr>
          <w:rFonts w:ascii="Times New Roman" w:hAnsi="Times New Roman" w:cs="Times New Roman"/>
          <w:i/>
          <w:iCs/>
          <w:sz w:val="24"/>
          <w:szCs w:val="24"/>
        </w:rPr>
        <w:t xml:space="preserve">Omosessualità, </w:t>
      </w:r>
      <w:proofErr w:type="spellStart"/>
      <w:r w:rsidRPr="004B7469">
        <w:rPr>
          <w:rFonts w:ascii="Times New Roman" w:hAnsi="Times New Roman" w:cs="Times New Roman"/>
          <w:i/>
          <w:iCs/>
          <w:sz w:val="24"/>
          <w:szCs w:val="24"/>
        </w:rPr>
        <w:t>hate</w:t>
      </w:r>
      <w:proofErr w:type="spellEnd"/>
      <w:r w:rsidRPr="004B7469">
        <w:rPr>
          <w:rFonts w:ascii="Times New Roman" w:hAnsi="Times New Roman" w:cs="Times New Roman"/>
          <w:i/>
          <w:iCs/>
          <w:sz w:val="24"/>
          <w:szCs w:val="24"/>
        </w:rPr>
        <w:t xml:space="preserve"> </w:t>
      </w:r>
      <w:proofErr w:type="spellStart"/>
      <w:r w:rsidRPr="004B7469">
        <w:rPr>
          <w:rFonts w:ascii="Times New Roman" w:hAnsi="Times New Roman" w:cs="Times New Roman"/>
          <w:i/>
          <w:iCs/>
          <w:sz w:val="24"/>
          <w:szCs w:val="24"/>
        </w:rPr>
        <w:t>crimes</w:t>
      </w:r>
      <w:proofErr w:type="spellEnd"/>
      <w:r w:rsidRPr="004B7469">
        <w:rPr>
          <w:rFonts w:ascii="Times New Roman" w:hAnsi="Times New Roman" w:cs="Times New Roman"/>
          <w:i/>
          <w:iCs/>
          <w:sz w:val="24"/>
          <w:szCs w:val="24"/>
        </w:rPr>
        <w:t xml:space="preserve"> e diritto penale</w:t>
      </w:r>
      <w:r>
        <w:rPr>
          <w:rFonts w:ascii="Times New Roman" w:hAnsi="Times New Roman" w:cs="Times New Roman"/>
          <w:sz w:val="24"/>
          <w:szCs w:val="24"/>
        </w:rPr>
        <w:t>”</w:t>
      </w:r>
      <w:r w:rsidRPr="004B7469">
        <w:rPr>
          <w:rFonts w:ascii="Times New Roman" w:hAnsi="Times New Roman" w:cs="Times New Roman"/>
          <w:sz w:val="24"/>
          <w:szCs w:val="24"/>
        </w:rPr>
        <w:t xml:space="preserve">, in </w:t>
      </w:r>
      <w:proofErr w:type="spellStart"/>
      <w:r w:rsidRPr="004B7469">
        <w:rPr>
          <w:rFonts w:ascii="Times New Roman" w:hAnsi="Times New Roman" w:cs="Times New Roman"/>
          <w:i/>
          <w:iCs/>
          <w:sz w:val="24"/>
          <w:szCs w:val="24"/>
        </w:rPr>
        <w:t>GenIus</w:t>
      </w:r>
      <w:proofErr w:type="spellEnd"/>
      <w:r w:rsidRPr="004B7469">
        <w:rPr>
          <w:rFonts w:ascii="Times New Roman" w:hAnsi="Times New Roman" w:cs="Times New Roman"/>
          <w:sz w:val="24"/>
          <w:szCs w:val="24"/>
        </w:rPr>
        <w:t>, 2015, 44 ss. Sul tema</w:t>
      </w:r>
      <w:r>
        <w:rPr>
          <w:rFonts w:ascii="Times New Roman" w:hAnsi="Times New Roman" w:cs="Times New Roman"/>
          <w:sz w:val="24"/>
          <w:szCs w:val="24"/>
        </w:rPr>
        <w:t xml:space="preserve"> specifico,</w:t>
      </w:r>
      <w:r w:rsidRPr="004B7469">
        <w:rPr>
          <w:rFonts w:ascii="Times New Roman" w:hAnsi="Times New Roman" w:cs="Times New Roman"/>
          <w:sz w:val="24"/>
          <w:szCs w:val="24"/>
        </w:rPr>
        <w:t xml:space="preserve"> </w:t>
      </w:r>
      <w:r w:rsidRPr="004B7469">
        <w:rPr>
          <w:rFonts w:ascii="Times New Roman" w:hAnsi="Times New Roman" w:cs="Times New Roman"/>
          <w:smallCaps/>
          <w:sz w:val="24"/>
          <w:szCs w:val="24"/>
        </w:rPr>
        <w:t xml:space="preserve">A. </w:t>
      </w:r>
      <w:proofErr w:type="spellStart"/>
      <w:r w:rsidRPr="004B7469">
        <w:rPr>
          <w:rFonts w:ascii="Times New Roman" w:hAnsi="Times New Roman" w:cs="Times New Roman"/>
          <w:smallCaps/>
          <w:sz w:val="24"/>
          <w:szCs w:val="24"/>
        </w:rPr>
        <w:t>Pugiotto</w:t>
      </w:r>
      <w:proofErr w:type="spellEnd"/>
      <w:r w:rsidRPr="004B7469">
        <w:rPr>
          <w:rFonts w:ascii="Times New Roman" w:hAnsi="Times New Roman" w:cs="Times New Roman"/>
          <w:sz w:val="24"/>
          <w:szCs w:val="24"/>
        </w:rPr>
        <w:t xml:space="preserve">, </w:t>
      </w:r>
      <w:r>
        <w:rPr>
          <w:rFonts w:ascii="Times New Roman" w:hAnsi="Times New Roman" w:cs="Times New Roman"/>
          <w:sz w:val="24"/>
          <w:szCs w:val="24"/>
        </w:rPr>
        <w:t>“</w:t>
      </w:r>
      <w:r w:rsidRPr="004B7469">
        <w:rPr>
          <w:rFonts w:ascii="Times New Roman" w:hAnsi="Times New Roman" w:cs="Times New Roman"/>
          <w:i/>
          <w:iCs/>
          <w:sz w:val="24"/>
          <w:szCs w:val="24"/>
        </w:rPr>
        <w:t xml:space="preserve">Aporie, paradossi ed eterogenesi dei fini nel disegno di legge in materia di contrasto all’omofobia e alla </w:t>
      </w:r>
      <w:proofErr w:type="spellStart"/>
      <w:r w:rsidRPr="004B7469">
        <w:rPr>
          <w:rFonts w:ascii="Times New Roman" w:hAnsi="Times New Roman" w:cs="Times New Roman"/>
          <w:i/>
          <w:iCs/>
          <w:sz w:val="24"/>
          <w:szCs w:val="24"/>
        </w:rPr>
        <w:t>transfobia</w:t>
      </w:r>
      <w:proofErr w:type="spellEnd"/>
      <w:r>
        <w:rPr>
          <w:rFonts w:ascii="Times New Roman" w:hAnsi="Times New Roman" w:cs="Times New Roman"/>
          <w:sz w:val="24"/>
          <w:szCs w:val="24"/>
        </w:rPr>
        <w:t>”</w:t>
      </w:r>
      <w:r w:rsidRPr="004B7469">
        <w:rPr>
          <w:rFonts w:ascii="Times New Roman" w:hAnsi="Times New Roman" w:cs="Times New Roman"/>
          <w:sz w:val="24"/>
          <w:szCs w:val="24"/>
        </w:rPr>
        <w:t xml:space="preserve">; </w:t>
      </w:r>
      <w:r w:rsidRPr="004B7469">
        <w:rPr>
          <w:rFonts w:ascii="Times New Roman" w:hAnsi="Times New Roman" w:cs="Times New Roman"/>
          <w:smallCaps/>
          <w:sz w:val="24"/>
          <w:szCs w:val="24"/>
        </w:rPr>
        <w:t xml:space="preserve">M. </w:t>
      </w:r>
      <w:proofErr w:type="spellStart"/>
      <w:r w:rsidRPr="004B7469">
        <w:rPr>
          <w:rFonts w:ascii="Times New Roman" w:hAnsi="Times New Roman" w:cs="Times New Roman"/>
          <w:smallCaps/>
          <w:sz w:val="24"/>
          <w:szCs w:val="24"/>
        </w:rPr>
        <w:t>Pelissero</w:t>
      </w:r>
      <w:proofErr w:type="spellEnd"/>
      <w:r w:rsidRPr="004B7469">
        <w:rPr>
          <w:rFonts w:ascii="Times New Roman" w:hAnsi="Times New Roman" w:cs="Times New Roman"/>
          <w:sz w:val="24"/>
          <w:szCs w:val="24"/>
        </w:rPr>
        <w:t xml:space="preserve">, </w:t>
      </w:r>
      <w:r>
        <w:rPr>
          <w:rFonts w:ascii="Times New Roman" w:hAnsi="Times New Roman" w:cs="Times New Roman"/>
          <w:sz w:val="24"/>
          <w:szCs w:val="24"/>
        </w:rPr>
        <w:t>“</w:t>
      </w:r>
      <w:r w:rsidRPr="004B7469">
        <w:rPr>
          <w:rFonts w:ascii="Times New Roman" w:hAnsi="Times New Roman" w:cs="Times New Roman"/>
          <w:i/>
          <w:iCs/>
          <w:sz w:val="24"/>
          <w:szCs w:val="24"/>
        </w:rPr>
        <w:t>Omofobia e plausibilità dell’intervento penale</w:t>
      </w:r>
      <w:r>
        <w:rPr>
          <w:rFonts w:ascii="Times New Roman" w:hAnsi="Times New Roman" w:cs="Times New Roman"/>
          <w:sz w:val="24"/>
          <w:szCs w:val="24"/>
        </w:rPr>
        <w:t>”</w:t>
      </w:r>
      <w:r w:rsidRPr="004B7469">
        <w:rPr>
          <w:rFonts w:ascii="Times New Roman" w:hAnsi="Times New Roman" w:cs="Times New Roman"/>
          <w:sz w:val="24"/>
          <w:szCs w:val="24"/>
        </w:rPr>
        <w:t xml:space="preserve">; </w:t>
      </w:r>
      <w:r w:rsidRPr="004B7469">
        <w:rPr>
          <w:rFonts w:ascii="Times New Roman" w:hAnsi="Times New Roman" w:cs="Times New Roman"/>
          <w:smallCaps/>
          <w:sz w:val="24"/>
          <w:szCs w:val="24"/>
        </w:rPr>
        <w:t xml:space="preserve">L. </w:t>
      </w:r>
      <w:proofErr w:type="spellStart"/>
      <w:r w:rsidRPr="004B7469">
        <w:rPr>
          <w:rFonts w:ascii="Times New Roman" w:hAnsi="Times New Roman" w:cs="Times New Roman"/>
          <w:smallCaps/>
          <w:sz w:val="24"/>
          <w:szCs w:val="24"/>
        </w:rPr>
        <w:t>Imarisio</w:t>
      </w:r>
      <w:proofErr w:type="spellEnd"/>
      <w:r w:rsidRPr="004B7469">
        <w:rPr>
          <w:rFonts w:ascii="Times New Roman" w:hAnsi="Times New Roman" w:cs="Times New Roman"/>
          <w:sz w:val="24"/>
          <w:szCs w:val="24"/>
        </w:rPr>
        <w:t xml:space="preserve">, </w:t>
      </w:r>
      <w:r>
        <w:rPr>
          <w:rFonts w:ascii="Times New Roman" w:hAnsi="Times New Roman" w:cs="Times New Roman"/>
          <w:sz w:val="24"/>
          <w:szCs w:val="24"/>
        </w:rPr>
        <w:t>“</w:t>
      </w:r>
      <w:r w:rsidRPr="004B7469">
        <w:rPr>
          <w:rFonts w:ascii="Times New Roman" w:hAnsi="Times New Roman" w:cs="Times New Roman"/>
          <w:i/>
          <w:iCs/>
          <w:sz w:val="24"/>
          <w:szCs w:val="24"/>
        </w:rPr>
        <w:t>Il reato che non osa pronunciare il proprio nome. Reticenze e limiti nel c.d. disegno di legge Scalfarotto</w:t>
      </w:r>
      <w:r>
        <w:rPr>
          <w:rFonts w:ascii="Times New Roman" w:hAnsi="Times New Roman" w:cs="Times New Roman"/>
          <w:sz w:val="24"/>
          <w:szCs w:val="24"/>
        </w:rPr>
        <w:t>”</w:t>
      </w:r>
      <w:r w:rsidRPr="004B7469">
        <w:rPr>
          <w:rFonts w:ascii="Times New Roman" w:hAnsi="Times New Roman" w:cs="Times New Roman"/>
          <w:sz w:val="24"/>
          <w:szCs w:val="24"/>
        </w:rPr>
        <w:t xml:space="preserve">; </w:t>
      </w:r>
      <w:r w:rsidRPr="004B7469">
        <w:rPr>
          <w:rFonts w:ascii="Times New Roman" w:hAnsi="Times New Roman" w:cs="Times New Roman"/>
          <w:smallCaps/>
          <w:sz w:val="24"/>
          <w:szCs w:val="24"/>
        </w:rPr>
        <w:t xml:space="preserve">M. </w:t>
      </w:r>
      <w:proofErr w:type="spellStart"/>
      <w:r w:rsidRPr="004B7469">
        <w:rPr>
          <w:rFonts w:ascii="Times New Roman" w:hAnsi="Times New Roman" w:cs="Times New Roman"/>
          <w:smallCaps/>
          <w:sz w:val="24"/>
          <w:szCs w:val="24"/>
        </w:rPr>
        <w:t>Caielli</w:t>
      </w:r>
      <w:proofErr w:type="spellEnd"/>
      <w:r w:rsidRPr="004B7469">
        <w:rPr>
          <w:rFonts w:ascii="Times New Roman" w:hAnsi="Times New Roman" w:cs="Times New Roman"/>
          <w:sz w:val="24"/>
          <w:szCs w:val="24"/>
        </w:rPr>
        <w:t xml:space="preserve">, </w:t>
      </w:r>
      <w:r>
        <w:rPr>
          <w:rFonts w:ascii="Times New Roman" w:hAnsi="Times New Roman" w:cs="Times New Roman"/>
          <w:sz w:val="24"/>
          <w:szCs w:val="24"/>
        </w:rPr>
        <w:t>“</w:t>
      </w:r>
      <w:r w:rsidRPr="004B7469">
        <w:rPr>
          <w:rFonts w:ascii="Times New Roman" w:hAnsi="Times New Roman" w:cs="Times New Roman"/>
          <w:i/>
          <w:iCs/>
          <w:sz w:val="24"/>
          <w:szCs w:val="24"/>
        </w:rPr>
        <w:t xml:space="preserve">Punire l’omofobia: (non) ce lo chiede l’Europa. Riflessioni sulle incertezze giurisprudenziali e normative in tema di </w:t>
      </w:r>
      <w:proofErr w:type="spellStart"/>
      <w:r w:rsidRPr="004B7469">
        <w:rPr>
          <w:rFonts w:ascii="Times New Roman" w:hAnsi="Times New Roman" w:cs="Times New Roman"/>
          <w:i/>
          <w:iCs/>
          <w:sz w:val="24"/>
          <w:szCs w:val="24"/>
        </w:rPr>
        <w:t>hate</w:t>
      </w:r>
      <w:proofErr w:type="spellEnd"/>
      <w:r w:rsidRPr="004B7469">
        <w:rPr>
          <w:rFonts w:ascii="Times New Roman" w:hAnsi="Times New Roman" w:cs="Times New Roman"/>
          <w:i/>
          <w:iCs/>
          <w:sz w:val="24"/>
          <w:szCs w:val="24"/>
        </w:rPr>
        <w:t xml:space="preserve"> </w:t>
      </w:r>
      <w:proofErr w:type="spellStart"/>
      <w:r w:rsidRPr="004B7469">
        <w:rPr>
          <w:rFonts w:ascii="Times New Roman" w:hAnsi="Times New Roman" w:cs="Times New Roman"/>
          <w:i/>
          <w:iCs/>
          <w:sz w:val="24"/>
          <w:szCs w:val="24"/>
        </w:rPr>
        <w:t>speech</w:t>
      </w:r>
      <w:proofErr w:type="spellEnd"/>
      <w:r>
        <w:rPr>
          <w:rFonts w:ascii="Times New Roman" w:hAnsi="Times New Roman" w:cs="Times New Roman"/>
          <w:sz w:val="24"/>
          <w:szCs w:val="24"/>
        </w:rPr>
        <w:t>”</w:t>
      </w:r>
      <w:r w:rsidRPr="004B7469">
        <w:rPr>
          <w:rFonts w:ascii="Times New Roman" w:hAnsi="Times New Roman" w:cs="Times New Roman"/>
          <w:sz w:val="24"/>
          <w:szCs w:val="24"/>
        </w:rPr>
        <w:t xml:space="preserve">; </w:t>
      </w:r>
      <w:r w:rsidRPr="004B7469">
        <w:rPr>
          <w:rFonts w:ascii="Times New Roman" w:hAnsi="Times New Roman" w:cs="Times New Roman"/>
          <w:smallCaps/>
          <w:sz w:val="24"/>
          <w:szCs w:val="24"/>
        </w:rPr>
        <w:t xml:space="preserve">L. </w:t>
      </w:r>
      <w:proofErr w:type="spellStart"/>
      <w:r w:rsidRPr="004B7469">
        <w:rPr>
          <w:rFonts w:ascii="Times New Roman" w:hAnsi="Times New Roman" w:cs="Times New Roman"/>
          <w:smallCaps/>
          <w:sz w:val="24"/>
          <w:szCs w:val="24"/>
        </w:rPr>
        <w:t>Morassutto</w:t>
      </w:r>
      <w:proofErr w:type="spellEnd"/>
      <w:r w:rsidRPr="004B7469">
        <w:rPr>
          <w:rFonts w:ascii="Times New Roman" w:hAnsi="Times New Roman" w:cs="Times New Roman"/>
          <w:sz w:val="24"/>
          <w:szCs w:val="24"/>
        </w:rPr>
        <w:t xml:space="preserve">, </w:t>
      </w:r>
      <w:r>
        <w:rPr>
          <w:rFonts w:ascii="Times New Roman" w:hAnsi="Times New Roman" w:cs="Times New Roman"/>
          <w:sz w:val="24"/>
          <w:szCs w:val="24"/>
        </w:rPr>
        <w:t>“</w:t>
      </w:r>
      <w:r w:rsidRPr="004B7469">
        <w:rPr>
          <w:rFonts w:ascii="Times New Roman" w:hAnsi="Times New Roman" w:cs="Times New Roman"/>
          <w:i/>
          <w:iCs/>
          <w:sz w:val="24"/>
          <w:szCs w:val="24"/>
        </w:rPr>
        <w:t>Omofobia e medioevo italiano</w:t>
      </w:r>
      <w:r>
        <w:rPr>
          <w:rFonts w:ascii="Times New Roman" w:hAnsi="Times New Roman" w:cs="Times New Roman"/>
          <w:sz w:val="24"/>
          <w:szCs w:val="24"/>
        </w:rPr>
        <w:t>”</w:t>
      </w:r>
      <w:r w:rsidRPr="004B7469">
        <w:rPr>
          <w:rFonts w:ascii="Times New Roman" w:hAnsi="Times New Roman" w:cs="Times New Roman"/>
          <w:sz w:val="24"/>
          <w:szCs w:val="24"/>
        </w:rPr>
        <w:t xml:space="preserve">, contributi pubblicati in </w:t>
      </w:r>
      <w:proofErr w:type="spellStart"/>
      <w:r w:rsidRPr="004B7469">
        <w:rPr>
          <w:rFonts w:ascii="Times New Roman" w:hAnsi="Times New Roman" w:cs="Times New Roman"/>
          <w:i/>
          <w:iCs/>
          <w:sz w:val="24"/>
          <w:szCs w:val="24"/>
        </w:rPr>
        <w:t>GenIus</w:t>
      </w:r>
      <w:proofErr w:type="spellEnd"/>
      <w:r w:rsidRPr="004B7469">
        <w:rPr>
          <w:rFonts w:ascii="Times New Roman" w:hAnsi="Times New Roman" w:cs="Times New Roman"/>
          <w:sz w:val="24"/>
          <w:szCs w:val="24"/>
        </w:rPr>
        <w:t>, 2015, 6 ss.</w:t>
      </w:r>
    </w:p>
  </w:footnote>
  <w:footnote w:id="163">
    <w:p w14:paraId="2D6309B4" w14:textId="33F84D31" w:rsidR="000463A6" w:rsidRPr="004B7469" w:rsidRDefault="000463A6" w:rsidP="004B7469">
      <w:pPr>
        <w:pStyle w:val="Testonotaapidipagina"/>
        <w:jc w:val="both"/>
        <w:rPr>
          <w:rFonts w:ascii="Times New Roman" w:hAnsi="Times New Roman" w:cs="Times New Roman"/>
          <w:sz w:val="24"/>
          <w:szCs w:val="24"/>
        </w:rPr>
      </w:pPr>
      <w:r w:rsidRPr="004B7469">
        <w:rPr>
          <w:rStyle w:val="Rimandonotaapidipagina"/>
          <w:rFonts w:ascii="Times New Roman" w:hAnsi="Times New Roman" w:cs="Times New Roman"/>
          <w:sz w:val="24"/>
          <w:szCs w:val="24"/>
        </w:rPr>
        <w:footnoteRef/>
      </w:r>
      <w:r w:rsidRPr="004B7469">
        <w:rPr>
          <w:rFonts w:ascii="Times New Roman" w:hAnsi="Times New Roman" w:cs="Times New Roman"/>
          <w:sz w:val="24"/>
          <w:szCs w:val="24"/>
        </w:rPr>
        <w:t xml:space="preserve"> </w:t>
      </w:r>
      <w:r>
        <w:rPr>
          <w:rFonts w:ascii="Times New Roman" w:hAnsi="Times New Roman" w:cs="Times New Roman"/>
          <w:sz w:val="24"/>
          <w:szCs w:val="24"/>
        </w:rPr>
        <w:t>Il testo della decisione quadro è a</w:t>
      </w:r>
      <w:r w:rsidRPr="004B7469">
        <w:rPr>
          <w:rFonts w:ascii="Times New Roman" w:hAnsi="Times New Roman" w:cs="Times New Roman"/>
          <w:sz w:val="24"/>
          <w:szCs w:val="24"/>
        </w:rPr>
        <w:t xml:space="preserve">ccessibile da </w:t>
      </w:r>
      <w:hyperlink r:id="rId38" w:history="1">
        <w:r w:rsidRPr="004B7469">
          <w:rPr>
            <w:rStyle w:val="Collegamentoipertestuale"/>
            <w:rFonts w:ascii="Times New Roman" w:hAnsi="Times New Roman" w:cs="Times New Roman"/>
            <w:sz w:val="24"/>
            <w:szCs w:val="24"/>
          </w:rPr>
          <w:t>https://eur-lex.europa.eu/legal-content/IT/TXT/PDF/?uri=CELEX:32008F0913&amp;from=IT</w:t>
        </w:r>
      </w:hyperlink>
      <w:r w:rsidRPr="004B7469">
        <w:rPr>
          <w:rFonts w:ascii="Times New Roman" w:hAnsi="Times New Roman" w:cs="Times New Roman"/>
          <w:sz w:val="24"/>
          <w:szCs w:val="24"/>
        </w:rPr>
        <w:t>.</w:t>
      </w:r>
    </w:p>
  </w:footnote>
  <w:footnote w:id="164">
    <w:p w14:paraId="78B1014E" w14:textId="6FA9F296" w:rsidR="000463A6" w:rsidRPr="00AA154B" w:rsidRDefault="000463A6" w:rsidP="004B7469">
      <w:pPr>
        <w:pStyle w:val="NormaleWeb"/>
        <w:spacing w:before="0" w:beforeAutospacing="0" w:after="0" w:afterAutospacing="0"/>
        <w:jc w:val="both"/>
      </w:pPr>
      <w:r w:rsidRPr="004B7469">
        <w:rPr>
          <w:rStyle w:val="Rimandonotaapidipagina"/>
        </w:rPr>
        <w:footnoteRef/>
      </w:r>
      <w:r w:rsidRPr="004B7469">
        <w:t xml:space="preserve"> L’ordinanza è reperibile su </w:t>
      </w:r>
      <w:hyperlink r:id="rId39" w:history="1">
        <w:r w:rsidRPr="004B7469">
          <w:rPr>
            <w:rStyle w:val="Collegamentoipertestuale"/>
          </w:rPr>
          <w:t>https://www.questionegiustizia.it/data/doc/2345/ordinanza-rg-648942019-forza-nuova-art700.pdf</w:t>
        </w:r>
      </w:hyperlink>
      <w:r w:rsidRPr="004B7469">
        <w:t xml:space="preserve">, ed è commentata da I. M. </w:t>
      </w:r>
      <w:r w:rsidRPr="004B7469">
        <w:rPr>
          <w:smallCaps/>
        </w:rPr>
        <w:t>Lo Presti</w:t>
      </w:r>
      <w:r w:rsidRPr="004B7469">
        <w:t>, “</w:t>
      </w:r>
      <w:proofErr w:type="spellStart"/>
      <w:r w:rsidRPr="004B7469">
        <w:rPr>
          <w:i/>
          <w:iCs/>
        </w:rPr>
        <w:t>CasaPound</w:t>
      </w:r>
      <w:proofErr w:type="spellEnd"/>
      <w:r w:rsidRPr="004B7469">
        <w:rPr>
          <w:i/>
          <w:iCs/>
        </w:rPr>
        <w:t xml:space="preserve">, Forza Nuova e </w:t>
      </w:r>
      <w:proofErr w:type="spellStart"/>
      <w:r w:rsidRPr="004B7469">
        <w:rPr>
          <w:i/>
          <w:iCs/>
        </w:rPr>
        <w:t>Facebook</w:t>
      </w:r>
      <w:proofErr w:type="spellEnd"/>
      <w:r w:rsidRPr="004B7469">
        <w:rPr>
          <w:i/>
          <w:iCs/>
        </w:rPr>
        <w:t>. Considerazioni a margine delle recenti ordinanze cautelari e questioni aperte circa la relazione tra partiti politici e social network”</w:t>
      </w:r>
      <w:r w:rsidRPr="004B7469">
        <w:t xml:space="preserve">, in </w:t>
      </w:r>
      <w:r w:rsidRPr="004B7469">
        <w:rPr>
          <w:i/>
          <w:iCs/>
        </w:rPr>
        <w:t>Forum di Quaderni Costituzionali</w:t>
      </w:r>
      <w:r w:rsidRPr="004B7469">
        <w:t xml:space="preserve">, 2, 2020, accessibile da: </w:t>
      </w:r>
      <w:hyperlink r:id="rId40" w:history="1">
        <w:r w:rsidRPr="004B7469">
          <w:rPr>
            <w:rStyle w:val="Collegamentoipertestuale"/>
          </w:rPr>
          <w:t>https://www.forumcostituzionale.it/wordpress/wp-content/uploads/2020/07/52-Lo-Presti-FQC-2-20.pdf</w:t>
        </w:r>
      </w:hyperlink>
      <w:r w:rsidRPr="004B7469">
        <w:rPr>
          <w:color w:val="0560BF"/>
        </w:rPr>
        <w:t>.</w:t>
      </w:r>
    </w:p>
  </w:footnote>
  <w:footnote w:id="165">
    <w:p w14:paraId="546A2E6E" w14:textId="7084ED5F" w:rsidR="000463A6" w:rsidRPr="00763FBA" w:rsidRDefault="000463A6" w:rsidP="00AA2A17">
      <w:pPr>
        <w:pStyle w:val="Testonotaapidipagina"/>
        <w:jc w:val="both"/>
        <w:rPr>
          <w:rFonts w:ascii="Times New Roman" w:hAnsi="Times New Roman" w:cs="Times New Roman"/>
          <w:sz w:val="24"/>
          <w:szCs w:val="24"/>
        </w:rPr>
      </w:pPr>
      <w:r w:rsidRPr="00763FBA">
        <w:rPr>
          <w:rStyle w:val="Rimandonotaapidipagina"/>
          <w:rFonts w:ascii="Times New Roman" w:hAnsi="Times New Roman" w:cs="Times New Roman"/>
          <w:sz w:val="24"/>
          <w:szCs w:val="24"/>
        </w:rPr>
        <w:footnoteRef/>
      </w:r>
      <w:r w:rsidRPr="00763FBA">
        <w:rPr>
          <w:rFonts w:ascii="Times New Roman" w:hAnsi="Times New Roman" w:cs="Times New Roman"/>
          <w:sz w:val="24"/>
          <w:szCs w:val="24"/>
        </w:rPr>
        <w:t xml:space="preserve"> Testo accessibile su </w:t>
      </w:r>
      <w:hyperlink r:id="rId41" w:history="1">
        <w:r w:rsidRPr="00763FBA">
          <w:rPr>
            <w:rStyle w:val="Collegamentoipertestuale"/>
            <w:rFonts w:ascii="Times New Roman" w:hAnsi="Times New Roman" w:cs="Times New Roman"/>
            <w:sz w:val="24"/>
            <w:szCs w:val="24"/>
          </w:rPr>
          <w:t>https://dirittodiinternet.it/wp-content/uploads/2020/01/OrdinanzaSiena.pdf</w:t>
        </w:r>
      </w:hyperlink>
      <w:r w:rsidRPr="00763FBA">
        <w:rPr>
          <w:rFonts w:ascii="Times New Roman" w:hAnsi="Times New Roman" w:cs="Times New Roman"/>
          <w:sz w:val="24"/>
          <w:szCs w:val="24"/>
        </w:rPr>
        <w:t>.</w:t>
      </w:r>
    </w:p>
  </w:footnote>
  <w:footnote w:id="166">
    <w:p w14:paraId="5C0DC91C" w14:textId="7DB9480A" w:rsidR="000463A6" w:rsidRPr="006D4F00" w:rsidRDefault="000463A6" w:rsidP="00AA2A17">
      <w:pPr>
        <w:pStyle w:val="NormaleWeb"/>
        <w:spacing w:before="0" w:beforeAutospacing="0" w:after="0" w:afterAutospacing="0"/>
        <w:jc w:val="both"/>
      </w:pPr>
      <w:r w:rsidRPr="00763FBA">
        <w:rPr>
          <w:rStyle w:val="Rimandonotaapidipagina"/>
        </w:rPr>
        <w:footnoteRef/>
      </w:r>
      <w:r w:rsidRPr="00763FBA">
        <w:t xml:space="preserve"> Il testo è disponibile su </w:t>
      </w:r>
      <w:hyperlink r:id="rId42" w:history="1">
        <w:r w:rsidRPr="00763FBA">
          <w:rPr>
            <w:rStyle w:val="Collegamentoipertestuale"/>
          </w:rPr>
          <w:t>https://media2-col.corriereobjects.it/pdf/2019/politica/sentenzacpifb.pdf</w:t>
        </w:r>
      </w:hyperlink>
      <w:r w:rsidRPr="00763FBA">
        <w:t xml:space="preserve">, con nota di I. M. </w:t>
      </w:r>
      <w:r w:rsidRPr="00763FBA">
        <w:rPr>
          <w:smallCaps/>
        </w:rPr>
        <w:t>Lo Presti</w:t>
      </w:r>
      <w:r w:rsidRPr="00763FBA">
        <w:t>, “</w:t>
      </w:r>
      <w:proofErr w:type="spellStart"/>
      <w:r w:rsidRPr="00763FBA">
        <w:rPr>
          <w:i/>
          <w:iCs/>
        </w:rPr>
        <w:t>CasaPound</w:t>
      </w:r>
      <w:proofErr w:type="spellEnd"/>
      <w:r w:rsidRPr="00763FBA">
        <w:rPr>
          <w:i/>
          <w:iCs/>
        </w:rPr>
        <w:t xml:space="preserve">, Forza Nuova e </w:t>
      </w:r>
      <w:proofErr w:type="spellStart"/>
      <w:r w:rsidRPr="00763FBA">
        <w:rPr>
          <w:i/>
          <w:iCs/>
        </w:rPr>
        <w:t>Facebook</w:t>
      </w:r>
      <w:proofErr w:type="spellEnd"/>
      <w:r w:rsidRPr="00763FBA">
        <w:rPr>
          <w:i/>
          <w:iCs/>
        </w:rPr>
        <w:t>. Considerazioni a margine delle recenti ordinanze cautelari e questioni aperte circa la relazione tra partiti politici e social network”</w:t>
      </w:r>
      <w:r w:rsidRPr="00763FBA">
        <w:t xml:space="preserve">, cit.; vedi anche il commento di </w:t>
      </w:r>
      <w:r w:rsidRPr="00763FBA">
        <w:rPr>
          <w:smallCaps/>
        </w:rPr>
        <w:t>P. Villaschi</w:t>
      </w:r>
      <w:r w:rsidRPr="00763FBA">
        <w:t>, “</w:t>
      </w:r>
      <w:proofErr w:type="spellStart"/>
      <w:r w:rsidRPr="00763FBA">
        <w:rPr>
          <w:i/>
          <w:iCs/>
        </w:rPr>
        <w:t>Facebook</w:t>
      </w:r>
      <w:proofErr w:type="spellEnd"/>
      <w:r w:rsidRPr="00763FBA">
        <w:rPr>
          <w:i/>
          <w:iCs/>
        </w:rPr>
        <w:t xml:space="preserve"> come la RAI?: note a margine dell’ordinanza del Tribunale di Roma del 12.12.2019 sul caso </w:t>
      </w:r>
      <w:proofErr w:type="spellStart"/>
      <w:r w:rsidRPr="00763FBA">
        <w:rPr>
          <w:i/>
          <w:iCs/>
        </w:rPr>
        <w:t>CasaPound</w:t>
      </w:r>
      <w:proofErr w:type="spellEnd"/>
      <w:r w:rsidRPr="00763FBA">
        <w:rPr>
          <w:i/>
          <w:iCs/>
        </w:rPr>
        <w:t xml:space="preserve"> c. </w:t>
      </w:r>
      <w:proofErr w:type="spellStart"/>
      <w:r w:rsidRPr="00763FBA">
        <w:rPr>
          <w:i/>
          <w:iCs/>
        </w:rPr>
        <w:t>Facebook</w:t>
      </w:r>
      <w:proofErr w:type="spellEnd"/>
      <w:r w:rsidRPr="00763FBA">
        <w:t xml:space="preserve">”, disponibile sul sito </w:t>
      </w:r>
      <w:hyperlink r:id="rId43" w:history="1">
        <w:r w:rsidRPr="00763FBA">
          <w:rPr>
            <w:rStyle w:val="Collegamentoipertestuale"/>
          </w:rPr>
          <w:t>https://www.osservatorioaic.it/images/rivista/pdf/2020_2_24_Villaschi.pdf</w:t>
        </w:r>
      </w:hyperlink>
      <w:r w:rsidRPr="00763FBA">
        <w:t>.</w:t>
      </w:r>
    </w:p>
  </w:footnote>
  <w:footnote w:id="167">
    <w:p w14:paraId="5A3B97B1" w14:textId="4EBD7F72" w:rsidR="000463A6" w:rsidRPr="00AA154B" w:rsidRDefault="000463A6" w:rsidP="000719A7">
      <w:pPr>
        <w:pStyle w:val="NormaleWeb"/>
        <w:spacing w:before="0" w:beforeAutospacing="0" w:after="0" w:afterAutospacing="0"/>
        <w:jc w:val="both"/>
      </w:pPr>
      <w:r w:rsidRPr="000719A7">
        <w:rPr>
          <w:rStyle w:val="Rimandonotaapidipagina"/>
        </w:rPr>
        <w:footnoteRef/>
      </w:r>
      <w:r w:rsidRPr="000719A7">
        <w:t xml:space="preserve"> Accessibile da </w:t>
      </w:r>
      <w:hyperlink r:id="rId44" w:history="1">
        <w:r w:rsidRPr="000719A7">
          <w:rPr>
            <w:rStyle w:val="Collegamentoipertestuale"/>
          </w:rPr>
          <w:t>https://www.senato.it/service/PDF/PDFServer/BGT/01124878.pdf</w:t>
        </w:r>
      </w:hyperlink>
      <w:r w:rsidRPr="000719A7">
        <w:t>.</w:t>
      </w:r>
    </w:p>
  </w:footnote>
  <w:footnote w:id="168">
    <w:p w14:paraId="0F0DC9C9" w14:textId="4D772B56" w:rsidR="000463A6" w:rsidRPr="00163B9D" w:rsidRDefault="000463A6" w:rsidP="00163B9D">
      <w:pPr>
        <w:pStyle w:val="Testonotaapidipagina"/>
        <w:jc w:val="both"/>
        <w:rPr>
          <w:rFonts w:ascii="Times New Roman" w:hAnsi="Times New Roman" w:cs="Times New Roman"/>
          <w:sz w:val="24"/>
          <w:szCs w:val="24"/>
        </w:rPr>
      </w:pPr>
      <w:r w:rsidRPr="00163B9D">
        <w:rPr>
          <w:rStyle w:val="Rimandonotaapidipagina"/>
          <w:rFonts w:ascii="Times New Roman" w:hAnsi="Times New Roman" w:cs="Times New Roman"/>
          <w:sz w:val="24"/>
          <w:szCs w:val="24"/>
        </w:rPr>
        <w:footnoteRef/>
      </w:r>
      <w:r w:rsidRPr="00163B9D">
        <w:rPr>
          <w:rFonts w:ascii="Times New Roman" w:hAnsi="Times New Roman" w:cs="Times New Roman"/>
          <w:sz w:val="24"/>
          <w:szCs w:val="24"/>
        </w:rPr>
        <w:t xml:space="preserve"> </w:t>
      </w:r>
      <w:r>
        <w:rPr>
          <w:rFonts w:ascii="Times New Roman" w:hAnsi="Times New Roman" w:cs="Times New Roman"/>
          <w:sz w:val="24"/>
          <w:szCs w:val="24"/>
        </w:rPr>
        <w:t>Il testo è d</w:t>
      </w:r>
      <w:r w:rsidRPr="00163B9D">
        <w:rPr>
          <w:rFonts w:ascii="Times New Roman" w:hAnsi="Times New Roman" w:cs="Times New Roman"/>
          <w:sz w:val="24"/>
          <w:szCs w:val="24"/>
        </w:rPr>
        <w:t xml:space="preserve">isponibile su </w:t>
      </w:r>
      <w:hyperlink r:id="rId45" w:history="1">
        <w:r w:rsidRPr="00163B9D">
          <w:rPr>
            <w:rStyle w:val="Collegamentoipertestuale"/>
            <w:rFonts w:ascii="Times New Roman" w:hAnsi="Times New Roman" w:cs="Times New Roman"/>
            <w:sz w:val="24"/>
            <w:szCs w:val="24"/>
          </w:rPr>
          <w:t>http://documenti.camera.it/leg18/pdl/pdf/leg.18.pdl.camera.2936.18PDL0133410.pdf</w:t>
        </w:r>
      </w:hyperlink>
      <w:r w:rsidRPr="00163B9D">
        <w:rPr>
          <w:rFonts w:ascii="Times New Roman" w:hAnsi="Times New Roman" w:cs="Times New Roman"/>
          <w:sz w:val="24"/>
          <w:szCs w:val="24"/>
        </w:rPr>
        <w:t>.</w:t>
      </w:r>
    </w:p>
  </w:footnote>
  <w:footnote w:id="169">
    <w:p w14:paraId="66692CC6" w14:textId="30EE5381" w:rsidR="000463A6" w:rsidRPr="00163B9D" w:rsidRDefault="000463A6" w:rsidP="00163B9D">
      <w:pPr>
        <w:pStyle w:val="Testonotaapidipagina"/>
        <w:jc w:val="both"/>
        <w:rPr>
          <w:lang w:val="en-US"/>
        </w:rPr>
      </w:pPr>
      <w:r w:rsidRPr="00163B9D">
        <w:rPr>
          <w:rStyle w:val="Rimandonotaapidipagina"/>
          <w:rFonts w:ascii="Times New Roman" w:hAnsi="Times New Roman" w:cs="Times New Roman"/>
          <w:sz w:val="24"/>
          <w:szCs w:val="24"/>
        </w:rPr>
        <w:footnoteRef/>
      </w:r>
      <w:r w:rsidRPr="00163B9D">
        <w:rPr>
          <w:rFonts w:ascii="Times New Roman" w:hAnsi="Times New Roman" w:cs="Times New Roman"/>
          <w:sz w:val="24"/>
          <w:szCs w:val="24"/>
        </w:rPr>
        <w:t xml:space="preserve"> </w:t>
      </w:r>
      <w:r>
        <w:rPr>
          <w:rFonts w:ascii="Times New Roman" w:hAnsi="Times New Roman" w:cs="Times New Roman"/>
          <w:sz w:val="24"/>
          <w:szCs w:val="24"/>
        </w:rPr>
        <w:t xml:space="preserve">Sul tema v. anche </w:t>
      </w:r>
      <w:r w:rsidRPr="00163B9D">
        <w:rPr>
          <w:rFonts w:ascii="Times New Roman" w:hAnsi="Times New Roman" w:cs="Times New Roman"/>
          <w:smallCaps/>
          <w:sz w:val="24"/>
          <w:szCs w:val="24"/>
        </w:rPr>
        <w:t xml:space="preserve">M. </w:t>
      </w:r>
      <w:proofErr w:type="spellStart"/>
      <w:r w:rsidRPr="00163B9D">
        <w:rPr>
          <w:rFonts w:ascii="Times New Roman" w:hAnsi="Times New Roman" w:cs="Times New Roman"/>
          <w:smallCaps/>
          <w:sz w:val="24"/>
          <w:szCs w:val="24"/>
        </w:rPr>
        <w:t>Pelissero</w:t>
      </w:r>
      <w:proofErr w:type="spellEnd"/>
      <w:r w:rsidRPr="00163B9D">
        <w:rPr>
          <w:rFonts w:ascii="Times New Roman" w:hAnsi="Times New Roman" w:cs="Times New Roman"/>
          <w:sz w:val="24"/>
          <w:szCs w:val="24"/>
        </w:rPr>
        <w:t xml:space="preserve">, </w:t>
      </w:r>
      <w:r>
        <w:rPr>
          <w:rFonts w:ascii="Times New Roman" w:hAnsi="Times New Roman" w:cs="Times New Roman"/>
          <w:sz w:val="24"/>
          <w:szCs w:val="24"/>
        </w:rPr>
        <w:t>“</w:t>
      </w:r>
      <w:r w:rsidRPr="00163B9D">
        <w:rPr>
          <w:rFonts w:ascii="Times New Roman" w:hAnsi="Times New Roman" w:cs="Times New Roman"/>
          <w:i/>
          <w:iCs/>
          <w:sz w:val="24"/>
          <w:szCs w:val="24"/>
        </w:rPr>
        <w:t>La parola pericolosa. Il confine incerto del controllo penale del dissenso</w:t>
      </w:r>
      <w:r>
        <w:rPr>
          <w:rFonts w:ascii="Times New Roman" w:hAnsi="Times New Roman" w:cs="Times New Roman"/>
          <w:sz w:val="24"/>
          <w:szCs w:val="24"/>
        </w:rPr>
        <w:t>”</w:t>
      </w:r>
      <w:r w:rsidRPr="00163B9D">
        <w:rPr>
          <w:rFonts w:ascii="Times New Roman" w:hAnsi="Times New Roman" w:cs="Times New Roman"/>
          <w:sz w:val="24"/>
          <w:szCs w:val="24"/>
        </w:rPr>
        <w:t xml:space="preserve">, in </w:t>
      </w:r>
      <w:proofErr w:type="spellStart"/>
      <w:r w:rsidRPr="00163B9D">
        <w:rPr>
          <w:rFonts w:ascii="Times New Roman" w:hAnsi="Times New Roman" w:cs="Times New Roman"/>
          <w:i/>
          <w:iCs/>
          <w:sz w:val="24"/>
          <w:szCs w:val="24"/>
        </w:rPr>
        <w:t>QuestG</w:t>
      </w:r>
      <w:proofErr w:type="spellEnd"/>
      <w:r w:rsidRPr="00163B9D">
        <w:rPr>
          <w:rFonts w:ascii="Times New Roman" w:hAnsi="Times New Roman" w:cs="Times New Roman"/>
          <w:sz w:val="24"/>
          <w:szCs w:val="24"/>
        </w:rPr>
        <w:t>, 2015, 38</w:t>
      </w:r>
      <w:r>
        <w:rPr>
          <w:rFonts w:ascii="Times New Roman" w:hAnsi="Times New Roman" w:cs="Times New Roman"/>
          <w:sz w:val="24"/>
          <w:szCs w:val="24"/>
        </w:rPr>
        <w:t xml:space="preserve">; </w:t>
      </w:r>
      <w:r w:rsidRPr="00163B9D">
        <w:rPr>
          <w:rFonts w:ascii="Times New Roman" w:hAnsi="Times New Roman" w:cs="Times New Roman"/>
          <w:smallCaps/>
          <w:sz w:val="24"/>
          <w:szCs w:val="24"/>
        </w:rPr>
        <w:t xml:space="preserve">L. </w:t>
      </w:r>
      <w:proofErr w:type="spellStart"/>
      <w:r w:rsidRPr="00163B9D">
        <w:rPr>
          <w:rFonts w:ascii="Times New Roman" w:hAnsi="Times New Roman" w:cs="Times New Roman"/>
          <w:smallCaps/>
          <w:sz w:val="24"/>
          <w:szCs w:val="24"/>
        </w:rPr>
        <w:t>Alesiani</w:t>
      </w:r>
      <w:proofErr w:type="spellEnd"/>
      <w:r w:rsidRPr="00163B9D">
        <w:rPr>
          <w:rFonts w:ascii="Times New Roman" w:hAnsi="Times New Roman" w:cs="Times New Roman"/>
          <w:sz w:val="24"/>
          <w:szCs w:val="24"/>
        </w:rPr>
        <w:t xml:space="preserve">, </w:t>
      </w:r>
      <w:r>
        <w:rPr>
          <w:rFonts w:ascii="Times New Roman" w:hAnsi="Times New Roman" w:cs="Times New Roman"/>
          <w:sz w:val="24"/>
          <w:szCs w:val="24"/>
        </w:rPr>
        <w:t>“</w:t>
      </w:r>
      <w:r w:rsidRPr="00163B9D">
        <w:rPr>
          <w:rFonts w:ascii="Times New Roman" w:hAnsi="Times New Roman" w:cs="Times New Roman"/>
          <w:i/>
          <w:iCs/>
          <w:sz w:val="24"/>
          <w:szCs w:val="24"/>
        </w:rPr>
        <w:t xml:space="preserve">I reati di opinione. </w:t>
      </w:r>
      <w:r w:rsidRPr="00163B9D">
        <w:rPr>
          <w:rFonts w:ascii="Times New Roman" w:hAnsi="Times New Roman" w:cs="Times New Roman"/>
          <w:i/>
          <w:iCs/>
          <w:sz w:val="24"/>
          <w:szCs w:val="24"/>
          <w:lang w:val="en-US"/>
        </w:rPr>
        <w:t xml:space="preserve">Una </w:t>
      </w:r>
      <w:proofErr w:type="spellStart"/>
      <w:r w:rsidRPr="00163B9D">
        <w:rPr>
          <w:rFonts w:ascii="Times New Roman" w:hAnsi="Times New Roman" w:cs="Times New Roman"/>
          <w:i/>
          <w:iCs/>
          <w:sz w:val="24"/>
          <w:szCs w:val="24"/>
          <w:lang w:val="en-US"/>
        </w:rPr>
        <w:t>rilettura</w:t>
      </w:r>
      <w:proofErr w:type="spellEnd"/>
      <w:r w:rsidRPr="00163B9D">
        <w:rPr>
          <w:rFonts w:ascii="Times New Roman" w:hAnsi="Times New Roman" w:cs="Times New Roman"/>
          <w:i/>
          <w:iCs/>
          <w:sz w:val="24"/>
          <w:szCs w:val="24"/>
          <w:lang w:val="en-US"/>
        </w:rPr>
        <w:t xml:space="preserve"> in </w:t>
      </w:r>
      <w:proofErr w:type="spellStart"/>
      <w:r w:rsidRPr="00163B9D">
        <w:rPr>
          <w:rFonts w:ascii="Times New Roman" w:hAnsi="Times New Roman" w:cs="Times New Roman"/>
          <w:i/>
          <w:iCs/>
          <w:sz w:val="24"/>
          <w:szCs w:val="24"/>
          <w:lang w:val="en-US"/>
        </w:rPr>
        <w:t>chiave</w:t>
      </w:r>
      <w:proofErr w:type="spellEnd"/>
      <w:r w:rsidRPr="00163B9D">
        <w:rPr>
          <w:rFonts w:ascii="Times New Roman" w:hAnsi="Times New Roman" w:cs="Times New Roman"/>
          <w:i/>
          <w:iCs/>
          <w:sz w:val="24"/>
          <w:szCs w:val="24"/>
          <w:lang w:val="en-US"/>
        </w:rPr>
        <w:t xml:space="preserve"> </w:t>
      </w:r>
      <w:proofErr w:type="spellStart"/>
      <w:r w:rsidRPr="00163B9D">
        <w:rPr>
          <w:rFonts w:ascii="Times New Roman" w:hAnsi="Times New Roman" w:cs="Times New Roman"/>
          <w:i/>
          <w:iCs/>
          <w:sz w:val="24"/>
          <w:szCs w:val="24"/>
          <w:lang w:val="en-US"/>
        </w:rPr>
        <w:t>costituzionale</w:t>
      </w:r>
      <w:proofErr w:type="spellEnd"/>
      <w:r>
        <w:rPr>
          <w:rFonts w:ascii="Times New Roman" w:hAnsi="Times New Roman" w:cs="Times New Roman"/>
          <w:sz w:val="24"/>
          <w:szCs w:val="24"/>
          <w:lang w:val="en-US"/>
        </w:rPr>
        <w:t>”</w:t>
      </w:r>
      <w:r w:rsidRPr="00163B9D">
        <w:rPr>
          <w:rFonts w:ascii="Times New Roman" w:hAnsi="Times New Roman" w:cs="Times New Roman"/>
          <w:sz w:val="24"/>
          <w:szCs w:val="24"/>
          <w:lang w:val="en-US"/>
        </w:rPr>
        <w:t>, Milano</w:t>
      </w:r>
      <w:r w:rsidR="007E250B">
        <w:rPr>
          <w:rFonts w:ascii="Times New Roman" w:hAnsi="Times New Roman" w:cs="Times New Roman"/>
          <w:sz w:val="24"/>
          <w:szCs w:val="24"/>
          <w:lang w:val="en-US"/>
        </w:rPr>
        <w:t>,</w:t>
      </w:r>
      <w:r w:rsidRPr="00163B9D">
        <w:rPr>
          <w:rFonts w:ascii="Times New Roman" w:hAnsi="Times New Roman" w:cs="Times New Roman"/>
          <w:sz w:val="24"/>
          <w:szCs w:val="24"/>
          <w:lang w:val="en-US"/>
        </w:rPr>
        <w:t xml:space="preserve"> 2006; </w:t>
      </w:r>
      <w:r w:rsidRPr="00163B9D">
        <w:rPr>
          <w:rFonts w:ascii="Times New Roman" w:hAnsi="Times New Roman" w:cs="Times New Roman"/>
          <w:smallCaps/>
          <w:sz w:val="24"/>
          <w:szCs w:val="24"/>
          <w:lang w:val="en-US"/>
        </w:rPr>
        <w:t>C. Calvert – J. Brown</w:t>
      </w:r>
      <w:r w:rsidRPr="00163B9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63B9D">
        <w:rPr>
          <w:rFonts w:ascii="Times New Roman" w:hAnsi="Times New Roman" w:cs="Times New Roman"/>
          <w:i/>
          <w:iCs/>
          <w:sz w:val="24"/>
          <w:szCs w:val="24"/>
          <w:lang w:val="en-US"/>
        </w:rPr>
        <w:t>Video Voyeurism, Privacy and the Internet: exposing Peeping Toms in Cyberspace</w:t>
      </w:r>
      <w:r>
        <w:rPr>
          <w:rFonts w:ascii="Times New Roman" w:hAnsi="Times New Roman" w:cs="Times New Roman"/>
          <w:sz w:val="24"/>
          <w:szCs w:val="24"/>
          <w:lang w:val="en-US"/>
        </w:rPr>
        <w:t>”</w:t>
      </w:r>
      <w:r w:rsidRPr="00163B9D">
        <w:rPr>
          <w:rFonts w:ascii="Times New Roman" w:hAnsi="Times New Roman" w:cs="Times New Roman"/>
          <w:sz w:val="24"/>
          <w:szCs w:val="24"/>
          <w:lang w:val="en-US"/>
        </w:rPr>
        <w:t xml:space="preserve">, in </w:t>
      </w:r>
      <w:r w:rsidRPr="00163B9D">
        <w:rPr>
          <w:rFonts w:ascii="Times New Roman" w:hAnsi="Times New Roman" w:cs="Times New Roman"/>
          <w:i/>
          <w:iCs/>
          <w:sz w:val="24"/>
          <w:szCs w:val="24"/>
          <w:lang w:val="en-US"/>
        </w:rPr>
        <w:t>Cardozo Arts Entertainment Law Journal</w:t>
      </w:r>
      <w:r w:rsidR="005625A0">
        <w:rPr>
          <w:rFonts w:ascii="Times New Roman" w:hAnsi="Times New Roman" w:cs="Times New Roman"/>
          <w:i/>
          <w:iCs/>
          <w:sz w:val="24"/>
          <w:szCs w:val="24"/>
          <w:lang w:val="en-US"/>
        </w:rPr>
        <w:t>,</w:t>
      </w:r>
      <w:r w:rsidRPr="00163B9D">
        <w:rPr>
          <w:rFonts w:ascii="Times New Roman" w:hAnsi="Times New Roman" w:cs="Times New Roman"/>
          <w:sz w:val="24"/>
          <w:szCs w:val="24"/>
          <w:lang w:val="en-US"/>
        </w:rPr>
        <w:t xml:space="preserve"> 2000, 469 ss.; </w:t>
      </w:r>
      <w:r w:rsidRPr="00163B9D">
        <w:rPr>
          <w:rFonts w:ascii="Times New Roman" w:hAnsi="Times New Roman" w:cs="Times New Roman"/>
          <w:smallCaps/>
          <w:sz w:val="24"/>
          <w:szCs w:val="24"/>
          <w:lang w:val="en-US"/>
        </w:rPr>
        <w:t>J. Clough</w:t>
      </w:r>
      <w:r w:rsidRPr="00163B9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63B9D">
        <w:rPr>
          <w:rFonts w:ascii="Times New Roman" w:hAnsi="Times New Roman" w:cs="Times New Roman"/>
          <w:i/>
          <w:iCs/>
          <w:sz w:val="24"/>
          <w:szCs w:val="24"/>
          <w:lang w:val="en-US"/>
        </w:rPr>
        <w:t>Principles of Cybercrime</w:t>
      </w:r>
      <w:r>
        <w:rPr>
          <w:rFonts w:ascii="Times New Roman" w:hAnsi="Times New Roman" w:cs="Times New Roman"/>
          <w:sz w:val="24"/>
          <w:szCs w:val="24"/>
          <w:lang w:val="en-US"/>
        </w:rPr>
        <w:t>”</w:t>
      </w:r>
      <w:r w:rsidRPr="00163B9D">
        <w:rPr>
          <w:rFonts w:ascii="Times New Roman" w:hAnsi="Times New Roman" w:cs="Times New Roman"/>
          <w:sz w:val="24"/>
          <w:szCs w:val="24"/>
          <w:lang w:val="en-US"/>
        </w:rPr>
        <w:t>, Cambridge</w:t>
      </w:r>
      <w:r w:rsidR="00A525A7">
        <w:rPr>
          <w:rFonts w:ascii="Times New Roman" w:hAnsi="Times New Roman" w:cs="Times New Roman"/>
          <w:sz w:val="24"/>
          <w:szCs w:val="24"/>
          <w:lang w:val="en-US"/>
        </w:rPr>
        <w:t>,</w:t>
      </w:r>
      <w:r w:rsidRPr="00163B9D">
        <w:rPr>
          <w:rFonts w:ascii="Times New Roman" w:hAnsi="Times New Roman" w:cs="Times New Roman"/>
          <w:sz w:val="24"/>
          <w:szCs w:val="24"/>
          <w:lang w:val="en-US"/>
        </w:rPr>
        <w:t xml:space="preserve"> 2010, 388 ss.; </w:t>
      </w:r>
      <w:r w:rsidRPr="00163B9D">
        <w:rPr>
          <w:rFonts w:ascii="Times New Roman" w:hAnsi="Times New Roman" w:cs="Times New Roman"/>
          <w:smallCaps/>
          <w:sz w:val="24"/>
          <w:szCs w:val="24"/>
          <w:lang w:val="en-US"/>
        </w:rPr>
        <w:t>D. Ormerod</w:t>
      </w:r>
      <w:r w:rsidRPr="00163B9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63B9D">
        <w:rPr>
          <w:rFonts w:ascii="Times New Roman" w:hAnsi="Times New Roman" w:cs="Times New Roman"/>
          <w:i/>
          <w:iCs/>
          <w:sz w:val="24"/>
          <w:szCs w:val="24"/>
          <w:lang w:val="en-US"/>
        </w:rPr>
        <w:t>Voyeurism: Elements of Offence-Privacy-Reasonable Expectation of Privacy</w:t>
      </w:r>
      <w:r>
        <w:rPr>
          <w:rFonts w:ascii="Times New Roman" w:hAnsi="Times New Roman" w:cs="Times New Roman"/>
          <w:sz w:val="24"/>
          <w:szCs w:val="24"/>
          <w:lang w:val="en-US"/>
        </w:rPr>
        <w:t>”</w:t>
      </w:r>
      <w:r w:rsidRPr="00163B9D">
        <w:rPr>
          <w:rFonts w:ascii="Times New Roman" w:hAnsi="Times New Roman" w:cs="Times New Roman"/>
          <w:sz w:val="24"/>
          <w:szCs w:val="24"/>
          <w:lang w:val="en-US"/>
        </w:rPr>
        <w:t xml:space="preserve">, in </w:t>
      </w:r>
      <w:proofErr w:type="spellStart"/>
      <w:r w:rsidRPr="00163B9D">
        <w:rPr>
          <w:rFonts w:ascii="Times New Roman" w:hAnsi="Times New Roman" w:cs="Times New Roman"/>
          <w:i/>
          <w:iCs/>
          <w:sz w:val="24"/>
          <w:szCs w:val="24"/>
          <w:lang w:val="en-US"/>
        </w:rPr>
        <w:t>CrimLawReview</w:t>
      </w:r>
      <w:proofErr w:type="spellEnd"/>
      <w:r w:rsidR="00B2494D">
        <w:rPr>
          <w:rFonts w:ascii="Times New Roman" w:hAnsi="Times New Roman" w:cs="Times New Roman"/>
          <w:sz w:val="24"/>
          <w:szCs w:val="24"/>
          <w:lang w:val="en-US"/>
        </w:rPr>
        <w:t xml:space="preserve">, </w:t>
      </w:r>
      <w:r w:rsidRPr="00163B9D">
        <w:rPr>
          <w:rFonts w:ascii="Times New Roman" w:hAnsi="Times New Roman" w:cs="Times New Roman"/>
          <w:sz w:val="24"/>
          <w:szCs w:val="24"/>
          <w:lang w:val="en-US"/>
        </w:rPr>
        <w:t>2008, 12 ss.</w:t>
      </w:r>
    </w:p>
  </w:footnote>
  <w:footnote w:id="170">
    <w:p w14:paraId="2FF82405" w14:textId="4941B5FD" w:rsidR="000463A6" w:rsidRPr="006671C7" w:rsidRDefault="000463A6" w:rsidP="006D4F00">
      <w:pPr>
        <w:pStyle w:val="Testonotaapidipagina"/>
        <w:jc w:val="both"/>
        <w:rPr>
          <w:rFonts w:ascii="Times New Roman" w:hAnsi="Times New Roman" w:cs="Times New Roman"/>
          <w:sz w:val="24"/>
          <w:szCs w:val="24"/>
          <w:lang w:val="en-US"/>
        </w:rPr>
      </w:pPr>
      <w:r w:rsidRPr="00DC31BE">
        <w:rPr>
          <w:rStyle w:val="Rimandonotaapidipagina"/>
          <w:rFonts w:ascii="Times New Roman" w:hAnsi="Times New Roman" w:cs="Times New Roman"/>
          <w:sz w:val="24"/>
          <w:szCs w:val="24"/>
        </w:rPr>
        <w:footnoteRef/>
      </w:r>
      <w:r w:rsidRPr="00163B9D">
        <w:rPr>
          <w:rFonts w:ascii="Times New Roman" w:hAnsi="Times New Roman" w:cs="Times New Roman"/>
          <w:sz w:val="24"/>
          <w:szCs w:val="24"/>
          <w:lang w:val="en-US"/>
        </w:rPr>
        <w:t xml:space="preserve"> V. </w:t>
      </w:r>
      <w:hyperlink r:id="rId46" w:history="1">
        <w:r w:rsidRPr="006671C7">
          <w:rPr>
            <w:rStyle w:val="Collegamentoipertestuale"/>
            <w:rFonts w:ascii="Times New Roman" w:hAnsi="Times New Roman" w:cs="Times New Roman"/>
            <w:sz w:val="24"/>
            <w:szCs w:val="24"/>
            <w:lang w:val="en-US"/>
          </w:rPr>
          <w:t>https://www.garanteprivacy.it/home/attivita-e-documenti/documenti/audizioni</w:t>
        </w:r>
      </w:hyperlink>
      <w:r w:rsidRPr="006671C7">
        <w:rPr>
          <w:rFonts w:ascii="Times New Roman" w:hAnsi="Times New Roman" w:cs="Times New Roman"/>
          <w:sz w:val="24"/>
          <w:szCs w:val="24"/>
          <w:lang w:val="en-US"/>
        </w:rPr>
        <w:t>.</w:t>
      </w:r>
    </w:p>
  </w:footnote>
  <w:footnote w:id="171">
    <w:p w14:paraId="762C62B4" w14:textId="18516516" w:rsidR="000463A6" w:rsidRPr="00DC31BE" w:rsidRDefault="000463A6" w:rsidP="006D4F00">
      <w:pPr>
        <w:pStyle w:val="Testonotaapidipagina"/>
        <w:jc w:val="both"/>
        <w:rPr>
          <w:rFonts w:ascii="Times New Roman" w:hAnsi="Times New Roman" w:cs="Times New Roman"/>
          <w:sz w:val="24"/>
          <w:szCs w:val="24"/>
        </w:rPr>
      </w:pPr>
      <w:r w:rsidRPr="00DC31BE">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Pr="00DC31BE">
        <w:rPr>
          <w:rFonts w:ascii="Times New Roman" w:hAnsi="Times New Roman" w:cs="Times New Roman"/>
          <w:sz w:val="24"/>
          <w:szCs w:val="24"/>
        </w:rPr>
        <w:t xml:space="preserve">Accessibile da </w:t>
      </w:r>
      <w:hyperlink r:id="rId47" w:history="1">
        <w:r w:rsidRPr="00DC31BE">
          <w:rPr>
            <w:rStyle w:val="Collegamentoipertestuale"/>
            <w:rFonts w:ascii="Times New Roman" w:hAnsi="Times New Roman" w:cs="Times New Roman"/>
            <w:sz w:val="24"/>
            <w:szCs w:val="24"/>
          </w:rPr>
          <w:t>https://eur-lex.europa.eu/legal-content/IT/TXT/PDF/?uri=CELEX:52020PC0825&amp;from=en</w:t>
        </w:r>
      </w:hyperlink>
      <w:r w:rsidRPr="00DC31BE">
        <w:rPr>
          <w:rFonts w:ascii="Times New Roman" w:hAnsi="Times New Roman" w:cs="Times New Roman"/>
          <w:sz w:val="24"/>
          <w:szCs w:val="24"/>
        </w:rPr>
        <w:t>.</w:t>
      </w:r>
    </w:p>
  </w:footnote>
  <w:footnote w:id="172">
    <w:p w14:paraId="14ED9CD0" w14:textId="29AFE8A8" w:rsidR="000463A6" w:rsidRPr="00DD1CED" w:rsidRDefault="000463A6" w:rsidP="00AA154B">
      <w:pPr>
        <w:pStyle w:val="Testonotaapidipagina"/>
        <w:jc w:val="both"/>
        <w:rPr>
          <w:rFonts w:ascii="Times New Roman" w:hAnsi="Times New Roman" w:cs="Times New Roman"/>
          <w:sz w:val="24"/>
          <w:szCs w:val="24"/>
        </w:rPr>
      </w:pPr>
      <w:r w:rsidRPr="00DC31BE">
        <w:rPr>
          <w:rStyle w:val="Rimandonotaapidipagina"/>
          <w:rFonts w:ascii="Times New Roman" w:hAnsi="Times New Roman" w:cs="Times New Roman"/>
          <w:sz w:val="24"/>
          <w:szCs w:val="24"/>
        </w:rPr>
        <w:footnoteRef/>
      </w:r>
      <w:r w:rsidRPr="00DC31BE">
        <w:rPr>
          <w:rFonts w:ascii="Times New Roman" w:hAnsi="Times New Roman" w:cs="Times New Roman"/>
          <w:sz w:val="24"/>
          <w:szCs w:val="24"/>
        </w:rPr>
        <w:t xml:space="preserve"> </w:t>
      </w:r>
      <w:r>
        <w:rPr>
          <w:rFonts w:ascii="Times New Roman" w:hAnsi="Times New Roman" w:cs="Times New Roman"/>
          <w:sz w:val="24"/>
          <w:szCs w:val="24"/>
        </w:rPr>
        <w:t>Disponibile</w:t>
      </w:r>
      <w:r w:rsidRPr="00DC31BE">
        <w:rPr>
          <w:rFonts w:ascii="Times New Roman" w:hAnsi="Times New Roman" w:cs="Times New Roman"/>
          <w:sz w:val="24"/>
          <w:szCs w:val="24"/>
        </w:rPr>
        <w:t xml:space="preserve"> </w:t>
      </w:r>
      <w:r>
        <w:rPr>
          <w:rFonts w:ascii="Times New Roman" w:hAnsi="Times New Roman" w:cs="Times New Roman"/>
          <w:sz w:val="24"/>
          <w:szCs w:val="24"/>
        </w:rPr>
        <w:t>su</w:t>
      </w:r>
      <w:r w:rsidRPr="00DC31BE">
        <w:rPr>
          <w:rFonts w:ascii="Times New Roman" w:hAnsi="Times New Roman" w:cs="Times New Roman"/>
          <w:sz w:val="24"/>
          <w:szCs w:val="24"/>
        </w:rPr>
        <w:t xml:space="preserve"> </w:t>
      </w:r>
      <w:hyperlink r:id="rId48" w:history="1">
        <w:r w:rsidRPr="00DC31BE">
          <w:rPr>
            <w:rStyle w:val="Collegamentoipertestuale"/>
            <w:rFonts w:ascii="Times New Roman" w:hAnsi="Times New Roman" w:cs="Times New Roman"/>
            <w:sz w:val="24"/>
            <w:szCs w:val="24"/>
          </w:rPr>
          <w:t>https://www.agcom.it/956</w:t>
        </w:r>
      </w:hyperlink>
      <w:r w:rsidRPr="00DC31BE">
        <w:rPr>
          <w:rFonts w:ascii="Times New Roman" w:hAnsi="Times New Roman" w:cs="Times New Roman"/>
          <w:sz w:val="24"/>
          <w:szCs w:val="24"/>
        </w:rPr>
        <w:t>.</w:t>
      </w:r>
    </w:p>
  </w:footnote>
  <w:footnote w:id="173">
    <w:p w14:paraId="79F194C7" w14:textId="0052F708" w:rsidR="000463A6" w:rsidRPr="00156EB1" w:rsidRDefault="000463A6" w:rsidP="00156EB1">
      <w:pPr>
        <w:pStyle w:val="Testonotaapidipagina"/>
        <w:jc w:val="both"/>
        <w:rPr>
          <w:rFonts w:ascii="Times New Roman" w:hAnsi="Times New Roman" w:cs="Times New Roman"/>
          <w:sz w:val="24"/>
          <w:szCs w:val="24"/>
        </w:rPr>
      </w:pPr>
      <w:r w:rsidRPr="00156EB1">
        <w:rPr>
          <w:rStyle w:val="Rimandonotaapidipagina"/>
          <w:rFonts w:ascii="Times New Roman" w:hAnsi="Times New Roman" w:cs="Times New Roman"/>
          <w:sz w:val="24"/>
          <w:szCs w:val="24"/>
        </w:rPr>
        <w:footnoteRef/>
      </w:r>
      <w:r w:rsidRPr="00156EB1">
        <w:rPr>
          <w:rFonts w:ascii="Times New Roman" w:hAnsi="Times New Roman" w:cs="Times New Roman"/>
          <w:sz w:val="24"/>
          <w:szCs w:val="24"/>
        </w:rPr>
        <w:t xml:space="preserve"> </w:t>
      </w:r>
      <w:r>
        <w:rPr>
          <w:rFonts w:ascii="Times New Roman" w:hAnsi="Times New Roman" w:cs="Times New Roman"/>
          <w:sz w:val="24"/>
          <w:szCs w:val="24"/>
        </w:rPr>
        <w:t>V.</w:t>
      </w:r>
      <w:r w:rsidRPr="00156EB1">
        <w:rPr>
          <w:rFonts w:ascii="Times New Roman" w:hAnsi="Times New Roman" w:cs="Times New Roman"/>
          <w:sz w:val="24"/>
          <w:szCs w:val="24"/>
        </w:rPr>
        <w:t xml:space="preserve"> </w:t>
      </w:r>
      <w:hyperlink r:id="rId49" w:history="1">
        <w:r w:rsidRPr="00156EB1">
          <w:rPr>
            <w:rStyle w:val="Collegamentoipertestuale"/>
            <w:rFonts w:ascii="Times New Roman" w:hAnsi="Times New Roman" w:cs="Times New Roman"/>
            <w:sz w:val="24"/>
            <w:szCs w:val="24"/>
          </w:rPr>
          <w:t>https://eur-lex.europa.eu/legal-content/IT/TXT/PDF/?uri=CELEX:32018L1808&amp;from=pl</w:t>
        </w:r>
      </w:hyperlink>
      <w:r w:rsidRPr="00156EB1">
        <w:rPr>
          <w:rFonts w:ascii="Times New Roman" w:hAnsi="Times New Roman" w:cs="Times New Roman"/>
          <w:sz w:val="24"/>
          <w:szCs w:val="24"/>
        </w:rPr>
        <w:t>.</w:t>
      </w:r>
    </w:p>
  </w:footnote>
  <w:footnote w:id="174">
    <w:p w14:paraId="730EA3C0" w14:textId="67A9E286" w:rsidR="000463A6" w:rsidRPr="00156EB1" w:rsidRDefault="000463A6" w:rsidP="00156EB1">
      <w:pPr>
        <w:pStyle w:val="Testonotaapidipagina"/>
        <w:jc w:val="both"/>
        <w:rPr>
          <w:rFonts w:ascii="Times New Roman" w:hAnsi="Times New Roman" w:cs="Times New Roman"/>
          <w:sz w:val="24"/>
          <w:szCs w:val="24"/>
        </w:rPr>
      </w:pPr>
      <w:r w:rsidRPr="00156EB1">
        <w:rPr>
          <w:rStyle w:val="Rimandonotaapidipagina"/>
          <w:rFonts w:ascii="Times New Roman" w:hAnsi="Times New Roman" w:cs="Times New Roman"/>
          <w:sz w:val="24"/>
          <w:szCs w:val="24"/>
        </w:rPr>
        <w:footnoteRef/>
      </w:r>
      <w:r w:rsidRPr="00156EB1">
        <w:rPr>
          <w:rFonts w:ascii="Times New Roman" w:hAnsi="Times New Roman" w:cs="Times New Roman"/>
          <w:sz w:val="24"/>
          <w:szCs w:val="24"/>
        </w:rPr>
        <w:t xml:space="preserve"> Accessibile da </w:t>
      </w:r>
      <w:hyperlink r:id="rId50" w:history="1">
        <w:r w:rsidRPr="00156EB1">
          <w:rPr>
            <w:rStyle w:val="Collegamentoipertestuale"/>
            <w:rFonts w:ascii="Times New Roman" w:hAnsi="Times New Roman" w:cs="Times New Roman"/>
            <w:sz w:val="24"/>
            <w:szCs w:val="24"/>
          </w:rPr>
          <w:t>https://www.agcom.it/documents/10179/539471/Delibera+607-10-CONS/13bf547f-48e6-4f22-94f4-b82a46bb41e3?version=1.0&amp;targetExtension=pdf</w:t>
        </w:r>
      </w:hyperlink>
      <w:r w:rsidRPr="00156EB1">
        <w:rPr>
          <w:rFonts w:ascii="Times New Roman" w:hAnsi="Times New Roman" w:cs="Times New Roman"/>
          <w:sz w:val="24"/>
          <w:szCs w:val="24"/>
        </w:rPr>
        <w:t>.</w:t>
      </w:r>
    </w:p>
  </w:footnote>
  <w:footnote w:id="175">
    <w:p w14:paraId="3AA856BD" w14:textId="036E3B9C" w:rsidR="000463A6" w:rsidRPr="00156EB1" w:rsidRDefault="000463A6" w:rsidP="00156EB1">
      <w:pPr>
        <w:pStyle w:val="Testonotaapidipagina"/>
        <w:jc w:val="both"/>
        <w:rPr>
          <w:rFonts w:ascii="Times New Roman" w:hAnsi="Times New Roman" w:cs="Times New Roman"/>
          <w:sz w:val="24"/>
          <w:szCs w:val="24"/>
        </w:rPr>
      </w:pPr>
      <w:r w:rsidRPr="00156EB1">
        <w:rPr>
          <w:rStyle w:val="Rimandonotaapidipagina"/>
          <w:rFonts w:ascii="Times New Roman" w:hAnsi="Times New Roman" w:cs="Times New Roman"/>
          <w:sz w:val="24"/>
          <w:szCs w:val="24"/>
        </w:rPr>
        <w:footnoteRef/>
      </w:r>
      <w:r w:rsidRPr="00156EB1">
        <w:rPr>
          <w:rFonts w:ascii="Times New Roman" w:hAnsi="Times New Roman" w:cs="Times New Roman"/>
          <w:sz w:val="24"/>
          <w:szCs w:val="24"/>
        </w:rPr>
        <w:t xml:space="preserve"> Si segnala che lo stesso impegno era già stato richiesto anche ai </w:t>
      </w:r>
      <w:r w:rsidRPr="00156EB1">
        <w:rPr>
          <w:rFonts w:ascii="Times New Roman" w:hAnsi="Times New Roman" w:cs="Times New Roman"/>
          <w:i/>
          <w:iCs/>
          <w:sz w:val="24"/>
          <w:szCs w:val="24"/>
        </w:rPr>
        <w:t>social media</w:t>
      </w:r>
      <w:r w:rsidRPr="00156EB1">
        <w:rPr>
          <w:rFonts w:ascii="Times New Roman" w:hAnsi="Times New Roman" w:cs="Times New Roman"/>
          <w:sz w:val="24"/>
          <w:szCs w:val="24"/>
        </w:rPr>
        <w:t xml:space="preserve"> e ai </w:t>
      </w:r>
      <w:r w:rsidRPr="00156EB1">
        <w:rPr>
          <w:rFonts w:ascii="Times New Roman" w:hAnsi="Times New Roman" w:cs="Times New Roman"/>
          <w:i/>
          <w:iCs/>
          <w:sz w:val="24"/>
          <w:szCs w:val="24"/>
        </w:rPr>
        <w:t>servizi online,</w:t>
      </w:r>
      <w:r w:rsidRPr="00156EB1">
        <w:rPr>
          <w:rFonts w:ascii="Times New Roman" w:hAnsi="Times New Roman" w:cs="Times New Roman"/>
          <w:sz w:val="24"/>
          <w:szCs w:val="24"/>
        </w:rPr>
        <w:t xml:space="preserve"> proprio in ragione dell’interazione fra i diversi mezzi di comunicazione; tuttavia, a differenza di quanto previsto per i </w:t>
      </w:r>
      <w:r w:rsidRPr="00156EB1">
        <w:rPr>
          <w:rFonts w:ascii="Times New Roman" w:hAnsi="Times New Roman" w:cs="Times New Roman"/>
          <w:i/>
          <w:iCs/>
          <w:sz w:val="24"/>
          <w:szCs w:val="24"/>
        </w:rPr>
        <w:t>media</w:t>
      </w:r>
      <w:r w:rsidRPr="00156EB1">
        <w:rPr>
          <w:rFonts w:ascii="Times New Roman" w:hAnsi="Times New Roman" w:cs="Times New Roman"/>
          <w:sz w:val="24"/>
          <w:szCs w:val="24"/>
        </w:rPr>
        <w:t xml:space="preserve"> tradizionali, si trattava esclusivamente di un invito all’autodisciplina.</w:t>
      </w:r>
    </w:p>
  </w:footnote>
  <w:footnote w:id="176">
    <w:p w14:paraId="5B297485" w14:textId="3F2BA5DB" w:rsidR="000463A6" w:rsidRDefault="000463A6" w:rsidP="00156EB1">
      <w:pPr>
        <w:pStyle w:val="Testonotaapidipagina"/>
        <w:jc w:val="both"/>
      </w:pPr>
      <w:r w:rsidRPr="00156EB1">
        <w:rPr>
          <w:rStyle w:val="Rimandonotaapidipagina"/>
          <w:rFonts w:ascii="Times New Roman" w:hAnsi="Times New Roman" w:cs="Times New Roman"/>
          <w:sz w:val="24"/>
          <w:szCs w:val="24"/>
        </w:rPr>
        <w:footnoteRef/>
      </w:r>
      <w:r w:rsidRPr="00156EB1">
        <w:rPr>
          <w:rFonts w:ascii="Times New Roman" w:hAnsi="Times New Roman" w:cs="Times New Roman"/>
          <w:sz w:val="24"/>
          <w:szCs w:val="24"/>
        </w:rPr>
        <w:t xml:space="preserve"> </w:t>
      </w:r>
      <w:r>
        <w:rPr>
          <w:rFonts w:ascii="Times New Roman" w:hAnsi="Times New Roman" w:cs="Times New Roman"/>
          <w:sz w:val="24"/>
          <w:szCs w:val="24"/>
        </w:rPr>
        <w:t>Disponibile</w:t>
      </w:r>
      <w:r w:rsidRPr="00156EB1">
        <w:rPr>
          <w:rFonts w:ascii="Times New Roman" w:hAnsi="Times New Roman" w:cs="Times New Roman"/>
          <w:sz w:val="24"/>
          <w:szCs w:val="24"/>
        </w:rPr>
        <w:t xml:space="preserve"> </w:t>
      </w:r>
      <w:r>
        <w:rPr>
          <w:rFonts w:ascii="Times New Roman" w:hAnsi="Times New Roman" w:cs="Times New Roman"/>
          <w:sz w:val="24"/>
          <w:szCs w:val="24"/>
        </w:rPr>
        <w:t>su</w:t>
      </w:r>
      <w:r w:rsidRPr="00156EB1">
        <w:rPr>
          <w:rFonts w:ascii="Times New Roman" w:hAnsi="Times New Roman" w:cs="Times New Roman"/>
          <w:sz w:val="24"/>
          <w:szCs w:val="24"/>
        </w:rPr>
        <w:t xml:space="preserve"> </w:t>
      </w:r>
      <w:hyperlink r:id="rId51" w:history="1">
        <w:r w:rsidRPr="00156EB1">
          <w:rPr>
            <w:rStyle w:val="Collegamentoipertestuale"/>
            <w:rFonts w:ascii="Times New Roman" w:hAnsi="Times New Roman" w:cs="Times New Roman"/>
            <w:sz w:val="24"/>
            <w:szCs w:val="24"/>
          </w:rPr>
          <w:t>https://www.agcom.it/documents/10179/5041493/Delibera+309-16-CONS/7f6d711a-ac5d-48b1-9b30-faa27d6a1ecb?version=1.0</w:t>
        </w:r>
      </w:hyperlink>
      <w:r w:rsidRPr="00156EB1">
        <w:rPr>
          <w:rFonts w:ascii="Times New Roman" w:hAnsi="Times New Roman" w:cs="Times New Roman"/>
          <w:sz w:val="24"/>
          <w:szCs w:val="24"/>
        </w:rPr>
        <w:t>.</w:t>
      </w:r>
    </w:p>
  </w:footnote>
  <w:footnote w:id="177">
    <w:p w14:paraId="2EA9080D" w14:textId="0CA91C83" w:rsidR="000463A6" w:rsidRPr="00947478" w:rsidRDefault="000463A6" w:rsidP="00947478">
      <w:pPr>
        <w:pStyle w:val="Testonotaapidipagina"/>
        <w:jc w:val="both"/>
        <w:rPr>
          <w:rFonts w:ascii="Times New Roman" w:hAnsi="Times New Roman" w:cs="Times New Roman"/>
          <w:sz w:val="24"/>
          <w:szCs w:val="24"/>
        </w:rPr>
      </w:pPr>
      <w:r w:rsidRPr="00947478">
        <w:rPr>
          <w:rStyle w:val="Rimandonotaapidipagina"/>
          <w:rFonts w:ascii="Times New Roman" w:hAnsi="Times New Roman" w:cs="Times New Roman"/>
          <w:sz w:val="24"/>
          <w:szCs w:val="24"/>
        </w:rPr>
        <w:footnoteRef/>
      </w:r>
      <w:r w:rsidRPr="00947478">
        <w:rPr>
          <w:rFonts w:ascii="Times New Roman" w:hAnsi="Times New Roman" w:cs="Times New Roman"/>
          <w:sz w:val="24"/>
          <w:szCs w:val="24"/>
        </w:rPr>
        <w:t xml:space="preserve"> Le prime </w:t>
      </w:r>
      <w:r>
        <w:rPr>
          <w:rFonts w:ascii="Times New Roman" w:hAnsi="Times New Roman" w:cs="Times New Roman"/>
          <w:sz w:val="24"/>
          <w:szCs w:val="24"/>
        </w:rPr>
        <w:t xml:space="preserve">pronunce di </w:t>
      </w:r>
      <w:r w:rsidRPr="00947478">
        <w:rPr>
          <w:rFonts w:ascii="Times New Roman" w:hAnsi="Times New Roman" w:cs="Times New Roman"/>
          <w:sz w:val="24"/>
          <w:szCs w:val="24"/>
        </w:rPr>
        <w:t>“</w:t>
      </w:r>
      <w:r w:rsidRPr="00947478">
        <w:rPr>
          <w:rFonts w:ascii="Times New Roman" w:hAnsi="Times New Roman" w:cs="Times New Roman"/>
          <w:i/>
          <w:iCs/>
          <w:sz w:val="24"/>
          <w:szCs w:val="24"/>
        </w:rPr>
        <w:t>moral suasion</w:t>
      </w:r>
      <w:r w:rsidRPr="00947478">
        <w:rPr>
          <w:rFonts w:ascii="Times New Roman" w:hAnsi="Times New Roman" w:cs="Times New Roman"/>
          <w:sz w:val="24"/>
          <w:szCs w:val="24"/>
        </w:rPr>
        <w:t>” dell’AGCM</w:t>
      </w:r>
      <w:r>
        <w:rPr>
          <w:rFonts w:ascii="Times New Roman" w:hAnsi="Times New Roman" w:cs="Times New Roman"/>
          <w:sz w:val="24"/>
          <w:szCs w:val="24"/>
        </w:rPr>
        <w:t xml:space="preserve"> </w:t>
      </w:r>
      <w:r w:rsidRPr="00947478">
        <w:rPr>
          <w:rFonts w:ascii="Times New Roman" w:hAnsi="Times New Roman" w:cs="Times New Roman"/>
          <w:sz w:val="24"/>
          <w:szCs w:val="24"/>
        </w:rPr>
        <w:t xml:space="preserve">risalgono alle estati del 2017 e del 2018, con riferimento </w:t>
      </w:r>
      <w:r>
        <w:rPr>
          <w:rFonts w:ascii="Times New Roman" w:hAnsi="Times New Roman" w:cs="Times New Roman"/>
          <w:sz w:val="24"/>
          <w:szCs w:val="24"/>
        </w:rPr>
        <w:t xml:space="preserve">rispettivamente </w:t>
      </w:r>
      <w:r w:rsidRPr="00947478">
        <w:rPr>
          <w:rFonts w:ascii="Times New Roman" w:hAnsi="Times New Roman" w:cs="Times New Roman"/>
          <w:sz w:val="24"/>
          <w:szCs w:val="24"/>
        </w:rPr>
        <w:t xml:space="preserve">agli </w:t>
      </w:r>
      <w:proofErr w:type="spellStart"/>
      <w:r w:rsidRPr="00947478">
        <w:rPr>
          <w:rFonts w:ascii="Times New Roman" w:hAnsi="Times New Roman" w:cs="Times New Roman"/>
          <w:i/>
          <w:iCs/>
          <w:sz w:val="24"/>
          <w:szCs w:val="24"/>
        </w:rPr>
        <w:t>influencer</w:t>
      </w:r>
      <w:proofErr w:type="spellEnd"/>
      <w:r w:rsidRPr="00947478">
        <w:rPr>
          <w:rFonts w:ascii="Times New Roman" w:hAnsi="Times New Roman" w:cs="Times New Roman"/>
          <w:sz w:val="24"/>
          <w:szCs w:val="24"/>
        </w:rPr>
        <w:t xml:space="preserve"> più noti e</w:t>
      </w:r>
      <w:r>
        <w:rPr>
          <w:rFonts w:ascii="Times New Roman" w:hAnsi="Times New Roman" w:cs="Times New Roman"/>
          <w:sz w:val="24"/>
          <w:szCs w:val="24"/>
        </w:rPr>
        <w:t xml:space="preserve"> </w:t>
      </w:r>
      <w:r w:rsidRPr="00947478">
        <w:rPr>
          <w:rFonts w:ascii="Times New Roman" w:hAnsi="Times New Roman" w:cs="Times New Roman"/>
          <w:sz w:val="24"/>
          <w:szCs w:val="24"/>
        </w:rPr>
        <w:t xml:space="preserve">ai </w:t>
      </w:r>
      <w:r>
        <w:rPr>
          <w:rFonts w:ascii="Times New Roman" w:hAnsi="Times New Roman" w:cs="Times New Roman"/>
          <w:sz w:val="24"/>
          <w:szCs w:val="24"/>
        </w:rPr>
        <w:t xml:space="preserve">c.d. </w:t>
      </w:r>
      <w:r w:rsidRPr="00947478">
        <w:rPr>
          <w:rFonts w:ascii="Times New Roman" w:hAnsi="Times New Roman" w:cs="Times New Roman"/>
          <w:i/>
          <w:iCs/>
          <w:sz w:val="24"/>
          <w:szCs w:val="24"/>
        </w:rPr>
        <w:t>micro-</w:t>
      </w:r>
      <w:proofErr w:type="spellStart"/>
      <w:r w:rsidRPr="00947478">
        <w:rPr>
          <w:rFonts w:ascii="Times New Roman" w:hAnsi="Times New Roman" w:cs="Times New Roman"/>
          <w:i/>
          <w:iCs/>
          <w:sz w:val="24"/>
          <w:szCs w:val="24"/>
        </w:rPr>
        <w:t>influencer</w:t>
      </w:r>
      <w:proofErr w:type="spellEnd"/>
      <w:r>
        <w:rPr>
          <w:rFonts w:ascii="Times New Roman" w:hAnsi="Times New Roman" w:cs="Times New Roman"/>
          <w:sz w:val="24"/>
          <w:szCs w:val="24"/>
        </w:rPr>
        <w:t>.</w:t>
      </w:r>
    </w:p>
  </w:footnote>
  <w:footnote w:id="178">
    <w:p w14:paraId="21D958BB" w14:textId="70572B59" w:rsidR="000463A6" w:rsidRPr="00800FF0" w:rsidRDefault="000463A6" w:rsidP="00947478">
      <w:pPr>
        <w:pStyle w:val="Testonotaapidipagina"/>
        <w:jc w:val="both"/>
        <w:rPr>
          <w:rFonts w:ascii="Times New Roman" w:hAnsi="Times New Roman" w:cs="Times New Roman"/>
          <w:sz w:val="24"/>
          <w:szCs w:val="24"/>
          <w:lang w:val="en-US"/>
        </w:rPr>
      </w:pPr>
      <w:r w:rsidRPr="00947478">
        <w:rPr>
          <w:rStyle w:val="Rimandonotaapidipagina"/>
          <w:rFonts w:ascii="Times New Roman" w:hAnsi="Times New Roman" w:cs="Times New Roman"/>
          <w:sz w:val="24"/>
          <w:szCs w:val="24"/>
        </w:rPr>
        <w:footnoteRef/>
      </w:r>
      <w:r w:rsidRPr="00800FF0">
        <w:rPr>
          <w:rFonts w:ascii="Times New Roman" w:hAnsi="Times New Roman" w:cs="Times New Roman"/>
          <w:sz w:val="24"/>
          <w:szCs w:val="24"/>
          <w:lang w:val="en-US"/>
        </w:rPr>
        <w:t xml:space="preserve"> Di </w:t>
      </w:r>
      <w:r w:rsidRPr="00800FF0">
        <w:rPr>
          <w:rFonts w:ascii="Times New Roman" w:hAnsi="Times New Roman" w:cs="Times New Roman"/>
          <w:i/>
          <w:iCs/>
          <w:sz w:val="24"/>
          <w:szCs w:val="24"/>
          <w:lang w:val="en-US"/>
        </w:rPr>
        <w:t>influencer marketing</w:t>
      </w:r>
      <w:r w:rsidRPr="00800FF0">
        <w:rPr>
          <w:rFonts w:ascii="Times New Roman" w:hAnsi="Times New Roman" w:cs="Times New Roman"/>
          <w:sz w:val="24"/>
          <w:szCs w:val="24"/>
          <w:lang w:val="en-US"/>
        </w:rPr>
        <w:t xml:space="preserve"> </w:t>
      </w:r>
      <w:proofErr w:type="spellStart"/>
      <w:r w:rsidRPr="00800FF0">
        <w:rPr>
          <w:rFonts w:ascii="Times New Roman" w:hAnsi="Times New Roman" w:cs="Times New Roman"/>
          <w:sz w:val="24"/>
          <w:szCs w:val="24"/>
          <w:lang w:val="en-US"/>
        </w:rPr>
        <w:t>si</w:t>
      </w:r>
      <w:proofErr w:type="spellEnd"/>
      <w:r w:rsidRPr="00800FF0">
        <w:rPr>
          <w:rFonts w:ascii="Times New Roman" w:hAnsi="Times New Roman" w:cs="Times New Roman"/>
          <w:sz w:val="24"/>
          <w:szCs w:val="24"/>
          <w:lang w:val="en-US"/>
        </w:rPr>
        <w:t xml:space="preserve"> </w:t>
      </w:r>
      <w:proofErr w:type="spellStart"/>
      <w:r w:rsidRPr="00800FF0">
        <w:rPr>
          <w:rFonts w:ascii="Times New Roman" w:hAnsi="Times New Roman" w:cs="Times New Roman"/>
          <w:sz w:val="24"/>
          <w:szCs w:val="24"/>
          <w:lang w:val="en-US"/>
        </w:rPr>
        <w:t>parla</w:t>
      </w:r>
      <w:proofErr w:type="spellEnd"/>
      <w:r w:rsidRPr="00800FF0">
        <w:rPr>
          <w:rFonts w:ascii="Times New Roman" w:hAnsi="Times New Roman" w:cs="Times New Roman"/>
          <w:sz w:val="24"/>
          <w:szCs w:val="24"/>
          <w:lang w:val="en-US"/>
        </w:rPr>
        <w:t xml:space="preserve"> </w:t>
      </w:r>
      <w:proofErr w:type="spellStart"/>
      <w:r w:rsidRPr="00800FF0">
        <w:rPr>
          <w:rFonts w:ascii="Times New Roman" w:hAnsi="Times New Roman" w:cs="Times New Roman"/>
          <w:sz w:val="24"/>
          <w:szCs w:val="24"/>
          <w:lang w:val="en-US"/>
        </w:rPr>
        <w:t>già</w:t>
      </w:r>
      <w:proofErr w:type="spellEnd"/>
      <w:r w:rsidRPr="00800FF0">
        <w:rPr>
          <w:rFonts w:ascii="Times New Roman" w:hAnsi="Times New Roman" w:cs="Times New Roman"/>
          <w:sz w:val="24"/>
          <w:szCs w:val="24"/>
          <w:lang w:val="en-US"/>
        </w:rPr>
        <w:t xml:space="preserve"> in un </w:t>
      </w:r>
      <w:proofErr w:type="spellStart"/>
      <w:r w:rsidRPr="00800FF0">
        <w:rPr>
          <w:rFonts w:ascii="Times New Roman" w:hAnsi="Times New Roman" w:cs="Times New Roman"/>
          <w:sz w:val="24"/>
          <w:szCs w:val="24"/>
          <w:lang w:val="en-US"/>
        </w:rPr>
        <w:t>articolo</w:t>
      </w:r>
      <w:proofErr w:type="spellEnd"/>
      <w:r w:rsidRPr="00800FF0">
        <w:rPr>
          <w:rFonts w:ascii="Times New Roman" w:hAnsi="Times New Roman" w:cs="Times New Roman"/>
          <w:sz w:val="24"/>
          <w:szCs w:val="24"/>
          <w:lang w:val="en-US"/>
        </w:rPr>
        <w:t xml:space="preserve"> di </w:t>
      </w:r>
      <w:r w:rsidRPr="00800FF0">
        <w:rPr>
          <w:rFonts w:ascii="Times New Roman" w:hAnsi="Times New Roman" w:cs="Times New Roman"/>
          <w:smallCaps/>
          <w:sz w:val="24"/>
          <w:szCs w:val="24"/>
          <w:lang w:val="en-US"/>
        </w:rPr>
        <w:t xml:space="preserve">G. </w:t>
      </w:r>
      <w:proofErr w:type="spellStart"/>
      <w:r w:rsidRPr="00800FF0">
        <w:rPr>
          <w:rFonts w:ascii="Times New Roman" w:hAnsi="Times New Roman" w:cs="Times New Roman"/>
          <w:smallCaps/>
          <w:sz w:val="24"/>
          <w:szCs w:val="24"/>
          <w:lang w:val="en-US"/>
        </w:rPr>
        <w:t>Satell</w:t>
      </w:r>
      <w:proofErr w:type="spellEnd"/>
      <w:r w:rsidRPr="00800FF0">
        <w:rPr>
          <w:rFonts w:ascii="Times New Roman" w:hAnsi="Times New Roman" w:cs="Times New Roman"/>
          <w:sz w:val="24"/>
          <w:szCs w:val="24"/>
          <w:lang w:val="en-US"/>
        </w:rPr>
        <w:t>, “</w:t>
      </w:r>
      <w:r w:rsidRPr="00800FF0">
        <w:rPr>
          <w:rFonts w:ascii="Times New Roman" w:hAnsi="Times New Roman" w:cs="Times New Roman"/>
          <w:i/>
          <w:iCs/>
          <w:sz w:val="24"/>
          <w:szCs w:val="24"/>
          <w:lang w:val="en-US"/>
        </w:rPr>
        <w:t>3 Reasons to Kill Influencer Marketing</w:t>
      </w:r>
      <w:r w:rsidRPr="00800FF0">
        <w:rPr>
          <w:rFonts w:ascii="Times New Roman" w:hAnsi="Times New Roman" w:cs="Times New Roman"/>
          <w:sz w:val="24"/>
          <w:szCs w:val="24"/>
          <w:lang w:val="en-US"/>
        </w:rPr>
        <w:t xml:space="preserve">”, </w:t>
      </w:r>
      <w:proofErr w:type="spellStart"/>
      <w:r w:rsidR="005403FB" w:rsidRPr="00800FF0">
        <w:rPr>
          <w:rFonts w:ascii="Times New Roman" w:hAnsi="Times New Roman" w:cs="Times New Roman"/>
          <w:sz w:val="24"/>
          <w:szCs w:val="24"/>
          <w:lang w:val="en-US"/>
        </w:rPr>
        <w:t>su</w:t>
      </w:r>
      <w:proofErr w:type="spellEnd"/>
      <w:r w:rsidR="005403FB" w:rsidRPr="00800FF0">
        <w:rPr>
          <w:rFonts w:ascii="Times New Roman" w:hAnsi="Times New Roman" w:cs="Times New Roman"/>
          <w:sz w:val="24"/>
          <w:szCs w:val="24"/>
          <w:lang w:val="en-US"/>
        </w:rPr>
        <w:t xml:space="preserve"> </w:t>
      </w:r>
      <w:r w:rsidR="005403FB" w:rsidRPr="00800FF0">
        <w:rPr>
          <w:rFonts w:ascii="Times New Roman" w:hAnsi="Times New Roman" w:cs="Times New Roman"/>
          <w:i/>
          <w:iCs/>
          <w:sz w:val="24"/>
          <w:szCs w:val="24"/>
          <w:lang w:val="en-US"/>
        </w:rPr>
        <w:t>Harvard Business Review</w:t>
      </w:r>
      <w:r w:rsidR="005403FB">
        <w:rPr>
          <w:rFonts w:ascii="Times New Roman" w:hAnsi="Times New Roman" w:cs="Times New Roman"/>
          <w:i/>
          <w:iCs/>
          <w:sz w:val="24"/>
          <w:szCs w:val="24"/>
          <w:lang w:val="en-US"/>
        </w:rPr>
        <w:t>,</w:t>
      </w:r>
      <w:r w:rsidR="005403FB" w:rsidRPr="00800FF0">
        <w:rPr>
          <w:rFonts w:ascii="Times New Roman" w:hAnsi="Times New Roman" w:cs="Times New Roman"/>
          <w:sz w:val="24"/>
          <w:szCs w:val="24"/>
          <w:lang w:val="en-US"/>
        </w:rPr>
        <w:t xml:space="preserve"> </w:t>
      </w:r>
      <w:r w:rsidRPr="00800FF0">
        <w:rPr>
          <w:rFonts w:ascii="Times New Roman" w:hAnsi="Times New Roman" w:cs="Times New Roman"/>
          <w:sz w:val="24"/>
          <w:szCs w:val="24"/>
          <w:lang w:val="en-US"/>
        </w:rPr>
        <w:t>2014</w:t>
      </w:r>
      <w:r>
        <w:rPr>
          <w:rFonts w:ascii="Times New Roman" w:hAnsi="Times New Roman" w:cs="Times New Roman"/>
          <w:sz w:val="24"/>
          <w:szCs w:val="24"/>
          <w:lang w:val="en-US"/>
        </w:rPr>
        <w:t xml:space="preserve">; </w:t>
      </w:r>
      <w:r w:rsidRPr="00800FF0">
        <w:rPr>
          <w:rFonts w:ascii="Times New Roman" w:hAnsi="Times New Roman" w:cs="Times New Roman"/>
          <w:sz w:val="24"/>
          <w:szCs w:val="24"/>
          <w:lang w:val="en-US"/>
        </w:rPr>
        <w:t xml:space="preserve">v. </w:t>
      </w:r>
      <w:proofErr w:type="spellStart"/>
      <w:r w:rsidRPr="00800FF0">
        <w:rPr>
          <w:rFonts w:ascii="Times New Roman" w:hAnsi="Times New Roman" w:cs="Times New Roman"/>
          <w:sz w:val="24"/>
          <w:szCs w:val="24"/>
          <w:lang w:val="en-US"/>
        </w:rPr>
        <w:t>anche</w:t>
      </w:r>
      <w:proofErr w:type="spellEnd"/>
      <w:r w:rsidRPr="00800FF0">
        <w:rPr>
          <w:rFonts w:ascii="Times New Roman" w:hAnsi="Times New Roman" w:cs="Times New Roman"/>
          <w:sz w:val="24"/>
          <w:szCs w:val="24"/>
          <w:lang w:val="en-US"/>
        </w:rPr>
        <w:t xml:space="preserve"> S</w:t>
      </w:r>
      <w:r w:rsidRPr="00800FF0">
        <w:rPr>
          <w:rFonts w:ascii="Times New Roman" w:hAnsi="Times New Roman" w:cs="Times New Roman"/>
          <w:smallCaps/>
          <w:sz w:val="24"/>
          <w:szCs w:val="24"/>
          <w:lang w:val="en-US"/>
        </w:rPr>
        <w:t xml:space="preserve">. </w:t>
      </w:r>
      <w:proofErr w:type="spellStart"/>
      <w:r w:rsidRPr="00800FF0">
        <w:rPr>
          <w:rFonts w:ascii="Times New Roman" w:hAnsi="Times New Roman" w:cs="Times New Roman"/>
          <w:smallCaps/>
          <w:sz w:val="24"/>
          <w:szCs w:val="24"/>
          <w:lang w:val="en-US"/>
        </w:rPr>
        <w:t>Sardella</w:t>
      </w:r>
      <w:proofErr w:type="spellEnd"/>
      <w:r w:rsidRPr="00800FF0">
        <w:rPr>
          <w:rFonts w:ascii="Times New Roman" w:hAnsi="Times New Roman" w:cs="Times New Roman"/>
          <w:sz w:val="24"/>
          <w:szCs w:val="24"/>
          <w:lang w:val="en-US"/>
        </w:rPr>
        <w:t>, “</w:t>
      </w:r>
      <w:r w:rsidRPr="00800FF0">
        <w:rPr>
          <w:rFonts w:ascii="Times New Roman" w:hAnsi="Times New Roman" w:cs="Times New Roman"/>
          <w:i/>
          <w:iCs/>
          <w:sz w:val="24"/>
          <w:szCs w:val="24"/>
          <w:lang w:val="en-US"/>
        </w:rPr>
        <w:t>Influencer marketing e Fashion Law</w:t>
      </w:r>
      <w:r w:rsidRPr="00800FF0">
        <w:rPr>
          <w:rFonts w:ascii="Times New Roman" w:hAnsi="Times New Roman" w:cs="Times New Roman"/>
          <w:sz w:val="24"/>
          <w:szCs w:val="24"/>
          <w:lang w:val="en-US"/>
        </w:rPr>
        <w:t xml:space="preserve">”, </w:t>
      </w:r>
      <w:proofErr w:type="spellStart"/>
      <w:r w:rsidRPr="00800FF0">
        <w:rPr>
          <w:rFonts w:ascii="Times New Roman" w:hAnsi="Times New Roman" w:cs="Times New Roman"/>
          <w:sz w:val="24"/>
          <w:szCs w:val="24"/>
          <w:lang w:val="en-US"/>
        </w:rPr>
        <w:t>su</w:t>
      </w:r>
      <w:proofErr w:type="spellEnd"/>
      <w:r w:rsidRPr="00800FF0">
        <w:rPr>
          <w:rFonts w:ascii="Times New Roman" w:hAnsi="Times New Roman" w:cs="Times New Roman"/>
          <w:sz w:val="24"/>
          <w:szCs w:val="24"/>
          <w:lang w:val="en-US"/>
        </w:rPr>
        <w:t xml:space="preserve"> </w:t>
      </w:r>
      <w:r w:rsidRPr="00800FF0">
        <w:rPr>
          <w:rFonts w:ascii="Times New Roman" w:hAnsi="Times New Roman" w:cs="Times New Roman"/>
          <w:i/>
          <w:iCs/>
          <w:sz w:val="24"/>
          <w:szCs w:val="24"/>
          <w:lang w:val="en-US"/>
        </w:rPr>
        <w:t>iusinitinere.it</w:t>
      </w:r>
      <w:r>
        <w:rPr>
          <w:rFonts w:ascii="Times New Roman" w:hAnsi="Times New Roman" w:cs="Times New Roman"/>
          <w:sz w:val="24"/>
          <w:szCs w:val="24"/>
          <w:lang w:val="en-US"/>
        </w:rPr>
        <w:t xml:space="preserve">, 19 </w:t>
      </w:r>
      <w:proofErr w:type="spellStart"/>
      <w:r>
        <w:rPr>
          <w:rFonts w:ascii="Times New Roman" w:hAnsi="Times New Roman" w:cs="Times New Roman"/>
          <w:sz w:val="24"/>
          <w:szCs w:val="24"/>
          <w:lang w:val="en-US"/>
        </w:rPr>
        <w:t>aprile</w:t>
      </w:r>
      <w:proofErr w:type="spellEnd"/>
      <w:r>
        <w:rPr>
          <w:rFonts w:ascii="Times New Roman" w:hAnsi="Times New Roman" w:cs="Times New Roman"/>
          <w:sz w:val="24"/>
          <w:szCs w:val="24"/>
          <w:lang w:val="en-US"/>
        </w:rPr>
        <w:t xml:space="preserve"> 2020.</w:t>
      </w:r>
    </w:p>
  </w:footnote>
  <w:footnote w:id="179">
    <w:p w14:paraId="66706002" w14:textId="306FA4D4" w:rsidR="000463A6" w:rsidRPr="00947478" w:rsidRDefault="000463A6" w:rsidP="00947478">
      <w:pPr>
        <w:pStyle w:val="Testonotaapidipagina"/>
        <w:jc w:val="both"/>
        <w:rPr>
          <w:rFonts w:ascii="Times New Roman" w:hAnsi="Times New Roman" w:cs="Times New Roman"/>
          <w:sz w:val="24"/>
          <w:szCs w:val="24"/>
        </w:rPr>
      </w:pPr>
      <w:r w:rsidRPr="00947478">
        <w:rPr>
          <w:rStyle w:val="Rimandonotaapidipagina"/>
          <w:rFonts w:ascii="Times New Roman" w:hAnsi="Times New Roman" w:cs="Times New Roman"/>
          <w:sz w:val="24"/>
          <w:szCs w:val="24"/>
        </w:rPr>
        <w:footnoteRef/>
      </w:r>
      <w:r w:rsidRPr="00947478">
        <w:rPr>
          <w:rFonts w:ascii="Times New Roman" w:hAnsi="Times New Roman" w:cs="Times New Roman"/>
          <w:sz w:val="24"/>
          <w:szCs w:val="24"/>
        </w:rPr>
        <w:t xml:space="preserve"> Per la disciplina del Regolamento </w:t>
      </w:r>
      <w:r w:rsidRPr="00947478">
        <w:rPr>
          <w:rFonts w:ascii="Times New Roman" w:hAnsi="Times New Roman" w:cs="Times New Roman"/>
          <w:i/>
          <w:iCs/>
          <w:sz w:val="24"/>
          <w:szCs w:val="24"/>
        </w:rPr>
        <w:t>Digital Chart</w:t>
      </w:r>
      <w:r w:rsidRPr="00947478">
        <w:rPr>
          <w:rFonts w:ascii="Times New Roman" w:hAnsi="Times New Roman" w:cs="Times New Roman"/>
          <w:sz w:val="24"/>
          <w:szCs w:val="24"/>
        </w:rPr>
        <w:t xml:space="preserve"> si veda </w:t>
      </w:r>
      <w:r w:rsidRPr="00947478">
        <w:rPr>
          <w:rFonts w:ascii="Times New Roman" w:hAnsi="Times New Roman" w:cs="Times New Roman"/>
          <w:smallCaps/>
          <w:sz w:val="24"/>
          <w:szCs w:val="24"/>
        </w:rPr>
        <w:t xml:space="preserve">M. </w:t>
      </w:r>
      <w:proofErr w:type="spellStart"/>
      <w:r w:rsidRPr="00947478">
        <w:rPr>
          <w:rFonts w:ascii="Times New Roman" w:hAnsi="Times New Roman" w:cs="Times New Roman"/>
          <w:smallCaps/>
          <w:sz w:val="24"/>
          <w:szCs w:val="24"/>
        </w:rPr>
        <w:t>Raco</w:t>
      </w:r>
      <w:proofErr w:type="spellEnd"/>
      <w:r w:rsidRPr="00947478">
        <w:rPr>
          <w:rFonts w:ascii="Times New Roman" w:hAnsi="Times New Roman" w:cs="Times New Roman"/>
          <w:sz w:val="24"/>
          <w:szCs w:val="24"/>
        </w:rPr>
        <w:t>, “</w:t>
      </w:r>
      <w:r w:rsidRPr="00947478">
        <w:rPr>
          <w:rFonts w:ascii="Times New Roman" w:hAnsi="Times New Roman" w:cs="Times New Roman"/>
          <w:i/>
          <w:iCs/>
          <w:sz w:val="24"/>
          <w:szCs w:val="24"/>
        </w:rPr>
        <w:t>La Digital Chart: una prima regolamentazione dell’</w:t>
      </w:r>
      <w:proofErr w:type="spellStart"/>
      <w:r w:rsidRPr="00947478">
        <w:rPr>
          <w:rFonts w:ascii="Times New Roman" w:hAnsi="Times New Roman" w:cs="Times New Roman"/>
          <w:i/>
          <w:iCs/>
          <w:sz w:val="24"/>
          <w:szCs w:val="24"/>
        </w:rPr>
        <w:t>influencer</w:t>
      </w:r>
      <w:proofErr w:type="spellEnd"/>
      <w:r w:rsidRPr="00947478">
        <w:rPr>
          <w:rFonts w:ascii="Times New Roman" w:hAnsi="Times New Roman" w:cs="Times New Roman"/>
          <w:i/>
          <w:iCs/>
          <w:sz w:val="24"/>
          <w:szCs w:val="24"/>
        </w:rPr>
        <w:t xml:space="preserve"> marketing</w:t>
      </w:r>
      <w:r w:rsidRPr="00947478">
        <w:rPr>
          <w:rFonts w:ascii="Times New Roman" w:hAnsi="Times New Roman" w:cs="Times New Roman"/>
          <w:sz w:val="24"/>
          <w:szCs w:val="24"/>
        </w:rPr>
        <w:t xml:space="preserve">”, su </w:t>
      </w:r>
      <w:r w:rsidRPr="00947478">
        <w:rPr>
          <w:rFonts w:ascii="Times New Roman" w:hAnsi="Times New Roman" w:cs="Times New Roman"/>
          <w:i/>
          <w:iCs/>
          <w:sz w:val="24"/>
          <w:szCs w:val="24"/>
        </w:rPr>
        <w:t>iusinitinere.it</w:t>
      </w:r>
      <w:r>
        <w:rPr>
          <w:rFonts w:ascii="Times New Roman" w:hAnsi="Times New Roman" w:cs="Times New Roman"/>
          <w:i/>
          <w:iCs/>
          <w:sz w:val="24"/>
          <w:szCs w:val="24"/>
        </w:rPr>
        <w:t xml:space="preserve">, </w:t>
      </w:r>
      <w:r w:rsidRPr="00A94353">
        <w:rPr>
          <w:rFonts w:ascii="Times New Roman" w:hAnsi="Times New Roman" w:cs="Times New Roman"/>
          <w:sz w:val="24"/>
          <w:szCs w:val="24"/>
        </w:rPr>
        <w:t>5 maggio 2020</w:t>
      </w:r>
      <w:r w:rsidRPr="00947478">
        <w:rPr>
          <w:rFonts w:ascii="Times New Roman" w:hAnsi="Times New Roman" w:cs="Times New Roman"/>
          <w:sz w:val="24"/>
          <w:szCs w:val="24"/>
        </w:rPr>
        <w:t xml:space="preserve">; v. anche </w:t>
      </w:r>
      <w:r w:rsidRPr="00947478">
        <w:rPr>
          <w:rFonts w:ascii="Times New Roman" w:hAnsi="Times New Roman" w:cs="Times New Roman"/>
          <w:smallCaps/>
          <w:sz w:val="24"/>
          <w:szCs w:val="24"/>
        </w:rPr>
        <w:t>C. Pappalardo</w:t>
      </w:r>
      <w:r w:rsidRPr="00947478">
        <w:rPr>
          <w:rFonts w:ascii="Times New Roman" w:hAnsi="Times New Roman" w:cs="Times New Roman"/>
          <w:sz w:val="24"/>
          <w:szCs w:val="24"/>
        </w:rPr>
        <w:t>, “</w:t>
      </w:r>
      <w:proofErr w:type="spellStart"/>
      <w:r w:rsidRPr="00947478">
        <w:rPr>
          <w:rFonts w:ascii="Times New Roman" w:hAnsi="Times New Roman" w:cs="Times New Roman"/>
          <w:i/>
          <w:iCs/>
          <w:sz w:val="24"/>
          <w:szCs w:val="24"/>
        </w:rPr>
        <w:t>Influencer</w:t>
      </w:r>
      <w:proofErr w:type="spellEnd"/>
      <w:r w:rsidRPr="00947478">
        <w:rPr>
          <w:rFonts w:ascii="Times New Roman" w:hAnsi="Times New Roman" w:cs="Times New Roman"/>
          <w:i/>
          <w:iCs/>
          <w:sz w:val="24"/>
          <w:szCs w:val="24"/>
        </w:rPr>
        <w:t xml:space="preserve"> e Autodisciplina pubblicitaria – prime applicazioni della Digital Chart</w:t>
      </w:r>
      <w:r w:rsidRPr="00947478">
        <w:rPr>
          <w:rFonts w:ascii="Times New Roman" w:hAnsi="Times New Roman" w:cs="Times New Roman"/>
          <w:sz w:val="24"/>
          <w:szCs w:val="24"/>
        </w:rPr>
        <w:t xml:space="preserve">”, su </w:t>
      </w:r>
      <w:proofErr w:type="spellStart"/>
      <w:r w:rsidRPr="00947478">
        <w:rPr>
          <w:rFonts w:ascii="Times New Roman" w:hAnsi="Times New Roman" w:cs="Times New Roman"/>
          <w:i/>
          <w:iCs/>
          <w:sz w:val="24"/>
          <w:szCs w:val="24"/>
        </w:rPr>
        <w:t>DeJure</w:t>
      </w:r>
      <w:proofErr w:type="spellEnd"/>
      <w:r w:rsidRPr="00947478">
        <w:rPr>
          <w:rFonts w:ascii="Times New Roman" w:hAnsi="Times New Roman" w:cs="Times New Roman"/>
          <w:sz w:val="24"/>
          <w:szCs w:val="24"/>
        </w:rPr>
        <w:t>.</w:t>
      </w:r>
    </w:p>
  </w:footnote>
  <w:footnote w:id="180">
    <w:p w14:paraId="7C757DA8" w14:textId="40CC7E70" w:rsidR="000463A6" w:rsidRDefault="000463A6" w:rsidP="00947478">
      <w:pPr>
        <w:pStyle w:val="Testonotaapidipagina"/>
        <w:jc w:val="both"/>
      </w:pPr>
      <w:r w:rsidRPr="00947478">
        <w:rPr>
          <w:rStyle w:val="Rimandonotaapidipagina"/>
          <w:rFonts w:ascii="Times New Roman" w:hAnsi="Times New Roman" w:cs="Times New Roman"/>
          <w:sz w:val="24"/>
          <w:szCs w:val="24"/>
        </w:rPr>
        <w:footnoteRef/>
      </w:r>
      <w:r w:rsidRPr="00947478">
        <w:rPr>
          <w:rFonts w:ascii="Times New Roman" w:hAnsi="Times New Roman" w:cs="Times New Roman"/>
          <w:sz w:val="24"/>
          <w:szCs w:val="24"/>
        </w:rPr>
        <w:t xml:space="preserve"> Il caso è sorto a seguito di un reclamo cautelare presentato dalla Ferrari S.p.A. contro un famoso stilista tedesco, accusato di aver pubblicato, sul suo profilo </w:t>
      </w:r>
      <w:r w:rsidRPr="00947478">
        <w:rPr>
          <w:rFonts w:ascii="Times New Roman" w:hAnsi="Times New Roman" w:cs="Times New Roman"/>
          <w:i/>
          <w:iCs/>
          <w:sz w:val="24"/>
          <w:szCs w:val="24"/>
        </w:rPr>
        <w:t>social</w:t>
      </w:r>
      <w:r w:rsidRPr="00947478">
        <w:rPr>
          <w:rFonts w:ascii="Times New Roman" w:hAnsi="Times New Roman" w:cs="Times New Roman"/>
          <w:sz w:val="24"/>
          <w:szCs w:val="24"/>
        </w:rPr>
        <w:t xml:space="preserve"> di Instagram, numerosi </w:t>
      </w:r>
      <w:r w:rsidRPr="00947478">
        <w:rPr>
          <w:rFonts w:ascii="Times New Roman" w:hAnsi="Times New Roman" w:cs="Times New Roman"/>
          <w:i/>
          <w:iCs/>
          <w:sz w:val="24"/>
          <w:szCs w:val="24"/>
        </w:rPr>
        <w:t>post</w:t>
      </w:r>
      <w:r w:rsidRPr="00947478">
        <w:rPr>
          <w:rFonts w:ascii="Times New Roman" w:hAnsi="Times New Roman" w:cs="Times New Roman"/>
          <w:sz w:val="24"/>
          <w:szCs w:val="24"/>
        </w:rPr>
        <w:t xml:space="preserve"> e </w:t>
      </w:r>
      <w:r w:rsidRPr="00947478">
        <w:rPr>
          <w:rFonts w:ascii="Times New Roman" w:hAnsi="Times New Roman" w:cs="Times New Roman"/>
          <w:i/>
          <w:iCs/>
          <w:sz w:val="24"/>
          <w:szCs w:val="24"/>
        </w:rPr>
        <w:t>stories</w:t>
      </w:r>
      <w:r w:rsidRPr="00947478">
        <w:rPr>
          <w:rFonts w:ascii="Times New Roman" w:hAnsi="Times New Roman" w:cs="Times New Roman"/>
          <w:sz w:val="24"/>
          <w:szCs w:val="24"/>
        </w:rPr>
        <w:t xml:space="preserve"> pubblicizzando calzature accanto al cofano della nota auto di lusso che porta il marchio Ferrari.</w:t>
      </w:r>
      <w:r w:rsidRPr="006D75A7">
        <w:rPr>
          <w:rFonts w:ascii="Times New Roman" w:hAnsi="Times New Roman" w:cs="Times New Roman"/>
          <w:sz w:val="24"/>
          <w:szCs w:val="24"/>
        </w:rPr>
        <w:t xml:space="preserve"> Il Tribunale di Genova, con ordinanza n. 15949 del 30 gennaio 2020, pubblicata il 4 febbraio, ha ritenuto che il marchio fosse da considerarsi notorio, e che lo stilista </w:t>
      </w:r>
      <w:proofErr w:type="spellStart"/>
      <w:r w:rsidRPr="006D75A7">
        <w:rPr>
          <w:rFonts w:ascii="Times New Roman" w:hAnsi="Times New Roman" w:cs="Times New Roman"/>
          <w:i/>
          <w:iCs/>
          <w:sz w:val="24"/>
          <w:szCs w:val="24"/>
        </w:rPr>
        <w:t>influencer</w:t>
      </w:r>
      <w:proofErr w:type="spellEnd"/>
      <w:r w:rsidRPr="006D75A7">
        <w:rPr>
          <w:rFonts w:ascii="Times New Roman" w:hAnsi="Times New Roman" w:cs="Times New Roman"/>
          <w:sz w:val="24"/>
          <w:szCs w:val="24"/>
        </w:rPr>
        <w:t xml:space="preserve"> lo abbia utilizzato in maniera scorretta (v. </w:t>
      </w:r>
      <w:r w:rsidRPr="006D75A7">
        <w:rPr>
          <w:rFonts w:ascii="Times New Roman" w:hAnsi="Times New Roman" w:cs="Times New Roman"/>
          <w:i/>
          <w:iCs/>
          <w:sz w:val="24"/>
          <w:szCs w:val="24"/>
        </w:rPr>
        <w:t>infra</w:t>
      </w:r>
      <w:r w:rsidRPr="006D75A7">
        <w:rPr>
          <w:rFonts w:ascii="Times New Roman" w:hAnsi="Times New Roman" w:cs="Times New Roman"/>
          <w:sz w:val="24"/>
          <w:szCs w:val="24"/>
        </w:rPr>
        <w:t>).</w:t>
      </w:r>
    </w:p>
  </w:footnote>
  <w:footnote w:id="181">
    <w:p w14:paraId="41EAA1B7" w14:textId="03B6624C" w:rsidR="000463A6" w:rsidRPr="00E36D08" w:rsidRDefault="000463A6" w:rsidP="00E36D08">
      <w:pPr>
        <w:pStyle w:val="Testonotaapidipagina"/>
        <w:jc w:val="both"/>
        <w:rPr>
          <w:rFonts w:ascii="Times New Roman" w:hAnsi="Times New Roman" w:cs="Times New Roman"/>
          <w:sz w:val="24"/>
          <w:szCs w:val="24"/>
        </w:rPr>
      </w:pPr>
      <w:r w:rsidRPr="00E36D08">
        <w:rPr>
          <w:rStyle w:val="Rimandonotaapidipagina"/>
          <w:rFonts w:ascii="Times New Roman" w:hAnsi="Times New Roman" w:cs="Times New Roman"/>
          <w:sz w:val="24"/>
          <w:szCs w:val="24"/>
        </w:rPr>
        <w:footnoteRef/>
      </w:r>
      <w:r w:rsidRPr="00E36D08">
        <w:rPr>
          <w:rFonts w:ascii="Times New Roman" w:hAnsi="Times New Roman" w:cs="Times New Roman"/>
          <w:sz w:val="24"/>
          <w:szCs w:val="24"/>
        </w:rPr>
        <w:t xml:space="preserve"> Per un’analisi del fenomeno d</w:t>
      </w:r>
      <w:r>
        <w:rPr>
          <w:rFonts w:ascii="Times New Roman" w:hAnsi="Times New Roman" w:cs="Times New Roman"/>
          <w:sz w:val="24"/>
          <w:szCs w:val="24"/>
        </w:rPr>
        <w:t>ell’</w:t>
      </w:r>
      <w:proofErr w:type="spellStart"/>
      <w:r w:rsidRPr="00E36D08">
        <w:rPr>
          <w:rFonts w:ascii="Times New Roman" w:hAnsi="Times New Roman" w:cs="Times New Roman"/>
          <w:i/>
          <w:iCs/>
          <w:sz w:val="24"/>
          <w:szCs w:val="24"/>
        </w:rPr>
        <w:t>influencer</w:t>
      </w:r>
      <w:proofErr w:type="spellEnd"/>
      <w:r w:rsidRPr="00E36D08">
        <w:rPr>
          <w:rFonts w:ascii="Times New Roman" w:hAnsi="Times New Roman" w:cs="Times New Roman"/>
          <w:i/>
          <w:iCs/>
          <w:sz w:val="24"/>
          <w:szCs w:val="24"/>
        </w:rPr>
        <w:t xml:space="preserve"> marketing</w:t>
      </w:r>
      <w:r w:rsidRPr="00E36D08">
        <w:rPr>
          <w:rFonts w:ascii="Times New Roman" w:hAnsi="Times New Roman" w:cs="Times New Roman"/>
          <w:sz w:val="24"/>
          <w:szCs w:val="24"/>
        </w:rPr>
        <w:t xml:space="preserve">, </w:t>
      </w:r>
      <w:r>
        <w:rPr>
          <w:rFonts w:ascii="Times New Roman" w:hAnsi="Times New Roman" w:cs="Times New Roman"/>
          <w:sz w:val="24"/>
          <w:szCs w:val="24"/>
        </w:rPr>
        <w:t>v</w:t>
      </w:r>
      <w:r w:rsidRPr="00E36D08">
        <w:rPr>
          <w:rFonts w:ascii="Times New Roman" w:hAnsi="Times New Roman" w:cs="Times New Roman"/>
          <w:sz w:val="24"/>
          <w:szCs w:val="24"/>
        </w:rPr>
        <w:t xml:space="preserve">. </w:t>
      </w:r>
      <w:r>
        <w:rPr>
          <w:rFonts w:ascii="Times New Roman" w:hAnsi="Times New Roman" w:cs="Times New Roman"/>
          <w:sz w:val="24"/>
          <w:szCs w:val="24"/>
        </w:rPr>
        <w:t xml:space="preserve">anche </w:t>
      </w:r>
      <w:r w:rsidRPr="00E36D08">
        <w:rPr>
          <w:rFonts w:ascii="Times New Roman" w:hAnsi="Times New Roman" w:cs="Times New Roman"/>
          <w:sz w:val="24"/>
          <w:szCs w:val="24"/>
        </w:rPr>
        <w:t>J</w:t>
      </w:r>
      <w:r w:rsidRPr="00E36D08">
        <w:rPr>
          <w:rFonts w:ascii="Times New Roman" w:hAnsi="Times New Roman" w:cs="Times New Roman"/>
          <w:smallCaps/>
          <w:sz w:val="24"/>
          <w:szCs w:val="24"/>
        </w:rPr>
        <w:t>. Ciani, M. Tavella</w:t>
      </w:r>
      <w:r w:rsidRPr="00E36D08">
        <w:rPr>
          <w:rFonts w:ascii="Times New Roman" w:hAnsi="Times New Roman" w:cs="Times New Roman"/>
          <w:sz w:val="24"/>
          <w:szCs w:val="24"/>
        </w:rPr>
        <w:t>, “</w:t>
      </w:r>
      <w:r w:rsidRPr="00E36D08">
        <w:rPr>
          <w:rFonts w:ascii="Times New Roman" w:hAnsi="Times New Roman" w:cs="Times New Roman"/>
          <w:i/>
          <w:iCs/>
          <w:sz w:val="24"/>
          <w:szCs w:val="24"/>
        </w:rPr>
        <w:t xml:space="preserve">La riconoscibilità della natura pubblicitaria della comunicazione alla prova del </w:t>
      </w:r>
      <w:proofErr w:type="spellStart"/>
      <w:r w:rsidRPr="00E36D08">
        <w:rPr>
          <w:rFonts w:ascii="Times New Roman" w:hAnsi="Times New Roman" w:cs="Times New Roman"/>
          <w:i/>
          <w:iCs/>
          <w:sz w:val="24"/>
          <w:szCs w:val="24"/>
        </w:rPr>
        <w:t>digital</w:t>
      </w:r>
      <w:proofErr w:type="spellEnd"/>
      <w:r w:rsidRPr="00E36D08">
        <w:rPr>
          <w:rFonts w:ascii="Times New Roman" w:hAnsi="Times New Roman" w:cs="Times New Roman"/>
          <w:i/>
          <w:iCs/>
          <w:sz w:val="24"/>
          <w:szCs w:val="24"/>
        </w:rPr>
        <w:t xml:space="preserve">: native advertising tra obbligo di </w:t>
      </w:r>
      <w:proofErr w:type="spellStart"/>
      <w:r w:rsidRPr="00E36D08">
        <w:rPr>
          <w:rFonts w:ascii="Times New Roman" w:hAnsi="Times New Roman" w:cs="Times New Roman"/>
          <w:i/>
          <w:iCs/>
          <w:sz w:val="24"/>
          <w:szCs w:val="24"/>
        </w:rPr>
        <w:t>disclosure</w:t>
      </w:r>
      <w:proofErr w:type="spellEnd"/>
      <w:r w:rsidRPr="00E36D08">
        <w:rPr>
          <w:rFonts w:ascii="Times New Roman" w:hAnsi="Times New Roman" w:cs="Times New Roman"/>
          <w:i/>
          <w:iCs/>
          <w:sz w:val="24"/>
          <w:szCs w:val="24"/>
        </w:rPr>
        <w:t xml:space="preserve"> e difficoltà di controllo</w:t>
      </w:r>
      <w:r w:rsidRPr="00E36D08">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E36D08">
        <w:rPr>
          <w:rFonts w:ascii="Times New Roman" w:hAnsi="Times New Roman" w:cs="Times New Roman"/>
          <w:sz w:val="24"/>
          <w:szCs w:val="24"/>
        </w:rPr>
        <w:t>“</w:t>
      </w:r>
      <w:r w:rsidRPr="00E36D08">
        <w:rPr>
          <w:rFonts w:ascii="Times New Roman" w:hAnsi="Times New Roman" w:cs="Times New Roman"/>
          <w:i/>
          <w:iCs/>
          <w:sz w:val="24"/>
          <w:szCs w:val="24"/>
        </w:rPr>
        <w:t>Social media e diritto. Diritti e social media</w:t>
      </w:r>
      <w:r w:rsidRPr="00E36D08">
        <w:rPr>
          <w:rFonts w:ascii="Times New Roman" w:hAnsi="Times New Roman" w:cs="Times New Roman"/>
          <w:sz w:val="24"/>
          <w:szCs w:val="24"/>
        </w:rPr>
        <w:t xml:space="preserve">” della </w:t>
      </w:r>
      <w:r w:rsidRPr="00947478">
        <w:rPr>
          <w:rFonts w:ascii="Times New Roman" w:hAnsi="Times New Roman" w:cs="Times New Roman"/>
          <w:i/>
          <w:iCs/>
          <w:sz w:val="24"/>
          <w:szCs w:val="24"/>
        </w:rPr>
        <w:t>Rivista</w:t>
      </w:r>
      <w:r w:rsidRPr="00E36D08">
        <w:rPr>
          <w:rFonts w:ascii="Times New Roman" w:hAnsi="Times New Roman" w:cs="Times New Roman"/>
          <w:sz w:val="24"/>
          <w:szCs w:val="24"/>
        </w:rPr>
        <w:t xml:space="preserve"> </w:t>
      </w:r>
      <w:r w:rsidRPr="00E36D08">
        <w:rPr>
          <w:rFonts w:ascii="Times New Roman" w:hAnsi="Times New Roman" w:cs="Times New Roman"/>
          <w:i/>
          <w:iCs/>
          <w:sz w:val="24"/>
          <w:szCs w:val="24"/>
        </w:rPr>
        <w:t>Informatica e Diritto</w:t>
      </w:r>
      <w:r w:rsidRPr="00E36D08">
        <w:rPr>
          <w:rFonts w:ascii="Times New Roman" w:hAnsi="Times New Roman" w:cs="Times New Roman"/>
          <w:sz w:val="24"/>
          <w:szCs w:val="24"/>
        </w:rPr>
        <w:t>, 2017.</w:t>
      </w:r>
    </w:p>
  </w:footnote>
  <w:footnote w:id="182">
    <w:p w14:paraId="4DA04666" w14:textId="0F2223DA" w:rsidR="000463A6" w:rsidRPr="00947478" w:rsidRDefault="000463A6" w:rsidP="00947478">
      <w:pPr>
        <w:pStyle w:val="Testonotaapidipagina"/>
        <w:jc w:val="both"/>
        <w:rPr>
          <w:rFonts w:ascii="Times New Roman" w:hAnsi="Times New Roman" w:cs="Times New Roman"/>
          <w:sz w:val="24"/>
          <w:szCs w:val="24"/>
        </w:rPr>
      </w:pPr>
      <w:r w:rsidRPr="00947478">
        <w:rPr>
          <w:rStyle w:val="Rimandonotaapidipagina"/>
          <w:rFonts w:ascii="Times New Roman" w:hAnsi="Times New Roman" w:cs="Times New Roman"/>
          <w:sz w:val="24"/>
          <w:szCs w:val="24"/>
        </w:rPr>
        <w:footnoteRef/>
      </w:r>
      <w:r w:rsidRPr="00947478">
        <w:rPr>
          <w:rFonts w:ascii="Times New Roman" w:hAnsi="Times New Roman" w:cs="Times New Roman"/>
          <w:sz w:val="24"/>
          <w:szCs w:val="24"/>
        </w:rPr>
        <w:t xml:space="preserve"> </w:t>
      </w:r>
      <w:r w:rsidRPr="00847411">
        <w:rPr>
          <w:rFonts w:ascii="Times New Roman" w:hAnsi="Times New Roman" w:cs="Times New Roman"/>
          <w:sz w:val="24"/>
          <w:szCs w:val="24"/>
        </w:rPr>
        <w:t xml:space="preserve">Regolamento </w:t>
      </w:r>
      <w:r w:rsidRPr="00847411">
        <w:rPr>
          <w:rFonts w:ascii="Times New Roman" w:hAnsi="Times New Roman" w:cs="Times New Roman"/>
          <w:i/>
          <w:iCs/>
          <w:sz w:val="24"/>
          <w:szCs w:val="24"/>
        </w:rPr>
        <w:t>Digital Chart</w:t>
      </w:r>
      <w:r w:rsidRPr="00847411">
        <w:rPr>
          <w:rFonts w:ascii="Times New Roman" w:hAnsi="Times New Roman" w:cs="Times New Roman"/>
          <w:sz w:val="24"/>
          <w:szCs w:val="24"/>
        </w:rPr>
        <w:t xml:space="preserve"> sulla riconoscibilità della comunicazione commerciale diffusa attraverso internet, emanato nel 2016 dall’Istituto di Autodisciplina Pubblicitaria, disponibile qui </w:t>
      </w:r>
      <w:hyperlink r:id="rId52" w:history="1">
        <w:r w:rsidRPr="00947478">
          <w:rPr>
            <w:rStyle w:val="Collegamentoipertestuale"/>
            <w:rFonts w:ascii="Times New Roman" w:hAnsi="Times New Roman" w:cs="Times New Roman"/>
            <w:sz w:val="24"/>
            <w:szCs w:val="24"/>
          </w:rPr>
          <w:t>https://www.iap.it/wp-content/uploads/2016/05/Digital-Chart-IAP-VERSIONE-ONLINE.pdf</w:t>
        </w:r>
      </w:hyperlink>
      <w:r w:rsidRPr="00947478">
        <w:rPr>
          <w:rFonts w:ascii="Times New Roman" w:hAnsi="Times New Roman" w:cs="Times New Roman"/>
          <w:sz w:val="24"/>
          <w:szCs w:val="24"/>
        </w:rPr>
        <w:t xml:space="preserve">; sul tema vedi anche </w:t>
      </w:r>
      <w:r w:rsidRPr="00947478">
        <w:rPr>
          <w:rFonts w:ascii="Times New Roman" w:hAnsi="Times New Roman" w:cs="Times New Roman"/>
          <w:smallCaps/>
          <w:sz w:val="24"/>
          <w:szCs w:val="24"/>
        </w:rPr>
        <w:t>E. Nunziante</w:t>
      </w:r>
      <w:r w:rsidRPr="00947478">
        <w:rPr>
          <w:rFonts w:ascii="Times New Roman" w:hAnsi="Times New Roman" w:cs="Times New Roman"/>
          <w:sz w:val="24"/>
          <w:szCs w:val="24"/>
        </w:rPr>
        <w:t>, “</w:t>
      </w:r>
      <w:proofErr w:type="spellStart"/>
      <w:r w:rsidRPr="00947478">
        <w:rPr>
          <w:rFonts w:ascii="Times New Roman" w:hAnsi="Times New Roman" w:cs="Times New Roman"/>
          <w:i/>
          <w:iCs/>
          <w:sz w:val="24"/>
          <w:szCs w:val="24"/>
        </w:rPr>
        <w:t>Influencer</w:t>
      </w:r>
      <w:proofErr w:type="spellEnd"/>
      <w:r w:rsidRPr="00947478">
        <w:rPr>
          <w:rFonts w:ascii="Times New Roman" w:hAnsi="Times New Roman" w:cs="Times New Roman"/>
          <w:i/>
          <w:iCs/>
          <w:sz w:val="24"/>
          <w:szCs w:val="24"/>
        </w:rPr>
        <w:t xml:space="preserve"> e pubblicità, quale trasparenza: che fare</w:t>
      </w:r>
      <w:r w:rsidRPr="00947478">
        <w:rPr>
          <w:rFonts w:ascii="Times New Roman" w:hAnsi="Times New Roman" w:cs="Times New Roman"/>
          <w:sz w:val="24"/>
          <w:szCs w:val="24"/>
        </w:rPr>
        <w:t xml:space="preserve">”, su </w:t>
      </w:r>
      <w:r w:rsidRPr="00947478">
        <w:rPr>
          <w:rFonts w:ascii="Times New Roman" w:hAnsi="Times New Roman" w:cs="Times New Roman"/>
          <w:i/>
          <w:iCs/>
          <w:sz w:val="24"/>
          <w:szCs w:val="24"/>
        </w:rPr>
        <w:t>agendadigitale.eu</w:t>
      </w:r>
      <w:r>
        <w:rPr>
          <w:rFonts w:ascii="Times New Roman" w:hAnsi="Times New Roman" w:cs="Times New Roman"/>
          <w:sz w:val="24"/>
          <w:szCs w:val="24"/>
        </w:rPr>
        <w:t>, 30 ottobre 2019;</w:t>
      </w:r>
      <w:r w:rsidRPr="00947478">
        <w:rPr>
          <w:rFonts w:ascii="Times New Roman" w:hAnsi="Times New Roman" w:cs="Times New Roman"/>
          <w:sz w:val="24"/>
          <w:szCs w:val="24"/>
        </w:rPr>
        <w:t xml:space="preserve"> </w:t>
      </w:r>
      <w:r w:rsidRPr="00947478">
        <w:rPr>
          <w:rFonts w:ascii="Times New Roman" w:hAnsi="Times New Roman" w:cs="Times New Roman"/>
          <w:smallCaps/>
          <w:sz w:val="24"/>
          <w:szCs w:val="24"/>
        </w:rPr>
        <w:t xml:space="preserve">G. </w:t>
      </w:r>
      <w:proofErr w:type="spellStart"/>
      <w:r w:rsidRPr="00947478">
        <w:rPr>
          <w:rFonts w:ascii="Times New Roman" w:hAnsi="Times New Roman" w:cs="Times New Roman"/>
          <w:smallCaps/>
          <w:sz w:val="24"/>
          <w:szCs w:val="24"/>
        </w:rPr>
        <w:t>Iozzia</w:t>
      </w:r>
      <w:proofErr w:type="spellEnd"/>
      <w:r w:rsidRPr="00947478">
        <w:rPr>
          <w:rFonts w:ascii="Times New Roman" w:hAnsi="Times New Roman" w:cs="Times New Roman"/>
          <w:sz w:val="24"/>
          <w:szCs w:val="24"/>
        </w:rPr>
        <w:t>, “</w:t>
      </w:r>
      <w:proofErr w:type="spellStart"/>
      <w:r w:rsidRPr="00947478">
        <w:rPr>
          <w:rFonts w:ascii="Times New Roman" w:hAnsi="Times New Roman" w:cs="Times New Roman"/>
          <w:i/>
          <w:iCs/>
          <w:sz w:val="24"/>
          <w:szCs w:val="24"/>
        </w:rPr>
        <w:t>Influencer</w:t>
      </w:r>
      <w:proofErr w:type="spellEnd"/>
      <w:r w:rsidRPr="00947478">
        <w:rPr>
          <w:rFonts w:ascii="Times New Roman" w:hAnsi="Times New Roman" w:cs="Times New Roman"/>
          <w:i/>
          <w:iCs/>
          <w:sz w:val="24"/>
          <w:szCs w:val="24"/>
        </w:rPr>
        <w:t xml:space="preserve"> marketing e quadro normativo</w:t>
      </w:r>
      <w:r w:rsidRPr="00947478">
        <w:rPr>
          <w:rFonts w:ascii="Times New Roman" w:hAnsi="Times New Roman" w:cs="Times New Roman"/>
          <w:sz w:val="24"/>
          <w:szCs w:val="24"/>
        </w:rPr>
        <w:t xml:space="preserve">”, su </w:t>
      </w:r>
      <w:r w:rsidRPr="00947478">
        <w:rPr>
          <w:rFonts w:ascii="Times New Roman" w:hAnsi="Times New Roman" w:cs="Times New Roman"/>
          <w:i/>
          <w:iCs/>
          <w:sz w:val="24"/>
          <w:szCs w:val="24"/>
        </w:rPr>
        <w:t>altalex.com</w:t>
      </w:r>
      <w:r>
        <w:rPr>
          <w:rFonts w:ascii="Times New Roman" w:hAnsi="Times New Roman" w:cs="Times New Roman"/>
          <w:sz w:val="24"/>
          <w:szCs w:val="24"/>
        </w:rPr>
        <w:t>, 17 luglio 2019.</w:t>
      </w:r>
    </w:p>
  </w:footnote>
  <w:footnote w:id="183">
    <w:p w14:paraId="1B4DF9B1" w14:textId="5677FA33" w:rsidR="000463A6" w:rsidRPr="00947478" w:rsidRDefault="000463A6" w:rsidP="00947478">
      <w:pPr>
        <w:pStyle w:val="Testonotaapidipagina"/>
        <w:jc w:val="both"/>
        <w:rPr>
          <w:rFonts w:ascii="Times New Roman" w:hAnsi="Times New Roman" w:cs="Times New Roman"/>
          <w:sz w:val="24"/>
          <w:szCs w:val="24"/>
        </w:rPr>
      </w:pPr>
      <w:r w:rsidRPr="00947478">
        <w:rPr>
          <w:rStyle w:val="Rimandonotaapidipagina"/>
          <w:rFonts w:ascii="Times New Roman" w:hAnsi="Times New Roman" w:cs="Times New Roman"/>
          <w:sz w:val="24"/>
          <w:szCs w:val="24"/>
        </w:rPr>
        <w:footnoteRef/>
      </w:r>
      <w:r w:rsidRPr="00947478">
        <w:rPr>
          <w:rFonts w:ascii="Times New Roman" w:hAnsi="Times New Roman" w:cs="Times New Roman"/>
          <w:sz w:val="24"/>
          <w:szCs w:val="24"/>
        </w:rPr>
        <w:t xml:space="preserve"> </w:t>
      </w:r>
      <w:r>
        <w:rPr>
          <w:rFonts w:ascii="Times New Roman" w:hAnsi="Times New Roman" w:cs="Times New Roman"/>
          <w:sz w:val="24"/>
          <w:szCs w:val="24"/>
        </w:rPr>
        <w:t>Il t</w:t>
      </w:r>
      <w:r w:rsidRPr="00947478">
        <w:rPr>
          <w:rFonts w:ascii="Times New Roman" w:hAnsi="Times New Roman" w:cs="Times New Roman"/>
          <w:sz w:val="24"/>
          <w:szCs w:val="24"/>
        </w:rPr>
        <w:t xml:space="preserve">esto </w:t>
      </w:r>
      <w:r>
        <w:rPr>
          <w:rFonts w:ascii="Times New Roman" w:hAnsi="Times New Roman" w:cs="Times New Roman"/>
          <w:sz w:val="24"/>
          <w:szCs w:val="24"/>
        </w:rPr>
        <w:t xml:space="preserve">dell’accordo è </w:t>
      </w:r>
      <w:r w:rsidRPr="00947478">
        <w:rPr>
          <w:rFonts w:ascii="Times New Roman" w:hAnsi="Times New Roman" w:cs="Times New Roman"/>
          <w:sz w:val="24"/>
          <w:szCs w:val="24"/>
        </w:rPr>
        <w:t xml:space="preserve">disponibile su </w:t>
      </w:r>
      <w:hyperlink r:id="rId53" w:history="1">
        <w:r w:rsidRPr="00947478">
          <w:rPr>
            <w:rStyle w:val="Collegamentoipertestuale"/>
            <w:rFonts w:ascii="Times New Roman" w:hAnsi="Times New Roman" w:cs="Times New Roman"/>
            <w:sz w:val="24"/>
            <w:szCs w:val="24"/>
          </w:rPr>
          <w:t>https://www.iap.it/wp-content/uploads/2018/06/Accordo-quadro_AGCOM_IAP_amc.pdf</w:t>
        </w:r>
      </w:hyperlink>
      <w:r w:rsidRPr="00947478">
        <w:rPr>
          <w:rFonts w:ascii="Times New Roman" w:hAnsi="Times New Roman" w:cs="Times New Roman"/>
          <w:sz w:val="24"/>
          <w:szCs w:val="24"/>
        </w:rPr>
        <w:t>.</w:t>
      </w:r>
    </w:p>
  </w:footnote>
  <w:footnote w:id="184">
    <w:p w14:paraId="6524A40C" w14:textId="577A99E8" w:rsidR="000463A6" w:rsidRDefault="000463A6" w:rsidP="00947478">
      <w:pPr>
        <w:pStyle w:val="Testonotaapidipagina"/>
        <w:jc w:val="both"/>
      </w:pPr>
      <w:r w:rsidRPr="00947478">
        <w:rPr>
          <w:rStyle w:val="Rimandonotaapidipagina"/>
          <w:rFonts w:ascii="Times New Roman" w:hAnsi="Times New Roman" w:cs="Times New Roman"/>
          <w:sz w:val="24"/>
          <w:szCs w:val="24"/>
        </w:rPr>
        <w:footnoteRef/>
      </w:r>
      <w:r w:rsidRPr="00947478">
        <w:rPr>
          <w:rFonts w:ascii="Times New Roman" w:hAnsi="Times New Roman" w:cs="Times New Roman"/>
          <w:sz w:val="24"/>
          <w:szCs w:val="24"/>
        </w:rPr>
        <w:t xml:space="preserve"> Vedi anche </w:t>
      </w:r>
      <w:r w:rsidRPr="00947478">
        <w:rPr>
          <w:rFonts w:ascii="Times New Roman" w:hAnsi="Times New Roman" w:cs="Times New Roman"/>
          <w:smallCaps/>
          <w:sz w:val="24"/>
          <w:szCs w:val="24"/>
        </w:rPr>
        <w:t xml:space="preserve">R. </w:t>
      </w:r>
      <w:proofErr w:type="spellStart"/>
      <w:r w:rsidRPr="00947478">
        <w:rPr>
          <w:rFonts w:ascii="Times New Roman" w:hAnsi="Times New Roman" w:cs="Times New Roman"/>
          <w:smallCaps/>
          <w:sz w:val="24"/>
          <w:szCs w:val="24"/>
        </w:rPr>
        <w:t>Mazzucconi</w:t>
      </w:r>
      <w:proofErr w:type="spellEnd"/>
      <w:r w:rsidRPr="00947478">
        <w:rPr>
          <w:rFonts w:ascii="Times New Roman" w:hAnsi="Times New Roman" w:cs="Times New Roman"/>
          <w:sz w:val="24"/>
          <w:szCs w:val="24"/>
        </w:rPr>
        <w:t>, “</w:t>
      </w:r>
      <w:r w:rsidRPr="00947478">
        <w:rPr>
          <w:rFonts w:ascii="Times New Roman" w:hAnsi="Times New Roman" w:cs="Times New Roman"/>
          <w:i/>
          <w:iCs/>
          <w:sz w:val="24"/>
          <w:szCs w:val="24"/>
        </w:rPr>
        <w:t>L’</w:t>
      </w:r>
      <w:proofErr w:type="spellStart"/>
      <w:r w:rsidRPr="00947478">
        <w:rPr>
          <w:rFonts w:ascii="Times New Roman" w:hAnsi="Times New Roman" w:cs="Times New Roman"/>
          <w:i/>
          <w:iCs/>
          <w:sz w:val="24"/>
          <w:szCs w:val="24"/>
        </w:rPr>
        <w:t>influencer</w:t>
      </w:r>
      <w:proofErr w:type="spellEnd"/>
      <w:r w:rsidRPr="00947478">
        <w:rPr>
          <w:rFonts w:ascii="Times New Roman" w:hAnsi="Times New Roman" w:cs="Times New Roman"/>
          <w:i/>
          <w:iCs/>
          <w:sz w:val="24"/>
          <w:szCs w:val="24"/>
        </w:rPr>
        <w:t xml:space="preserve"> marketing e il rapporto di </w:t>
      </w:r>
      <w:proofErr w:type="spellStart"/>
      <w:r w:rsidRPr="00947478">
        <w:rPr>
          <w:rFonts w:ascii="Times New Roman" w:hAnsi="Times New Roman" w:cs="Times New Roman"/>
          <w:i/>
          <w:iCs/>
          <w:sz w:val="24"/>
          <w:szCs w:val="24"/>
        </w:rPr>
        <w:t>endorsement</w:t>
      </w:r>
      <w:proofErr w:type="spellEnd"/>
      <w:r w:rsidRPr="00947478">
        <w:rPr>
          <w:rFonts w:ascii="Times New Roman" w:hAnsi="Times New Roman" w:cs="Times New Roman"/>
          <w:i/>
          <w:iCs/>
          <w:sz w:val="24"/>
          <w:szCs w:val="24"/>
        </w:rPr>
        <w:t xml:space="preserve"> tra aziende e </w:t>
      </w:r>
      <w:proofErr w:type="spellStart"/>
      <w:r w:rsidRPr="00947478">
        <w:rPr>
          <w:rFonts w:ascii="Times New Roman" w:hAnsi="Times New Roman" w:cs="Times New Roman"/>
          <w:i/>
          <w:iCs/>
          <w:sz w:val="24"/>
          <w:szCs w:val="24"/>
        </w:rPr>
        <w:t>influencers</w:t>
      </w:r>
      <w:proofErr w:type="spellEnd"/>
      <w:r w:rsidRPr="00947478">
        <w:rPr>
          <w:rFonts w:ascii="Times New Roman" w:hAnsi="Times New Roman" w:cs="Times New Roman"/>
          <w:i/>
          <w:iCs/>
          <w:sz w:val="24"/>
          <w:szCs w:val="24"/>
        </w:rPr>
        <w:t>: profili giuridici e derive illecite</w:t>
      </w:r>
      <w:r w:rsidRPr="00947478">
        <w:rPr>
          <w:rFonts w:ascii="Times New Roman" w:hAnsi="Times New Roman" w:cs="Times New Roman"/>
          <w:sz w:val="24"/>
          <w:szCs w:val="24"/>
        </w:rPr>
        <w:t xml:space="preserve">”, su </w:t>
      </w:r>
      <w:r w:rsidRPr="00947478">
        <w:rPr>
          <w:rFonts w:ascii="Times New Roman" w:hAnsi="Times New Roman" w:cs="Times New Roman"/>
          <w:i/>
          <w:iCs/>
          <w:sz w:val="24"/>
          <w:szCs w:val="24"/>
        </w:rPr>
        <w:t>cyberlaws.it</w:t>
      </w:r>
      <w:r>
        <w:rPr>
          <w:rFonts w:ascii="Times New Roman" w:hAnsi="Times New Roman" w:cs="Times New Roman"/>
          <w:sz w:val="24"/>
          <w:szCs w:val="24"/>
        </w:rPr>
        <w:t>, 21 maggio 2020.</w:t>
      </w:r>
    </w:p>
  </w:footnote>
  <w:footnote w:id="185">
    <w:p w14:paraId="035EEB7E" w14:textId="58FA8492" w:rsidR="000463A6" w:rsidRPr="000B541F" w:rsidRDefault="000463A6" w:rsidP="000B541F">
      <w:pPr>
        <w:pStyle w:val="Testonotaapidipagina"/>
        <w:jc w:val="both"/>
        <w:rPr>
          <w:rFonts w:ascii="Times New Roman" w:hAnsi="Times New Roman" w:cs="Times New Roman"/>
          <w:sz w:val="24"/>
          <w:szCs w:val="24"/>
        </w:rPr>
      </w:pPr>
      <w:r w:rsidRPr="000B541F">
        <w:rPr>
          <w:rStyle w:val="Rimandonotaapidipagina"/>
          <w:rFonts w:ascii="Times New Roman" w:hAnsi="Times New Roman" w:cs="Times New Roman"/>
          <w:sz w:val="24"/>
          <w:szCs w:val="24"/>
        </w:rPr>
        <w:footnoteRef/>
      </w:r>
      <w:r w:rsidRPr="000B541F">
        <w:rPr>
          <w:rFonts w:ascii="Times New Roman" w:hAnsi="Times New Roman" w:cs="Times New Roman"/>
          <w:sz w:val="24"/>
          <w:szCs w:val="24"/>
        </w:rPr>
        <w:t xml:space="preserve"> Per un accurato approfondimento del </w:t>
      </w:r>
      <w:r w:rsidRPr="000B541F">
        <w:rPr>
          <w:rFonts w:ascii="Times New Roman" w:hAnsi="Times New Roman" w:cs="Times New Roman"/>
          <w:i/>
          <w:iCs/>
          <w:sz w:val="24"/>
          <w:szCs w:val="24"/>
        </w:rPr>
        <w:t xml:space="preserve">Product </w:t>
      </w:r>
      <w:proofErr w:type="spellStart"/>
      <w:r w:rsidRPr="000B541F">
        <w:rPr>
          <w:rFonts w:ascii="Times New Roman" w:hAnsi="Times New Roman" w:cs="Times New Roman"/>
          <w:i/>
          <w:iCs/>
          <w:sz w:val="24"/>
          <w:szCs w:val="24"/>
        </w:rPr>
        <w:t>Placement</w:t>
      </w:r>
      <w:proofErr w:type="spellEnd"/>
      <w:r w:rsidRPr="000B541F">
        <w:rPr>
          <w:rFonts w:ascii="Times New Roman" w:hAnsi="Times New Roman" w:cs="Times New Roman"/>
          <w:sz w:val="24"/>
          <w:szCs w:val="24"/>
        </w:rPr>
        <w:t xml:space="preserve"> si </w:t>
      </w:r>
      <w:r>
        <w:rPr>
          <w:rFonts w:ascii="Times New Roman" w:hAnsi="Times New Roman" w:cs="Times New Roman"/>
          <w:sz w:val="24"/>
          <w:szCs w:val="24"/>
        </w:rPr>
        <w:t>veda</w:t>
      </w:r>
      <w:r w:rsidRPr="000B541F">
        <w:rPr>
          <w:rFonts w:ascii="Times New Roman" w:hAnsi="Times New Roman" w:cs="Times New Roman"/>
          <w:sz w:val="24"/>
          <w:szCs w:val="24"/>
        </w:rPr>
        <w:t xml:space="preserve"> M</w:t>
      </w:r>
      <w:r w:rsidRPr="000B541F">
        <w:rPr>
          <w:rFonts w:ascii="Times New Roman" w:hAnsi="Times New Roman" w:cs="Times New Roman"/>
          <w:smallCaps/>
          <w:sz w:val="24"/>
          <w:szCs w:val="24"/>
        </w:rPr>
        <w:t xml:space="preserve">. </w:t>
      </w:r>
      <w:proofErr w:type="spellStart"/>
      <w:r w:rsidRPr="000B541F">
        <w:rPr>
          <w:rFonts w:ascii="Times New Roman" w:hAnsi="Times New Roman" w:cs="Times New Roman"/>
          <w:smallCaps/>
          <w:sz w:val="24"/>
          <w:szCs w:val="24"/>
        </w:rPr>
        <w:t>Raco</w:t>
      </w:r>
      <w:proofErr w:type="spellEnd"/>
      <w:r w:rsidRPr="000B541F">
        <w:rPr>
          <w:rFonts w:ascii="Times New Roman" w:hAnsi="Times New Roman" w:cs="Times New Roman"/>
          <w:sz w:val="24"/>
          <w:szCs w:val="24"/>
        </w:rPr>
        <w:t xml:space="preserve">, </w:t>
      </w:r>
      <w:r>
        <w:rPr>
          <w:rFonts w:ascii="Times New Roman" w:hAnsi="Times New Roman" w:cs="Times New Roman"/>
          <w:sz w:val="24"/>
          <w:szCs w:val="24"/>
        </w:rPr>
        <w:t>“</w:t>
      </w:r>
      <w:r w:rsidRPr="000B541F">
        <w:rPr>
          <w:rFonts w:ascii="Times New Roman" w:hAnsi="Times New Roman" w:cs="Times New Roman"/>
          <w:i/>
          <w:iCs/>
          <w:sz w:val="24"/>
          <w:szCs w:val="24"/>
        </w:rPr>
        <w:t xml:space="preserve">Product </w:t>
      </w:r>
      <w:proofErr w:type="spellStart"/>
      <w:r w:rsidRPr="000B541F">
        <w:rPr>
          <w:rFonts w:ascii="Times New Roman" w:hAnsi="Times New Roman" w:cs="Times New Roman"/>
          <w:i/>
          <w:iCs/>
          <w:sz w:val="24"/>
          <w:szCs w:val="24"/>
        </w:rPr>
        <w:t>placement</w:t>
      </w:r>
      <w:proofErr w:type="spellEnd"/>
      <w:r w:rsidRPr="000B541F">
        <w:rPr>
          <w:rFonts w:ascii="Times New Roman" w:hAnsi="Times New Roman" w:cs="Times New Roman"/>
          <w:i/>
          <w:iCs/>
          <w:sz w:val="24"/>
          <w:szCs w:val="24"/>
        </w:rPr>
        <w:t xml:space="preserve"> ai limiti della pubblicità occulta: Baby K e Chiara </w:t>
      </w:r>
      <w:proofErr w:type="spellStart"/>
      <w:r w:rsidRPr="000B541F">
        <w:rPr>
          <w:rFonts w:ascii="Times New Roman" w:hAnsi="Times New Roman" w:cs="Times New Roman"/>
          <w:i/>
          <w:iCs/>
          <w:sz w:val="24"/>
          <w:szCs w:val="24"/>
        </w:rPr>
        <w:t>Ferragni</w:t>
      </w:r>
      <w:proofErr w:type="spellEnd"/>
      <w:r w:rsidRPr="000B541F">
        <w:rPr>
          <w:rFonts w:ascii="Times New Roman" w:hAnsi="Times New Roman" w:cs="Times New Roman"/>
          <w:i/>
          <w:iCs/>
          <w:sz w:val="24"/>
          <w:szCs w:val="24"/>
        </w:rPr>
        <w:t xml:space="preserve"> per </w:t>
      </w:r>
      <w:proofErr w:type="spellStart"/>
      <w:r w:rsidRPr="000B541F">
        <w:rPr>
          <w:rFonts w:ascii="Times New Roman" w:hAnsi="Times New Roman" w:cs="Times New Roman"/>
          <w:i/>
          <w:iCs/>
          <w:sz w:val="24"/>
          <w:szCs w:val="24"/>
        </w:rPr>
        <w:t>Pantene</w:t>
      </w:r>
      <w:proofErr w:type="spellEnd"/>
      <w:r>
        <w:rPr>
          <w:rFonts w:ascii="Times New Roman" w:hAnsi="Times New Roman" w:cs="Times New Roman"/>
          <w:sz w:val="24"/>
          <w:szCs w:val="24"/>
        </w:rPr>
        <w:t>”</w:t>
      </w:r>
      <w:r w:rsidRPr="000B541F">
        <w:rPr>
          <w:rFonts w:ascii="Times New Roman" w:hAnsi="Times New Roman" w:cs="Times New Roman"/>
          <w:sz w:val="24"/>
          <w:szCs w:val="24"/>
        </w:rPr>
        <w:t xml:space="preserve">, su </w:t>
      </w:r>
      <w:r w:rsidRPr="000B541F">
        <w:rPr>
          <w:rFonts w:ascii="Times New Roman" w:hAnsi="Times New Roman" w:cs="Times New Roman"/>
          <w:i/>
          <w:iCs/>
          <w:sz w:val="24"/>
          <w:szCs w:val="24"/>
        </w:rPr>
        <w:t>iusinitinere.it</w:t>
      </w:r>
      <w:r>
        <w:rPr>
          <w:rFonts w:ascii="Times New Roman" w:hAnsi="Times New Roman" w:cs="Times New Roman"/>
          <w:i/>
          <w:iCs/>
          <w:sz w:val="24"/>
          <w:szCs w:val="24"/>
        </w:rPr>
        <w:t>,</w:t>
      </w:r>
      <w:r w:rsidRPr="00A94353">
        <w:rPr>
          <w:rFonts w:ascii="Times New Roman" w:hAnsi="Times New Roman" w:cs="Times New Roman"/>
          <w:sz w:val="24"/>
          <w:szCs w:val="24"/>
        </w:rPr>
        <w:t xml:space="preserve"> 3 gennaio 2021; </w:t>
      </w:r>
      <w:r w:rsidRPr="000B541F">
        <w:rPr>
          <w:rFonts w:ascii="Times New Roman" w:hAnsi="Times New Roman" w:cs="Times New Roman"/>
          <w:smallCaps/>
          <w:sz w:val="24"/>
          <w:szCs w:val="24"/>
        </w:rPr>
        <w:t xml:space="preserve">P. F. </w:t>
      </w:r>
      <w:proofErr w:type="spellStart"/>
      <w:r w:rsidRPr="000B541F">
        <w:rPr>
          <w:rFonts w:ascii="Times New Roman" w:hAnsi="Times New Roman" w:cs="Times New Roman"/>
          <w:smallCaps/>
          <w:sz w:val="24"/>
          <w:szCs w:val="24"/>
        </w:rPr>
        <w:t>Carballo-Calero</w:t>
      </w:r>
      <w:proofErr w:type="spellEnd"/>
      <w:r w:rsidRPr="000B541F">
        <w:rPr>
          <w:rFonts w:ascii="Times New Roman" w:hAnsi="Times New Roman" w:cs="Times New Roman"/>
          <w:smallCaps/>
          <w:sz w:val="24"/>
          <w:szCs w:val="24"/>
        </w:rPr>
        <w:t>,</w:t>
      </w:r>
      <w:r>
        <w:rPr>
          <w:rFonts w:ascii="Times New Roman" w:hAnsi="Times New Roman" w:cs="Times New Roman"/>
          <w:sz w:val="24"/>
          <w:szCs w:val="24"/>
        </w:rPr>
        <w:t xml:space="preserve"> </w:t>
      </w:r>
      <w:r w:rsidRPr="000B541F">
        <w:rPr>
          <w:rFonts w:ascii="Times New Roman" w:hAnsi="Times New Roman" w:cs="Times New Roman"/>
          <w:sz w:val="24"/>
          <w:szCs w:val="24"/>
        </w:rPr>
        <w:t>“</w:t>
      </w:r>
      <w:r w:rsidRPr="000B541F">
        <w:rPr>
          <w:rFonts w:ascii="Times New Roman" w:hAnsi="Times New Roman" w:cs="Times New Roman"/>
          <w:i/>
          <w:iCs/>
          <w:sz w:val="24"/>
          <w:szCs w:val="24"/>
        </w:rPr>
        <w:t xml:space="preserve">Pubblicità occulta e </w:t>
      </w:r>
      <w:proofErr w:type="spellStart"/>
      <w:r w:rsidRPr="000B541F">
        <w:rPr>
          <w:rFonts w:ascii="Times New Roman" w:hAnsi="Times New Roman" w:cs="Times New Roman"/>
          <w:i/>
          <w:iCs/>
          <w:sz w:val="24"/>
          <w:szCs w:val="24"/>
        </w:rPr>
        <w:t>product</w:t>
      </w:r>
      <w:proofErr w:type="spellEnd"/>
      <w:r w:rsidRPr="000B541F">
        <w:rPr>
          <w:rFonts w:ascii="Times New Roman" w:hAnsi="Times New Roman" w:cs="Times New Roman"/>
          <w:i/>
          <w:iCs/>
          <w:sz w:val="24"/>
          <w:szCs w:val="24"/>
        </w:rPr>
        <w:t xml:space="preserve"> </w:t>
      </w:r>
      <w:proofErr w:type="spellStart"/>
      <w:r w:rsidRPr="000B541F">
        <w:rPr>
          <w:rFonts w:ascii="Times New Roman" w:hAnsi="Times New Roman" w:cs="Times New Roman"/>
          <w:i/>
          <w:iCs/>
          <w:sz w:val="24"/>
          <w:szCs w:val="24"/>
        </w:rPr>
        <w:t>placement</w:t>
      </w:r>
      <w:proofErr w:type="spellEnd"/>
      <w:r w:rsidRPr="000B541F">
        <w:rPr>
          <w:rFonts w:ascii="Times New Roman" w:hAnsi="Times New Roman" w:cs="Times New Roman"/>
          <w:sz w:val="24"/>
          <w:szCs w:val="24"/>
        </w:rPr>
        <w:t>”, Cedam, 2004; v</w:t>
      </w:r>
      <w:r>
        <w:rPr>
          <w:rFonts w:ascii="Times New Roman" w:hAnsi="Times New Roman" w:cs="Times New Roman"/>
          <w:sz w:val="24"/>
          <w:szCs w:val="24"/>
        </w:rPr>
        <w:t>edi</w:t>
      </w:r>
      <w:r w:rsidRPr="000B541F">
        <w:rPr>
          <w:rFonts w:ascii="Times New Roman" w:hAnsi="Times New Roman" w:cs="Times New Roman"/>
          <w:sz w:val="24"/>
          <w:szCs w:val="24"/>
        </w:rPr>
        <w:t xml:space="preserve"> anche </w:t>
      </w:r>
      <w:r>
        <w:rPr>
          <w:rFonts w:ascii="Times New Roman" w:hAnsi="Times New Roman" w:cs="Times New Roman"/>
          <w:sz w:val="24"/>
          <w:szCs w:val="24"/>
        </w:rPr>
        <w:t xml:space="preserve">V. </w:t>
      </w:r>
      <w:r w:rsidRPr="000B541F">
        <w:rPr>
          <w:rFonts w:ascii="Times New Roman" w:hAnsi="Times New Roman" w:cs="Times New Roman"/>
          <w:smallCaps/>
          <w:sz w:val="24"/>
          <w:szCs w:val="24"/>
        </w:rPr>
        <w:t xml:space="preserve">D’Antonio </w:t>
      </w:r>
      <w:r w:rsidRPr="000B541F">
        <w:rPr>
          <w:rFonts w:ascii="Times New Roman" w:hAnsi="Times New Roman" w:cs="Times New Roman"/>
          <w:sz w:val="24"/>
          <w:szCs w:val="24"/>
        </w:rPr>
        <w:t>e</w:t>
      </w:r>
      <w:r w:rsidRPr="000B541F">
        <w:rPr>
          <w:rFonts w:ascii="Times New Roman" w:hAnsi="Times New Roman" w:cs="Times New Roman"/>
          <w:smallCaps/>
          <w:sz w:val="24"/>
          <w:szCs w:val="24"/>
        </w:rPr>
        <w:t xml:space="preserve"> D. Tarantino</w:t>
      </w:r>
      <w:r w:rsidRPr="000B541F">
        <w:rPr>
          <w:rFonts w:ascii="Times New Roman" w:hAnsi="Times New Roman" w:cs="Times New Roman"/>
          <w:sz w:val="24"/>
          <w:szCs w:val="24"/>
        </w:rPr>
        <w:t>,</w:t>
      </w:r>
      <w:r>
        <w:rPr>
          <w:rFonts w:ascii="Times New Roman" w:hAnsi="Times New Roman" w:cs="Times New Roman"/>
          <w:sz w:val="24"/>
          <w:szCs w:val="24"/>
        </w:rPr>
        <w:t xml:space="preserve"> “</w:t>
      </w:r>
      <w:r w:rsidRPr="000B541F">
        <w:rPr>
          <w:rFonts w:ascii="Times New Roman" w:hAnsi="Times New Roman" w:cs="Times New Roman"/>
          <w:i/>
          <w:iCs/>
          <w:sz w:val="24"/>
          <w:szCs w:val="24"/>
        </w:rPr>
        <w:t xml:space="preserve">Il </w:t>
      </w:r>
      <w:proofErr w:type="spellStart"/>
      <w:r w:rsidRPr="000B541F">
        <w:rPr>
          <w:rFonts w:ascii="Times New Roman" w:hAnsi="Times New Roman" w:cs="Times New Roman"/>
          <w:i/>
          <w:iCs/>
          <w:sz w:val="24"/>
          <w:szCs w:val="24"/>
        </w:rPr>
        <w:t>product</w:t>
      </w:r>
      <w:proofErr w:type="spellEnd"/>
      <w:r w:rsidRPr="000B541F">
        <w:rPr>
          <w:rFonts w:ascii="Times New Roman" w:hAnsi="Times New Roman" w:cs="Times New Roman"/>
          <w:i/>
          <w:iCs/>
          <w:sz w:val="24"/>
          <w:szCs w:val="24"/>
        </w:rPr>
        <w:t xml:space="preserve"> </w:t>
      </w:r>
      <w:proofErr w:type="spellStart"/>
      <w:r w:rsidRPr="000B541F">
        <w:rPr>
          <w:rFonts w:ascii="Times New Roman" w:hAnsi="Times New Roman" w:cs="Times New Roman"/>
          <w:i/>
          <w:iCs/>
          <w:sz w:val="24"/>
          <w:szCs w:val="24"/>
        </w:rPr>
        <w:t>placement</w:t>
      </w:r>
      <w:proofErr w:type="spellEnd"/>
      <w:r w:rsidRPr="000B541F">
        <w:rPr>
          <w:rFonts w:ascii="Times New Roman" w:hAnsi="Times New Roman" w:cs="Times New Roman"/>
          <w:i/>
          <w:iCs/>
          <w:sz w:val="24"/>
          <w:szCs w:val="24"/>
        </w:rPr>
        <w:t xml:space="preserve"> nell’ordinamento italiano: breve fenomenologia di uno strumento pubblicitario</w:t>
      </w:r>
      <w:r>
        <w:rPr>
          <w:rFonts w:ascii="Times New Roman" w:hAnsi="Times New Roman" w:cs="Times New Roman"/>
          <w:sz w:val="24"/>
          <w:szCs w:val="24"/>
        </w:rPr>
        <w:t>”</w:t>
      </w:r>
      <w:r w:rsidRPr="000B541F">
        <w:rPr>
          <w:rFonts w:ascii="Times New Roman" w:hAnsi="Times New Roman" w:cs="Times New Roman"/>
          <w:sz w:val="24"/>
          <w:szCs w:val="24"/>
        </w:rPr>
        <w:t xml:space="preserve">, in </w:t>
      </w:r>
      <w:r w:rsidRPr="000B541F">
        <w:rPr>
          <w:rFonts w:ascii="Times New Roman" w:hAnsi="Times New Roman" w:cs="Times New Roman"/>
          <w:i/>
          <w:iCs/>
          <w:sz w:val="24"/>
          <w:szCs w:val="24"/>
        </w:rPr>
        <w:t>Comparazione e Diritto Civile</w:t>
      </w:r>
      <w:r w:rsidRPr="000B541F">
        <w:rPr>
          <w:rFonts w:ascii="Times New Roman" w:hAnsi="Times New Roman" w:cs="Times New Roman"/>
          <w:sz w:val="24"/>
          <w:szCs w:val="24"/>
        </w:rPr>
        <w:t>, 2011.</w:t>
      </w:r>
    </w:p>
  </w:footnote>
  <w:footnote w:id="186">
    <w:p w14:paraId="105E6F71" w14:textId="6A7292A5" w:rsidR="000463A6" w:rsidRPr="0045344E" w:rsidRDefault="000463A6" w:rsidP="000B541F">
      <w:pPr>
        <w:pStyle w:val="Testonotaapidipagina"/>
        <w:jc w:val="both"/>
        <w:rPr>
          <w:rFonts w:ascii="Times New Roman" w:hAnsi="Times New Roman" w:cs="Times New Roman"/>
          <w:sz w:val="24"/>
          <w:szCs w:val="24"/>
        </w:rPr>
      </w:pPr>
      <w:r w:rsidRPr="000B541F">
        <w:rPr>
          <w:rStyle w:val="Rimandonotaapidipagina"/>
          <w:rFonts w:ascii="Times New Roman" w:hAnsi="Times New Roman" w:cs="Times New Roman"/>
          <w:sz w:val="24"/>
          <w:szCs w:val="24"/>
        </w:rPr>
        <w:footnoteRef/>
      </w:r>
      <w:r w:rsidRPr="000B541F">
        <w:rPr>
          <w:rFonts w:ascii="Times New Roman" w:hAnsi="Times New Roman" w:cs="Times New Roman"/>
          <w:sz w:val="24"/>
          <w:szCs w:val="24"/>
        </w:rPr>
        <w:t xml:space="preserve"> V. “</w:t>
      </w:r>
      <w:r w:rsidRPr="000B541F">
        <w:rPr>
          <w:rFonts w:ascii="Times New Roman" w:hAnsi="Times New Roman" w:cs="Times New Roman"/>
          <w:i/>
          <w:iCs/>
          <w:sz w:val="24"/>
          <w:szCs w:val="24"/>
        </w:rPr>
        <w:t xml:space="preserve">Pubblicità occulta alla Coca Cola nel video di “Mille”: </w:t>
      </w:r>
      <w:proofErr w:type="spellStart"/>
      <w:r w:rsidRPr="000B541F">
        <w:rPr>
          <w:rFonts w:ascii="Times New Roman" w:hAnsi="Times New Roman" w:cs="Times New Roman"/>
          <w:i/>
          <w:iCs/>
          <w:sz w:val="24"/>
          <w:szCs w:val="24"/>
        </w:rPr>
        <w:t>Fedez</w:t>
      </w:r>
      <w:proofErr w:type="spellEnd"/>
      <w:r w:rsidRPr="000B541F">
        <w:rPr>
          <w:rFonts w:ascii="Times New Roman" w:hAnsi="Times New Roman" w:cs="Times New Roman"/>
          <w:i/>
          <w:iCs/>
          <w:sz w:val="24"/>
          <w:szCs w:val="24"/>
        </w:rPr>
        <w:t xml:space="preserve"> rischia una multa di 5 milioni dall’Antitrust</w:t>
      </w:r>
      <w:r>
        <w:rPr>
          <w:rFonts w:ascii="Times New Roman" w:hAnsi="Times New Roman" w:cs="Times New Roman"/>
          <w:sz w:val="24"/>
          <w:szCs w:val="24"/>
        </w:rPr>
        <w:t>”</w:t>
      </w:r>
      <w:r w:rsidRPr="000B541F">
        <w:rPr>
          <w:rFonts w:ascii="Times New Roman" w:hAnsi="Times New Roman" w:cs="Times New Roman"/>
          <w:sz w:val="24"/>
          <w:szCs w:val="24"/>
        </w:rPr>
        <w:t xml:space="preserve">, su </w:t>
      </w:r>
      <w:r w:rsidRPr="000B541F">
        <w:rPr>
          <w:rFonts w:ascii="Times New Roman" w:hAnsi="Times New Roman" w:cs="Times New Roman"/>
          <w:i/>
          <w:iCs/>
          <w:sz w:val="24"/>
          <w:szCs w:val="24"/>
        </w:rPr>
        <w:t>codacons.it</w:t>
      </w:r>
      <w:r w:rsidRPr="000B541F">
        <w:rPr>
          <w:rFonts w:ascii="Times New Roman" w:hAnsi="Times New Roman" w:cs="Times New Roman"/>
          <w:sz w:val="24"/>
          <w:szCs w:val="24"/>
        </w:rPr>
        <w:t xml:space="preserve">, 5 settembre 2021; </w:t>
      </w:r>
      <w:r w:rsidRPr="000B541F">
        <w:rPr>
          <w:rFonts w:ascii="Times New Roman" w:hAnsi="Times New Roman" w:cs="Times New Roman"/>
          <w:smallCaps/>
          <w:sz w:val="24"/>
          <w:szCs w:val="24"/>
        </w:rPr>
        <w:t xml:space="preserve">E. </w:t>
      </w:r>
      <w:proofErr w:type="spellStart"/>
      <w:r w:rsidRPr="000B541F">
        <w:rPr>
          <w:rFonts w:ascii="Times New Roman" w:hAnsi="Times New Roman" w:cs="Times New Roman"/>
          <w:smallCaps/>
          <w:sz w:val="24"/>
          <w:szCs w:val="24"/>
        </w:rPr>
        <w:t>Simionato</w:t>
      </w:r>
      <w:proofErr w:type="spellEnd"/>
      <w:r w:rsidRPr="000B541F">
        <w:rPr>
          <w:rFonts w:ascii="Times New Roman" w:hAnsi="Times New Roman" w:cs="Times New Roman"/>
          <w:sz w:val="24"/>
          <w:szCs w:val="24"/>
        </w:rPr>
        <w:t xml:space="preserve"> e </w:t>
      </w:r>
      <w:r w:rsidRPr="000B541F">
        <w:rPr>
          <w:rFonts w:ascii="Times New Roman" w:hAnsi="Times New Roman" w:cs="Times New Roman"/>
          <w:smallCaps/>
          <w:sz w:val="24"/>
          <w:szCs w:val="24"/>
        </w:rPr>
        <w:t xml:space="preserve">M. E. </w:t>
      </w:r>
      <w:proofErr w:type="spellStart"/>
      <w:r w:rsidRPr="000B541F">
        <w:rPr>
          <w:rFonts w:ascii="Times New Roman" w:hAnsi="Times New Roman" w:cs="Times New Roman"/>
          <w:smallCaps/>
          <w:sz w:val="24"/>
          <w:szCs w:val="24"/>
        </w:rPr>
        <w:t>Orlandini</w:t>
      </w:r>
      <w:proofErr w:type="spellEnd"/>
      <w:r w:rsidRPr="000B541F">
        <w:rPr>
          <w:rFonts w:ascii="Times New Roman" w:hAnsi="Times New Roman" w:cs="Times New Roman"/>
          <w:sz w:val="24"/>
          <w:szCs w:val="24"/>
        </w:rPr>
        <w:t>, “</w:t>
      </w:r>
      <w:proofErr w:type="spellStart"/>
      <w:r w:rsidRPr="000B541F">
        <w:rPr>
          <w:rFonts w:ascii="Times New Roman" w:hAnsi="Times New Roman" w:cs="Times New Roman"/>
          <w:i/>
          <w:iCs/>
          <w:sz w:val="24"/>
          <w:szCs w:val="24"/>
        </w:rPr>
        <w:t>Fedez</w:t>
      </w:r>
      <w:proofErr w:type="spellEnd"/>
      <w:r w:rsidRPr="000B541F">
        <w:rPr>
          <w:rFonts w:ascii="Times New Roman" w:hAnsi="Times New Roman" w:cs="Times New Roman"/>
          <w:i/>
          <w:iCs/>
          <w:sz w:val="24"/>
          <w:szCs w:val="24"/>
        </w:rPr>
        <w:t>, Mille e Coca Cola: è davvero pubblicità occulta?</w:t>
      </w:r>
      <w:r w:rsidRPr="000B541F">
        <w:rPr>
          <w:rFonts w:ascii="Times New Roman" w:hAnsi="Times New Roman" w:cs="Times New Roman"/>
          <w:sz w:val="24"/>
          <w:szCs w:val="24"/>
        </w:rPr>
        <w:t xml:space="preserve">”, su </w:t>
      </w:r>
      <w:r w:rsidRPr="000B541F">
        <w:rPr>
          <w:rFonts w:ascii="Times New Roman" w:hAnsi="Times New Roman" w:cs="Times New Roman"/>
          <w:i/>
          <w:iCs/>
          <w:sz w:val="24"/>
          <w:szCs w:val="24"/>
        </w:rPr>
        <w:t>iusinitinere.it</w:t>
      </w:r>
      <w:r>
        <w:rPr>
          <w:rFonts w:ascii="Times New Roman" w:hAnsi="Times New Roman" w:cs="Times New Roman"/>
          <w:sz w:val="24"/>
          <w:szCs w:val="24"/>
        </w:rPr>
        <w:t>, 8 luglio 2021.</w:t>
      </w:r>
    </w:p>
  </w:footnote>
  <w:footnote w:id="187">
    <w:p w14:paraId="24DE7451" w14:textId="7F4B972D" w:rsidR="000463A6" w:rsidRPr="00437D03" w:rsidRDefault="000463A6" w:rsidP="00BB37C5">
      <w:pPr>
        <w:pStyle w:val="Testonotaapidipagina"/>
        <w:jc w:val="both"/>
        <w:rPr>
          <w:rFonts w:ascii="Times New Roman" w:hAnsi="Times New Roman" w:cs="Times New Roman"/>
          <w:sz w:val="24"/>
          <w:szCs w:val="24"/>
        </w:rPr>
      </w:pPr>
      <w:r w:rsidRPr="00437D03">
        <w:rPr>
          <w:rStyle w:val="Rimandonotaapidipagina"/>
          <w:rFonts w:ascii="Times New Roman" w:hAnsi="Times New Roman" w:cs="Times New Roman"/>
          <w:sz w:val="24"/>
          <w:szCs w:val="24"/>
        </w:rPr>
        <w:footnoteRef/>
      </w:r>
      <w:r w:rsidRPr="00437D03">
        <w:rPr>
          <w:rFonts w:ascii="Times New Roman" w:hAnsi="Times New Roman" w:cs="Times New Roman"/>
          <w:sz w:val="24"/>
          <w:szCs w:val="24"/>
        </w:rPr>
        <w:t xml:space="preserve"> Accessibile da </w:t>
      </w:r>
      <w:hyperlink r:id="rId54" w:history="1">
        <w:r w:rsidRPr="00437D03">
          <w:rPr>
            <w:rStyle w:val="Collegamentoipertestuale"/>
            <w:rFonts w:ascii="Times New Roman" w:hAnsi="Times New Roman" w:cs="Times New Roman"/>
            <w:sz w:val="24"/>
            <w:szCs w:val="24"/>
          </w:rPr>
          <w:t>https://www.agcm.it/media/comunicati-stampa/2021/5/PS12009</w:t>
        </w:r>
      </w:hyperlink>
      <w:r w:rsidRPr="00437D03">
        <w:rPr>
          <w:rFonts w:ascii="Times New Roman" w:hAnsi="Times New Roman" w:cs="Times New Roman"/>
          <w:sz w:val="24"/>
          <w:szCs w:val="24"/>
        </w:rPr>
        <w:t xml:space="preserve">; v. </w:t>
      </w:r>
      <w:r w:rsidRPr="00437D03">
        <w:rPr>
          <w:rFonts w:ascii="Times New Roman" w:hAnsi="Times New Roman" w:cs="Times New Roman"/>
          <w:smallCaps/>
          <w:sz w:val="24"/>
          <w:szCs w:val="24"/>
        </w:rPr>
        <w:t xml:space="preserve">E. </w:t>
      </w:r>
      <w:proofErr w:type="spellStart"/>
      <w:r w:rsidRPr="00437D03">
        <w:rPr>
          <w:rFonts w:ascii="Times New Roman" w:hAnsi="Times New Roman" w:cs="Times New Roman"/>
          <w:smallCaps/>
          <w:sz w:val="24"/>
          <w:szCs w:val="24"/>
        </w:rPr>
        <w:t>Simionato</w:t>
      </w:r>
      <w:proofErr w:type="spellEnd"/>
      <w:r w:rsidRPr="00437D03">
        <w:rPr>
          <w:rFonts w:ascii="Times New Roman" w:hAnsi="Times New Roman" w:cs="Times New Roman"/>
          <w:sz w:val="24"/>
          <w:szCs w:val="24"/>
        </w:rPr>
        <w:t>, “</w:t>
      </w:r>
      <w:r w:rsidRPr="00437D03">
        <w:rPr>
          <w:rFonts w:ascii="Times New Roman" w:hAnsi="Times New Roman" w:cs="Times New Roman"/>
          <w:i/>
          <w:iCs/>
          <w:sz w:val="24"/>
          <w:szCs w:val="24"/>
        </w:rPr>
        <w:t xml:space="preserve">AGCM e pubblicità occulta: aperto il procedimento istruttorio nei confronti di BAT e Stefano De Martino, Cecilia </w:t>
      </w:r>
      <w:proofErr w:type="spellStart"/>
      <w:r w:rsidRPr="00437D03">
        <w:rPr>
          <w:rFonts w:ascii="Times New Roman" w:hAnsi="Times New Roman" w:cs="Times New Roman"/>
          <w:i/>
          <w:iCs/>
          <w:sz w:val="24"/>
          <w:szCs w:val="24"/>
        </w:rPr>
        <w:t>Rodriguez</w:t>
      </w:r>
      <w:proofErr w:type="spellEnd"/>
      <w:r w:rsidRPr="00437D03">
        <w:rPr>
          <w:rFonts w:ascii="Times New Roman" w:hAnsi="Times New Roman" w:cs="Times New Roman"/>
          <w:i/>
          <w:iCs/>
          <w:sz w:val="24"/>
          <w:szCs w:val="24"/>
        </w:rPr>
        <w:t xml:space="preserve"> e Stefano Sala</w:t>
      </w:r>
      <w:r w:rsidRPr="00437D03">
        <w:rPr>
          <w:rFonts w:ascii="Times New Roman" w:hAnsi="Times New Roman" w:cs="Times New Roman"/>
          <w:sz w:val="24"/>
          <w:szCs w:val="24"/>
        </w:rPr>
        <w:t xml:space="preserve">”, su </w:t>
      </w:r>
      <w:r w:rsidRPr="00437D03">
        <w:rPr>
          <w:rFonts w:ascii="Times New Roman" w:hAnsi="Times New Roman" w:cs="Times New Roman"/>
          <w:i/>
          <w:iCs/>
          <w:sz w:val="24"/>
          <w:szCs w:val="24"/>
        </w:rPr>
        <w:t>iusinitinere.it</w:t>
      </w:r>
      <w:r>
        <w:rPr>
          <w:rFonts w:ascii="Times New Roman" w:hAnsi="Times New Roman" w:cs="Times New Roman"/>
          <w:sz w:val="24"/>
          <w:szCs w:val="24"/>
        </w:rPr>
        <w:t>, 1° giugno 2021.</w:t>
      </w:r>
    </w:p>
  </w:footnote>
  <w:footnote w:id="188">
    <w:p w14:paraId="287B7518" w14:textId="0029E058" w:rsidR="000463A6" w:rsidRDefault="000463A6" w:rsidP="00CE7173">
      <w:pPr>
        <w:pStyle w:val="NormaleWeb"/>
        <w:spacing w:before="0" w:beforeAutospacing="0" w:after="0" w:afterAutospacing="0"/>
        <w:jc w:val="both"/>
      </w:pPr>
      <w:r w:rsidRPr="00626C60">
        <w:rPr>
          <w:rStyle w:val="Rimandonotaapidipagina"/>
        </w:rPr>
        <w:footnoteRef/>
      </w:r>
      <w:r>
        <w:t xml:space="preserve"> Testo del provvedimento disponibile su </w:t>
      </w:r>
      <w:hyperlink r:id="rId55" w:history="1">
        <w:r w:rsidRPr="00626C60">
          <w:rPr>
            <w:rStyle w:val="Collegamentoipertestuale"/>
          </w:rPr>
          <w:t>https://www.agcm.it/dotcmsCustom/tc/2024/6/getDominoAttach?urlStr=192.168.14.10:8080/C12560D000291394/0/E6B624BBD0F6A573C12584150049D1EE/$File/p27787.pdf</w:t>
        </w:r>
      </w:hyperlink>
      <w:r>
        <w:t xml:space="preserve">; v. </w:t>
      </w:r>
      <w:r w:rsidRPr="00AE3857">
        <w:rPr>
          <w:smallCaps/>
        </w:rPr>
        <w:t>B. Manca</w:t>
      </w:r>
      <w:r>
        <w:t>, “</w:t>
      </w:r>
      <w:r w:rsidRPr="00AE3857">
        <w:rPr>
          <w:i/>
          <w:iCs/>
        </w:rPr>
        <w:t xml:space="preserve">L’Antitrust apre istruttoria su Alitalia e </w:t>
      </w:r>
      <w:proofErr w:type="spellStart"/>
      <w:r w:rsidRPr="00AE3857">
        <w:rPr>
          <w:i/>
          <w:iCs/>
        </w:rPr>
        <w:t>Aeffe</w:t>
      </w:r>
      <w:proofErr w:type="spellEnd"/>
      <w:r w:rsidRPr="00AE3857">
        <w:rPr>
          <w:i/>
          <w:iCs/>
        </w:rPr>
        <w:t xml:space="preserve"> di Alberta Ferretti: nel mirino anche le foto di </w:t>
      </w:r>
      <w:proofErr w:type="spellStart"/>
      <w:r w:rsidRPr="00AE3857">
        <w:rPr>
          <w:i/>
          <w:iCs/>
        </w:rPr>
        <w:t>influencer</w:t>
      </w:r>
      <w:proofErr w:type="spellEnd"/>
      <w:r w:rsidRPr="00AE3857">
        <w:rPr>
          <w:i/>
          <w:iCs/>
        </w:rPr>
        <w:t>: “pubblicità non riconoscibile</w:t>
      </w:r>
      <w:r w:rsidRPr="00AE3857">
        <w:t>”</w:t>
      </w:r>
      <w:r>
        <w:t xml:space="preserve">, su </w:t>
      </w:r>
      <w:r w:rsidRPr="00AE3857">
        <w:rPr>
          <w:i/>
          <w:iCs/>
        </w:rPr>
        <w:t>ilfattoquotidiano.it</w:t>
      </w:r>
      <w:r>
        <w:t>, 15 dicembre 2018.</w:t>
      </w:r>
    </w:p>
  </w:footnote>
  <w:footnote w:id="189">
    <w:p w14:paraId="0294A950" w14:textId="58117C8B" w:rsidR="000463A6" w:rsidRPr="00603F76" w:rsidRDefault="000463A6" w:rsidP="00CE7173">
      <w:pPr>
        <w:pStyle w:val="Testonotaapidipagina"/>
        <w:jc w:val="both"/>
        <w:rPr>
          <w:rFonts w:ascii="Times New Roman" w:hAnsi="Times New Roman" w:cs="Times New Roman"/>
          <w:sz w:val="24"/>
          <w:szCs w:val="24"/>
        </w:rPr>
      </w:pPr>
      <w:r w:rsidRPr="00603F76">
        <w:rPr>
          <w:rStyle w:val="Rimandonotaapidipagina"/>
          <w:rFonts w:ascii="Times New Roman" w:hAnsi="Times New Roman" w:cs="Times New Roman"/>
          <w:sz w:val="24"/>
          <w:szCs w:val="24"/>
        </w:rPr>
        <w:footnoteRef/>
      </w:r>
      <w:r w:rsidRPr="00603F76">
        <w:rPr>
          <w:rFonts w:ascii="Times New Roman" w:hAnsi="Times New Roman" w:cs="Times New Roman"/>
          <w:sz w:val="24"/>
          <w:szCs w:val="24"/>
        </w:rPr>
        <w:t xml:space="preserve"> Accessibile da </w:t>
      </w:r>
      <w:hyperlink r:id="rId56" w:history="1">
        <w:r w:rsidRPr="00603F76">
          <w:rPr>
            <w:rStyle w:val="Collegamentoipertestuale"/>
            <w:rFonts w:ascii="Times New Roman" w:hAnsi="Times New Roman" w:cs="Times New Roman"/>
            <w:sz w:val="24"/>
            <w:szCs w:val="24"/>
          </w:rPr>
          <w:t>https://www.agcm.it/dotcmsdoc/allegati-news/PS11050_scorr-sanz_omi.pdf</w:t>
        </w:r>
      </w:hyperlink>
      <w:r w:rsidRPr="00603F76">
        <w:rPr>
          <w:rFonts w:ascii="Times New Roman" w:hAnsi="Times New Roman" w:cs="Times New Roman"/>
          <w:sz w:val="24"/>
          <w:szCs w:val="24"/>
        </w:rPr>
        <w:t xml:space="preserve">. v. anche </w:t>
      </w:r>
      <w:r>
        <w:rPr>
          <w:rFonts w:ascii="Times New Roman" w:hAnsi="Times New Roman" w:cs="Times New Roman"/>
          <w:sz w:val="24"/>
          <w:szCs w:val="24"/>
        </w:rPr>
        <w:t xml:space="preserve">l’articolo </w:t>
      </w:r>
      <w:r w:rsidRPr="00603F76">
        <w:rPr>
          <w:rFonts w:ascii="Times New Roman" w:hAnsi="Times New Roman" w:cs="Times New Roman"/>
          <w:sz w:val="24"/>
          <w:szCs w:val="24"/>
        </w:rPr>
        <w:t>“</w:t>
      </w:r>
      <w:r w:rsidRPr="00603F76">
        <w:rPr>
          <w:rFonts w:ascii="Times New Roman" w:hAnsi="Times New Roman" w:cs="Times New Roman"/>
          <w:i/>
          <w:iCs/>
          <w:sz w:val="24"/>
          <w:szCs w:val="24"/>
        </w:rPr>
        <w:t xml:space="preserve">Vendite segrete integratori su </w:t>
      </w:r>
      <w:proofErr w:type="spellStart"/>
      <w:r w:rsidRPr="00603F76">
        <w:rPr>
          <w:rFonts w:ascii="Times New Roman" w:hAnsi="Times New Roman" w:cs="Times New Roman"/>
          <w:i/>
          <w:iCs/>
          <w:sz w:val="24"/>
          <w:szCs w:val="24"/>
        </w:rPr>
        <w:t>Fb</w:t>
      </w:r>
      <w:proofErr w:type="spellEnd"/>
      <w:r w:rsidRPr="00603F76">
        <w:rPr>
          <w:rFonts w:ascii="Times New Roman" w:hAnsi="Times New Roman" w:cs="Times New Roman"/>
          <w:i/>
          <w:iCs/>
          <w:sz w:val="24"/>
          <w:szCs w:val="24"/>
        </w:rPr>
        <w:t xml:space="preserve">, Antitrust multa </w:t>
      </w:r>
      <w:proofErr w:type="spellStart"/>
      <w:r w:rsidRPr="00603F76">
        <w:rPr>
          <w:rFonts w:ascii="Times New Roman" w:hAnsi="Times New Roman" w:cs="Times New Roman"/>
          <w:i/>
          <w:iCs/>
          <w:sz w:val="24"/>
          <w:szCs w:val="24"/>
        </w:rPr>
        <w:t>Juice</w:t>
      </w:r>
      <w:proofErr w:type="spellEnd"/>
      <w:r w:rsidRPr="00603F76">
        <w:rPr>
          <w:rFonts w:ascii="Times New Roman" w:hAnsi="Times New Roman" w:cs="Times New Roman"/>
          <w:i/>
          <w:iCs/>
          <w:sz w:val="24"/>
          <w:szCs w:val="24"/>
        </w:rPr>
        <w:t xml:space="preserve"> Plus</w:t>
      </w:r>
      <w:r w:rsidRPr="00603F76">
        <w:rPr>
          <w:rFonts w:ascii="Times New Roman" w:hAnsi="Times New Roman" w:cs="Times New Roman"/>
          <w:sz w:val="24"/>
          <w:szCs w:val="24"/>
        </w:rPr>
        <w:t xml:space="preserve">” su </w:t>
      </w:r>
      <w:r w:rsidRPr="00603F76">
        <w:rPr>
          <w:rFonts w:ascii="Times New Roman" w:hAnsi="Times New Roman" w:cs="Times New Roman"/>
          <w:i/>
          <w:iCs/>
          <w:sz w:val="24"/>
          <w:szCs w:val="24"/>
        </w:rPr>
        <w:t>adnkronos.com</w:t>
      </w:r>
      <w:r>
        <w:rPr>
          <w:rFonts w:ascii="Times New Roman" w:hAnsi="Times New Roman" w:cs="Times New Roman"/>
          <w:i/>
          <w:iCs/>
          <w:sz w:val="24"/>
          <w:szCs w:val="24"/>
        </w:rPr>
        <w:t xml:space="preserve">, </w:t>
      </w:r>
      <w:r w:rsidRPr="001409DC">
        <w:rPr>
          <w:rFonts w:ascii="Times New Roman" w:hAnsi="Times New Roman" w:cs="Times New Roman"/>
          <w:sz w:val="24"/>
          <w:szCs w:val="24"/>
        </w:rPr>
        <w:t>15 aprile 2019.</w:t>
      </w:r>
    </w:p>
  </w:footnote>
  <w:footnote w:id="190">
    <w:p w14:paraId="0B10848B" w14:textId="65957062" w:rsidR="000463A6" w:rsidRPr="00063B40" w:rsidRDefault="000463A6" w:rsidP="00BB37C5">
      <w:pPr>
        <w:pStyle w:val="Testonotaapidipagina"/>
        <w:jc w:val="both"/>
        <w:rPr>
          <w:rFonts w:ascii="Times New Roman" w:hAnsi="Times New Roman" w:cs="Times New Roman"/>
          <w:sz w:val="24"/>
          <w:szCs w:val="24"/>
        </w:rPr>
      </w:pPr>
      <w:r w:rsidRPr="00603F76">
        <w:rPr>
          <w:rStyle w:val="Rimandonotaapidipagina"/>
          <w:rFonts w:ascii="Times New Roman" w:hAnsi="Times New Roman" w:cs="Times New Roman"/>
          <w:sz w:val="24"/>
          <w:szCs w:val="24"/>
        </w:rPr>
        <w:footnoteRef/>
      </w:r>
      <w:r w:rsidRPr="00603F76">
        <w:rPr>
          <w:rFonts w:ascii="Times New Roman" w:hAnsi="Times New Roman" w:cs="Times New Roman"/>
          <w:sz w:val="24"/>
          <w:szCs w:val="24"/>
        </w:rPr>
        <w:t xml:space="preserve"> </w:t>
      </w:r>
      <w:r>
        <w:rPr>
          <w:rFonts w:ascii="Times New Roman" w:hAnsi="Times New Roman" w:cs="Times New Roman"/>
          <w:sz w:val="24"/>
          <w:szCs w:val="24"/>
        </w:rPr>
        <w:t>Testo a</w:t>
      </w:r>
      <w:r w:rsidRPr="00603F76">
        <w:rPr>
          <w:rFonts w:ascii="Times New Roman" w:hAnsi="Times New Roman" w:cs="Times New Roman"/>
          <w:sz w:val="24"/>
          <w:szCs w:val="24"/>
        </w:rPr>
        <w:t xml:space="preserve">ccessibile da </w:t>
      </w:r>
      <w:hyperlink r:id="rId57" w:history="1">
        <w:r w:rsidRPr="00603F76">
          <w:rPr>
            <w:rStyle w:val="Collegamentoipertestuale"/>
            <w:rFonts w:ascii="Times New Roman" w:hAnsi="Times New Roman" w:cs="Times New Roman"/>
            <w:sz w:val="24"/>
            <w:szCs w:val="24"/>
          </w:rPr>
          <w:t>https://www.agcm.it/dotcmsdoc/bollettini/2020/11-20_all.pdf</w:t>
        </w:r>
      </w:hyperlink>
      <w:r w:rsidRPr="00603F76">
        <w:rPr>
          <w:rFonts w:ascii="Times New Roman" w:hAnsi="Times New Roman" w:cs="Times New Roman"/>
          <w:sz w:val="24"/>
          <w:szCs w:val="24"/>
        </w:rPr>
        <w:t>.</w:t>
      </w:r>
    </w:p>
  </w:footnote>
  <w:footnote w:id="191">
    <w:p w14:paraId="4B28BA6A" w14:textId="67F30495" w:rsidR="000463A6" w:rsidRPr="006D197F" w:rsidRDefault="000463A6" w:rsidP="006D197F">
      <w:pPr>
        <w:pStyle w:val="Testonotaapidipagina"/>
        <w:jc w:val="both"/>
        <w:rPr>
          <w:rFonts w:ascii="Times New Roman" w:hAnsi="Times New Roman" w:cs="Times New Roman"/>
          <w:i/>
          <w:iCs/>
          <w:sz w:val="24"/>
          <w:szCs w:val="24"/>
        </w:rPr>
      </w:pPr>
      <w:r w:rsidRPr="006D197F">
        <w:rPr>
          <w:rStyle w:val="Rimandonotaapidipagina"/>
          <w:rFonts w:ascii="Times New Roman" w:hAnsi="Times New Roman" w:cs="Times New Roman"/>
          <w:sz w:val="24"/>
          <w:szCs w:val="24"/>
        </w:rPr>
        <w:footnoteRef/>
      </w:r>
      <w:r w:rsidRPr="006D197F">
        <w:rPr>
          <w:rFonts w:ascii="Times New Roman" w:hAnsi="Times New Roman" w:cs="Times New Roman"/>
          <w:sz w:val="24"/>
          <w:szCs w:val="24"/>
        </w:rPr>
        <w:t xml:space="preserve"> G. </w:t>
      </w:r>
      <w:r w:rsidRPr="006D197F">
        <w:rPr>
          <w:rFonts w:ascii="Times New Roman" w:hAnsi="Times New Roman" w:cs="Times New Roman"/>
          <w:smallCaps/>
          <w:sz w:val="24"/>
          <w:szCs w:val="24"/>
        </w:rPr>
        <w:t>De Cristofaro</w:t>
      </w:r>
      <w:r w:rsidRPr="006D197F">
        <w:rPr>
          <w:rFonts w:ascii="Times New Roman" w:hAnsi="Times New Roman" w:cs="Times New Roman"/>
          <w:sz w:val="24"/>
          <w:szCs w:val="24"/>
        </w:rPr>
        <w:t>, “</w:t>
      </w:r>
      <w:proofErr w:type="spellStart"/>
      <w:r w:rsidRPr="006D197F">
        <w:rPr>
          <w:rFonts w:ascii="Times New Roman" w:hAnsi="Times New Roman" w:cs="Times New Roman"/>
          <w:i/>
          <w:iCs/>
          <w:sz w:val="24"/>
          <w:szCs w:val="24"/>
        </w:rPr>
        <w:t>Influencer</w:t>
      </w:r>
      <w:proofErr w:type="spellEnd"/>
      <w:r w:rsidRPr="006D197F">
        <w:rPr>
          <w:rFonts w:ascii="Times New Roman" w:hAnsi="Times New Roman" w:cs="Times New Roman"/>
          <w:i/>
          <w:iCs/>
          <w:sz w:val="24"/>
          <w:szCs w:val="24"/>
        </w:rPr>
        <w:t xml:space="preserve"> Marketing: caso ‘Crema Pan di Stelle’. Come nel caso Alitalia-Ferretti nessuna sanzione. L’Antitrust accetta gli impegni di Barilla e dei Micro-</w:t>
      </w:r>
      <w:proofErr w:type="spellStart"/>
      <w:r w:rsidRPr="006D197F">
        <w:rPr>
          <w:rFonts w:ascii="Times New Roman" w:hAnsi="Times New Roman" w:cs="Times New Roman"/>
          <w:i/>
          <w:iCs/>
          <w:sz w:val="24"/>
          <w:szCs w:val="24"/>
        </w:rPr>
        <w:t>Influencer</w:t>
      </w:r>
      <w:proofErr w:type="spellEnd"/>
      <w:r w:rsidRPr="006D197F">
        <w:rPr>
          <w:rFonts w:ascii="Times New Roman" w:hAnsi="Times New Roman" w:cs="Times New Roman"/>
          <w:i/>
          <w:iCs/>
          <w:sz w:val="24"/>
          <w:szCs w:val="24"/>
        </w:rPr>
        <w:t xml:space="preserve">. tanto rumore per nulla? Non si direbbe: altri spunti utili per inserzionisti e </w:t>
      </w:r>
      <w:proofErr w:type="spellStart"/>
      <w:r w:rsidRPr="006D197F">
        <w:rPr>
          <w:rFonts w:ascii="Times New Roman" w:hAnsi="Times New Roman" w:cs="Times New Roman"/>
          <w:i/>
          <w:iCs/>
          <w:sz w:val="24"/>
          <w:szCs w:val="24"/>
        </w:rPr>
        <w:t>influencer</w:t>
      </w:r>
      <w:proofErr w:type="spellEnd"/>
      <w:r w:rsidRPr="006D197F">
        <w:rPr>
          <w:rFonts w:ascii="Times New Roman" w:hAnsi="Times New Roman" w:cs="Times New Roman"/>
          <w:sz w:val="24"/>
          <w:szCs w:val="24"/>
        </w:rPr>
        <w:t xml:space="preserve">”, su </w:t>
      </w:r>
      <w:r w:rsidRPr="006D197F">
        <w:rPr>
          <w:rFonts w:ascii="Times New Roman" w:hAnsi="Times New Roman" w:cs="Times New Roman"/>
          <w:i/>
          <w:iCs/>
          <w:sz w:val="24"/>
          <w:szCs w:val="24"/>
        </w:rPr>
        <w:t>youmark.it</w:t>
      </w:r>
      <w:r>
        <w:rPr>
          <w:rFonts w:ascii="Times New Roman" w:hAnsi="Times New Roman" w:cs="Times New Roman"/>
          <w:i/>
          <w:iCs/>
          <w:sz w:val="24"/>
          <w:szCs w:val="24"/>
        </w:rPr>
        <w:t xml:space="preserve">, </w:t>
      </w:r>
      <w:r w:rsidRPr="001409DC">
        <w:rPr>
          <w:rFonts w:ascii="Times New Roman" w:hAnsi="Times New Roman" w:cs="Times New Roman"/>
          <w:sz w:val="24"/>
          <w:szCs w:val="24"/>
        </w:rPr>
        <w:t>17 marzo 2020.</w:t>
      </w:r>
    </w:p>
  </w:footnote>
  <w:footnote w:id="192">
    <w:p w14:paraId="320903BF" w14:textId="7164CFBD" w:rsidR="000463A6" w:rsidRPr="006D197F" w:rsidRDefault="000463A6" w:rsidP="006D197F">
      <w:pPr>
        <w:pStyle w:val="Testonotaapidipagina"/>
        <w:jc w:val="both"/>
        <w:rPr>
          <w:rFonts w:ascii="Times New Roman" w:hAnsi="Times New Roman" w:cs="Times New Roman"/>
          <w:i/>
          <w:iCs/>
          <w:sz w:val="24"/>
          <w:szCs w:val="24"/>
        </w:rPr>
      </w:pPr>
      <w:r w:rsidRPr="006D197F">
        <w:rPr>
          <w:rStyle w:val="Rimandonotaapidipagina"/>
          <w:rFonts w:ascii="Times New Roman" w:hAnsi="Times New Roman" w:cs="Times New Roman"/>
          <w:sz w:val="24"/>
          <w:szCs w:val="24"/>
        </w:rPr>
        <w:footnoteRef/>
      </w:r>
      <w:r w:rsidRPr="006D197F">
        <w:rPr>
          <w:rFonts w:ascii="Times New Roman" w:hAnsi="Times New Roman" w:cs="Times New Roman"/>
          <w:sz w:val="24"/>
          <w:szCs w:val="24"/>
        </w:rPr>
        <w:t xml:space="preserve"> Sul tema v. anche </w:t>
      </w:r>
      <w:r w:rsidRPr="006D197F">
        <w:rPr>
          <w:rFonts w:ascii="Times New Roman" w:hAnsi="Times New Roman" w:cs="Times New Roman"/>
          <w:smallCaps/>
          <w:sz w:val="24"/>
          <w:szCs w:val="24"/>
        </w:rPr>
        <w:t>S. Barco</w:t>
      </w:r>
      <w:r w:rsidRPr="006D197F">
        <w:rPr>
          <w:rFonts w:ascii="Times New Roman" w:hAnsi="Times New Roman" w:cs="Times New Roman"/>
          <w:sz w:val="24"/>
          <w:szCs w:val="24"/>
        </w:rPr>
        <w:t>, “</w:t>
      </w:r>
      <w:r w:rsidRPr="006D197F">
        <w:rPr>
          <w:rFonts w:ascii="Times New Roman" w:hAnsi="Times New Roman" w:cs="Times New Roman"/>
          <w:i/>
          <w:iCs/>
          <w:sz w:val="24"/>
          <w:szCs w:val="24"/>
        </w:rPr>
        <w:t xml:space="preserve">Il contratto di </w:t>
      </w:r>
      <w:proofErr w:type="spellStart"/>
      <w:r w:rsidRPr="006D197F">
        <w:rPr>
          <w:rFonts w:ascii="Times New Roman" w:hAnsi="Times New Roman" w:cs="Times New Roman"/>
          <w:i/>
          <w:iCs/>
          <w:sz w:val="24"/>
          <w:szCs w:val="24"/>
        </w:rPr>
        <w:t>Influencer</w:t>
      </w:r>
      <w:proofErr w:type="spellEnd"/>
      <w:r w:rsidRPr="006D197F">
        <w:rPr>
          <w:rFonts w:ascii="Times New Roman" w:hAnsi="Times New Roman" w:cs="Times New Roman"/>
          <w:i/>
          <w:iCs/>
          <w:sz w:val="24"/>
          <w:szCs w:val="24"/>
        </w:rPr>
        <w:t xml:space="preserve"> marketing: profili civilistici del rapporto tra brand ed </w:t>
      </w:r>
      <w:proofErr w:type="spellStart"/>
      <w:r w:rsidRPr="006D197F">
        <w:rPr>
          <w:rFonts w:ascii="Times New Roman" w:hAnsi="Times New Roman" w:cs="Times New Roman"/>
          <w:i/>
          <w:iCs/>
          <w:sz w:val="24"/>
          <w:szCs w:val="24"/>
        </w:rPr>
        <w:t>influencer</w:t>
      </w:r>
      <w:proofErr w:type="spellEnd"/>
      <w:r w:rsidRPr="006D197F">
        <w:rPr>
          <w:rFonts w:ascii="Times New Roman" w:hAnsi="Times New Roman" w:cs="Times New Roman"/>
          <w:sz w:val="24"/>
          <w:szCs w:val="24"/>
        </w:rPr>
        <w:t xml:space="preserve">”, su </w:t>
      </w:r>
      <w:r w:rsidRPr="006D197F">
        <w:rPr>
          <w:rFonts w:ascii="Times New Roman" w:hAnsi="Times New Roman" w:cs="Times New Roman"/>
          <w:i/>
          <w:iCs/>
          <w:sz w:val="24"/>
          <w:szCs w:val="24"/>
        </w:rPr>
        <w:t>iusinitinere.it</w:t>
      </w:r>
      <w:r>
        <w:rPr>
          <w:rFonts w:ascii="Times New Roman" w:hAnsi="Times New Roman" w:cs="Times New Roman"/>
          <w:i/>
          <w:iCs/>
          <w:sz w:val="24"/>
          <w:szCs w:val="24"/>
        </w:rPr>
        <w:t xml:space="preserve">, </w:t>
      </w:r>
      <w:r w:rsidRPr="001409DC">
        <w:rPr>
          <w:rFonts w:ascii="Times New Roman" w:hAnsi="Times New Roman" w:cs="Times New Roman"/>
          <w:sz w:val="24"/>
          <w:szCs w:val="24"/>
        </w:rPr>
        <w:t>28 maggio 2020.</w:t>
      </w:r>
    </w:p>
  </w:footnote>
  <w:footnote w:id="193">
    <w:p w14:paraId="67D8CB80" w14:textId="49152A38" w:rsidR="000463A6" w:rsidRPr="00B33AE4" w:rsidRDefault="000463A6" w:rsidP="00AE2EA3">
      <w:pPr>
        <w:pStyle w:val="Testonotaapidipagina"/>
        <w:jc w:val="both"/>
        <w:rPr>
          <w:rFonts w:ascii="Times New Roman" w:hAnsi="Times New Roman" w:cs="Times New Roman"/>
          <w:sz w:val="24"/>
          <w:szCs w:val="24"/>
        </w:rPr>
      </w:pPr>
      <w:r w:rsidRPr="00B33AE4">
        <w:rPr>
          <w:rStyle w:val="Rimandonotaapidipagina"/>
          <w:rFonts w:ascii="Times New Roman" w:hAnsi="Times New Roman" w:cs="Times New Roman"/>
          <w:sz w:val="24"/>
          <w:szCs w:val="24"/>
        </w:rPr>
        <w:footnoteRef/>
      </w:r>
      <w:r w:rsidRPr="00B33AE4">
        <w:rPr>
          <w:rFonts w:ascii="Times New Roman" w:hAnsi="Times New Roman" w:cs="Times New Roman"/>
          <w:sz w:val="24"/>
          <w:szCs w:val="24"/>
        </w:rPr>
        <w:t xml:space="preserve"> L’ordinanza è commentata da </w:t>
      </w:r>
      <w:r w:rsidRPr="00B33AE4">
        <w:rPr>
          <w:rFonts w:ascii="Times New Roman" w:hAnsi="Times New Roman" w:cs="Times New Roman"/>
          <w:smallCaps/>
          <w:sz w:val="24"/>
          <w:szCs w:val="24"/>
        </w:rPr>
        <w:t xml:space="preserve">S. </w:t>
      </w:r>
      <w:proofErr w:type="spellStart"/>
      <w:r w:rsidRPr="00B33AE4">
        <w:rPr>
          <w:rFonts w:ascii="Times New Roman" w:hAnsi="Times New Roman" w:cs="Times New Roman"/>
          <w:smallCaps/>
          <w:sz w:val="24"/>
          <w:szCs w:val="24"/>
        </w:rPr>
        <w:t>Giancone</w:t>
      </w:r>
      <w:proofErr w:type="spellEnd"/>
      <w:r w:rsidRPr="00B33AE4">
        <w:rPr>
          <w:rFonts w:ascii="Times New Roman" w:hAnsi="Times New Roman" w:cs="Times New Roman"/>
          <w:sz w:val="24"/>
          <w:szCs w:val="24"/>
        </w:rPr>
        <w:t>, “</w:t>
      </w:r>
      <w:proofErr w:type="spellStart"/>
      <w:r w:rsidRPr="00B33AE4">
        <w:rPr>
          <w:rFonts w:ascii="Times New Roman" w:hAnsi="Times New Roman" w:cs="Times New Roman"/>
          <w:i/>
          <w:iCs/>
          <w:sz w:val="24"/>
          <w:szCs w:val="24"/>
        </w:rPr>
        <w:t>Influencer</w:t>
      </w:r>
      <w:proofErr w:type="spellEnd"/>
      <w:r w:rsidRPr="00B33AE4">
        <w:rPr>
          <w:rFonts w:ascii="Times New Roman" w:hAnsi="Times New Roman" w:cs="Times New Roman"/>
          <w:i/>
          <w:iCs/>
          <w:sz w:val="24"/>
          <w:szCs w:val="24"/>
        </w:rPr>
        <w:t xml:space="preserve"> e social network: quando l’uso di un marchio altrui è un atto illecito</w:t>
      </w:r>
      <w:r w:rsidRPr="00B33AE4">
        <w:rPr>
          <w:rFonts w:ascii="Times New Roman" w:hAnsi="Times New Roman" w:cs="Times New Roman"/>
          <w:sz w:val="24"/>
          <w:szCs w:val="24"/>
        </w:rPr>
        <w:t xml:space="preserve">”, su </w:t>
      </w:r>
      <w:r w:rsidRPr="00B33AE4">
        <w:rPr>
          <w:rFonts w:ascii="Times New Roman" w:hAnsi="Times New Roman" w:cs="Times New Roman"/>
          <w:i/>
          <w:iCs/>
          <w:sz w:val="24"/>
          <w:szCs w:val="24"/>
        </w:rPr>
        <w:t>iusinitinere.it</w:t>
      </w:r>
      <w:r>
        <w:rPr>
          <w:rFonts w:ascii="Times New Roman" w:hAnsi="Times New Roman" w:cs="Times New Roman"/>
          <w:sz w:val="24"/>
          <w:szCs w:val="24"/>
        </w:rPr>
        <w:t>, 8 ottobre 2020.</w:t>
      </w:r>
    </w:p>
  </w:footnote>
  <w:footnote w:id="194">
    <w:p w14:paraId="6E8678C1" w14:textId="3BC123EA" w:rsidR="000463A6" w:rsidRPr="00B33AE4" w:rsidRDefault="000463A6" w:rsidP="00B33AE4">
      <w:pPr>
        <w:pStyle w:val="Testonotaapidipagina"/>
        <w:jc w:val="both"/>
        <w:rPr>
          <w:rFonts w:ascii="Times New Roman" w:hAnsi="Times New Roman" w:cs="Times New Roman"/>
          <w:sz w:val="24"/>
          <w:szCs w:val="24"/>
        </w:rPr>
      </w:pPr>
      <w:r w:rsidRPr="00B33AE4">
        <w:rPr>
          <w:rStyle w:val="Rimandonotaapidipagina"/>
          <w:rFonts w:ascii="Times New Roman" w:hAnsi="Times New Roman" w:cs="Times New Roman"/>
          <w:sz w:val="24"/>
          <w:szCs w:val="24"/>
        </w:rPr>
        <w:footnoteRef/>
      </w:r>
      <w:r w:rsidRPr="00B33AE4">
        <w:rPr>
          <w:rFonts w:ascii="Times New Roman" w:hAnsi="Times New Roman" w:cs="Times New Roman"/>
          <w:sz w:val="24"/>
          <w:szCs w:val="24"/>
        </w:rPr>
        <w:t xml:space="preserve"> </w:t>
      </w:r>
      <w:r>
        <w:rPr>
          <w:rFonts w:ascii="Times New Roman" w:hAnsi="Times New Roman" w:cs="Times New Roman"/>
          <w:sz w:val="24"/>
          <w:szCs w:val="24"/>
        </w:rPr>
        <w:t>Sul tema, v.</w:t>
      </w:r>
      <w:r w:rsidRPr="00B33AE4">
        <w:rPr>
          <w:rFonts w:ascii="Times New Roman" w:hAnsi="Times New Roman" w:cs="Times New Roman"/>
          <w:sz w:val="24"/>
          <w:szCs w:val="24"/>
        </w:rPr>
        <w:t xml:space="preserve"> </w:t>
      </w:r>
      <w:r w:rsidRPr="00B33AE4">
        <w:rPr>
          <w:rFonts w:ascii="Times New Roman" w:hAnsi="Times New Roman" w:cs="Times New Roman"/>
          <w:smallCaps/>
          <w:sz w:val="24"/>
          <w:szCs w:val="24"/>
        </w:rPr>
        <w:t>L. Berto</w:t>
      </w:r>
      <w:r w:rsidRPr="00B33AE4">
        <w:rPr>
          <w:rFonts w:ascii="Times New Roman" w:hAnsi="Times New Roman" w:cs="Times New Roman"/>
          <w:sz w:val="24"/>
          <w:szCs w:val="24"/>
        </w:rPr>
        <w:t xml:space="preserve">, </w:t>
      </w:r>
      <w:r>
        <w:rPr>
          <w:rFonts w:ascii="Times New Roman" w:hAnsi="Times New Roman" w:cs="Times New Roman"/>
          <w:sz w:val="24"/>
          <w:szCs w:val="24"/>
        </w:rPr>
        <w:t>“</w:t>
      </w:r>
      <w:r w:rsidRPr="00B33AE4">
        <w:rPr>
          <w:rFonts w:ascii="Times New Roman" w:hAnsi="Times New Roman" w:cs="Times New Roman"/>
          <w:i/>
          <w:iCs/>
          <w:sz w:val="24"/>
          <w:szCs w:val="24"/>
        </w:rPr>
        <w:t xml:space="preserve">E’ possibile registrare un </w:t>
      </w:r>
      <w:proofErr w:type="spellStart"/>
      <w:r w:rsidRPr="00B33AE4">
        <w:rPr>
          <w:rFonts w:ascii="Times New Roman" w:hAnsi="Times New Roman" w:cs="Times New Roman"/>
          <w:i/>
          <w:iCs/>
          <w:sz w:val="24"/>
          <w:szCs w:val="24"/>
        </w:rPr>
        <w:t>hashtag</w:t>
      </w:r>
      <w:proofErr w:type="spellEnd"/>
      <w:r w:rsidRPr="00B33AE4">
        <w:rPr>
          <w:rFonts w:ascii="Times New Roman" w:hAnsi="Times New Roman" w:cs="Times New Roman"/>
          <w:i/>
          <w:iCs/>
          <w:sz w:val="24"/>
          <w:szCs w:val="24"/>
        </w:rPr>
        <w:t xml:space="preserve"> come marchio?</w:t>
      </w:r>
      <w:r w:rsidRPr="00B33AE4">
        <w:rPr>
          <w:rFonts w:ascii="Times New Roman" w:hAnsi="Times New Roman" w:cs="Times New Roman"/>
          <w:sz w:val="24"/>
          <w:szCs w:val="24"/>
        </w:rPr>
        <w:t xml:space="preserve">”, su </w:t>
      </w:r>
      <w:r w:rsidRPr="00B33AE4">
        <w:rPr>
          <w:rFonts w:ascii="Times New Roman" w:hAnsi="Times New Roman" w:cs="Times New Roman"/>
          <w:i/>
          <w:iCs/>
          <w:sz w:val="24"/>
          <w:szCs w:val="24"/>
        </w:rPr>
        <w:t>iusinitinere.it</w:t>
      </w:r>
      <w:r>
        <w:rPr>
          <w:rFonts w:ascii="Times New Roman" w:hAnsi="Times New Roman" w:cs="Times New Roman"/>
          <w:sz w:val="24"/>
          <w:szCs w:val="24"/>
        </w:rPr>
        <w:t>, 13 novembre 2017.</w:t>
      </w:r>
    </w:p>
  </w:footnote>
  <w:footnote w:id="195">
    <w:p w14:paraId="12EB404C" w14:textId="2CEC9A89" w:rsidR="000463A6" w:rsidRPr="00B33AE4" w:rsidRDefault="000463A6" w:rsidP="00CC1C45">
      <w:pPr>
        <w:pStyle w:val="Testonotaapidipagina"/>
        <w:jc w:val="both"/>
        <w:rPr>
          <w:rFonts w:ascii="Times New Roman" w:hAnsi="Times New Roman" w:cs="Times New Roman"/>
          <w:sz w:val="24"/>
          <w:szCs w:val="24"/>
        </w:rPr>
      </w:pPr>
      <w:r w:rsidRPr="00B33AE4">
        <w:rPr>
          <w:rStyle w:val="Rimandonotaapidipagina"/>
          <w:rFonts w:ascii="Times New Roman" w:hAnsi="Times New Roman" w:cs="Times New Roman"/>
          <w:sz w:val="24"/>
          <w:szCs w:val="24"/>
        </w:rPr>
        <w:footnoteRef/>
      </w:r>
      <w:r w:rsidRPr="00B33AE4">
        <w:rPr>
          <w:rFonts w:ascii="Times New Roman" w:hAnsi="Times New Roman" w:cs="Times New Roman"/>
          <w:sz w:val="24"/>
          <w:szCs w:val="24"/>
        </w:rPr>
        <w:t xml:space="preserve"> Tribunale di Milano, sentenza n. 830/2018 del 25 gennaio 2018, commentata da </w:t>
      </w:r>
      <w:r w:rsidRPr="00B33AE4">
        <w:rPr>
          <w:rFonts w:ascii="Times New Roman" w:hAnsi="Times New Roman" w:cs="Times New Roman"/>
          <w:smallCaps/>
          <w:sz w:val="24"/>
          <w:szCs w:val="24"/>
        </w:rPr>
        <w:t>E. Badiali</w:t>
      </w:r>
      <w:r w:rsidRPr="00B33AE4">
        <w:rPr>
          <w:rFonts w:ascii="Times New Roman" w:hAnsi="Times New Roman" w:cs="Times New Roman"/>
          <w:sz w:val="24"/>
          <w:szCs w:val="24"/>
        </w:rPr>
        <w:t>, “</w:t>
      </w:r>
      <w:r w:rsidRPr="00B33AE4">
        <w:rPr>
          <w:rFonts w:ascii="Times New Roman" w:hAnsi="Times New Roman" w:cs="Times New Roman"/>
          <w:i/>
          <w:iCs/>
          <w:sz w:val="24"/>
          <w:szCs w:val="24"/>
        </w:rPr>
        <w:t xml:space="preserve">Il caso Barilla e la tutela del marchio rinomato: commento alla </w:t>
      </w:r>
      <w:proofErr w:type="spellStart"/>
      <w:r w:rsidRPr="00B33AE4">
        <w:rPr>
          <w:rFonts w:ascii="Times New Roman" w:hAnsi="Times New Roman" w:cs="Times New Roman"/>
          <w:i/>
          <w:iCs/>
          <w:sz w:val="24"/>
          <w:szCs w:val="24"/>
        </w:rPr>
        <w:t>sent</w:t>
      </w:r>
      <w:proofErr w:type="spellEnd"/>
      <w:r w:rsidRPr="00B33AE4">
        <w:rPr>
          <w:rFonts w:ascii="Times New Roman" w:hAnsi="Times New Roman" w:cs="Times New Roman"/>
          <w:i/>
          <w:iCs/>
          <w:sz w:val="24"/>
          <w:szCs w:val="24"/>
        </w:rPr>
        <w:t>. n. 830/2018 del Tribunale di Milano</w:t>
      </w:r>
      <w:r w:rsidRPr="00B33AE4">
        <w:rPr>
          <w:rFonts w:ascii="Times New Roman" w:hAnsi="Times New Roman" w:cs="Times New Roman"/>
          <w:sz w:val="24"/>
          <w:szCs w:val="24"/>
        </w:rPr>
        <w:t xml:space="preserve">”, su </w:t>
      </w:r>
      <w:r w:rsidRPr="00B33AE4">
        <w:rPr>
          <w:rFonts w:ascii="Times New Roman" w:hAnsi="Times New Roman" w:cs="Times New Roman"/>
          <w:i/>
          <w:iCs/>
          <w:sz w:val="24"/>
          <w:szCs w:val="24"/>
        </w:rPr>
        <w:t>iusinitinere.it</w:t>
      </w:r>
      <w:r w:rsidRPr="00B33AE4">
        <w:rPr>
          <w:rFonts w:ascii="Times New Roman" w:hAnsi="Times New Roman" w:cs="Times New Roman"/>
          <w:sz w:val="24"/>
          <w:szCs w:val="24"/>
        </w:rPr>
        <w:t>, luglio 2018.</w:t>
      </w:r>
    </w:p>
  </w:footnote>
  <w:footnote w:id="196">
    <w:p w14:paraId="5BFC764B" w14:textId="1798CD6D" w:rsidR="000463A6" w:rsidRPr="001E1F75" w:rsidRDefault="000463A6" w:rsidP="00CC1C45">
      <w:pPr>
        <w:pStyle w:val="Testonotaapidipagina"/>
        <w:jc w:val="both"/>
        <w:rPr>
          <w:rFonts w:ascii="Times New Roman" w:hAnsi="Times New Roman" w:cs="Times New Roman"/>
          <w:sz w:val="24"/>
          <w:szCs w:val="24"/>
        </w:rPr>
      </w:pPr>
      <w:r w:rsidRPr="00B33AE4">
        <w:rPr>
          <w:rStyle w:val="Rimandonotaapidipagina"/>
          <w:rFonts w:ascii="Times New Roman" w:hAnsi="Times New Roman" w:cs="Times New Roman"/>
          <w:sz w:val="24"/>
          <w:szCs w:val="24"/>
        </w:rPr>
        <w:footnoteRef/>
      </w:r>
      <w:r w:rsidRPr="00B33AE4">
        <w:rPr>
          <w:rFonts w:ascii="Times New Roman" w:hAnsi="Times New Roman" w:cs="Times New Roman"/>
          <w:sz w:val="24"/>
          <w:szCs w:val="24"/>
        </w:rPr>
        <w:t xml:space="preserve"> </w:t>
      </w:r>
      <w:r>
        <w:rPr>
          <w:rFonts w:ascii="Times New Roman" w:hAnsi="Times New Roman" w:cs="Times New Roman"/>
          <w:sz w:val="24"/>
          <w:szCs w:val="24"/>
        </w:rPr>
        <w:t>Il testo è a</w:t>
      </w:r>
      <w:r w:rsidRPr="00B33AE4">
        <w:rPr>
          <w:rFonts w:ascii="Times New Roman" w:hAnsi="Times New Roman" w:cs="Times New Roman"/>
          <w:sz w:val="24"/>
          <w:szCs w:val="24"/>
        </w:rPr>
        <w:t>ccessibile</w:t>
      </w:r>
      <w:r w:rsidRPr="00B33AE4">
        <w:rPr>
          <w:rFonts w:ascii="Times New Roman" w:hAnsi="Times New Roman" w:cs="Times New Roman"/>
          <w:sz w:val="24"/>
          <w:szCs w:val="24"/>
        </w:rPr>
        <w:tab/>
        <w:t xml:space="preserve"> da </w:t>
      </w:r>
      <w:hyperlink r:id="rId58" w:history="1">
        <w:r w:rsidRPr="00B33AE4">
          <w:rPr>
            <w:rStyle w:val="Collegamentoipertestuale"/>
            <w:rFonts w:ascii="Times New Roman" w:hAnsi="Times New Roman" w:cs="Times New Roman"/>
            <w:sz w:val="24"/>
            <w:szCs w:val="24"/>
          </w:rPr>
          <w:t>https://euipo.europa.eu/tunnel-web/secure/webdav/guest/document_library/observatory/documents/reports/2021_Social_Media/2021_Social_Media_Discussion_Paper_FullR_en.pdf</w:t>
        </w:r>
      </w:hyperlink>
      <w:r w:rsidRPr="00B33AE4">
        <w:rPr>
          <w:rFonts w:ascii="Times New Roman" w:hAnsi="Times New Roman" w:cs="Times New Roman"/>
          <w:sz w:val="24"/>
          <w:szCs w:val="24"/>
        </w:rPr>
        <w:t>.</w:t>
      </w:r>
    </w:p>
  </w:footnote>
  <w:footnote w:id="197">
    <w:p w14:paraId="68B93C78" w14:textId="23B1F6B4" w:rsidR="000463A6" w:rsidRPr="00FF48FB" w:rsidRDefault="000463A6" w:rsidP="001E1F75">
      <w:pPr>
        <w:pStyle w:val="Testonotaapidipagina"/>
        <w:jc w:val="both"/>
        <w:rPr>
          <w:rFonts w:ascii="Times New Roman" w:hAnsi="Times New Roman" w:cs="Times New Roman"/>
          <w:sz w:val="24"/>
          <w:szCs w:val="24"/>
        </w:rPr>
      </w:pPr>
      <w:r w:rsidRPr="00FF48FB">
        <w:rPr>
          <w:rStyle w:val="Rimandonotaapidipagina"/>
          <w:rFonts w:ascii="Times New Roman" w:hAnsi="Times New Roman" w:cs="Times New Roman"/>
          <w:sz w:val="24"/>
          <w:szCs w:val="24"/>
        </w:rPr>
        <w:footnoteRef/>
      </w:r>
      <w:r w:rsidRPr="00FF48FB">
        <w:rPr>
          <w:rFonts w:ascii="Times New Roman" w:hAnsi="Times New Roman" w:cs="Times New Roman"/>
          <w:sz w:val="24"/>
          <w:szCs w:val="24"/>
        </w:rPr>
        <w:t xml:space="preserve"> Pronunciata nell’ambito del procedimento cautelare n. </w:t>
      </w:r>
      <w:proofErr w:type="spellStart"/>
      <w:r w:rsidRPr="00FF48FB">
        <w:rPr>
          <w:rFonts w:ascii="Times New Roman" w:hAnsi="Times New Roman" w:cs="Times New Roman"/>
          <w:sz w:val="24"/>
          <w:szCs w:val="24"/>
        </w:rPr>
        <w:t>r.g</w:t>
      </w:r>
      <w:proofErr w:type="spellEnd"/>
      <w:r w:rsidRPr="00FF48FB">
        <w:rPr>
          <w:rFonts w:ascii="Times New Roman" w:hAnsi="Times New Roman" w:cs="Times New Roman"/>
          <w:sz w:val="24"/>
          <w:szCs w:val="24"/>
        </w:rPr>
        <w:t>. 23037/2019, disponibile su</w:t>
      </w:r>
      <w:r w:rsidRPr="00FF48FB">
        <w:rPr>
          <w:rFonts w:ascii="Times New Roman" w:hAnsi="Times New Roman" w:cs="Times New Roman"/>
          <w:sz w:val="24"/>
          <w:szCs w:val="24"/>
        </w:rPr>
        <w:tab/>
      </w:r>
      <w:hyperlink r:id="rId59" w:history="1">
        <w:r w:rsidRPr="00FF48FB">
          <w:rPr>
            <w:rStyle w:val="Collegamentoipertestuale"/>
            <w:rFonts w:ascii="Times New Roman" w:hAnsi="Times New Roman" w:cs="Times New Roman"/>
            <w:sz w:val="24"/>
            <w:szCs w:val="24"/>
          </w:rPr>
          <w:t>https://www.sistemaproprietaintellettuale.it/giurisprudenza/procedimenti-giurisdizionali/merito/17542-tribunale-milano-ord-15-10-2019-marchio-registrato-inibitoria-all-uso-del-marchio-marchio-figurativo-uso-segno-distintivo-di-ramo-di-azienda-acquistato-contraffazione.html?title=Tribunale%20Milano%20(ord.),%2015/10/2019</w:t>
        </w:r>
      </w:hyperlink>
      <w:r w:rsidRPr="00FF48FB">
        <w:rPr>
          <w:rFonts w:ascii="Times New Roman" w:hAnsi="Times New Roman" w:cs="Times New Roman"/>
          <w:sz w:val="24"/>
          <w:szCs w:val="24"/>
        </w:rPr>
        <w:t>.</w:t>
      </w:r>
    </w:p>
  </w:footnote>
  <w:footnote w:id="198">
    <w:p w14:paraId="4B344289" w14:textId="034335B0" w:rsidR="000463A6" w:rsidRPr="00FF48FB" w:rsidRDefault="000463A6" w:rsidP="00EE2A5C">
      <w:pPr>
        <w:pStyle w:val="Testonotaapidipagina"/>
        <w:jc w:val="both"/>
        <w:rPr>
          <w:rFonts w:ascii="Times New Roman" w:hAnsi="Times New Roman" w:cs="Times New Roman"/>
          <w:sz w:val="24"/>
          <w:szCs w:val="24"/>
        </w:rPr>
      </w:pPr>
      <w:r w:rsidRPr="00FF48FB">
        <w:rPr>
          <w:rStyle w:val="Rimandonotaapidipagina"/>
          <w:rFonts w:ascii="Times New Roman" w:hAnsi="Times New Roman" w:cs="Times New Roman"/>
          <w:sz w:val="24"/>
          <w:szCs w:val="24"/>
        </w:rPr>
        <w:footnoteRef/>
      </w:r>
      <w:r w:rsidRPr="00FF48FB">
        <w:rPr>
          <w:rFonts w:ascii="Times New Roman" w:hAnsi="Times New Roman" w:cs="Times New Roman"/>
          <w:sz w:val="24"/>
          <w:szCs w:val="24"/>
        </w:rPr>
        <w:t xml:space="preserve"> Il testo della direttiva sull’applicazione dei diritti di proprietà intellettuale (IPRED) è disponibile su </w:t>
      </w:r>
      <w:hyperlink r:id="rId60" w:history="1">
        <w:r w:rsidRPr="00FF48FB">
          <w:rPr>
            <w:rStyle w:val="Collegamentoipertestuale"/>
            <w:rFonts w:ascii="Times New Roman" w:hAnsi="Times New Roman" w:cs="Times New Roman"/>
            <w:sz w:val="24"/>
            <w:szCs w:val="24"/>
          </w:rPr>
          <w:t>https://eur-lex.europa.eu/LexUriServ/LexUriServ.do?uri=CELEX:32004L0048R(01):IT:HTML</w:t>
        </w:r>
      </w:hyperlink>
      <w:r w:rsidRPr="00FF48FB">
        <w:rPr>
          <w:rFonts w:ascii="Times New Roman" w:hAnsi="Times New Roman" w:cs="Times New Roman"/>
          <w:sz w:val="24"/>
          <w:szCs w:val="24"/>
        </w:rPr>
        <w:t>.</w:t>
      </w:r>
    </w:p>
  </w:footnote>
  <w:footnote w:id="199">
    <w:p w14:paraId="395D7F62" w14:textId="6ECE4359" w:rsidR="000463A6" w:rsidRPr="00FF48FB" w:rsidRDefault="000463A6" w:rsidP="00EE2A5C">
      <w:pPr>
        <w:pStyle w:val="Testonotaapidipagina"/>
        <w:jc w:val="both"/>
        <w:rPr>
          <w:rFonts w:ascii="Times New Roman" w:hAnsi="Times New Roman" w:cs="Times New Roman"/>
          <w:sz w:val="24"/>
          <w:szCs w:val="24"/>
        </w:rPr>
      </w:pPr>
      <w:r w:rsidRPr="00FF48FB">
        <w:rPr>
          <w:rStyle w:val="Rimandonotaapidipagina"/>
          <w:rFonts w:ascii="Times New Roman" w:hAnsi="Times New Roman" w:cs="Times New Roman"/>
          <w:sz w:val="24"/>
          <w:szCs w:val="24"/>
        </w:rPr>
        <w:footnoteRef/>
      </w:r>
      <w:r w:rsidRPr="00FF48FB">
        <w:rPr>
          <w:rFonts w:ascii="Times New Roman" w:hAnsi="Times New Roman" w:cs="Times New Roman"/>
          <w:sz w:val="24"/>
          <w:szCs w:val="24"/>
        </w:rPr>
        <w:t xml:space="preserve"> Il testo della direttiva sull’armonizzazione di alcuni aspetti del </w:t>
      </w:r>
      <w:proofErr w:type="gramStart"/>
      <w:r w:rsidRPr="00FF48FB">
        <w:rPr>
          <w:rFonts w:ascii="Times New Roman" w:hAnsi="Times New Roman" w:cs="Times New Roman"/>
          <w:sz w:val="24"/>
          <w:szCs w:val="24"/>
        </w:rPr>
        <w:t>copyright</w:t>
      </w:r>
      <w:proofErr w:type="gramEnd"/>
      <w:r w:rsidRPr="00FF48FB">
        <w:rPr>
          <w:rFonts w:ascii="Times New Roman" w:hAnsi="Times New Roman" w:cs="Times New Roman"/>
          <w:sz w:val="24"/>
          <w:szCs w:val="24"/>
        </w:rPr>
        <w:t xml:space="preserve"> e altri diritti nella società dell’informazione (INFOSOC) è accessibile su </w:t>
      </w:r>
      <w:hyperlink r:id="rId61" w:history="1">
        <w:r w:rsidRPr="00FF48FB">
          <w:rPr>
            <w:rStyle w:val="Collegamentoipertestuale"/>
            <w:rFonts w:ascii="Times New Roman" w:hAnsi="Times New Roman" w:cs="Times New Roman"/>
            <w:sz w:val="24"/>
            <w:szCs w:val="24"/>
          </w:rPr>
          <w:t>https://eur-lex.europa.eu/legal-content/IT/TXT/PDF/?uri=CELEX:32001L0029&amp;from=IT</w:t>
        </w:r>
      </w:hyperlink>
      <w:r w:rsidRPr="00FF48FB">
        <w:rPr>
          <w:rFonts w:ascii="Times New Roman" w:hAnsi="Times New Roman" w:cs="Times New Roman"/>
          <w:sz w:val="24"/>
          <w:szCs w:val="24"/>
        </w:rPr>
        <w:t>.</w:t>
      </w:r>
    </w:p>
  </w:footnote>
  <w:footnote w:id="200">
    <w:p w14:paraId="56ADA736" w14:textId="064064C1" w:rsidR="000463A6" w:rsidRPr="00FF48FB" w:rsidRDefault="000463A6" w:rsidP="00EE2A5C">
      <w:pPr>
        <w:pStyle w:val="Testonotaapidipagina"/>
        <w:jc w:val="both"/>
        <w:rPr>
          <w:rFonts w:ascii="Times New Roman" w:hAnsi="Times New Roman" w:cs="Times New Roman"/>
          <w:sz w:val="24"/>
          <w:szCs w:val="24"/>
        </w:rPr>
      </w:pPr>
      <w:r w:rsidRPr="00FF48FB">
        <w:rPr>
          <w:rStyle w:val="Rimandonotaapidipagina"/>
          <w:rFonts w:ascii="Times New Roman" w:hAnsi="Times New Roman" w:cs="Times New Roman"/>
          <w:sz w:val="24"/>
          <w:szCs w:val="24"/>
        </w:rPr>
        <w:footnoteRef/>
      </w:r>
      <w:r w:rsidRPr="00FF48FB">
        <w:rPr>
          <w:rFonts w:ascii="Times New Roman" w:hAnsi="Times New Roman" w:cs="Times New Roman"/>
          <w:sz w:val="24"/>
          <w:szCs w:val="24"/>
        </w:rPr>
        <w:t xml:space="preserve"> Il testo della direttiva </w:t>
      </w:r>
      <w:proofErr w:type="gramStart"/>
      <w:r w:rsidRPr="009D36BF">
        <w:rPr>
          <w:rFonts w:ascii="Times New Roman" w:hAnsi="Times New Roman" w:cs="Times New Roman"/>
          <w:i/>
          <w:iCs/>
          <w:sz w:val="24"/>
          <w:szCs w:val="24"/>
        </w:rPr>
        <w:t>Copyright</w:t>
      </w:r>
      <w:proofErr w:type="gramEnd"/>
      <w:r w:rsidRPr="00FF48FB">
        <w:rPr>
          <w:rFonts w:ascii="Times New Roman" w:hAnsi="Times New Roman" w:cs="Times New Roman"/>
          <w:sz w:val="24"/>
          <w:szCs w:val="24"/>
        </w:rPr>
        <w:t xml:space="preserve"> è disponibile su </w:t>
      </w:r>
      <w:hyperlink r:id="rId62" w:history="1">
        <w:r w:rsidRPr="00FF48FB">
          <w:rPr>
            <w:rStyle w:val="Collegamentoipertestuale"/>
            <w:rFonts w:ascii="Times New Roman" w:hAnsi="Times New Roman" w:cs="Times New Roman"/>
            <w:sz w:val="24"/>
            <w:szCs w:val="24"/>
          </w:rPr>
          <w:t>https://eur-lex.europa.eu/legal-content/IT/TXT/PDF/?uri=CELEX:32019L0790&amp;from=RO</w:t>
        </w:r>
      </w:hyperlink>
      <w:r>
        <w:rPr>
          <w:rFonts w:ascii="Times New Roman" w:hAnsi="Times New Roman" w:cs="Times New Roman"/>
          <w:sz w:val="24"/>
          <w:szCs w:val="24"/>
        </w:rPr>
        <w:t xml:space="preserve">; v. anche </w:t>
      </w:r>
      <w:r w:rsidRPr="009D36BF">
        <w:rPr>
          <w:rFonts w:ascii="Times New Roman" w:hAnsi="Times New Roman" w:cs="Times New Roman"/>
          <w:smallCaps/>
          <w:sz w:val="24"/>
          <w:szCs w:val="24"/>
        </w:rPr>
        <w:t>L. Serra</w:t>
      </w:r>
      <w:r>
        <w:rPr>
          <w:rFonts w:ascii="Times New Roman" w:hAnsi="Times New Roman" w:cs="Times New Roman"/>
          <w:sz w:val="24"/>
          <w:szCs w:val="24"/>
        </w:rPr>
        <w:t>, “</w:t>
      </w:r>
      <w:r w:rsidRPr="009D36BF">
        <w:rPr>
          <w:rFonts w:ascii="Times New Roman" w:hAnsi="Times New Roman" w:cs="Times New Roman"/>
          <w:i/>
          <w:iCs/>
          <w:sz w:val="24"/>
          <w:szCs w:val="24"/>
        </w:rPr>
        <w:t>Copyright e diritti nel mercato digitale: attuata la Direttiva UE</w:t>
      </w:r>
      <w:r>
        <w:rPr>
          <w:rFonts w:ascii="Times New Roman" w:hAnsi="Times New Roman" w:cs="Times New Roman"/>
          <w:sz w:val="24"/>
          <w:szCs w:val="24"/>
        </w:rPr>
        <w:t xml:space="preserve">”, su </w:t>
      </w:r>
      <w:r w:rsidRPr="009D36BF">
        <w:rPr>
          <w:rFonts w:ascii="Times New Roman" w:hAnsi="Times New Roman" w:cs="Times New Roman"/>
          <w:i/>
          <w:iCs/>
          <w:sz w:val="24"/>
          <w:szCs w:val="24"/>
        </w:rPr>
        <w:t>altalex.com</w:t>
      </w:r>
      <w:r>
        <w:rPr>
          <w:rFonts w:ascii="Times New Roman" w:hAnsi="Times New Roman" w:cs="Times New Roman"/>
          <w:sz w:val="24"/>
          <w:szCs w:val="24"/>
        </w:rPr>
        <w:t>.</w:t>
      </w:r>
    </w:p>
  </w:footnote>
  <w:footnote w:id="201">
    <w:p w14:paraId="067D5F8D" w14:textId="4D97D2C5" w:rsidR="000463A6" w:rsidRPr="00FF48FB" w:rsidRDefault="000463A6" w:rsidP="00EE2A5C">
      <w:pPr>
        <w:pStyle w:val="Testonotaapidipagina"/>
        <w:jc w:val="both"/>
        <w:rPr>
          <w:rFonts w:ascii="Times New Roman" w:hAnsi="Times New Roman" w:cs="Times New Roman"/>
          <w:sz w:val="24"/>
          <w:szCs w:val="24"/>
        </w:rPr>
      </w:pPr>
      <w:r w:rsidRPr="00FF48FB">
        <w:rPr>
          <w:rStyle w:val="Rimandonotaapidipagina"/>
          <w:rFonts w:ascii="Times New Roman" w:hAnsi="Times New Roman" w:cs="Times New Roman"/>
          <w:sz w:val="24"/>
          <w:szCs w:val="24"/>
        </w:rPr>
        <w:footnoteRef/>
      </w:r>
      <w:r w:rsidRPr="00FF48FB">
        <w:rPr>
          <w:rFonts w:ascii="Times New Roman" w:hAnsi="Times New Roman" w:cs="Times New Roman"/>
          <w:sz w:val="24"/>
          <w:szCs w:val="24"/>
        </w:rPr>
        <w:t xml:space="preserve"> </w:t>
      </w:r>
      <w:r>
        <w:rPr>
          <w:rFonts w:ascii="Times New Roman" w:hAnsi="Times New Roman" w:cs="Times New Roman"/>
          <w:sz w:val="24"/>
          <w:szCs w:val="24"/>
        </w:rPr>
        <w:t xml:space="preserve">Il testo della direttiva </w:t>
      </w:r>
      <w:r w:rsidRPr="009D36BF">
        <w:rPr>
          <w:rFonts w:ascii="Times New Roman" w:hAnsi="Times New Roman" w:cs="Times New Roman"/>
          <w:i/>
          <w:iCs/>
          <w:sz w:val="24"/>
          <w:szCs w:val="24"/>
        </w:rPr>
        <w:t>e-Privacy</w:t>
      </w:r>
      <w:r>
        <w:rPr>
          <w:rFonts w:ascii="Times New Roman" w:hAnsi="Times New Roman" w:cs="Times New Roman"/>
          <w:sz w:val="24"/>
          <w:szCs w:val="24"/>
        </w:rPr>
        <w:t xml:space="preserve"> è a</w:t>
      </w:r>
      <w:r w:rsidRPr="00FF48FB">
        <w:rPr>
          <w:rFonts w:ascii="Times New Roman" w:hAnsi="Times New Roman" w:cs="Times New Roman"/>
          <w:sz w:val="24"/>
          <w:szCs w:val="24"/>
        </w:rPr>
        <w:t xml:space="preserve">ccessibile da </w:t>
      </w:r>
      <w:hyperlink r:id="rId63" w:history="1">
        <w:r w:rsidRPr="00FF48FB">
          <w:rPr>
            <w:rStyle w:val="Collegamentoipertestuale"/>
            <w:rFonts w:ascii="Times New Roman" w:hAnsi="Times New Roman" w:cs="Times New Roman"/>
            <w:sz w:val="24"/>
            <w:szCs w:val="24"/>
          </w:rPr>
          <w:t>https://eur-lex.europa.eu/legal-content/IT/TXT/PDF/?uri=CELEX:32002L0058&amp;from=IT</w:t>
        </w:r>
      </w:hyperlink>
      <w:r w:rsidRPr="00FF48FB">
        <w:rPr>
          <w:rFonts w:ascii="Times New Roman" w:hAnsi="Times New Roman" w:cs="Times New Roman"/>
          <w:sz w:val="24"/>
          <w:szCs w:val="24"/>
        </w:rPr>
        <w:t>.</w:t>
      </w:r>
    </w:p>
  </w:footnote>
  <w:footnote w:id="202">
    <w:p w14:paraId="5E6FE19C" w14:textId="07A2928E" w:rsidR="000463A6" w:rsidRPr="00EE2A5C" w:rsidRDefault="000463A6" w:rsidP="00EE2A5C">
      <w:pPr>
        <w:pStyle w:val="Testonotaapidipagina"/>
        <w:jc w:val="both"/>
        <w:rPr>
          <w:rFonts w:ascii="Times New Roman" w:hAnsi="Times New Roman" w:cs="Times New Roman"/>
          <w:sz w:val="24"/>
          <w:szCs w:val="24"/>
        </w:rPr>
      </w:pPr>
      <w:r w:rsidRPr="00FF48FB">
        <w:rPr>
          <w:rStyle w:val="Rimandonotaapidipagina"/>
          <w:rFonts w:ascii="Times New Roman" w:hAnsi="Times New Roman" w:cs="Times New Roman"/>
          <w:sz w:val="24"/>
          <w:szCs w:val="24"/>
        </w:rPr>
        <w:footnoteRef/>
      </w:r>
      <w:r w:rsidRPr="00FF48FB">
        <w:rPr>
          <w:rFonts w:ascii="Times New Roman" w:hAnsi="Times New Roman" w:cs="Times New Roman"/>
          <w:sz w:val="24"/>
          <w:szCs w:val="24"/>
        </w:rPr>
        <w:t xml:space="preserve"> </w:t>
      </w:r>
      <w:r>
        <w:rPr>
          <w:rFonts w:ascii="Times New Roman" w:hAnsi="Times New Roman" w:cs="Times New Roman"/>
          <w:sz w:val="24"/>
          <w:szCs w:val="24"/>
        </w:rPr>
        <w:t>Il testo è a</w:t>
      </w:r>
      <w:r w:rsidRPr="00FF48FB">
        <w:rPr>
          <w:rFonts w:ascii="Times New Roman" w:hAnsi="Times New Roman" w:cs="Times New Roman"/>
          <w:sz w:val="24"/>
          <w:szCs w:val="24"/>
        </w:rPr>
        <w:t xml:space="preserve">ccessibile da </w:t>
      </w:r>
      <w:hyperlink r:id="rId64" w:history="1">
        <w:r w:rsidRPr="00FF48FB">
          <w:rPr>
            <w:rStyle w:val="Collegamentoipertestuale"/>
            <w:rFonts w:ascii="Times New Roman" w:hAnsi="Times New Roman" w:cs="Times New Roman"/>
            <w:sz w:val="24"/>
            <w:szCs w:val="24"/>
          </w:rPr>
          <w:t>https://eur-lex.europa.eu/legal-content/IT/TXT/PDF/?uri=CELEX:32018L1972</w:t>
        </w:r>
      </w:hyperlink>
      <w:r>
        <w:rPr>
          <w:rFonts w:ascii="Times New Roman" w:hAnsi="Times New Roman" w:cs="Times New Roman"/>
          <w:sz w:val="24"/>
          <w:szCs w:val="24"/>
        </w:rPr>
        <w:t xml:space="preserve">; v. anche </w:t>
      </w:r>
      <w:r w:rsidRPr="009D36BF">
        <w:rPr>
          <w:rFonts w:ascii="Times New Roman" w:hAnsi="Times New Roman" w:cs="Times New Roman"/>
          <w:smallCaps/>
          <w:sz w:val="24"/>
          <w:szCs w:val="24"/>
        </w:rPr>
        <w:t xml:space="preserve">R. </w:t>
      </w:r>
      <w:proofErr w:type="spellStart"/>
      <w:r w:rsidRPr="009D36BF">
        <w:rPr>
          <w:rFonts w:ascii="Times New Roman" w:hAnsi="Times New Roman" w:cs="Times New Roman"/>
          <w:smallCaps/>
          <w:sz w:val="24"/>
          <w:szCs w:val="24"/>
        </w:rPr>
        <w:t>Jacchia</w:t>
      </w:r>
      <w:proofErr w:type="spellEnd"/>
      <w:r w:rsidRPr="009D36BF">
        <w:rPr>
          <w:rFonts w:ascii="Times New Roman" w:hAnsi="Times New Roman" w:cs="Times New Roman"/>
          <w:smallCaps/>
          <w:sz w:val="24"/>
          <w:szCs w:val="24"/>
        </w:rPr>
        <w:t>, M. Stillo</w:t>
      </w:r>
      <w:r>
        <w:rPr>
          <w:rFonts w:ascii="Times New Roman" w:hAnsi="Times New Roman" w:cs="Times New Roman"/>
          <w:sz w:val="24"/>
          <w:szCs w:val="24"/>
        </w:rPr>
        <w:t>, “</w:t>
      </w:r>
      <w:r w:rsidRPr="009D36BF">
        <w:rPr>
          <w:rFonts w:ascii="Times New Roman" w:hAnsi="Times New Roman" w:cs="Times New Roman"/>
          <w:i/>
          <w:iCs/>
          <w:sz w:val="24"/>
          <w:szCs w:val="24"/>
        </w:rPr>
        <w:t>Codice Ue delle comunicazioni elettroniche: la nuova normativa per un mercato più accessibile e sicuro</w:t>
      </w:r>
      <w:r>
        <w:rPr>
          <w:rFonts w:ascii="Times New Roman" w:hAnsi="Times New Roman" w:cs="Times New Roman"/>
          <w:sz w:val="24"/>
          <w:szCs w:val="24"/>
        </w:rPr>
        <w:t xml:space="preserve">”, su </w:t>
      </w:r>
      <w:r w:rsidRPr="009D36BF">
        <w:rPr>
          <w:rFonts w:ascii="Times New Roman" w:hAnsi="Times New Roman" w:cs="Times New Roman"/>
          <w:i/>
          <w:iCs/>
          <w:sz w:val="24"/>
          <w:szCs w:val="24"/>
        </w:rPr>
        <w:t>agendadigitale.eu</w:t>
      </w:r>
      <w:r>
        <w:rPr>
          <w:rFonts w:ascii="Times New Roman" w:hAnsi="Times New Roman" w:cs="Times New Roman"/>
          <w:sz w:val="24"/>
          <w:szCs w:val="24"/>
        </w:rPr>
        <w:t>, 30 aprile 2021.</w:t>
      </w:r>
    </w:p>
  </w:footnote>
  <w:footnote w:id="203">
    <w:p w14:paraId="6E3A347D" w14:textId="322161C3" w:rsidR="000463A6" w:rsidRPr="00FF4977" w:rsidRDefault="000463A6" w:rsidP="00896C07">
      <w:pPr>
        <w:pStyle w:val="Testonotaapidipagina"/>
        <w:jc w:val="both"/>
        <w:rPr>
          <w:rFonts w:ascii="Times New Roman" w:hAnsi="Times New Roman" w:cs="Times New Roman"/>
          <w:sz w:val="24"/>
          <w:szCs w:val="24"/>
        </w:rPr>
      </w:pPr>
      <w:r w:rsidRPr="00FF4977">
        <w:rPr>
          <w:rStyle w:val="Rimandonotaapidipagina"/>
          <w:rFonts w:ascii="Times New Roman" w:hAnsi="Times New Roman" w:cs="Times New Roman"/>
          <w:sz w:val="24"/>
          <w:szCs w:val="24"/>
        </w:rPr>
        <w:footnoteRef/>
      </w:r>
      <w:r w:rsidRPr="00FF4977">
        <w:rPr>
          <w:rFonts w:ascii="Times New Roman" w:hAnsi="Times New Roman" w:cs="Times New Roman"/>
          <w:sz w:val="24"/>
          <w:szCs w:val="24"/>
        </w:rPr>
        <w:t xml:space="preserve"> Ad esempio, informazioni chiare sui soggetti legittimati ad effettuare la segnalazione, sugli elementi da includervi </w:t>
      </w:r>
      <w:proofErr w:type="spellStart"/>
      <w:r w:rsidRPr="00FF4977">
        <w:rPr>
          <w:rFonts w:ascii="Times New Roman" w:hAnsi="Times New Roman" w:cs="Times New Roman"/>
          <w:sz w:val="24"/>
          <w:szCs w:val="24"/>
        </w:rPr>
        <w:t>ecc</w:t>
      </w:r>
      <w:proofErr w:type="spellEnd"/>
      <w:r w:rsidRPr="00FF4977">
        <w:rPr>
          <w:rFonts w:ascii="Times New Roman" w:hAnsi="Times New Roman" w:cs="Times New Roman"/>
          <w:sz w:val="24"/>
          <w:szCs w:val="24"/>
        </w:rPr>
        <w:t xml:space="preserve">; possibilità di segnalare molteplici violazioni mediante un singolo </w:t>
      </w:r>
      <w:r w:rsidRPr="00FF4977">
        <w:rPr>
          <w:rFonts w:ascii="Times New Roman" w:hAnsi="Times New Roman" w:cs="Times New Roman"/>
          <w:i/>
          <w:iCs/>
          <w:sz w:val="24"/>
          <w:szCs w:val="24"/>
        </w:rPr>
        <w:t>report</w:t>
      </w:r>
      <w:r w:rsidRPr="00FF4977">
        <w:rPr>
          <w:rFonts w:ascii="Times New Roman" w:hAnsi="Times New Roman" w:cs="Times New Roman"/>
          <w:sz w:val="24"/>
          <w:szCs w:val="24"/>
        </w:rPr>
        <w:t>; informare tempestivamente il soggetto segnalante dell’avvenuta rimozione del contenuto illecito.</w:t>
      </w:r>
    </w:p>
  </w:footnote>
  <w:footnote w:id="204">
    <w:p w14:paraId="06241185" w14:textId="43DE1CCE" w:rsidR="000463A6" w:rsidRPr="00896C07" w:rsidRDefault="000463A6" w:rsidP="00EE2A5C">
      <w:pPr>
        <w:pStyle w:val="Testonotaapidipagina"/>
        <w:jc w:val="both"/>
        <w:rPr>
          <w:rFonts w:ascii="Times New Roman" w:hAnsi="Times New Roman" w:cs="Times New Roman"/>
          <w:sz w:val="24"/>
          <w:szCs w:val="24"/>
        </w:rPr>
      </w:pPr>
      <w:r w:rsidRPr="00FF4977">
        <w:rPr>
          <w:rStyle w:val="Rimandonotaapidipagina"/>
          <w:rFonts w:ascii="Times New Roman" w:hAnsi="Times New Roman" w:cs="Times New Roman"/>
          <w:sz w:val="24"/>
          <w:szCs w:val="24"/>
        </w:rPr>
        <w:footnoteRef/>
      </w:r>
      <w:r w:rsidRPr="00FF4977">
        <w:rPr>
          <w:rFonts w:ascii="Times New Roman" w:hAnsi="Times New Roman" w:cs="Times New Roman"/>
          <w:sz w:val="24"/>
          <w:szCs w:val="24"/>
        </w:rPr>
        <w:t xml:space="preserve"> Accessibile da </w:t>
      </w:r>
      <w:hyperlink r:id="rId65" w:history="1">
        <w:r w:rsidRPr="00FF4977">
          <w:rPr>
            <w:rStyle w:val="Collegamentoipertestuale"/>
            <w:rFonts w:ascii="Times New Roman" w:hAnsi="Times New Roman" w:cs="Times New Roman"/>
            <w:sz w:val="24"/>
            <w:szCs w:val="24"/>
          </w:rPr>
          <w:t>https://eur-lex.europa.eu/legal-content/IT/TXT/HTML/?uri=CELEX:62016CJ0231&amp;from=it</w:t>
        </w:r>
      </w:hyperlink>
      <w:r w:rsidRPr="00FF4977">
        <w:rPr>
          <w:rFonts w:ascii="Times New Roman" w:hAnsi="Times New Roman" w:cs="Times New Roman"/>
          <w:sz w:val="24"/>
          <w:szCs w:val="24"/>
        </w:rPr>
        <w:t>.</w:t>
      </w:r>
    </w:p>
  </w:footnote>
  <w:footnote w:id="205">
    <w:p w14:paraId="4C74C347" w14:textId="14510B29" w:rsidR="000463A6" w:rsidRPr="00627CD5" w:rsidRDefault="000463A6" w:rsidP="00E238E7">
      <w:pPr>
        <w:pStyle w:val="Testonotaapidipagina"/>
        <w:jc w:val="both"/>
        <w:rPr>
          <w:rFonts w:ascii="Times New Roman" w:hAnsi="Times New Roman" w:cs="Times New Roman"/>
          <w:sz w:val="24"/>
          <w:szCs w:val="24"/>
        </w:rPr>
      </w:pPr>
      <w:r w:rsidRPr="00627CD5">
        <w:rPr>
          <w:rStyle w:val="Rimandonotaapidipagina"/>
          <w:rFonts w:ascii="Times New Roman" w:hAnsi="Times New Roman" w:cs="Times New Roman"/>
          <w:sz w:val="24"/>
          <w:szCs w:val="24"/>
        </w:rPr>
        <w:footnoteRef/>
      </w:r>
      <w:r w:rsidRPr="00627CD5">
        <w:rPr>
          <w:rFonts w:ascii="Times New Roman" w:hAnsi="Times New Roman" w:cs="Times New Roman"/>
          <w:sz w:val="24"/>
          <w:szCs w:val="24"/>
        </w:rPr>
        <w:t xml:space="preserve"> Accessibile da </w:t>
      </w:r>
      <w:hyperlink r:id="rId66" w:history="1">
        <w:r w:rsidRPr="00627CD5">
          <w:rPr>
            <w:rStyle w:val="Collegamentoipertestuale"/>
            <w:rFonts w:ascii="Times New Roman" w:hAnsi="Times New Roman" w:cs="Times New Roman"/>
            <w:sz w:val="24"/>
            <w:szCs w:val="24"/>
          </w:rPr>
          <w:t>https://eur-lex.europa.eu/legal-content/IT/TXT/PDF/?uri=CELEX:52017XX0623(01)&amp;from=EL</w:t>
        </w:r>
      </w:hyperlink>
      <w:r w:rsidRPr="00627CD5">
        <w:rPr>
          <w:rFonts w:ascii="Times New Roman" w:hAnsi="Times New Roman" w:cs="Times New Roman"/>
          <w:sz w:val="24"/>
          <w:szCs w:val="24"/>
        </w:rPr>
        <w:t>.</w:t>
      </w:r>
    </w:p>
  </w:footnote>
  <w:footnote w:id="206">
    <w:p w14:paraId="7C162CA5" w14:textId="691D1361" w:rsidR="000463A6" w:rsidRPr="000551DE" w:rsidRDefault="000463A6" w:rsidP="00E238E7">
      <w:pPr>
        <w:pStyle w:val="Testonotaapidipagina"/>
        <w:jc w:val="both"/>
        <w:rPr>
          <w:rFonts w:ascii="Times New Roman" w:hAnsi="Times New Roman" w:cs="Times New Roman"/>
          <w:sz w:val="24"/>
          <w:szCs w:val="24"/>
        </w:rPr>
      </w:pPr>
      <w:r w:rsidRPr="000551DE">
        <w:rPr>
          <w:rStyle w:val="Rimandonotaapidipagina"/>
          <w:rFonts w:ascii="Times New Roman" w:hAnsi="Times New Roman" w:cs="Times New Roman"/>
          <w:sz w:val="24"/>
          <w:szCs w:val="24"/>
        </w:rPr>
        <w:footnoteRef/>
      </w:r>
      <w:r w:rsidRPr="000551DE">
        <w:rPr>
          <w:rFonts w:ascii="Times New Roman" w:hAnsi="Times New Roman" w:cs="Times New Roman"/>
          <w:sz w:val="24"/>
          <w:szCs w:val="24"/>
        </w:rPr>
        <w:t xml:space="preserve"> Il testo del provvedimento è accessibile su </w:t>
      </w:r>
      <w:hyperlink r:id="rId67" w:history="1">
        <w:r w:rsidRPr="000551DE">
          <w:rPr>
            <w:rStyle w:val="Collegamentoipertestuale"/>
            <w:rFonts w:ascii="Times New Roman" w:hAnsi="Times New Roman" w:cs="Times New Roman"/>
            <w:sz w:val="24"/>
            <w:szCs w:val="24"/>
          </w:rPr>
          <w:t>https://www.agcm.it/dotcmsDOC/allegati-news/IP278_ch.%20inott.%20%20sanz.pdf</w:t>
        </w:r>
      </w:hyperlink>
      <w:r w:rsidRPr="000551DE">
        <w:rPr>
          <w:rFonts w:ascii="Times New Roman" w:hAnsi="Times New Roman" w:cs="Times New Roman"/>
          <w:sz w:val="24"/>
          <w:szCs w:val="24"/>
        </w:rPr>
        <w:t>.</w:t>
      </w:r>
    </w:p>
  </w:footnote>
  <w:footnote w:id="207">
    <w:p w14:paraId="1F95BA68" w14:textId="24804D2A" w:rsidR="000463A6" w:rsidRDefault="000463A6" w:rsidP="00E238E7">
      <w:pPr>
        <w:pStyle w:val="Testonotaapidipagina"/>
        <w:jc w:val="both"/>
      </w:pPr>
      <w:r w:rsidRPr="000551DE">
        <w:rPr>
          <w:rStyle w:val="Rimandonotaapidipagina"/>
          <w:rFonts w:ascii="Times New Roman" w:hAnsi="Times New Roman" w:cs="Times New Roman"/>
          <w:sz w:val="24"/>
          <w:szCs w:val="24"/>
        </w:rPr>
        <w:footnoteRef/>
      </w:r>
      <w:r w:rsidRPr="000551DE">
        <w:rPr>
          <w:rFonts w:ascii="Times New Roman" w:hAnsi="Times New Roman" w:cs="Times New Roman"/>
          <w:sz w:val="24"/>
          <w:szCs w:val="24"/>
        </w:rPr>
        <w:t xml:space="preserve"> Il testo del provvedimento è accessibile su </w:t>
      </w:r>
      <w:hyperlink r:id="rId68" w:history="1">
        <w:r w:rsidRPr="000551DE">
          <w:rPr>
            <w:rStyle w:val="Collegamentoipertestuale"/>
            <w:rFonts w:ascii="Times New Roman" w:hAnsi="Times New Roman" w:cs="Times New Roman"/>
            <w:sz w:val="24"/>
            <w:szCs w:val="24"/>
          </w:rPr>
          <w:t>https://www.agcm.it/dotcmsdoc/allegati-news/PS11112_scorr_sanz.pdf</w:t>
        </w:r>
      </w:hyperlink>
      <w:r w:rsidRPr="000551DE">
        <w:rPr>
          <w:rFonts w:ascii="Times New Roman" w:hAnsi="Times New Roman" w:cs="Times New Roman"/>
          <w:sz w:val="24"/>
          <w:szCs w:val="24"/>
        </w:rPr>
        <w:t>.</w:t>
      </w:r>
    </w:p>
  </w:footnote>
  <w:footnote w:id="208">
    <w:p w14:paraId="2BCCCD83" w14:textId="5F52500C" w:rsidR="000463A6" w:rsidRPr="00B74D89" w:rsidRDefault="000463A6" w:rsidP="00E238E7">
      <w:pPr>
        <w:pStyle w:val="Testonotaapidipagina"/>
        <w:jc w:val="both"/>
        <w:rPr>
          <w:rFonts w:ascii="Times New Roman" w:hAnsi="Times New Roman" w:cs="Times New Roman"/>
          <w:sz w:val="24"/>
          <w:szCs w:val="24"/>
        </w:rPr>
      </w:pPr>
      <w:r w:rsidRPr="00B74D89">
        <w:rPr>
          <w:rStyle w:val="Rimandonotaapidipagina"/>
          <w:rFonts w:ascii="Times New Roman" w:hAnsi="Times New Roman" w:cs="Times New Roman"/>
          <w:sz w:val="24"/>
          <w:szCs w:val="24"/>
        </w:rPr>
        <w:footnoteRef/>
      </w:r>
      <w:r w:rsidRPr="00B74D89">
        <w:rPr>
          <w:rFonts w:ascii="Times New Roman" w:hAnsi="Times New Roman" w:cs="Times New Roman"/>
          <w:sz w:val="24"/>
          <w:szCs w:val="24"/>
        </w:rPr>
        <w:t xml:space="preserve"> T.A.R. Roma</w:t>
      </w:r>
      <w:r>
        <w:rPr>
          <w:rFonts w:ascii="Times New Roman" w:hAnsi="Times New Roman" w:cs="Times New Roman"/>
          <w:sz w:val="24"/>
          <w:szCs w:val="24"/>
        </w:rPr>
        <w:t xml:space="preserve"> </w:t>
      </w:r>
      <w:r w:rsidRPr="00B74D89">
        <w:rPr>
          <w:rFonts w:ascii="Times New Roman" w:hAnsi="Times New Roman" w:cs="Times New Roman"/>
          <w:sz w:val="24"/>
          <w:szCs w:val="24"/>
        </w:rPr>
        <w:t>(Lazio)</w:t>
      </w:r>
      <w:r>
        <w:rPr>
          <w:rFonts w:ascii="Times New Roman" w:hAnsi="Times New Roman" w:cs="Times New Roman"/>
          <w:sz w:val="24"/>
          <w:szCs w:val="24"/>
        </w:rPr>
        <w:t>,</w:t>
      </w:r>
      <w:r w:rsidRPr="00B74D89">
        <w:rPr>
          <w:rFonts w:ascii="Times New Roman" w:hAnsi="Times New Roman" w:cs="Times New Roman"/>
          <w:sz w:val="24"/>
          <w:szCs w:val="24"/>
        </w:rPr>
        <w:t xml:space="preserve"> sez. I, 10/01/2020, n. 260, disponibile su </w:t>
      </w:r>
      <w:r w:rsidRPr="00B74D89">
        <w:rPr>
          <w:rFonts w:ascii="Times New Roman" w:hAnsi="Times New Roman" w:cs="Times New Roman"/>
          <w:i/>
          <w:iCs/>
          <w:sz w:val="24"/>
          <w:szCs w:val="24"/>
        </w:rPr>
        <w:t>dejure.it</w:t>
      </w:r>
      <w:r w:rsidRPr="00B74D89">
        <w:rPr>
          <w:rFonts w:ascii="Times New Roman" w:hAnsi="Times New Roman" w:cs="Times New Roman"/>
          <w:sz w:val="24"/>
          <w:szCs w:val="24"/>
        </w:rPr>
        <w:t>, commentata da “</w:t>
      </w:r>
      <w:proofErr w:type="spellStart"/>
      <w:r w:rsidRPr="00B74D89">
        <w:rPr>
          <w:rFonts w:ascii="Times New Roman" w:hAnsi="Times New Roman" w:cs="Times New Roman"/>
          <w:i/>
          <w:iCs/>
          <w:sz w:val="24"/>
          <w:szCs w:val="24"/>
        </w:rPr>
        <w:t>Facebook</w:t>
      </w:r>
      <w:proofErr w:type="spellEnd"/>
      <w:r w:rsidRPr="00B74D89">
        <w:rPr>
          <w:rFonts w:ascii="Times New Roman" w:hAnsi="Times New Roman" w:cs="Times New Roman"/>
          <w:i/>
          <w:iCs/>
          <w:sz w:val="24"/>
          <w:szCs w:val="24"/>
        </w:rPr>
        <w:t>, è scorretta la pratica che prevede la cessione a terzi dei dati degli iscritti senza un adeguato consenso</w:t>
      </w:r>
      <w:r w:rsidRPr="00B74D89">
        <w:rPr>
          <w:rFonts w:ascii="Times New Roman" w:hAnsi="Times New Roman" w:cs="Times New Roman"/>
          <w:sz w:val="24"/>
          <w:szCs w:val="24"/>
        </w:rPr>
        <w:t xml:space="preserve">”, su </w:t>
      </w:r>
      <w:r w:rsidRPr="00B74D89">
        <w:rPr>
          <w:rFonts w:ascii="Times New Roman" w:hAnsi="Times New Roman" w:cs="Times New Roman"/>
          <w:i/>
          <w:iCs/>
          <w:sz w:val="24"/>
          <w:szCs w:val="24"/>
        </w:rPr>
        <w:t>Diritto &amp; Giustizia,</w:t>
      </w:r>
      <w:r>
        <w:rPr>
          <w:rFonts w:ascii="Times New Roman" w:hAnsi="Times New Roman" w:cs="Times New Roman"/>
          <w:i/>
          <w:iCs/>
          <w:sz w:val="24"/>
          <w:szCs w:val="24"/>
        </w:rPr>
        <w:t xml:space="preserve"> </w:t>
      </w:r>
      <w:r w:rsidRPr="00B74D89">
        <w:rPr>
          <w:rFonts w:ascii="Times New Roman" w:hAnsi="Times New Roman" w:cs="Times New Roman"/>
          <w:sz w:val="24"/>
          <w:szCs w:val="24"/>
        </w:rPr>
        <w:t>13 gennaio</w:t>
      </w:r>
      <w:r>
        <w:rPr>
          <w:rFonts w:ascii="Times New Roman" w:hAnsi="Times New Roman" w:cs="Times New Roman"/>
          <w:sz w:val="24"/>
          <w:szCs w:val="24"/>
        </w:rPr>
        <w:t xml:space="preserve"> </w:t>
      </w:r>
      <w:r w:rsidRPr="00B74D89">
        <w:rPr>
          <w:rFonts w:ascii="Times New Roman" w:hAnsi="Times New Roman" w:cs="Times New Roman"/>
          <w:sz w:val="24"/>
          <w:szCs w:val="24"/>
        </w:rPr>
        <w:t>2020</w:t>
      </w:r>
      <w:r>
        <w:rPr>
          <w:rFonts w:ascii="Times New Roman" w:hAnsi="Times New Roman" w:cs="Times New Roman"/>
          <w:sz w:val="24"/>
          <w:szCs w:val="24"/>
        </w:rPr>
        <w:t>.</w:t>
      </w:r>
    </w:p>
  </w:footnote>
  <w:footnote w:id="209">
    <w:p w14:paraId="34B6A0D0" w14:textId="3E9267DE" w:rsidR="000463A6" w:rsidRPr="00D60A41" w:rsidRDefault="000463A6" w:rsidP="00D60A41">
      <w:pPr>
        <w:pStyle w:val="Testonotaapidipagina"/>
        <w:jc w:val="both"/>
        <w:rPr>
          <w:rFonts w:ascii="Times New Roman" w:hAnsi="Times New Roman" w:cs="Times New Roman"/>
          <w:sz w:val="24"/>
          <w:szCs w:val="24"/>
        </w:rPr>
      </w:pPr>
      <w:r w:rsidRPr="00B74D89">
        <w:rPr>
          <w:rStyle w:val="Rimandonotaapidipagina"/>
          <w:rFonts w:ascii="Times New Roman" w:hAnsi="Times New Roman" w:cs="Times New Roman"/>
          <w:sz w:val="24"/>
          <w:szCs w:val="24"/>
        </w:rPr>
        <w:footnoteRef/>
      </w:r>
      <w:r w:rsidRPr="00B74D89">
        <w:rPr>
          <w:rFonts w:ascii="Times New Roman" w:hAnsi="Times New Roman" w:cs="Times New Roman"/>
          <w:sz w:val="24"/>
          <w:szCs w:val="24"/>
        </w:rPr>
        <w:t xml:space="preserve"> Consiglio di Stato, sez. VI, 29/03/2021, n. 2631, disponibile su </w:t>
      </w:r>
      <w:r w:rsidRPr="00B74D89">
        <w:rPr>
          <w:rFonts w:ascii="Times New Roman" w:hAnsi="Times New Roman" w:cs="Times New Roman"/>
          <w:i/>
          <w:iCs/>
          <w:sz w:val="24"/>
          <w:szCs w:val="24"/>
        </w:rPr>
        <w:t>dejure.it</w:t>
      </w:r>
      <w:r w:rsidRPr="00B74D89">
        <w:rPr>
          <w:rFonts w:ascii="Times New Roman" w:hAnsi="Times New Roman" w:cs="Times New Roman"/>
          <w:sz w:val="24"/>
          <w:szCs w:val="24"/>
        </w:rPr>
        <w:t>; note a sentenza: I</w:t>
      </w:r>
      <w:r w:rsidRPr="00B74D89">
        <w:rPr>
          <w:rFonts w:ascii="Times New Roman" w:hAnsi="Times New Roman" w:cs="Times New Roman"/>
          <w:smallCaps/>
          <w:sz w:val="24"/>
          <w:szCs w:val="24"/>
        </w:rPr>
        <w:t>. M. Alagna,</w:t>
      </w:r>
      <w:r w:rsidRPr="00B74D89">
        <w:rPr>
          <w:rFonts w:ascii="Times New Roman" w:hAnsi="Times New Roman" w:cs="Times New Roman"/>
          <w:sz w:val="24"/>
          <w:szCs w:val="24"/>
        </w:rPr>
        <w:t xml:space="preserve"> “</w:t>
      </w:r>
      <w:r w:rsidRPr="00B74D89">
        <w:rPr>
          <w:rFonts w:ascii="Times New Roman" w:hAnsi="Times New Roman" w:cs="Times New Roman"/>
          <w:i/>
          <w:iCs/>
          <w:sz w:val="24"/>
          <w:szCs w:val="24"/>
        </w:rPr>
        <w:t xml:space="preserve">Abuso dati personali di utenti: respinto in appello il ricorso di </w:t>
      </w:r>
      <w:proofErr w:type="spellStart"/>
      <w:r w:rsidRPr="00B74D89">
        <w:rPr>
          <w:rFonts w:ascii="Times New Roman" w:hAnsi="Times New Roman" w:cs="Times New Roman"/>
          <w:i/>
          <w:iCs/>
          <w:sz w:val="24"/>
          <w:szCs w:val="24"/>
        </w:rPr>
        <w:t>Facebook</w:t>
      </w:r>
      <w:proofErr w:type="spellEnd"/>
      <w:r w:rsidRPr="00B74D89">
        <w:rPr>
          <w:rFonts w:ascii="Times New Roman" w:hAnsi="Times New Roman" w:cs="Times New Roman"/>
          <w:i/>
          <w:iCs/>
          <w:sz w:val="24"/>
          <w:szCs w:val="24"/>
        </w:rPr>
        <w:t xml:space="preserve"> contro l’Antitrust</w:t>
      </w:r>
      <w:r w:rsidRPr="00B74D89">
        <w:rPr>
          <w:rFonts w:ascii="Times New Roman" w:hAnsi="Times New Roman" w:cs="Times New Roman"/>
          <w:sz w:val="24"/>
          <w:szCs w:val="24"/>
        </w:rPr>
        <w:t xml:space="preserve">”, </w:t>
      </w:r>
      <w:r w:rsidRPr="00B74D89">
        <w:rPr>
          <w:rFonts w:ascii="Times New Roman" w:hAnsi="Times New Roman" w:cs="Times New Roman"/>
          <w:i/>
          <w:iCs/>
          <w:sz w:val="24"/>
          <w:szCs w:val="24"/>
        </w:rPr>
        <w:t>Diritto &amp; Giustizia</w:t>
      </w:r>
      <w:r w:rsidRPr="00B74D89">
        <w:rPr>
          <w:rFonts w:ascii="Times New Roman" w:hAnsi="Times New Roman" w:cs="Times New Roman"/>
          <w:sz w:val="24"/>
          <w:szCs w:val="24"/>
        </w:rPr>
        <w:t xml:space="preserve">, fasc. 74, 2021, pag. 9; </w:t>
      </w:r>
      <w:r w:rsidRPr="00B74D89">
        <w:rPr>
          <w:rFonts w:ascii="Times New Roman" w:hAnsi="Times New Roman" w:cs="Times New Roman"/>
          <w:smallCaps/>
          <w:sz w:val="24"/>
          <w:szCs w:val="24"/>
        </w:rPr>
        <w:t xml:space="preserve">V. Ricciuto, C. </w:t>
      </w:r>
      <w:proofErr w:type="spellStart"/>
      <w:r w:rsidRPr="00B74D89">
        <w:rPr>
          <w:rFonts w:ascii="Times New Roman" w:hAnsi="Times New Roman" w:cs="Times New Roman"/>
          <w:smallCaps/>
          <w:sz w:val="24"/>
          <w:szCs w:val="24"/>
        </w:rPr>
        <w:t>Solinas</w:t>
      </w:r>
      <w:proofErr w:type="spellEnd"/>
      <w:r w:rsidRPr="00B74D89">
        <w:rPr>
          <w:rFonts w:ascii="Times New Roman" w:hAnsi="Times New Roman" w:cs="Times New Roman"/>
          <w:smallCaps/>
          <w:sz w:val="24"/>
          <w:szCs w:val="24"/>
        </w:rPr>
        <w:t>,</w:t>
      </w:r>
      <w:r w:rsidRPr="00B74D89">
        <w:rPr>
          <w:rFonts w:ascii="Times New Roman" w:hAnsi="Times New Roman" w:cs="Times New Roman"/>
          <w:sz w:val="24"/>
          <w:szCs w:val="24"/>
        </w:rPr>
        <w:t xml:space="preserve"> “</w:t>
      </w:r>
      <w:r w:rsidRPr="00B74D89">
        <w:rPr>
          <w:rFonts w:ascii="Times New Roman" w:hAnsi="Times New Roman" w:cs="Times New Roman"/>
          <w:i/>
          <w:iCs/>
          <w:sz w:val="24"/>
          <w:szCs w:val="24"/>
        </w:rPr>
        <w:t>Fornitura di servizi digitali e prestazione di dati personali: punti fermi ed ambiguità sulla corrispettività del contratto</w:t>
      </w:r>
      <w:r w:rsidRPr="00B74D89">
        <w:rPr>
          <w:rFonts w:ascii="Times New Roman" w:hAnsi="Times New Roman" w:cs="Times New Roman"/>
          <w:sz w:val="24"/>
          <w:szCs w:val="24"/>
        </w:rPr>
        <w:t xml:space="preserve">”, </w:t>
      </w:r>
      <w:r w:rsidRPr="00B74D89">
        <w:rPr>
          <w:rFonts w:ascii="Times New Roman" w:hAnsi="Times New Roman" w:cs="Times New Roman"/>
          <w:i/>
          <w:iCs/>
          <w:sz w:val="24"/>
          <w:szCs w:val="24"/>
        </w:rPr>
        <w:t>GiustiziaCivile.com</w:t>
      </w:r>
      <w:r w:rsidRPr="00B74D89">
        <w:rPr>
          <w:rFonts w:ascii="Times New Roman" w:hAnsi="Times New Roman" w:cs="Times New Roman"/>
          <w:sz w:val="24"/>
          <w:szCs w:val="24"/>
        </w:rPr>
        <w:t>, 18 maggio 2021.</w:t>
      </w:r>
    </w:p>
  </w:footnote>
  <w:footnote w:id="210">
    <w:p w14:paraId="6D015F36" w14:textId="2081452E" w:rsidR="000463A6" w:rsidRPr="00222772" w:rsidRDefault="000463A6" w:rsidP="00DC61CD">
      <w:pPr>
        <w:pStyle w:val="Testonotaapidipagina"/>
        <w:jc w:val="both"/>
        <w:rPr>
          <w:rFonts w:ascii="Times New Roman" w:hAnsi="Times New Roman" w:cs="Times New Roman"/>
          <w:sz w:val="24"/>
          <w:szCs w:val="24"/>
        </w:rPr>
      </w:pPr>
      <w:r w:rsidRPr="00222772">
        <w:rPr>
          <w:rStyle w:val="Rimandonotaapidipagina"/>
          <w:rFonts w:ascii="Times New Roman" w:hAnsi="Times New Roman" w:cs="Times New Roman"/>
          <w:sz w:val="24"/>
          <w:szCs w:val="24"/>
        </w:rPr>
        <w:footnoteRef/>
      </w:r>
      <w:r w:rsidRPr="00222772">
        <w:rPr>
          <w:rFonts w:ascii="Times New Roman" w:hAnsi="Times New Roman" w:cs="Times New Roman"/>
          <w:sz w:val="24"/>
          <w:szCs w:val="24"/>
        </w:rPr>
        <w:t xml:space="preserve"> Il comma 2 contiene le definizioni, stabilendo che, per il Capo I-bis, per “</w:t>
      </w:r>
      <w:r w:rsidRPr="00222772">
        <w:rPr>
          <w:rFonts w:ascii="Times New Roman" w:hAnsi="Times New Roman" w:cs="Times New Roman"/>
          <w:i/>
          <w:iCs/>
          <w:sz w:val="24"/>
          <w:szCs w:val="24"/>
        </w:rPr>
        <w:t>contenuto digitale</w:t>
      </w:r>
      <w:r w:rsidRPr="00222772">
        <w:rPr>
          <w:rFonts w:ascii="Times New Roman" w:hAnsi="Times New Roman" w:cs="Times New Roman"/>
          <w:sz w:val="24"/>
          <w:szCs w:val="24"/>
        </w:rPr>
        <w:t>” si intendono i dati prodotti e forniti in formato digitale; per “</w:t>
      </w:r>
      <w:r w:rsidRPr="00222772">
        <w:rPr>
          <w:rFonts w:ascii="Times New Roman" w:hAnsi="Times New Roman" w:cs="Times New Roman"/>
          <w:i/>
          <w:iCs/>
          <w:sz w:val="24"/>
          <w:szCs w:val="24"/>
        </w:rPr>
        <w:t>servizio digitale</w:t>
      </w:r>
      <w:r w:rsidRPr="00222772">
        <w:rPr>
          <w:rFonts w:ascii="Times New Roman" w:hAnsi="Times New Roman" w:cs="Times New Roman"/>
          <w:sz w:val="24"/>
          <w:szCs w:val="24"/>
        </w:rPr>
        <w:t>” si intende un servizio che consente al consumatore di creare, trasformare, archiviare i dati o di accedervi in formato digitale; oppure un servizio che consente la condivisione di dati in formato digitale caricati o creati dal consumatore e da altri utenti di tale servizio o qualsiasi altra interazione con tali dati; per “</w:t>
      </w:r>
      <w:r w:rsidRPr="00222772">
        <w:rPr>
          <w:rFonts w:ascii="Times New Roman" w:hAnsi="Times New Roman" w:cs="Times New Roman"/>
          <w:i/>
          <w:iCs/>
          <w:sz w:val="24"/>
          <w:szCs w:val="24"/>
        </w:rPr>
        <w:t>beni con elementi digitali</w:t>
      </w:r>
      <w:r w:rsidRPr="00222772">
        <w:rPr>
          <w:rFonts w:ascii="Times New Roman" w:hAnsi="Times New Roman" w:cs="Times New Roman"/>
          <w:sz w:val="24"/>
          <w:szCs w:val="24"/>
        </w:rPr>
        <w:t>” si intende qualsiasi bene mobile materiale che incorpora o è interconnesso con un</w:t>
      </w:r>
    </w:p>
    <w:p w14:paraId="1808AD20" w14:textId="0E638382" w:rsidR="000463A6" w:rsidRPr="00AD66BF" w:rsidRDefault="000463A6" w:rsidP="00DC61CD">
      <w:pPr>
        <w:pStyle w:val="Testonotaapidipagina"/>
        <w:jc w:val="both"/>
        <w:rPr>
          <w:rFonts w:ascii="Times New Roman" w:hAnsi="Times New Roman" w:cs="Times New Roman"/>
          <w:sz w:val="24"/>
          <w:szCs w:val="24"/>
        </w:rPr>
      </w:pPr>
      <w:r w:rsidRPr="00222772">
        <w:rPr>
          <w:rFonts w:ascii="Times New Roman" w:hAnsi="Times New Roman" w:cs="Times New Roman"/>
          <w:sz w:val="24"/>
          <w:szCs w:val="24"/>
        </w:rPr>
        <w:t xml:space="preserve">contenuto digitale o un servizio digitale in modo tale che la mancanza di detto contenuto digitale o servizio digitale impedirebbe lo svolgimento delle funzioni del bene. L’intero testo è accessibile su </w:t>
      </w:r>
      <w:hyperlink r:id="rId69" w:history="1">
        <w:r w:rsidRPr="00222772">
          <w:rPr>
            <w:rStyle w:val="Collegamentoipertestuale"/>
            <w:rFonts w:ascii="Times New Roman" w:hAnsi="Times New Roman" w:cs="Times New Roman"/>
            <w:sz w:val="24"/>
            <w:szCs w:val="24"/>
          </w:rPr>
          <w:t>http://documenti.camera.it/leg18/dossier/pdf/TR0249.pdf</w:t>
        </w:r>
      </w:hyperlink>
      <w:r w:rsidRPr="00222772">
        <w:rPr>
          <w:rFonts w:ascii="Times New Roman" w:hAnsi="Times New Roman" w:cs="Times New Roman"/>
          <w:sz w:val="24"/>
          <w:szCs w:val="24"/>
        </w:rPr>
        <w:t>.</w:t>
      </w:r>
    </w:p>
  </w:footnote>
  <w:footnote w:id="211">
    <w:p w14:paraId="61FBA2E2" w14:textId="18BA014E" w:rsidR="000463A6" w:rsidRPr="00E7511E" w:rsidRDefault="000463A6" w:rsidP="00B20566">
      <w:pPr>
        <w:pStyle w:val="Testonotaapidipagina"/>
        <w:jc w:val="both"/>
        <w:rPr>
          <w:rFonts w:ascii="Times New Roman" w:hAnsi="Times New Roman" w:cs="Times New Roman"/>
          <w:sz w:val="24"/>
          <w:szCs w:val="24"/>
        </w:rPr>
      </w:pPr>
      <w:r w:rsidRPr="00E7511E">
        <w:rPr>
          <w:rStyle w:val="Rimandonotaapidipagina"/>
          <w:rFonts w:ascii="Times New Roman" w:hAnsi="Times New Roman" w:cs="Times New Roman"/>
          <w:sz w:val="24"/>
          <w:szCs w:val="24"/>
        </w:rPr>
        <w:footnoteRef/>
      </w:r>
      <w:r w:rsidRPr="00B20566">
        <w:rPr>
          <w:rFonts w:ascii="Times New Roman" w:hAnsi="Times New Roman" w:cs="Times New Roman"/>
          <w:sz w:val="24"/>
          <w:szCs w:val="24"/>
        </w:rPr>
        <w:t xml:space="preserve"> </w:t>
      </w:r>
      <w:proofErr w:type="spellStart"/>
      <w:r w:rsidRPr="00B20566">
        <w:rPr>
          <w:rFonts w:ascii="Times New Roman" w:hAnsi="Times New Roman" w:cs="Times New Roman"/>
          <w:sz w:val="24"/>
          <w:szCs w:val="24"/>
        </w:rPr>
        <w:t>Cass</w:t>
      </w:r>
      <w:proofErr w:type="spellEnd"/>
      <w:r w:rsidRPr="00B20566">
        <w:rPr>
          <w:rFonts w:ascii="Times New Roman" w:hAnsi="Times New Roman" w:cs="Times New Roman"/>
          <w:sz w:val="24"/>
          <w:szCs w:val="24"/>
        </w:rPr>
        <w:t xml:space="preserve">. </w:t>
      </w:r>
      <w:proofErr w:type="spellStart"/>
      <w:r w:rsidRPr="00B20566">
        <w:rPr>
          <w:rFonts w:ascii="Times New Roman" w:hAnsi="Times New Roman" w:cs="Times New Roman"/>
          <w:sz w:val="24"/>
          <w:szCs w:val="24"/>
        </w:rPr>
        <w:t>Civ</w:t>
      </w:r>
      <w:proofErr w:type="spellEnd"/>
      <w:r w:rsidRPr="00B20566">
        <w:rPr>
          <w:rFonts w:ascii="Times New Roman" w:hAnsi="Times New Roman" w:cs="Times New Roman"/>
          <w:sz w:val="24"/>
          <w:szCs w:val="24"/>
        </w:rPr>
        <w:t>., sez. I, 09/07/2018, n. 18006, dispo</w:t>
      </w:r>
      <w:r>
        <w:rPr>
          <w:rFonts w:ascii="Times New Roman" w:hAnsi="Times New Roman" w:cs="Times New Roman"/>
          <w:sz w:val="24"/>
          <w:szCs w:val="24"/>
        </w:rPr>
        <w:t xml:space="preserve">nibile su </w:t>
      </w:r>
      <w:r w:rsidRPr="00B74D89">
        <w:rPr>
          <w:rFonts w:ascii="Times New Roman" w:hAnsi="Times New Roman" w:cs="Times New Roman"/>
          <w:i/>
          <w:iCs/>
          <w:sz w:val="24"/>
          <w:szCs w:val="24"/>
        </w:rPr>
        <w:t>dejure.it</w:t>
      </w:r>
      <w:r>
        <w:rPr>
          <w:rFonts w:ascii="Times New Roman" w:hAnsi="Times New Roman" w:cs="Times New Roman"/>
          <w:sz w:val="24"/>
          <w:szCs w:val="24"/>
        </w:rPr>
        <w:t>, “</w:t>
      </w:r>
      <w:r w:rsidRPr="00B20566">
        <w:rPr>
          <w:rFonts w:ascii="Times New Roman" w:hAnsi="Times New Roman" w:cs="Times New Roman"/>
          <w:i/>
          <w:iCs/>
          <w:sz w:val="24"/>
          <w:szCs w:val="24"/>
        </w:rPr>
        <w:t>È censurabile la pratica delle interviste televisive con “riprese occulte”, ovvero tenendo la telecamera accesa all’insaputa del soggetto</w:t>
      </w:r>
      <w:r>
        <w:rPr>
          <w:rFonts w:ascii="Times New Roman" w:hAnsi="Times New Roman" w:cs="Times New Roman"/>
          <w:sz w:val="24"/>
          <w:szCs w:val="24"/>
        </w:rPr>
        <w:t xml:space="preserve">”, su </w:t>
      </w:r>
      <w:r w:rsidRPr="00B20566">
        <w:rPr>
          <w:rFonts w:ascii="Times New Roman" w:hAnsi="Times New Roman" w:cs="Times New Roman"/>
          <w:i/>
          <w:iCs/>
          <w:sz w:val="24"/>
          <w:szCs w:val="24"/>
        </w:rPr>
        <w:t>Guida al diritto</w:t>
      </w:r>
      <w:r>
        <w:rPr>
          <w:rFonts w:ascii="Times New Roman" w:hAnsi="Times New Roman" w:cs="Times New Roman"/>
          <w:i/>
          <w:iCs/>
          <w:sz w:val="24"/>
          <w:szCs w:val="24"/>
        </w:rPr>
        <w:t>,</w:t>
      </w:r>
      <w:r w:rsidRPr="00B20566">
        <w:rPr>
          <w:rFonts w:ascii="Times New Roman" w:hAnsi="Times New Roman" w:cs="Times New Roman"/>
          <w:sz w:val="24"/>
          <w:szCs w:val="24"/>
        </w:rPr>
        <w:t xml:space="preserve"> 2018, 32, 35</w:t>
      </w:r>
      <w:r>
        <w:rPr>
          <w:rFonts w:ascii="Times New Roman" w:hAnsi="Times New Roman" w:cs="Times New Roman"/>
          <w:sz w:val="24"/>
          <w:szCs w:val="24"/>
        </w:rPr>
        <w:t>.</w:t>
      </w:r>
    </w:p>
  </w:footnote>
  <w:footnote w:id="212">
    <w:p w14:paraId="2B23CAD7" w14:textId="37468A69" w:rsidR="000463A6" w:rsidRPr="00E7511E" w:rsidRDefault="000463A6" w:rsidP="00B20566">
      <w:pPr>
        <w:pStyle w:val="Testonotaapidipagina"/>
        <w:jc w:val="both"/>
        <w:rPr>
          <w:rFonts w:ascii="Times New Roman" w:hAnsi="Times New Roman" w:cs="Times New Roman"/>
          <w:sz w:val="24"/>
          <w:szCs w:val="24"/>
        </w:rPr>
      </w:pPr>
      <w:r w:rsidRPr="00E7511E">
        <w:rPr>
          <w:rStyle w:val="Rimandonotaapidipagina"/>
          <w:rFonts w:ascii="Times New Roman" w:hAnsi="Times New Roman" w:cs="Times New Roman"/>
          <w:sz w:val="24"/>
          <w:szCs w:val="24"/>
        </w:rPr>
        <w:footnoteRef/>
      </w:r>
      <w:r w:rsidRPr="00B20566">
        <w:rPr>
          <w:rFonts w:ascii="Times New Roman" w:hAnsi="Times New Roman" w:cs="Times New Roman"/>
          <w:sz w:val="24"/>
          <w:szCs w:val="24"/>
        </w:rPr>
        <w:t xml:space="preserve"> </w:t>
      </w:r>
      <w:proofErr w:type="spellStart"/>
      <w:r w:rsidRPr="00B20566">
        <w:rPr>
          <w:rFonts w:ascii="Times New Roman" w:hAnsi="Times New Roman" w:cs="Times New Roman"/>
          <w:sz w:val="24"/>
          <w:szCs w:val="24"/>
        </w:rPr>
        <w:t>Cass</w:t>
      </w:r>
      <w:proofErr w:type="spellEnd"/>
      <w:r w:rsidRPr="00B20566">
        <w:rPr>
          <w:rFonts w:ascii="Times New Roman" w:hAnsi="Times New Roman" w:cs="Times New Roman"/>
          <w:sz w:val="24"/>
          <w:szCs w:val="24"/>
        </w:rPr>
        <w:t xml:space="preserve">. </w:t>
      </w:r>
      <w:proofErr w:type="spellStart"/>
      <w:r w:rsidRPr="00B20566">
        <w:rPr>
          <w:rFonts w:ascii="Times New Roman" w:hAnsi="Times New Roman" w:cs="Times New Roman"/>
          <w:sz w:val="24"/>
          <w:szCs w:val="24"/>
        </w:rPr>
        <w:t>Civ</w:t>
      </w:r>
      <w:proofErr w:type="spellEnd"/>
      <w:r w:rsidRPr="00B20566">
        <w:rPr>
          <w:rFonts w:ascii="Times New Roman" w:hAnsi="Times New Roman" w:cs="Times New Roman"/>
          <w:sz w:val="24"/>
          <w:szCs w:val="24"/>
        </w:rPr>
        <w:t>., sez. I, 24/12/2020, n. 29583, di</w:t>
      </w:r>
      <w:r>
        <w:rPr>
          <w:rFonts w:ascii="Times New Roman" w:hAnsi="Times New Roman" w:cs="Times New Roman"/>
          <w:sz w:val="24"/>
          <w:szCs w:val="24"/>
        </w:rPr>
        <w:t xml:space="preserve">sponibile su </w:t>
      </w:r>
      <w:r w:rsidRPr="00B74D89">
        <w:rPr>
          <w:rFonts w:ascii="Times New Roman" w:hAnsi="Times New Roman" w:cs="Times New Roman"/>
          <w:i/>
          <w:iCs/>
          <w:sz w:val="24"/>
          <w:szCs w:val="24"/>
        </w:rPr>
        <w:t>dejure.it</w:t>
      </w:r>
      <w:r>
        <w:rPr>
          <w:rFonts w:ascii="Times New Roman" w:hAnsi="Times New Roman" w:cs="Times New Roman"/>
          <w:sz w:val="24"/>
          <w:szCs w:val="24"/>
        </w:rPr>
        <w:t>, “</w:t>
      </w:r>
      <w:r w:rsidRPr="008C2A68">
        <w:rPr>
          <w:rFonts w:ascii="Times New Roman" w:hAnsi="Times New Roman" w:cs="Times New Roman"/>
          <w:i/>
          <w:iCs/>
          <w:sz w:val="24"/>
          <w:szCs w:val="24"/>
        </w:rPr>
        <w:t>Pubblicazione di foto a corredo di un articolo in assenza di consenso dell</w:t>
      </w:r>
      <w:r>
        <w:rPr>
          <w:rFonts w:ascii="Times New Roman" w:hAnsi="Times New Roman" w:cs="Times New Roman"/>
          <w:i/>
          <w:iCs/>
          <w:sz w:val="24"/>
          <w:szCs w:val="24"/>
        </w:rPr>
        <w:t>’</w:t>
      </w:r>
      <w:r w:rsidRPr="008C2A68">
        <w:rPr>
          <w:rFonts w:ascii="Times New Roman" w:hAnsi="Times New Roman" w:cs="Times New Roman"/>
          <w:i/>
          <w:iCs/>
          <w:sz w:val="24"/>
          <w:szCs w:val="24"/>
        </w:rPr>
        <w:t>interessato: condizioni di liceità</w:t>
      </w:r>
      <w:r>
        <w:rPr>
          <w:rFonts w:ascii="Times New Roman" w:hAnsi="Times New Roman" w:cs="Times New Roman"/>
          <w:sz w:val="24"/>
          <w:szCs w:val="24"/>
        </w:rPr>
        <w:t xml:space="preserve">”, su </w:t>
      </w:r>
      <w:r w:rsidRPr="00B20566">
        <w:rPr>
          <w:rFonts w:ascii="Times New Roman" w:hAnsi="Times New Roman" w:cs="Times New Roman"/>
          <w:i/>
          <w:iCs/>
          <w:sz w:val="24"/>
          <w:szCs w:val="24"/>
        </w:rPr>
        <w:t>Giustizia Civile Massimario</w:t>
      </w:r>
      <w:r>
        <w:rPr>
          <w:rFonts w:ascii="Times New Roman" w:hAnsi="Times New Roman" w:cs="Times New Roman"/>
          <w:sz w:val="24"/>
          <w:szCs w:val="24"/>
        </w:rPr>
        <w:t xml:space="preserve">, </w:t>
      </w:r>
      <w:r w:rsidRPr="00B20566">
        <w:rPr>
          <w:rFonts w:ascii="Times New Roman" w:hAnsi="Times New Roman" w:cs="Times New Roman"/>
          <w:sz w:val="24"/>
          <w:szCs w:val="24"/>
        </w:rPr>
        <w:t>2021</w:t>
      </w:r>
      <w:r>
        <w:rPr>
          <w:rFonts w:ascii="Times New Roman" w:hAnsi="Times New Roman" w:cs="Times New Roman"/>
          <w:sz w:val="24"/>
          <w:szCs w:val="24"/>
        </w:rPr>
        <w:t xml:space="preserve"> e </w:t>
      </w:r>
      <w:r w:rsidRPr="00B20566">
        <w:rPr>
          <w:rFonts w:ascii="Times New Roman" w:hAnsi="Times New Roman" w:cs="Times New Roman"/>
          <w:i/>
          <w:iCs/>
          <w:sz w:val="24"/>
          <w:szCs w:val="24"/>
        </w:rPr>
        <w:t>Rivista di Diritto Industriale</w:t>
      </w:r>
      <w:r>
        <w:rPr>
          <w:rFonts w:ascii="Times New Roman" w:hAnsi="Times New Roman" w:cs="Times New Roman"/>
          <w:i/>
          <w:iCs/>
          <w:sz w:val="24"/>
          <w:szCs w:val="24"/>
        </w:rPr>
        <w:t>,</w:t>
      </w:r>
      <w:r w:rsidRPr="00B20566">
        <w:rPr>
          <w:rFonts w:ascii="Times New Roman" w:hAnsi="Times New Roman" w:cs="Times New Roman"/>
          <w:sz w:val="24"/>
          <w:szCs w:val="24"/>
        </w:rPr>
        <w:t xml:space="preserve"> 2020, 6, III, 414</w:t>
      </w:r>
      <w:r>
        <w:rPr>
          <w:rFonts w:ascii="Times New Roman" w:hAnsi="Times New Roman" w:cs="Times New Roman"/>
          <w:sz w:val="24"/>
          <w:szCs w:val="24"/>
        </w:rPr>
        <w:t>.</w:t>
      </w:r>
    </w:p>
  </w:footnote>
  <w:footnote w:id="213">
    <w:p w14:paraId="741E5C70" w14:textId="7465E672" w:rsidR="000463A6" w:rsidRPr="00007F15" w:rsidRDefault="000463A6" w:rsidP="00007F15">
      <w:pPr>
        <w:pStyle w:val="Testonotaapidipagina"/>
        <w:jc w:val="both"/>
        <w:rPr>
          <w:rFonts w:ascii="Times New Roman" w:hAnsi="Times New Roman" w:cs="Times New Roman"/>
          <w:sz w:val="24"/>
          <w:szCs w:val="24"/>
        </w:rPr>
      </w:pPr>
      <w:r w:rsidRPr="00007F15">
        <w:rPr>
          <w:rStyle w:val="Rimandonotaapidipagina"/>
          <w:rFonts w:ascii="Times New Roman" w:hAnsi="Times New Roman" w:cs="Times New Roman"/>
          <w:sz w:val="24"/>
          <w:szCs w:val="24"/>
        </w:rPr>
        <w:footnoteRef/>
      </w:r>
      <w:r w:rsidRPr="00007F15">
        <w:rPr>
          <w:rFonts w:ascii="Times New Roman" w:hAnsi="Times New Roman" w:cs="Times New Roman"/>
          <w:sz w:val="24"/>
          <w:szCs w:val="24"/>
        </w:rPr>
        <w:t xml:space="preserve"> </w:t>
      </w:r>
      <w:r>
        <w:rPr>
          <w:rFonts w:ascii="Times New Roman" w:hAnsi="Times New Roman" w:cs="Times New Roman"/>
          <w:sz w:val="24"/>
          <w:szCs w:val="24"/>
        </w:rPr>
        <w:t xml:space="preserve">Sul tema del consenso dell’avente diritto, v. </w:t>
      </w:r>
      <w:r w:rsidRPr="00507CD8">
        <w:rPr>
          <w:rFonts w:ascii="Times New Roman" w:hAnsi="Times New Roman" w:cs="Times New Roman"/>
          <w:smallCaps/>
          <w:sz w:val="24"/>
          <w:szCs w:val="24"/>
        </w:rPr>
        <w:t>F. Bravo</w:t>
      </w:r>
      <w:r w:rsidRPr="00507CD8">
        <w:rPr>
          <w:rFonts w:ascii="Times New Roman" w:hAnsi="Times New Roman" w:cs="Times New Roman"/>
          <w:sz w:val="24"/>
          <w:szCs w:val="24"/>
        </w:rPr>
        <w:t xml:space="preserve">, </w:t>
      </w:r>
      <w:r>
        <w:rPr>
          <w:rFonts w:ascii="Times New Roman" w:hAnsi="Times New Roman" w:cs="Times New Roman"/>
          <w:sz w:val="24"/>
          <w:szCs w:val="24"/>
        </w:rPr>
        <w:t>“</w:t>
      </w:r>
      <w:r w:rsidRPr="00507CD8">
        <w:rPr>
          <w:rFonts w:ascii="Times New Roman" w:hAnsi="Times New Roman" w:cs="Times New Roman"/>
          <w:i/>
          <w:iCs/>
          <w:sz w:val="24"/>
          <w:szCs w:val="24"/>
        </w:rPr>
        <w:t>Il consenso e le altre condizioni di liceità del trattamento dei dati personali</w:t>
      </w:r>
      <w:r>
        <w:rPr>
          <w:rFonts w:ascii="Times New Roman" w:hAnsi="Times New Roman" w:cs="Times New Roman"/>
          <w:sz w:val="24"/>
          <w:szCs w:val="24"/>
        </w:rPr>
        <w:t>”</w:t>
      </w:r>
      <w:r w:rsidRPr="00507CD8">
        <w:rPr>
          <w:rFonts w:ascii="Times New Roman" w:hAnsi="Times New Roman" w:cs="Times New Roman"/>
          <w:sz w:val="24"/>
          <w:szCs w:val="24"/>
        </w:rPr>
        <w:t xml:space="preserve">, in </w:t>
      </w:r>
      <w:r w:rsidRPr="00507CD8">
        <w:rPr>
          <w:rFonts w:ascii="Times New Roman" w:hAnsi="Times New Roman" w:cs="Times New Roman"/>
          <w:smallCaps/>
          <w:sz w:val="24"/>
          <w:szCs w:val="24"/>
        </w:rPr>
        <w:t>G. Finocchiaro</w:t>
      </w:r>
      <w:r w:rsidRPr="00507CD8">
        <w:rPr>
          <w:rFonts w:ascii="Times New Roman" w:hAnsi="Times New Roman" w:cs="Times New Roman"/>
          <w:sz w:val="24"/>
          <w:szCs w:val="24"/>
        </w:rPr>
        <w:t xml:space="preserve"> (diretto da), </w:t>
      </w:r>
      <w:r>
        <w:rPr>
          <w:rFonts w:ascii="Times New Roman" w:hAnsi="Times New Roman" w:cs="Times New Roman"/>
          <w:sz w:val="24"/>
          <w:szCs w:val="24"/>
        </w:rPr>
        <w:t>“</w:t>
      </w:r>
      <w:r w:rsidRPr="00507CD8">
        <w:rPr>
          <w:rFonts w:ascii="Times New Roman" w:hAnsi="Times New Roman" w:cs="Times New Roman"/>
          <w:i/>
          <w:iCs/>
          <w:sz w:val="24"/>
          <w:szCs w:val="24"/>
        </w:rPr>
        <w:t>Il nuovo Regolamento europeo sulla privacy e sulla protezione dei dati personali</w:t>
      </w:r>
      <w:r>
        <w:rPr>
          <w:rFonts w:ascii="Times New Roman" w:hAnsi="Times New Roman" w:cs="Times New Roman"/>
          <w:sz w:val="24"/>
          <w:szCs w:val="24"/>
        </w:rPr>
        <w:t>”</w:t>
      </w:r>
      <w:r w:rsidRPr="00507CD8">
        <w:rPr>
          <w:rFonts w:ascii="Times New Roman" w:hAnsi="Times New Roman" w:cs="Times New Roman"/>
          <w:sz w:val="24"/>
          <w:szCs w:val="24"/>
        </w:rPr>
        <w:t>, Torino, Zanichelli, 2017</w:t>
      </w:r>
      <w:r>
        <w:rPr>
          <w:rFonts w:ascii="Times New Roman" w:hAnsi="Times New Roman" w:cs="Times New Roman"/>
          <w:sz w:val="24"/>
          <w:szCs w:val="24"/>
        </w:rPr>
        <w:t xml:space="preserve">; </w:t>
      </w:r>
      <w:r w:rsidRPr="00007F15">
        <w:rPr>
          <w:rFonts w:ascii="Times New Roman" w:hAnsi="Times New Roman" w:cs="Times New Roman"/>
          <w:smallCaps/>
          <w:sz w:val="24"/>
          <w:szCs w:val="24"/>
        </w:rPr>
        <w:t xml:space="preserve">S. </w:t>
      </w:r>
      <w:proofErr w:type="spellStart"/>
      <w:r w:rsidRPr="00007F15">
        <w:rPr>
          <w:rFonts w:ascii="Times New Roman" w:hAnsi="Times New Roman" w:cs="Times New Roman"/>
          <w:smallCaps/>
          <w:sz w:val="24"/>
          <w:szCs w:val="24"/>
        </w:rPr>
        <w:t>Tordini</w:t>
      </w:r>
      <w:proofErr w:type="spellEnd"/>
      <w:r w:rsidRPr="00007F15">
        <w:rPr>
          <w:rFonts w:ascii="Times New Roman" w:hAnsi="Times New Roman" w:cs="Times New Roman"/>
          <w:smallCaps/>
          <w:sz w:val="24"/>
          <w:szCs w:val="24"/>
        </w:rPr>
        <w:t xml:space="preserve"> Cagli</w:t>
      </w:r>
      <w:r w:rsidRPr="00007F15">
        <w:rPr>
          <w:rFonts w:ascii="Times New Roman" w:hAnsi="Times New Roman" w:cs="Times New Roman"/>
          <w:sz w:val="24"/>
          <w:szCs w:val="24"/>
        </w:rPr>
        <w:t xml:space="preserve">, </w:t>
      </w:r>
      <w:r>
        <w:rPr>
          <w:rFonts w:ascii="Times New Roman" w:hAnsi="Times New Roman" w:cs="Times New Roman"/>
          <w:sz w:val="24"/>
          <w:szCs w:val="24"/>
        </w:rPr>
        <w:t>“</w:t>
      </w:r>
      <w:r w:rsidRPr="00007F15">
        <w:rPr>
          <w:rFonts w:ascii="Times New Roman" w:hAnsi="Times New Roman" w:cs="Times New Roman"/>
          <w:i/>
          <w:iCs/>
          <w:sz w:val="24"/>
          <w:szCs w:val="24"/>
        </w:rPr>
        <w:t>Principio di autodeterminazione e consenso dell’avente diritto</w:t>
      </w:r>
      <w:r>
        <w:rPr>
          <w:rFonts w:ascii="Times New Roman" w:hAnsi="Times New Roman" w:cs="Times New Roman"/>
          <w:sz w:val="24"/>
          <w:szCs w:val="24"/>
        </w:rPr>
        <w:t>”</w:t>
      </w:r>
      <w:r w:rsidRPr="00007F15">
        <w:rPr>
          <w:rFonts w:ascii="Times New Roman" w:hAnsi="Times New Roman" w:cs="Times New Roman"/>
          <w:sz w:val="24"/>
          <w:szCs w:val="24"/>
        </w:rPr>
        <w:t>, Bologna</w:t>
      </w:r>
      <w:r w:rsidR="00616E83">
        <w:rPr>
          <w:rFonts w:ascii="Times New Roman" w:hAnsi="Times New Roman" w:cs="Times New Roman"/>
          <w:sz w:val="24"/>
          <w:szCs w:val="24"/>
        </w:rPr>
        <w:t>,</w:t>
      </w:r>
      <w:r w:rsidRPr="00007F15">
        <w:rPr>
          <w:rFonts w:ascii="Times New Roman" w:hAnsi="Times New Roman" w:cs="Times New Roman"/>
          <w:sz w:val="24"/>
          <w:szCs w:val="24"/>
        </w:rPr>
        <w:t xml:space="preserve"> 2008, 165. Più in generale, </w:t>
      </w:r>
      <w:r w:rsidRPr="00007F15">
        <w:rPr>
          <w:rFonts w:ascii="Times New Roman" w:hAnsi="Times New Roman" w:cs="Times New Roman"/>
          <w:smallCaps/>
          <w:sz w:val="24"/>
          <w:szCs w:val="24"/>
        </w:rPr>
        <w:t>F. Albeggiani</w:t>
      </w:r>
      <w:r w:rsidRPr="00007F15">
        <w:rPr>
          <w:rFonts w:ascii="Times New Roman" w:hAnsi="Times New Roman" w:cs="Times New Roman"/>
          <w:sz w:val="24"/>
          <w:szCs w:val="24"/>
        </w:rPr>
        <w:t xml:space="preserve">, </w:t>
      </w:r>
      <w:r>
        <w:rPr>
          <w:rFonts w:ascii="Times New Roman" w:hAnsi="Times New Roman" w:cs="Times New Roman"/>
          <w:sz w:val="24"/>
          <w:szCs w:val="24"/>
        </w:rPr>
        <w:t>“</w:t>
      </w:r>
      <w:r w:rsidRPr="00007F15">
        <w:rPr>
          <w:rFonts w:ascii="Times New Roman" w:hAnsi="Times New Roman" w:cs="Times New Roman"/>
          <w:i/>
          <w:iCs/>
          <w:sz w:val="24"/>
          <w:szCs w:val="24"/>
        </w:rPr>
        <w:t>Profili problematici del consenso dell’avente diritto</w:t>
      </w:r>
      <w:r>
        <w:rPr>
          <w:rFonts w:ascii="Times New Roman" w:hAnsi="Times New Roman" w:cs="Times New Roman"/>
          <w:sz w:val="24"/>
          <w:szCs w:val="24"/>
        </w:rPr>
        <w:t>”</w:t>
      </w:r>
      <w:r w:rsidRPr="00007F15">
        <w:rPr>
          <w:rFonts w:ascii="Times New Roman" w:hAnsi="Times New Roman" w:cs="Times New Roman"/>
          <w:sz w:val="24"/>
          <w:szCs w:val="24"/>
        </w:rPr>
        <w:t>, Milano</w:t>
      </w:r>
      <w:r w:rsidR="00B75F96">
        <w:rPr>
          <w:rFonts w:ascii="Times New Roman" w:hAnsi="Times New Roman" w:cs="Times New Roman"/>
          <w:sz w:val="24"/>
          <w:szCs w:val="24"/>
        </w:rPr>
        <w:t>,</w:t>
      </w:r>
      <w:r w:rsidRPr="00007F15">
        <w:rPr>
          <w:rFonts w:ascii="Times New Roman" w:hAnsi="Times New Roman" w:cs="Times New Roman"/>
          <w:sz w:val="24"/>
          <w:szCs w:val="24"/>
        </w:rPr>
        <w:t xml:space="preserve"> 1995, 31. Per </w:t>
      </w:r>
      <w:r>
        <w:rPr>
          <w:rFonts w:ascii="Times New Roman" w:hAnsi="Times New Roman" w:cs="Times New Roman"/>
          <w:sz w:val="24"/>
          <w:szCs w:val="24"/>
        </w:rPr>
        <w:t xml:space="preserve">quanto concerne il </w:t>
      </w:r>
      <w:r w:rsidRPr="00007F15">
        <w:rPr>
          <w:rFonts w:ascii="Times New Roman" w:hAnsi="Times New Roman" w:cs="Times New Roman"/>
          <w:sz w:val="24"/>
          <w:szCs w:val="24"/>
        </w:rPr>
        <w:t xml:space="preserve">dibattito dottrinale in Germania, </w:t>
      </w:r>
      <w:r w:rsidRPr="00007F15">
        <w:rPr>
          <w:rFonts w:ascii="Times New Roman" w:hAnsi="Times New Roman" w:cs="Times New Roman"/>
          <w:i/>
          <w:iCs/>
          <w:sz w:val="24"/>
          <w:szCs w:val="24"/>
        </w:rPr>
        <w:t>cfr</w:t>
      </w:r>
      <w:r w:rsidRPr="00007F15">
        <w:rPr>
          <w:rFonts w:ascii="Times New Roman" w:hAnsi="Times New Roman" w:cs="Times New Roman"/>
          <w:sz w:val="24"/>
          <w:szCs w:val="24"/>
        </w:rPr>
        <w:t xml:space="preserve">. </w:t>
      </w:r>
      <w:r w:rsidRPr="00007F15">
        <w:rPr>
          <w:rFonts w:ascii="Times New Roman" w:hAnsi="Times New Roman" w:cs="Times New Roman"/>
          <w:smallCaps/>
          <w:sz w:val="24"/>
          <w:szCs w:val="24"/>
        </w:rPr>
        <w:t xml:space="preserve">C. </w:t>
      </w:r>
      <w:proofErr w:type="spellStart"/>
      <w:r w:rsidRPr="00007F15">
        <w:rPr>
          <w:rFonts w:ascii="Times New Roman" w:hAnsi="Times New Roman" w:cs="Times New Roman"/>
          <w:smallCaps/>
          <w:sz w:val="24"/>
          <w:szCs w:val="24"/>
        </w:rPr>
        <w:t>Roxin</w:t>
      </w:r>
      <w:proofErr w:type="spellEnd"/>
      <w:r w:rsidRPr="00007F15">
        <w:rPr>
          <w:rFonts w:ascii="Times New Roman" w:hAnsi="Times New Roman" w:cs="Times New Roman"/>
          <w:sz w:val="24"/>
          <w:szCs w:val="24"/>
        </w:rPr>
        <w:t xml:space="preserve">, </w:t>
      </w:r>
      <w:r>
        <w:rPr>
          <w:rFonts w:ascii="Times New Roman" w:hAnsi="Times New Roman" w:cs="Times New Roman"/>
          <w:sz w:val="24"/>
          <w:szCs w:val="24"/>
        </w:rPr>
        <w:t>“</w:t>
      </w:r>
      <w:r w:rsidRPr="00007F15">
        <w:rPr>
          <w:rFonts w:ascii="Times New Roman" w:hAnsi="Times New Roman" w:cs="Times New Roman"/>
          <w:i/>
          <w:iCs/>
          <w:sz w:val="24"/>
          <w:szCs w:val="24"/>
        </w:rPr>
        <w:t>Sul consenso nel diritto penale</w:t>
      </w:r>
      <w:r>
        <w:rPr>
          <w:rFonts w:ascii="Times New Roman" w:hAnsi="Times New Roman" w:cs="Times New Roman"/>
          <w:sz w:val="24"/>
          <w:szCs w:val="24"/>
        </w:rPr>
        <w:t>”</w:t>
      </w:r>
      <w:r w:rsidRPr="00007F15">
        <w:rPr>
          <w:rFonts w:ascii="Times New Roman" w:hAnsi="Times New Roman" w:cs="Times New Roman"/>
          <w:sz w:val="24"/>
          <w:szCs w:val="24"/>
        </w:rPr>
        <w:t xml:space="preserve">, in </w:t>
      </w:r>
      <w:r>
        <w:rPr>
          <w:rFonts w:ascii="Times New Roman" w:hAnsi="Times New Roman" w:cs="Times New Roman"/>
          <w:sz w:val="24"/>
          <w:szCs w:val="24"/>
        </w:rPr>
        <w:t>“</w:t>
      </w:r>
      <w:r w:rsidRPr="00007F15">
        <w:rPr>
          <w:rFonts w:ascii="Times New Roman" w:hAnsi="Times New Roman" w:cs="Times New Roman"/>
          <w:i/>
          <w:iCs/>
          <w:sz w:val="24"/>
          <w:szCs w:val="24"/>
        </w:rPr>
        <w:t>Antigiuridicità e cause di giustificazione. Problemi di teoria dell’illecito penale</w:t>
      </w:r>
      <w:r>
        <w:rPr>
          <w:rFonts w:ascii="Times New Roman" w:hAnsi="Times New Roman" w:cs="Times New Roman"/>
          <w:sz w:val="24"/>
          <w:szCs w:val="24"/>
        </w:rPr>
        <w:t>”</w:t>
      </w:r>
      <w:r w:rsidRPr="00007F15">
        <w:rPr>
          <w:rFonts w:ascii="Times New Roman" w:hAnsi="Times New Roman" w:cs="Times New Roman"/>
          <w:sz w:val="24"/>
          <w:szCs w:val="24"/>
        </w:rPr>
        <w:t>, a cura di S</w:t>
      </w:r>
      <w:r w:rsidRPr="00007F15">
        <w:rPr>
          <w:rFonts w:ascii="Times New Roman" w:hAnsi="Times New Roman" w:cs="Times New Roman"/>
          <w:smallCaps/>
          <w:sz w:val="24"/>
          <w:szCs w:val="24"/>
        </w:rPr>
        <w:t>. Moccia</w:t>
      </w:r>
      <w:r w:rsidRPr="00007F15">
        <w:rPr>
          <w:rFonts w:ascii="Times New Roman" w:hAnsi="Times New Roman" w:cs="Times New Roman"/>
          <w:sz w:val="24"/>
          <w:szCs w:val="24"/>
        </w:rPr>
        <w:t>, Napoli</w:t>
      </w:r>
      <w:r w:rsidR="00FB0507">
        <w:rPr>
          <w:rFonts w:ascii="Times New Roman" w:hAnsi="Times New Roman" w:cs="Times New Roman"/>
          <w:sz w:val="24"/>
          <w:szCs w:val="24"/>
        </w:rPr>
        <w:t>,</w:t>
      </w:r>
      <w:r w:rsidRPr="00007F15">
        <w:rPr>
          <w:rFonts w:ascii="Times New Roman" w:hAnsi="Times New Roman" w:cs="Times New Roman"/>
          <w:sz w:val="24"/>
          <w:szCs w:val="24"/>
        </w:rPr>
        <w:t xml:space="preserve"> 1996, 126; </w:t>
      </w:r>
      <w:r w:rsidRPr="00007F15">
        <w:rPr>
          <w:rFonts w:ascii="Times New Roman" w:hAnsi="Times New Roman" w:cs="Times New Roman"/>
          <w:smallCaps/>
          <w:sz w:val="24"/>
          <w:szCs w:val="24"/>
        </w:rPr>
        <w:t>Id</w:t>
      </w:r>
      <w:r w:rsidRPr="00007F1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007F15">
        <w:rPr>
          <w:rFonts w:ascii="Times New Roman" w:hAnsi="Times New Roman" w:cs="Times New Roman"/>
          <w:i/>
          <w:iCs/>
          <w:sz w:val="24"/>
          <w:szCs w:val="24"/>
        </w:rPr>
        <w:t>Über</w:t>
      </w:r>
      <w:proofErr w:type="spellEnd"/>
      <w:r w:rsidRPr="00007F15">
        <w:rPr>
          <w:rFonts w:ascii="Times New Roman" w:hAnsi="Times New Roman" w:cs="Times New Roman"/>
          <w:i/>
          <w:iCs/>
          <w:sz w:val="24"/>
          <w:szCs w:val="24"/>
        </w:rPr>
        <w:t xml:space="preserve"> die </w:t>
      </w:r>
      <w:proofErr w:type="spellStart"/>
      <w:r w:rsidRPr="00007F15">
        <w:rPr>
          <w:rFonts w:ascii="Times New Roman" w:hAnsi="Times New Roman" w:cs="Times New Roman"/>
          <w:i/>
          <w:iCs/>
          <w:sz w:val="24"/>
          <w:szCs w:val="24"/>
        </w:rPr>
        <w:t>mutmassliche</w:t>
      </w:r>
      <w:proofErr w:type="spellEnd"/>
      <w:r w:rsidRPr="00007F15">
        <w:rPr>
          <w:rFonts w:ascii="Times New Roman" w:hAnsi="Times New Roman" w:cs="Times New Roman"/>
          <w:i/>
          <w:iCs/>
          <w:sz w:val="24"/>
          <w:szCs w:val="24"/>
        </w:rPr>
        <w:t xml:space="preserve"> </w:t>
      </w:r>
      <w:proofErr w:type="spellStart"/>
      <w:r w:rsidRPr="00007F15">
        <w:rPr>
          <w:rFonts w:ascii="Times New Roman" w:hAnsi="Times New Roman" w:cs="Times New Roman"/>
          <w:i/>
          <w:iCs/>
          <w:sz w:val="24"/>
          <w:szCs w:val="24"/>
        </w:rPr>
        <w:t>Einwilligung</w:t>
      </w:r>
      <w:proofErr w:type="spellEnd"/>
      <w:r>
        <w:rPr>
          <w:rFonts w:ascii="Times New Roman" w:hAnsi="Times New Roman" w:cs="Times New Roman"/>
          <w:sz w:val="24"/>
          <w:szCs w:val="24"/>
        </w:rPr>
        <w:t>”</w:t>
      </w:r>
      <w:r w:rsidRPr="00007F15">
        <w:rPr>
          <w:rFonts w:ascii="Times New Roman" w:hAnsi="Times New Roman" w:cs="Times New Roman"/>
          <w:sz w:val="24"/>
          <w:szCs w:val="24"/>
        </w:rPr>
        <w:t xml:space="preserve">, in </w:t>
      </w:r>
      <w:r>
        <w:rPr>
          <w:rFonts w:ascii="Times New Roman" w:hAnsi="Times New Roman" w:cs="Times New Roman"/>
          <w:sz w:val="24"/>
          <w:szCs w:val="24"/>
        </w:rPr>
        <w:t>“</w:t>
      </w:r>
      <w:proofErr w:type="spellStart"/>
      <w:r w:rsidRPr="00007F15">
        <w:rPr>
          <w:rFonts w:ascii="Times New Roman" w:hAnsi="Times New Roman" w:cs="Times New Roman"/>
          <w:i/>
          <w:iCs/>
          <w:sz w:val="24"/>
          <w:szCs w:val="24"/>
        </w:rPr>
        <w:t>Festschrift</w:t>
      </w:r>
      <w:proofErr w:type="spellEnd"/>
      <w:r w:rsidRPr="00007F15">
        <w:rPr>
          <w:rFonts w:ascii="Times New Roman" w:hAnsi="Times New Roman" w:cs="Times New Roman"/>
          <w:i/>
          <w:iCs/>
          <w:sz w:val="24"/>
          <w:szCs w:val="24"/>
        </w:rPr>
        <w:t xml:space="preserve"> </w:t>
      </w:r>
      <w:proofErr w:type="spellStart"/>
      <w:r w:rsidRPr="00007F15">
        <w:rPr>
          <w:rFonts w:ascii="Times New Roman" w:hAnsi="Times New Roman" w:cs="Times New Roman"/>
          <w:i/>
          <w:iCs/>
          <w:sz w:val="24"/>
          <w:szCs w:val="24"/>
        </w:rPr>
        <w:t>für</w:t>
      </w:r>
      <w:proofErr w:type="spellEnd"/>
      <w:r w:rsidRPr="00007F15">
        <w:rPr>
          <w:rFonts w:ascii="Times New Roman" w:hAnsi="Times New Roman" w:cs="Times New Roman"/>
          <w:i/>
          <w:iCs/>
          <w:sz w:val="24"/>
          <w:szCs w:val="24"/>
        </w:rPr>
        <w:t xml:space="preserve"> Hans </w:t>
      </w:r>
      <w:proofErr w:type="spellStart"/>
      <w:r w:rsidRPr="00007F15">
        <w:rPr>
          <w:rFonts w:ascii="Times New Roman" w:hAnsi="Times New Roman" w:cs="Times New Roman"/>
          <w:i/>
          <w:iCs/>
          <w:sz w:val="24"/>
          <w:szCs w:val="24"/>
        </w:rPr>
        <w:t>Welzel</w:t>
      </w:r>
      <w:proofErr w:type="spellEnd"/>
      <w:r>
        <w:rPr>
          <w:rFonts w:ascii="Times New Roman" w:hAnsi="Times New Roman" w:cs="Times New Roman"/>
          <w:sz w:val="24"/>
          <w:szCs w:val="24"/>
        </w:rPr>
        <w:t>”</w:t>
      </w:r>
      <w:r w:rsidRPr="00007F15">
        <w:rPr>
          <w:rFonts w:ascii="Times New Roman" w:hAnsi="Times New Roman" w:cs="Times New Roman"/>
          <w:sz w:val="24"/>
          <w:szCs w:val="24"/>
        </w:rPr>
        <w:t xml:space="preserve">, Berlino-New York 1974, 449 ss.; </w:t>
      </w:r>
      <w:r>
        <w:rPr>
          <w:rFonts w:ascii="Times New Roman" w:hAnsi="Times New Roman" w:cs="Times New Roman"/>
          <w:sz w:val="24"/>
          <w:szCs w:val="24"/>
        </w:rPr>
        <w:t>p</w:t>
      </w:r>
      <w:r w:rsidRPr="00007F15">
        <w:rPr>
          <w:rFonts w:ascii="Times New Roman" w:hAnsi="Times New Roman" w:cs="Times New Roman"/>
          <w:sz w:val="24"/>
          <w:szCs w:val="24"/>
        </w:rPr>
        <w:t xml:space="preserve">er un quadro di sintesi, </w:t>
      </w:r>
      <w:r w:rsidRPr="00A57239">
        <w:rPr>
          <w:rFonts w:ascii="Times New Roman" w:hAnsi="Times New Roman" w:cs="Times New Roman"/>
          <w:smallCaps/>
          <w:sz w:val="24"/>
          <w:szCs w:val="24"/>
        </w:rPr>
        <w:t>G. Fornasari</w:t>
      </w:r>
      <w:r w:rsidRPr="00007F15">
        <w:rPr>
          <w:rFonts w:ascii="Times New Roman" w:hAnsi="Times New Roman" w:cs="Times New Roman"/>
          <w:sz w:val="24"/>
          <w:szCs w:val="24"/>
        </w:rPr>
        <w:t xml:space="preserve">, </w:t>
      </w:r>
      <w:r>
        <w:rPr>
          <w:rFonts w:ascii="Times New Roman" w:hAnsi="Times New Roman" w:cs="Times New Roman"/>
          <w:sz w:val="24"/>
          <w:szCs w:val="24"/>
        </w:rPr>
        <w:t>“</w:t>
      </w:r>
      <w:r w:rsidRPr="00A57239">
        <w:rPr>
          <w:rFonts w:ascii="Times New Roman" w:hAnsi="Times New Roman" w:cs="Times New Roman"/>
          <w:i/>
          <w:iCs/>
          <w:sz w:val="24"/>
          <w:szCs w:val="24"/>
        </w:rPr>
        <w:t>I principi del diritto penale tedesco</w:t>
      </w:r>
      <w:r>
        <w:rPr>
          <w:rFonts w:ascii="Times New Roman" w:hAnsi="Times New Roman" w:cs="Times New Roman"/>
          <w:sz w:val="24"/>
          <w:szCs w:val="24"/>
        </w:rPr>
        <w:t>”</w:t>
      </w:r>
      <w:r w:rsidRPr="00007F15">
        <w:rPr>
          <w:rFonts w:ascii="Times New Roman" w:hAnsi="Times New Roman" w:cs="Times New Roman"/>
          <w:sz w:val="24"/>
          <w:szCs w:val="24"/>
        </w:rPr>
        <w:t>, Padova</w:t>
      </w:r>
      <w:r w:rsidR="00FB0507">
        <w:rPr>
          <w:rFonts w:ascii="Times New Roman" w:hAnsi="Times New Roman" w:cs="Times New Roman"/>
          <w:sz w:val="24"/>
          <w:szCs w:val="24"/>
        </w:rPr>
        <w:t>,</w:t>
      </w:r>
      <w:r w:rsidRPr="00007F15">
        <w:rPr>
          <w:rFonts w:ascii="Times New Roman" w:hAnsi="Times New Roman" w:cs="Times New Roman"/>
          <w:sz w:val="24"/>
          <w:szCs w:val="24"/>
        </w:rPr>
        <w:t xml:space="preserve"> 1993, 289 ss.</w:t>
      </w:r>
    </w:p>
  </w:footnote>
  <w:footnote w:id="214">
    <w:p w14:paraId="784A3D5F" w14:textId="73D5CDA6" w:rsidR="000463A6" w:rsidRPr="008C2A68" w:rsidRDefault="000463A6" w:rsidP="00007F15">
      <w:pPr>
        <w:pStyle w:val="Testonotaapidipagina"/>
        <w:jc w:val="both"/>
        <w:rPr>
          <w:rFonts w:ascii="Times New Roman" w:hAnsi="Times New Roman" w:cs="Times New Roman"/>
          <w:sz w:val="24"/>
          <w:szCs w:val="24"/>
        </w:rPr>
      </w:pPr>
      <w:r w:rsidRPr="00007F15">
        <w:rPr>
          <w:rStyle w:val="Rimandonotaapidipagina"/>
          <w:rFonts w:ascii="Times New Roman" w:hAnsi="Times New Roman" w:cs="Times New Roman"/>
          <w:sz w:val="24"/>
          <w:szCs w:val="24"/>
        </w:rPr>
        <w:footnoteRef/>
      </w:r>
      <w:r w:rsidRPr="00007F15">
        <w:rPr>
          <w:rFonts w:ascii="Times New Roman" w:hAnsi="Times New Roman" w:cs="Times New Roman"/>
          <w:sz w:val="24"/>
          <w:szCs w:val="24"/>
        </w:rPr>
        <w:t xml:space="preserve"> </w:t>
      </w:r>
      <w:r w:rsidRPr="00007F15">
        <w:rPr>
          <w:rFonts w:ascii="Times New Roman" w:hAnsi="Times New Roman" w:cs="Times New Roman"/>
          <w:i/>
          <w:iCs/>
          <w:sz w:val="24"/>
          <w:szCs w:val="24"/>
        </w:rPr>
        <w:t>Cfr.</w:t>
      </w:r>
      <w:r w:rsidRPr="00007F15">
        <w:rPr>
          <w:rFonts w:ascii="Times New Roman" w:hAnsi="Times New Roman" w:cs="Times New Roman"/>
          <w:sz w:val="24"/>
          <w:szCs w:val="24"/>
        </w:rPr>
        <w:t xml:space="preserve"> </w:t>
      </w:r>
      <w:proofErr w:type="spellStart"/>
      <w:r w:rsidRPr="00007F15">
        <w:rPr>
          <w:rFonts w:ascii="Times New Roman" w:hAnsi="Times New Roman" w:cs="Times New Roman"/>
          <w:sz w:val="24"/>
          <w:szCs w:val="24"/>
        </w:rPr>
        <w:t>Cass</w:t>
      </w:r>
      <w:proofErr w:type="spellEnd"/>
      <w:r w:rsidRPr="00007F15">
        <w:rPr>
          <w:rFonts w:ascii="Times New Roman" w:hAnsi="Times New Roman" w:cs="Times New Roman"/>
          <w:sz w:val="24"/>
          <w:szCs w:val="24"/>
        </w:rPr>
        <w:t xml:space="preserve">. </w:t>
      </w:r>
      <w:proofErr w:type="spellStart"/>
      <w:r w:rsidRPr="00007F15">
        <w:rPr>
          <w:rFonts w:ascii="Times New Roman" w:hAnsi="Times New Roman" w:cs="Times New Roman"/>
          <w:sz w:val="24"/>
          <w:szCs w:val="24"/>
        </w:rPr>
        <w:t>Civ</w:t>
      </w:r>
      <w:proofErr w:type="spellEnd"/>
      <w:r w:rsidRPr="00007F15">
        <w:rPr>
          <w:rFonts w:ascii="Times New Roman" w:hAnsi="Times New Roman" w:cs="Times New Roman"/>
          <w:sz w:val="24"/>
          <w:szCs w:val="24"/>
        </w:rPr>
        <w:t xml:space="preserve">., sez. III, 06/05/2010, n. 10957, disponibile su </w:t>
      </w:r>
      <w:r w:rsidRPr="00007F15">
        <w:rPr>
          <w:rFonts w:ascii="Times New Roman" w:hAnsi="Times New Roman" w:cs="Times New Roman"/>
          <w:i/>
          <w:iCs/>
          <w:sz w:val="24"/>
          <w:szCs w:val="24"/>
        </w:rPr>
        <w:t>dejure.it</w:t>
      </w:r>
      <w:r w:rsidRPr="00007F15">
        <w:rPr>
          <w:rFonts w:ascii="Times New Roman" w:hAnsi="Times New Roman" w:cs="Times New Roman"/>
          <w:sz w:val="24"/>
          <w:szCs w:val="24"/>
        </w:rPr>
        <w:t xml:space="preserve">; con nota di </w:t>
      </w:r>
      <w:r w:rsidRPr="00007F15">
        <w:rPr>
          <w:rFonts w:ascii="Times New Roman" w:hAnsi="Times New Roman" w:cs="Times New Roman"/>
          <w:smallCaps/>
          <w:sz w:val="24"/>
          <w:szCs w:val="24"/>
        </w:rPr>
        <w:t xml:space="preserve">A. </w:t>
      </w:r>
      <w:proofErr w:type="spellStart"/>
      <w:r w:rsidRPr="00007F15">
        <w:rPr>
          <w:rFonts w:ascii="Times New Roman" w:hAnsi="Times New Roman" w:cs="Times New Roman"/>
          <w:smallCaps/>
          <w:sz w:val="24"/>
          <w:szCs w:val="24"/>
        </w:rPr>
        <w:t>Natalini</w:t>
      </w:r>
      <w:proofErr w:type="spellEnd"/>
      <w:r w:rsidRPr="00007F15">
        <w:rPr>
          <w:rFonts w:ascii="Times New Roman" w:hAnsi="Times New Roman" w:cs="Times New Roman"/>
          <w:sz w:val="24"/>
          <w:szCs w:val="24"/>
        </w:rPr>
        <w:t>, “</w:t>
      </w:r>
      <w:r w:rsidRPr="00007F15">
        <w:rPr>
          <w:rFonts w:ascii="Times New Roman" w:hAnsi="Times New Roman" w:cs="Times New Roman"/>
          <w:i/>
          <w:iCs/>
          <w:sz w:val="24"/>
          <w:szCs w:val="24"/>
        </w:rPr>
        <w:t>Diritto all’immagine e pubblicazione di foto non autorizzata: per essere risarcita è la parte lesa che deve provare il pregiudizio economico</w:t>
      </w:r>
      <w:r w:rsidRPr="00007F15">
        <w:rPr>
          <w:rFonts w:ascii="Times New Roman" w:hAnsi="Times New Roman" w:cs="Times New Roman"/>
          <w:sz w:val="24"/>
          <w:szCs w:val="24"/>
        </w:rPr>
        <w:t xml:space="preserve">”, su </w:t>
      </w:r>
      <w:r w:rsidRPr="00007F15">
        <w:rPr>
          <w:rFonts w:ascii="Times New Roman" w:hAnsi="Times New Roman" w:cs="Times New Roman"/>
          <w:i/>
          <w:iCs/>
          <w:sz w:val="24"/>
          <w:szCs w:val="24"/>
        </w:rPr>
        <w:t>Diritto &amp; Giustizia</w:t>
      </w:r>
      <w:r w:rsidRPr="00007F15">
        <w:rPr>
          <w:rFonts w:ascii="Times New Roman" w:hAnsi="Times New Roman" w:cs="Times New Roman"/>
          <w:sz w:val="24"/>
          <w:szCs w:val="24"/>
        </w:rPr>
        <w:t>, fasc. 0, 2010, pag. 193.</w:t>
      </w:r>
    </w:p>
  </w:footnote>
  <w:footnote w:id="215">
    <w:p w14:paraId="01FDC334" w14:textId="07C560D9" w:rsidR="000463A6" w:rsidRPr="00551136" w:rsidRDefault="000463A6" w:rsidP="00551136">
      <w:pPr>
        <w:pStyle w:val="Testonotaapidipagina"/>
        <w:jc w:val="both"/>
        <w:rPr>
          <w:rFonts w:ascii="Times New Roman" w:hAnsi="Times New Roman" w:cs="Times New Roman"/>
          <w:sz w:val="24"/>
          <w:szCs w:val="24"/>
        </w:rPr>
      </w:pPr>
      <w:r w:rsidRPr="00551136">
        <w:rPr>
          <w:rStyle w:val="Rimandonotaapidipagina"/>
          <w:rFonts w:ascii="Times New Roman" w:hAnsi="Times New Roman" w:cs="Times New Roman"/>
          <w:sz w:val="24"/>
          <w:szCs w:val="24"/>
        </w:rPr>
        <w:footnoteRef/>
      </w:r>
      <w:r w:rsidRPr="00551136">
        <w:rPr>
          <w:rFonts w:ascii="Times New Roman" w:hAnsi="Times New Roman" w:cs="Times New Roman"/>
          <w:sz w:val="24"/>
          <w:szCs w:val="24"/>
        </w:rPr>
        <w:t xml:space="preserve"> Si veda </w:t>
      </w:r>
      <w:proofErr w:type="spellStart"/>
      <w:r w:rsidRPr="00551136">
        <w:rPr>
          <w:rFonts w:ascii="Times New Roman" w:hAnsi="Times New Roman" w:cs="Times New Roman"/>
          <w:sz w:val="24"/>
          <w:szCs w:val="24"/>
        </w:rPr>
        <w:t>Cass</w:t>
      </w:r>
      <w:proofErr w:type="spellEnd"/>
      <w:r w:rsidRPr="00551136">
        <w:rPr>
          <w:rFonts w:ascii="Times New Roman" w:hAnsi="Times New Roman" w:cs="Times New Roman"/>
          <w:sz w:val="24"/>
          <w:szCs w:val="24"/>
        </w:rPr>
        <w:t xml:space="preserve">. </w:t>
      </w:r>
      <w:proofErr w:type="spellStart"/>
      <w:r w:rsidRPr="00551136">
        <w:rPr>
          <w:rFonts w:ascii="Times New Roman" w:hAnsi="Times New Roman" w:cs="Times New Roman"/>
          <w:sz w:val="24"/>
          <w:szCs w:val="24"/>
        </w:rPr>
        <w:t>Civ</w:t>
      </w:r>
      <w:proofErr w:type="spellEnd"/>
      <w:r w:rsidRPr="00551136">
        <w:rPr>
          <w:rFonts w:ascii="Times New Roman" w:hAnsi="Times New Roman" w:cs="Times New Roman"/>
          <w:sz w:val="24"/>
          <w:szCs w:val="24"/>
        </w:rPr>
        <w:t xml:space="preserve">., sez. I, 19/11/2008, n. 27506, disponibile su </w:t>
      </w:r>
      <w:r w:rsidRPr="0081668B">
        <w:rPr>
          <w:rFonts w:ascii="Times New Roman" w:hAnsi="Times New Roman" w:cs="Times New Roman"/>
          <w:i/>
          <w:iCs/>
          <w:sz w:val="24"/>
          <w:szCs w:val="24"/>
        </w:rPr>
        <w:t>dejure.it</w:t>
      </w:r>
      <w:r w:rsidRPr="00551136">
        <w:rPr>
          <w:rFonts w:ascii="Times New Roman" w:hAnsi="Times New Roman" w:cs="Times New Roman"/>
          <w:sz w:val="24"/>
          <w:szCs w:val="24"/>
        </w:rPr>
        <w:t xml:space="preserve">; </w:t>
      </w:r>
      <w:proofErr w:type="spellStart"/>
      <w:r w:rsidRPr="00C84C09">
        <w:rPr>
          <w:rFonts w:ascii="Times New Roman" w:hAnsi="Times New Roman" w:cs="Times New Roman"/>
          <w:i/>
          <w:iCs/>
          <w:sz w:val="24"/>
          <w:szCs w:val="24"/>
        </w:rPr>
        <w:t>Giust</w:t>
      </w:r>
      <w:proofErr w:type="spellEnd"/>
      <w:r w:rsidRPr="00C84C09">
        <w:rPr>
          <w:rFonts w:ascii="Times New Roman" w:hAnsi="Times New Roman" w:cs="Times New Roman"/>
          <w:i/>
          <w:iCs/>
          <w:sz w:val="24"/>
          <w:szCs w:val="24"/>
        </w:rPr>
        <w:t>. civ.</w:t>
      </w:r>
      <w:r w:rsidRPr="00551136">
        <w:rPr>
          <w:rFonts w:ascii="Times New Roman" w:hAnsi="Times New Roman" w:cs="Times New Roman"/>
          <w:sz w:val="24"/>
          <w:szCs w:val="24"/>
        </w:rPr>
        <w:t xml:space="preserve"> 2009, 2, 313;</w:t>
      </w:r>
    </w:p>
    <w:p w14:paraId="4B17F8AE" w14:textId="714F35A6" w:rsidR="000463A6" w:rsidRPr="00551136" w:rsidRDefault="000463A6" w:rsidP="00551136">
      <w:pPr>
        <w:pStyle w:val="Testonotaapidipagina"/>
        <w:jc w:val="both"/>
        <w:rPr>
          <w:rFonts w:ascii="Times New Roman" w:hAnsi="Times New Roman" w:cs="Times New Roman"/>
          <w:sz w:val="24"/>
          <w:szCs w:val="24"/>
        </w:rPr>
      </w:pPr>
      <w:proofErr w:type="spellStart"/>
      <w:r w:rsidRPr="00C84C09">
        <w:rPr>
          <w:rFonts w:ascii="Times New Roman" w:hAnsi="Times New Roman" w:cs="Times New Roman"/>
          <w:i/>
          <w:iCs/>
          <w:sz w:val="24"/>
          <w:szCs w:val="24"/>
        </w:rPr>
        <w:t>Riv</w:t>
      </w:r>
      <w:proofErr w:type="spellEnd"/>
      <w:r w:rsidRPr="00C84C09">
        <w:rPr>
          <w:rFonts w:ascii="Times New Roman" w:hAnsi="Times New Roman" w:cs="Times New Roman"/>
          <w:i/>
          <w:iCs/>
          <w:sz w:val="24"/>
          <w:szCs w:val="24"/>
        </w:rPr>
        <w:t xml:space="preserve">. dir. </w:t>
      </w:r>
      <w:proofErr w:type="spellStart"/>
      <w:r w:rsidRPr="00C84C09">
        <w:rPr>
          <w:rFonts w:ascii="Times New Roman" w:hAnsi="Times New Roman" w:cs="Times New Roman"/>
          <w:i/>
          <w:iCs/>
          <w:sz w:val="24"/>
          <w:szCs w:val="24"/>
        </w:rPr>
        <w:t>ind</w:t>
      </w:r>
      <w:proofErr w:type="spellEnd"/>
      <w:r w:rsidRPr="00551136">
        <w:rPr>
          <w:rFonts w:ascii="Times New Roman" w:hAnsi="Times New Roman" w:cs="Times New Roman"/>
          <w:sz w:val="24"/>
          <w:szCs w:val="24"/>
        </w:rPr>
        <w:t xml:space="preserve">. 2009, 4-5, II, 466; </w:t>
      </w:r>
      <w:r w:rsidRPr="00C84C09">
        <w:rPr>
          <w:rFonts w:ascii="Times New Roman" w:hAnsi="Times New Roman" w:cs="Times New Roman"/>
          <w:i/>
          <w:iCs/>
          <w:sz w:val="24"/>
          <w:szCs w:val="24"/>
        </w:rPr>
        <w:t xml:space="preserve">Foro </w:t>
      </w:r>
      <w:proofErr w:type="spellStart"/>
      <w:r w:rsidRPr="00C84C09">
        <w:rPr>
          <w:rFonts w:ascii="Times New Roman" w:hAnsi="Times New Roman" w:cs="Times New Roman"/>
          <w:i/>
          <w:iCs/>
          <w:sz w:val="24"/>
          <w:szCs w:val="24"/>
        </w:rPr>
        <w:t>it</w:t>
      </w:r>
      <w:proofErr w:type="spellEnd"/>
      <w:r w:rsidRPr="00551136">
        <w:rPr>
          <w:rFonts w:ascii="Times New Roman" w:hAnsi="Times New Roman" w:cs="Times New Roman"/>
          <w:sz w:val="24"/>
          <w:szCs w:val="24"/>
        </w:rPr>
        <w:t>. 2009, 10, I, 2728 NOTA (</w:t>
      </w:r>
      <w:proofErr w:type="spellStart"/>
      <w:r w:rsidRPr="00551136">
        <w:rPr>
          <w:rFonts w:ascii="Times New Roman" w:hAnsi="Times New Roman" w:cs="Times New Roman"/>
          <w:sz w:val="24"/>
          <w:szCs w:val="24"/>
        </w:rPr>
        <w:t>s.m</w:t>
      </w:r>
      <w:proofErr w:type="spellEnd"/>
      <w:r w:rsidRPr="00551136">
        <w:rPr>
          <w:rFonts w:ascii="Times New Roman" w:hAnsi="Times New Roman" w:cs="Times New Roman"/>
          <w:sz w:val="24"/>
          <w:szCs w:val="24"/>
        </w:rPr>
        <w:t xml:space="preserve">.) con nota di </w:t>
      </w:r>
      <w:r w:rsidRPr="00551136">
        <w:rPr>
          <w:rFonts w:ascii="Times New Roman" w:hAnsi="Times New Roman" w:cs="Times New Roman"/>
          <w:smallCaps/>
          <w:sz w:val="24"/>
          <w:szCs w:val="24"/>
        </w:rPr>
        <w:t xml:space="preserve">L. C. </w:t>
      </w:r>
      <w:proofErr w:type="spellStart"/>
      <w:r w:rsidRPr="00551136">
        <w:rPr>
          <w:rFonts w:ascii="Times New Roman" w:hAnsi="Times New Roman" w:cs="Times New Roman"/>
          <w:smallCaps/>
          <w:sz w:val="24"/>
          <w:szCs w:val="24"/>
        </w:rPr>
        <w:t>Ubertazzi</w:t>
      </w:r>
      <w:proofErr w:type="spellEnd"/>
      <w:r w:rsidRPr="00551136">
        <w:rPr>
          <w:rFonts w:ascii="Times New Roman" w:hAnsi="Times New Roman" w:cs="Times New Roman"/>
          <w:sz w:val="24"/>
          <w:szCs w:val="24"/>
        </w:rPr>
        <w:t>.</w:t>
      </w:r>
    </w:p>
  </w:footnote>
  <w:footnote w:id="216">
    <w:p w14:paraId="22E900BF" w14:textId="3703AF58" w:rsidR="000463A6" w:rsidRDefault="000463A6" w:rsidP="007A4C8C">
      <w:pPr>
        <w:pStyle w:val="Testonotaapidipagina"/>
        <w:jc w:val="both"/>
      </w:pPr>
      <w:r w:rsidRPr="00551136">
        <w:rPr>
          <w:rStyle w:val="Rimandonotaapidipagina"/>
          <w:rFonts w:ascii="Times New Roman" w:hAnsi="Times New Roman" w:cs="Times New Roman"/>
          <w:sz w:val="24"/>
          <w:szCs w:val="24"/>
        </w:rPr>
        <w:footnoteRef/>
      </w:r>
      <w:r w:rsidRPr="00551136">
        <w:rPr>
          <w:rFonts w:ascii="Times New Roman" w:hAnsi="Times New Roman" w:cs="Times New Roman"/>
          <w:sz w:val="24"/>
          <w:szCs w:val="24"/>
        </w:rPr>
        <w:t xml:space="preserve"> Si veda la sentenza della Corte di Appello di Milano, n. 21043</w:t>
      </w:r>
      <w:r>
        <w:rPr>
          <w:rFonts w:ascii="Times New Roman" w:hAnsi="Times New Roman" w:cs="Times New Roman"/>
          <w:sz w:val="24"/>
          <w:szCs w:val="24"/>
        </w:rPr>
        <w:t xml:space="preserve"> del </w:t>
      </w:r>
      <w:r w:rsidRPr="00551136">
        <w:rPr>
          <w:rFonts w:ascii="Times New Roman" w:hAnsi="Times New Roman" w:cs="Times New Roman"/>
          <w:sz w:val="24"/>
          <w:szCs w:val="24"/>
        </w:rPr>
        <w:t>202</w:t>
      </w:r>
      <w:r>
        <w:rPr>
          <w:rFonts w:ascii="Times New Roman" w:hAnsi="Times New Roman" w:cs="Times New Roman"/>
          <w:sz w:val="24"/>
          <w:szCs w:val="24"/>
        </w:rPr>
        <w:t>1.</w:t>
      </w:r>
    </w:p>
  </w:footnote>
  <w:footnote w:id="217">
    <w:p w14:paraId="5A323585" w14:textId="6B1CE513" w:rsidR="000463A6" w:rsidRPr="00A171E1" w:rsidRDefault="000463A6" w:rsidP="00A171E1">
      <w:pPr>
        <w:pStyle w:val="Testonotaapidipagina"/>
        <w:jc w:val="both"/>
        <w:rPr>
          <w:rFonts w:ascii="Times New Roman" w:hAnsi="Times New Roman" w:cs="Times New Roman"/>
          <w:color w:val="000000" w:themeColor="text1"/>
          <w:sz w:val="24"/>
          <w:szCs w:val="24"/>
        </w:rPr>
      </w:pPr>
      <w:r w:rsidRPr="00A171E1">
        <w:rPr>
          <w:rStyle w:val="Rimandonotaapidipagina"/>
          <w:rFonts w:ascii="Times New Roman" w:hAnsi="Times New Roman" w:cs="Times New Roman"/>
          <w:color w:val="000000" w:themeColor="text1"/>
          <w:sz w:val="24"/>
          <w:szCs w:val="24"/>
        </w:rPr>
        <w:footnoteRef/>
      </w:r>
      <w:r w:rsidRPr="00A171E1">
        <w:rPr>
          <w:rFonts w:ascii="Times New Roman" w:hAnsi="Times New Roman" w:cs="Times New Roman"/>
          <w:color w:val="000000" w:themeColor="text1"/>
          <w:sz w:val="24"/>
          <w:szCs w:val="24"/>
        </w:rPr>
        <w:t xml:space="preserve"> </w:t>
      </w:r>
      <w:proofErr w:type="spellStart"/>
      <w:r w:rsidRPr="00A171E1">
        <w:rPr>
          <w:rFonts w:ascii="Times New Roman" w:hAnsi="Times New Roman" w:cs="Times New Roman"/>
          <w:color w:val="000000" w:themeColor="text1"/>
          <w:sz w:val="24"/>
          <w:szCs w:val="24"/>
        </w:rPr>
        <w:t>Cass</w:t>
      </w:r>
      <w:proofErr w:type="spellEnd"/>
      <w:r w:rsidRPr="00A171E1">
        <w:rPr>
          <w:rFonts w:ascii="Times New Roman" w:hAnsi="Times New Roman" w:cs="Times New Roman"/>
          <w:color w:val="000000" w:themeColor="text1"/>
          <w:sz w:val="24"/>
          <w:szCs w:val="24"/>
        </w:rPr>
        <w:t xml:space="preserve">. </w:t>
      </w:r>
      <w:proofErr w:type="spellStart"/>
      <w:r w:rsidRPr="00A171E1">
        <w:rPr>
          <w:rFonts w:ascii="Times New Roman" w:hAnsi="Times New Roman" w:cs="Times New Roman"/>
          <w:color w:val="000000" w:themeColor="text1"/>
          <w:sz w:val="24"/>
          <w:szCs w:val="24"/>
        </w:rPr>
        <w:t>Civ</w:t>
      </w:r>
      <w:proofErr w:type="spellEnd"/>
      <w:r w:rsidRPr="00A171E1">
        <w:rPr>
          <w:rFonts w:ascii="Times New Roman" w:hAnsi="Times New Roman" w:cs="Times New Roman"/>
          <w:color w:val="000000" w:themeColor="text1"/>
          <w:sz w:val="24"/>
          <w:szCs w:val="24"/>
        </w:rPr>
        <w:t xml:space="preserve">., sez. III, 13/05/2020, n. 8880, disponibile su </w:t>
      </w:r>
      <w:r w:rsidRPr="0081668B">
        <w:rPr>
          <w:rFonts w:ascii="Times New Roman" w:hAnsi="Times New Roman" w:cs="Times New Roman"/>
          <w:i/>
          <w:iCs/>
          <w:color w:val="000000" w:themeColor="text1"/>
          <w:sz w:val="24"/>
          <w:szCs w:val="24"/>
        </w:rPr>
        <w:t>dejure.it</w:t>
      </w:r>
      <w:r w:rsidRPr="00A171E1">
        <w:rPr>
          <w:rFonts w:ascii="Times New Roman" w:hAnsi="Times New Roman" w:cs="Times New Roman"/>
          <w:color w:val="000000" w:themeColor="text1"/>
          <w:sz w:val="24"/>
          <w:szCs w:val="24"/>
        </w:rPr>
        <w:t xml:space="preserve">, </w:t>
      </w:r>
      <w:r w:rsidRPr="00A171E1">
        <w:rPr>
          <w:rFonts w:ascii="Times New Roman" w:hAnsi="Times New Roman" w:cs="Times New Roman"/>
          <w:i/>
          <w:iCs/>
          <w:color w:val="000000" w:themeColor="text1"/>
          <w:sz w:val="24"/>
          <w:szCs w:val="24"/>
        </w:rPr>
        <w:t>Guida al diritto</w:t>
      </w:r>
      <w:r w:rsidRPr="00A171E1">
        <w:rPr>
          <w:rFonts w:ascii="Times New Roman" w:hAnsi="Times New Roman" w:cs="Times New Roman"/>
          <w:color w:val="000000" w:themeColor="text1"/>
          <w:sz w:val="24"/>
          <w:szCs w:val="24"/>
        </w:rPr>
        <w:t xml:space="preserve"> 2020, 37, 64; </w:t>
      </w:r>
      <w:r w:rsidRPr="00A171E1">
        <w:rPr>
          <w:rFonts w:ascii="Times New Roman" w:hAnsi="Times New Roman" w:cs="Times New Roman"/>
          <w:i/>
          <w:iCs/>
          <w:color w:val="000000" w:themeColor="text1"/>
          <w:sz w:val="24"/>
          <w:szCs w:val="24"/>
        </w:rPr>
        <w:t>Giustizia Civile Massimario</w:t>
      </w:r>
      <w:r w:rsidRPr="00A171E1">
        <w:rPr>
          <w:rFonts w:ascii="Times New Roman" w:hAnsi="Times New Roman" w:cs="Times New Roman"/>
          <w:color w:val="000000" w:themeColor="text1"/>
          <w:sz w:val="24"/>
          <w:szCs w:val="24"/>
        </w:rPr>
        <w:t xml:space="preserve">, 2020; </w:t>
      </w:r>
      <w:r w:rsidRPr="00A171E1">
        <w:rPr>
          <w:rFonts w:ascii="Times New Roman" w:hAnsi="Times New Roman" w:cs="Times New Roman"/>
          <w:i/>
          <w:iCs/>
          <w:color w:val="000000" w:themeColor="text1"/>
          <w:sz w:val="24"/>
          <w:szCs w:val="24"/>
        </w:rPr>
        <w:t>Rivista di Diritto Industriale</w:t>
      </w:r>
      <w:r w:rsidRPr="00A171E1">
        <w:rPr>
          <w:rFonts w:ascii="Times New Roman" w:hAnsi="Times New Roman" w:cs="Times New Roman"/>
          <w:color w:val="000000" w:themeColor="text1"/>
          <w:sz w:val="24"/>
          <w:szCs w:val="24"/>
        </w:rPr>
        <w:t>, 2020, 4-05, II, 344.</w:t>
      </w:r>
    </w:p>
  </w:footnote>
  <w:footnote w:id="218">
    <w:p w14:paraId="0B17976C" w14:textId="6C3F4BB8" w:rsidR="000463A6" w:rsidRPr="00A171E1" w:rsidRDefault="000463A6" w:rsidP="00A171E1">
      <w:pPr>
        <w:pStyle w:val="Testonotaapidipagina"/>
        <w:jc w:val="both"/>
        <w:rPr>
          <w:rFonts w:ascii="Times New Roman" w:hAnsi="Times New Roman" w:cs="Times New Roman"/>
          <w:color w:val="000000" w:themeColor="text1"/>
          <w:sz w:val="24"/>
          <w:szCs w:val="24"/>
        </w:rPr>
      </w:pPr>
      <w:r w:rsidRPr="00A171E1">
        <w:rPr>
          <w:rStyle w:val="Rimandonotaapidipagina"/>
          <w:rFonts w:ascii="Times New Roman" w:hAnsi="Times New Roman" w:cs="Times New Roman"/>
          <w:color w:val="000000" w:themeColor="text1"/>
          <w:sz w:val="24"/>
          <w:szCs w:val="24"/>
        </w:rPr>
        <w:footnoteRef/>
      </w:r>
      <w:r w:rsidRPr="00A171E1">
        <w:rPr>
          <w:rFonts w:ascii="Times New Roman" w:hAnsi="Times New Roman" w:cs="Times New Roman"/>
          <w:color w:val="000000" w:themeColor="text1"/>
          <w:sz w:val="24"/>
          <w:szCs w:val="24"/>
        </w:rPr>
        <w:t xml:space="preserve"> </w:t>
      </w:r>
      <w:proofErr w:type="spellStart"/>
      <w:r w:rsidRPr="00A171E1">
        <w:rPr>
          <w:rFonts w:ascii="Times New Roman" w:hAnsi="Times New Roman" w:cs="Times New Roman"/>
          <w:color w:val="000000" w:themeColor="text1"/>
          <w:sz w:val="24"/>
          <w:szCs w:val="24"/>
        </w:rPr>
        <w:t>Cass</w:t>
      </w:r>
      <w:proofErr w:type="spellEnd"/>
      <w:r w:rsidRPr="00A171E1">
        <w:rPr>
          <w:rFonts w:ascii="Times New Roman" w:hAnsi="Times New Roman" w:cs="Times New Roman"/>
          <w:color w:val="000000" w:themeColor="text1"/>
          <w:sz w:val="24"/>
          <w:szCs w:val="24"/>
        </w:rPr>
        <w:t xml:space="preserve">. </w:t>
      </w:r>
      <w:proofErr w:type="spellStart"/>
      <w:r w:rsidRPr="00A171E1">
        <w:rPr>
          <w:rFonts w:ascii="Times New Roman" w:hAnsi="Times New Roman" w:cs="Times New Roman"/>
          <w:color w:val="000000" w:themeColor="text1"/>
          <w:sz w:val="24"/>
          <w:szCs w:val="24"/>
        </w:rPr>
        <w:t>Civ</w:t>
      </w:r>
      <w:proofErr w:type="spellEnd"/>
      <w:r w:rsidRPr="00A171E1">
        <w:rPr>
          <w:rFonts w:ascii="Times New Roman" w:hAnsi="Times New Roman" w:cs="Times New Roman"/>
          <w:color w:val="000000" w:themeColor="text1"/>
          <w:sz w:val="24"/>
          <w:szCs w:val="24"/>
        </w:rPr>
        <w:t xml:space="preserve">., sez. I, 19/02/2021, n. 4477, disponibile su </w:t>
      </w:r>
      <w:r w:rsidRPr="0081668B">
        <w:rPr>
          <w:rFonts w:ascii="Times New Roman" w:hAnsi="Times New Roman" w:cs="Times New Roman"/>
          <w:i/>
          <w:iCs/>
          <w:color w:val="000000" w:themeColor="text1"/>
          <w:sz w:val="24"/>
          <w:szCs w:val="24"/>
        </w:rPr>
        <w:t>dejure.it</w:t>
      </w:r>
      <w:r w:rsidRPr="00A171E1">
        <w:rPr>
          <w:rFonts w:ascii="Times New Roman" w:hAnsi="Times New Roman" w:cs="Times New Roman"/>
          <w:color w:val="000000" w:themeColor="text1"/>
          <w:sz w:val="24"/>
          <w:szCs w:val="24"/>
        </w:rPr>
        <w:t>, commentata da I</w:t>
      </w:r>
      <w:r w:rsidRPr="00A171E1">
        <w:rPr>
          <w:rFonts w:ascii="Times New Roman" w:hAnsi="Times New Roman" w:cs="Times New Roman"/>
          <w:smallCaps/>
          <w:color w:val="000000" w:themeColor="text1"/>
          <w:sz w:val="24"/>
          <w:szCs w:val="24"/>
        </w:rPr>
        <w:t>. M. Alagna</w:t>
      </w:r>
      <w:r w:rsidRPr="00A171E1">
        <w:rPr>
          <w:rFonts w:ascii="Times New Roman" w:hAnsi="Times New Roman" w:cs="Times New Roman"/>
          <w:color w:val="000000" w:themeColor="text1"/>
          <w:sz w:val="24"/>
          <w:szCs w:val="24"/>
        </w:rPr>
        <w:t>, “</w:t>
      </w:r>
      <w:r w:rsidRPr="00A171E1">
        <w:rPr>
          <w:rFonts w:ascii="Times New Roman" w:hAnsi="Times New Roman" w:cs="Times New Roman"/>
          <w:i/>
          <w:iCs/>
          <w:color w:val="000000" w:themeColor="text1"/>
          <w:sz w:val="24"/>
          <w:szCs w:val="24"/>
        </w:rPr>
        <w:t>L’interesse pubblico alla diffusione di una notizia non legittima la pubblicazione di immagini ritraenti un minore su testate giornalistiche</w:t>
      </w:r>
      <w:r w:rsidRPr="00A171E1">
        <w:rPr>
          <w:rFonts w:ascii="Times New Roman" w:hAnsi="Times New Roman" w:cs="Times New Roman"/>
          <w:color w:val="000000" w:themeColor="text1"/>
          <w:sz w:val="24"/>
          <w:szCs w:val="24"/>
        </w:rPr>
        <w:t xml:space="preserve">”, su </w:t>
      </w:r>
      <w:r w:rsidRPr="00A171E1">
        <w:rPr>
          <w:rFonts w:ascii="Times New Roman" w:hAnsi="Times New Roman" w:cs="Times New Roman"/>
          <w:i/>
          <w:iCs/>
          <w:color w:val="000000" w:themeColor="text1"/>
          <w:sz w:val="24"/>
          <w:szCs w:val="24"/>
        </w:rPr>
        <w:t>Diritto &amp; Giustizia</w:t>
      </w:r>
      <w:r w:rsidRPr="00A171E1">
        <w:rPr>
          <w:rFonts w:ascii="Times New Roman" w:hAnsi="Times New Roman" w:cs="Times New Roman"/>
          <w:color w:val="000000" w:themeColor="text1"/>
          <w:sz w:val="24"/>
          <w:szCs w:val="24"/>
        </w:rPr>
        <w:t>, fasc.</w:t>
      </w:r>
      <w:r>
        <w:rPr>
          <w:rFonts w:ascii="Times New Roman" w:hAnsi="Times New Roman" w:cs="Times New Roman"/>
          <w:color w:val="000000" w:themeColor="text1"/>
          <w:sz w:val="24"/>
          <w:szCs w:val="24"/>
        </w:rPr>
        <w:t xml:space="preserve"> </w:t>
      </w:r>
      <w:r w:rsidRPr="00A171E1">
        <w:rPr>
          <w:rFonts w:ascii="Times New Roman" w:hAnsi="Times New Roman" w:cs="Times New Roman"/>
          <w:color w:val="000000" w:themeColor="text1"/>
          <w:sz w:val="24"/>
          <w:szCs w:val="24"/>
        </w:rPr>
        <w:t>38, 2021, pag. 6.</w:t>
      </w:r>
    </w:p>
  </w:footnote>
  <w:footnote w:id="219">
    <w:p w14:paraId="567B585D" w14:textId="3C4F2C67" w:rsidR="000463A6" w:rsidRPr="00A171E1" w:rsidRDefault="000463A6" w:rsidP="00A171E1">
      <w:pPr>
        <w:pStyle w:val="Testonotaapidipagina"/>
        <w:jc w:val="both"/>
        <w:rPr>
          <w:rFonts w:ascii="Times New Roman" w:hAnsi="Times New Roman" w:cs="Times New Roman"/>
          <w:color w:val="000000" w:themeColor="text1"/>
          <w:sz w:val="24"/>
          <w:szCs w:val="24"/>
        </w:rPr>
      </w:pPr>
      <w:r w:rsidRPr="00A171E1">
        <w:rPr>
          <w:rStyle w:val="Rimandonotaapidipagina"/>
          <w:rFonts w:ascii="Times New Roman" w:hAnsi="Times New Roman" w:cs="Times New Roman"/>
          <w:color w:val="000000" w:themeColor="text1"/>
          <w:sz w:val="24"/>
          <w:szCs w:val="24"/>
        </w:rPr>
        <w:footnoteRef/>
      </w:r>
      <w:r w:rsidRPr="00A171E1">
        <w:rPr>
          <w:rFonts w:ascii="Times New Roman" w:hAnsi="Times New Roman" w:cs="Times New Roman"/>
          <w:color w:val="000000" w:themeColor="text1"/>
          <w:sz w:val="24"/>
          <w:szCs w:val="24"/>
        </w:rPr>
        <w:t xml:space="preserve"> Corte </w:t>
      </w:r>
      <w:r>
        <w:rPr>
          <w:rFonts w:ascii="Times New Roman" w:hAnsi="Times New Roman" w:cs="Times New Roman"/>
          <w:color w:val="000000" w:themeColor="text1"/>
          <w:sz w:val="24"/>
          <w:szCs w:val="24"/>
        </w:rPr>
        <w:t>E</w:t>
      </w:r>
      <w:r w:rsidRPr="00A171E1">
        <w:rPr>
          <w:rFonts w:ascii="Times New Roman" w:hAnsi="Times New Roman" w:cs="Times New Roman"/>
          <w:color w:val="000000" w:themeColor="text1"/>
          <w:sz w:val="24"/>
          <w:szCs w:val="24"/>
        </w:rPr>
        <w:t xml:space="preserve">uropea </w:t>
      </w:r>
      <w:r>
        <w:rPr>
          <w:rFonts w:ascii="Times New Roman" w:hAnsi="Times New Roman" w:cs="Times New Roman"/>
          <w:color w:val="000000" w:themeColor="text1"/>
          <w:sz w:val="24"/>
          <w:szCs w:val="24"/>
        </w:rPr>
        <w:t>D</w:t>
      </w:r>
      <w:r w:rsidRPr="00A171E1">
        <w:rPr>
          <w:rFonts w:ascii="Times New Roman" w:hAnsi="Times New Roman" w:cs="Times New Roman"/>
          <w:color w:val="000000" w:themeColor="text1"/>
          <w:sz w:val="24"/>
          <w:szCs w:val="24"/>
        </w:rPr>
        <w:t xml:space="preserve">iritti </w:t>
      </w:r>
      <w:r>
        <w:rPr>
          <w:rFonts w:ascii="Times New Roman" w:hAnsi="Times New Roman" w:cs="Times New Roman"/>
          <w:color w:val="000000" w:themeColor="text1"/>
          <w:sz w:val="24"/>
          <w:szCs w:val="24"/>
        </w:rPr>
        <w:t>d</w:t>
      </w:r>
      <w:r w:rsidRPr="00A171E1">
        <w:rPr>
          <w:rFonts w:ascii="Times New Roman" w:hAnsi="Times New Roman" w:cs="Times New Roman"/>
          <w:color w:val="000000" w:themeColor="text1"/>
          <w:sz w:val="24"/>
          <w:szCs w:val="24"/>
        </w:rPr>
        <w:t>ell</w:t>
      </w:r>
      <w:r>
        <w:rPr>
          <w:rFonts w:ascii="Times New Roman" w:hAnsi="Times New Roman" w:cs="Times New Roman"/>
          <w:color w:val="000000" w:themeColor="text1"/>
          <w:sz w:val="24"/>
          <w:szCs w:val="24"/>
        </w:rPr>
        <w:t>’U</w:t>
      </w:r>
      <w:r w:rsidRPr="00A171E1">
        <w:rPr>
          <w:rFonts w:ascii="Times New Roman" w:hAnsi="Times New Roman" w:cs="Times New Roman"/>
          <w:color w:val="000000" w:themeColor="text1"/>
          <w:sz w:val="24"/>
          <w:szCs w:val="24"/>
        </w:rPr>
        <w:t>omo</w:t>
      </w:r>
      <w:r>
        <w:rPr>
          <w:rFonts w:ascii="Times New Roman" w:hAnsi="Times New Roman" w:cs="Times New Roman"/>
          <w:color w:val="000000" w:themeColor="text1"/>
          <w:sz w:val="24"/>
          <w:szCs w:val="24"/>
        </w:rPr>
        <w:t>,</w:t>
      </w:r>
      <w:r w:rsidRPr="00A171E1">
        <w:rPr>
          <w:rFonts w:ascii="Times New Roman" w:hAnsi="Times New Roman" w:cs="Times New Roman"/>
          <w:color w:val="000000" w:themeColor="text1"/>
          <w:sz w:val="24"/>
          <w:szCs w:val="24"/>
        </w:rPr>
        <w:t xml:space="preserve"> sez. II, 07/11/2017, n.</w:t>
      </w:r>
      <w:r>
        <w:rPr>
          <w:rFonts w:ascii="Times New Roman" w:hAnsi="Times New Roman" w:cs="Times New Roman"/>
          <w:color w:val="000000" w:themeColor="text1"/>
          <w:sz w:val="24"/>
          <w:szCs w:val="24"/>
        </w:rPr>
        <w:t xml:space="preserve"> </w:t>
      </w:r>
      <w:r w:rsidRPr="00A171E1">
        <w:rPr>
          <w:rFonts w:ascii="Times New Roman" w:hAnsi="Times New Roman" w:cs="Times New Roman"/>
          <w:color w:val="000000" w:themeColor="text1"/>
          <w:sz w:val="24"/>
          <w:szCs w:val="24"/>
        </w:rPr>
        <w:t xml:space="preserve">24703, disponibile su </w:t>
      </w:r>
      <w:r w:rsidRPr="0081668B">
        <w:rPr>
          <w:rFonts w:ascii="Times New Roman" w:hAnsi="Times New Roman" w:cs="Times New Roman"/>
          <w:i/>
          <w:iCs/>
          <w:color w:val="000000" w:themeColor="text1"/>
          <w:sz w:val="24"/>
          <w:szCs w:val="24"/>
        </w:rPr>
        <w:t>dejure.it</w:t>
      </w:r>
      <w:r w:rsidRPr="00A171E1">
        <w:rPr>
          <w:rFonts w:ascii="Times New Roman" w:hAnsi="Times New Roman" w:cs="Times New Roman"/>
          <w:color w:val="000000" w:themeColor="text1"/>
          <w:sz w:val="24"/>
          <w:szCs w:val="24"/>
        </w:rPr>
        <w:t xml:space="preserve"> e </w:t>
      </w:r>
      <w:r w:rsidRPr="001D01C1">
        <w:rPr>
          <w:rFonts w:ascii="Times New Roman" w:hAnsi="Times New Roman" w:cs="Times New Roman"/>
          <w:i/>
          <w:iCs/>
          <w:color w:val="000000" w:themeColor="text1"/>
          <w:sz w:val="24"/>
          <w:szCs w:val="24"/>
        </w:rPr>
        <w:t>Guida al diritto</w:t>
      </w:r>
      <w:r>
        <w:rPr>
          <w:rFonts w:ascii="Times New Roman" w:hAnsi="Times New Roman" w:cs="Times New Roman"/>
          <w:i/>
          <w:iCs/>
          <w:color w:val="000000" w:themeColor="text1"/>
          <w:sz w:val="24"/>
          <w:szCs w:val="24"/>
        </w:rPr>
        <w:t>,</w:t>
      </w:r>
      <w:r w:rsidRPr="001D01C1">
        <w:rPr>
          <w:rFonts w:ascii="Times New Roman" w:hAnsi="Times New Roman" w:cs="Times New Roman"/>
          <w:i/>
          <w:iCs/>
          <w:color w:val="000000" w:themeColor="text1"/>
          <w:sz w:val="24"/>
          <w:szCs w:val="24"/>
        </w:rPr>
        <w:t xml:space="preserve"> </w:t>
      </w:r>
      <w:r w:rsidRPr="00A171E1">
        <w:rPr>
          <w:rFonts w:ascii="Times New Roman" w:hAnsi="Times New Roman" w:cs="Times New Roman"/>
          <w:color w:val="000000" w:themeColor="text1"/>
          <w:sz w:val="24"/>
          <w:szCs w:val="24"/>
        </w:rPr>
        <w:t>2018, 1, 42.</w:t>
      </w:r>
    </w:p>
  </w:footnote>
  <w:footnote w:id="220">
    <w:p w14:paraId="3DF7581F" w14:textId="59FF6EB1" w:rsidR="000463A6" w:rsidRPr="00201418" w:rsidRDefault="000463A6" w:rsidP="00A171E1">
      <w:pPr>
        <w:pStyle w:val="Testonotaapidipagina"/>
        <w:jc w:val="both"/>
        <w:rPr>
          <w:rFonts w:ascii="Times New Roman" w:hAnsi="Times New Roman" w:cs="Times New Roman"/>
          <w:sz w:val="24"/>
          <w:szCs w:val="24"/>
        </w:rPr>
      </w:pPr>
      <w:r w:rsidRPr="00A171E1">
        <w:rPr>
          <w:rStyle w:val="Rimandonotaapidipagina"/>
          <w:rFonts w:ascii="Times New Roman" w:hAnsi="Times New Roman" w:cs="Times New Roman"/>
          <w:color w:val="000000" w:themeColor="text1"/>
          <w:sz w:val="24"/>
          <w:szCs w:val="24"/>
        </w:rPr>
        <w:footnoteRef/>
      </w:r>
      <w:r w:rsidRPr="00A171E1">
        <w:rPr>
          <w:rFonts w:ascii="Times New Roman" w:hAnsi="Times New Roman" w:cs="Times New Roman"/>
          <w:color w:val="000000" w:themeColor="text1"/>
          <w:sz w:val="24"/>
          <w:szCs w:val="24"/>
        </w:rPr>
        <w:t xml:space="preserve"> Tribunale di Rieti, sentenza del 07/03/2019, pronunciata nel procedimento avente </w:t>
      </w:r>
      <w:proofErr w:type="spellStart"/>
      <w:r w:rsidRPr="00A171E1">
        <w:rPr>
          <w:rFonts w:ascii="Times New Roman" w:hAnsi="Times New Roman" w:cs="Times New Roman"/>
          <w:color w:val="000000" w:themeColor="text1"/>
          <w:sz w:val="24"/>
          <w:szCs w:val="24"/>
        </w:rPr>
        <w:t>r.g</w:t>
      </w:r>
      <w:proofErr w:type="spellEnd"/>
      <w:r w:rsidRPr="00A171E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171E1">
        <w:rPr>
          <w:rFonts w:ascii="Times New Roman" w:hAnsi="Times New Roman" w:cs="Times New Roman"/>
          <w:color w:val="000000" w:themeColor="text1"/>
          <w:sz w:val="24"/>
          <w:szCs w:val="24"/>
        </w:rPr>
        <w:t xml:space="preserve">n. 2008/2018, disponibile su </w:t>
      </w:r>
      <w:r w:rsidRPr="0081668B">
        <w:rPr>
          <w:rFonts w:ascii="Times New Roman" w:hAnsi="Times New Roman" w:cs="Times New Roman"/>
          <w:i/>
          <w:iCs/>
          <w:color w:val="000000" w:themeColor="text1"/>
          <w:sz w:val="24"/>
          <w:szCs w:val="24"/>
        </w:rPr>
        <w:t>dejure.it</w:t>
      </w:r>
      <w:r>
        <w:rPr>
          <w:rFonts w:ascii="Times New Roman" w:hAnsi="Times New Roman" w:cs="Times New Roman"/>
          <w:color w:val="000000" w:themeColor="text1"/>
          <w:sz w:val="24"/>
          <w:szCs w:val="24"/>
        </w:rPr>
        <w:t xml:space="preserve">; </w:t>
      </w:r>
      <w:r w:rsidRPr="00A171E1">
        <w:rPr>
          <w:rFonts w:ascii="Times New Roman" w:hAnsi="Times New Roman" w:cs="Times New Roman"/>
          <w:color w:val="000000" w:themeColor="text1"/>
          <w:sz w:val="24"/>
          <w:szCs w:val="24"/>
        </w:rPr>
        <w:t xml:space="preserve">nota a sentenza di </w:t>
      </w:r>
      <w:r w:rsidRPr="001D01C1">
        <w:rPr>
          <w:rFonts w:ascii="Times New Roman" w:hAnsi="Times New Roman" w:cs="Times New Roman"/>
          <w:smallCaps/>
          <w:color w:val="000000" w:themeColor="text1"/>
          <w:sz w:val="24"/>
          <w:szCs w:val="24"/>
        </w:rPr>
        <w:t>A. Simeone</w:t>
      </w:r>
      <w:r w:rsidRPr="00A171E1">
        <w:rPr>
          <w:rFonts w:ascii="Times New Roman" w:hAnsi="Times New Roman" w:cs="Times New Roman"/>
          <w:color w:val="000000" w:themeColor="text1"/>
          <w:sz w:val="24"/>
          <w:szCs w:val="24"/>
        </w:rPr>
        <w:t>, “</w:t>
      </w:r>
      <w:r w:rsidRPr="001D01C1">
        <w:rPr>
          <w:rFonts w:ascii="Times New Roman" w:hAnsi="Times New Roman" w:cs="Times New Roman"/>
          <w:i/>
          <w:iCs/>
          <w:color w:val="000000" w:themeColor="text1"/>
          <w:sz w:val="24"/>
          <w:szCs w:val="24"/>
        </w:rPr>
        <w:t>La nuova compagna del padre non può pubblicare le foto dei minori senza il consenso della madre</w:t>
      </w:r>
      <w:r w:rsidRPr="00A171E1">
        <w:rPr>
          <w:rFonts w:ascii="Times New Roman" w:hAnsi="Times New Roman" w:cs="Times New Roman"/>
          <w:color w:val="000000" w:themeColor="text1"/>
          <w:sz w:val="24"/>
          <w:szCs w:val="24"/>
        </w:rPr>
        <w:t xml:space="preserve">”, su </w:t>
      </w:r>
      <w:r w:rsidRPr="00A171E1">
        <w:rPr>
          <w:rFonts w:ascii="Times New Roman" w:hAnsi="Times New Roman" w:cs="Times New Roman"/>
          <w:i/>
          <w:iCs/>
          <w:color w:val="000000" w:themeColor="text1"/>
          <w:sz w:val="24"/>
          <w:szCs w:val="24"/>
        </w:rPr>
        <w:t>Ilfamiliarista.it</w:t>
      </w:r>
      <w:r w:rsidRPr="00A171E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171E1">
        <w:rPr>
          <w:rFonts w:ascii="Times New Roman" w:hAnsi="Times New Roman" w:cs="Times New Roman"/>
          <w:color w:val="000000" w:themeColor="text1"/>
          <w:sz w:val="24"/>
          <w:szCs w:val="24"/>
        </w:rPr>
        <w:t>luglio 2019.</w:t>
      </w:r>
    </w:p>
  </w:footnote>
  <w:footnote w:id="221">
    <w:p w14:paraId="3E78CE7D" w14:textId="11304E21" w:rsidR="000463A6" w:rsidRPr="00201418" w:rsidRDefault="000463A6" w:rsidP="00E7511E">
      <w:pPr>
        <w:pStyle w:val="Testonotaapidipagina"/>
        <w:jc w:val="both"/>
        <w:rPr>
          <w:rFonts w:ascii="Times New Roman" w:hAnsi="Times New Roman" w:cs="Times New Roman"/>
          <w:sz w:val="24"/>
          <w:szCs w:val="24"/>
        </w:rPr>
      </w:pPr>
      <w:r w:rsidRPr="00201418">
        <w:rPr>
          <w:rStyle w:val="Rimandonotaapidipagina"/>
          <w:rFonts w:ascii="Times New Roman" w:hAnsi="Times New Roman" w:cs="Times New Roman"/>
          <w:sz w:val="24"/>
          <w:szCs w:val="24"/>
        </w:rPr>
        <w:footnoteRef/>
      </w:r>
      <w:r w:rsidRPr="00201418">
        <w:rPr>
          <w:rFonts w:ascii="Times New Roman" w:hAnsi="Times New Roman" w:cs="Times New Roman"/>
          <w:sz w:val="24"/>
          <w:szCs w:val="24"/>
        </w:rPr>
        <w:t xml:space="preserve"> </w:t>
      </w:r>
      <w:r w:rsidRPr="002659DB">
        <w:rPr>
          <w:rFonts w:ascii="Times New Roman" w:hAnsi="Times New Roman" w:cs="Times New Roman"/>
          <w:sz w:val="24"/>
          <w:szCs w:val="24"/>
        </w:rPr>
        <w:t xml:space="preserve">Tribunale </w:t>
      </w:r>
      <w:r>
        <w:rPr>
          <w:rFonts w:ascii="Times New Roman" w:hAnsi="Times New Roman" w:cs="Times New Roman"/>
          <w:sz w:val="24"/>
          <w:szCs w:val="24"/>
        </w:rPr>
        <w:t xml:space="preserve">di </w:t>
      </w:r>
      <w:r w:rsidRPr="002659DB">
        <w:rPr>
          <w:rFonts w:ascii="Times New Roman" w:hAnsi="Times New Roman" w:cs="Times New Roman"/>
          <w:sz w:val="24"/>
          <w:szCs w:val="24"/>
        </w:rPr>
        <w:t>Mantova,</w:t>
      </w:r>
      <w:r>
        <w:rPr>
          <w:rFonts w:ascii="Times New Roman" w:hAnsi="Times New Roman" w:cs="Times New Roman"/>
          <w:sz w:val="24"/>
          <w:szCs w:val="24"/>
        </w:rPr>
        <w:t xml:space="preserve"> </w:t>
      </w:r>
      <w:r w:rsidRPr="002659DB">
        <w:rPr>
          <w:rFonts w:ascii="Times New Roman" w:hAnsi="Times New Roman" w:cs="Times New Roman"/>
          <w:sz w:val="24"/>
          <w:szCs w:val="24"/>
        </w:rPr>
        <w:t>19/09/2017</w:t>
      </w:r>
      <w:r>
        <w:rPr>
          <w:rFonts w:ascii="Times New Roman" w:hAnsi="Times New Roman" w:cs="Times New Roman"/>
          <w:sz w:val="24"/>
          <w:szCs w:val="24"/>
        </w:rPr>
        <w:t xml:space="preserve">, disponibile su </w:t>
      </w:r>
      <w:r w:rsidRPr="0081668B">
        <w:rPr>
          <w:rFonts w:ascii="Times New Roman" w:hAnsi="Times New Roman" w:cs="Times New Roman"/>
          <w:i/>
          <w:iCs/>
          <w:sz w:val="24"/>
          <w:szCs w:val="24"/>
        </w:rPr>
        <w:t>dejure.it</w:t>
      </w:r>
      <w:r>
        <w:rPr>
          <w:rFonts w:ascii="Times New Roman" w:hAnsi="Times New Roman" w:cs="Times New Roman"/>
          <w:sz w:val="24"/>
          <w:szCs w:val="24"/>
        </w:rPr>
        <w:t xml:space="preserve">, con nota a sentenza di </w:t>
      </w:r>
      <w:r w:rsidRPr="006E7EF0">
        <w:rPr>
          <w:rFonts w:ascii="Times New Roman" w:hAnsi="Times New Roman" w:cs="Times New Roman"/>
          <w:smallCaps/>
          <w:sz w:val="24"/>
          <w:szCs w:val="24"/>
        </w:rPr>
        <w:t xml:space="preserve">S. </w:t>
      </w:r>
      <w:proofErr w:type="spellStart"/>
      <w:r w:rsidRPr="006E7EF0">
        <w:rPr>
          <w:rFonts w:ascii="Times New Roman" w:hAnsi="Times New Roman" w:cs="Times New Roman"/>
          <w:smallCaps/>
          <w:sz w:val="24"/>
          <w:szCs w:val="24"/>
        </w:rPr>
        <w:t>Molfino</w:t>
      </w:r>
      <w:proofErr w:type="spellEnd"/>
      <w:r>
        <w:rPr>
          <w:rFonts w:ascii="Times New Roman" w:hAnsi="Times New Roman" w:cs="Times New Roman"/>
          <w:sz w:val="24"/>
          <w:szCs w:val="24"/>
        </w:rPr>
        <w:t>, “</w:t>
      </w:r>
      <w:r w:rsidRPr="006E7EF0">
        <w:rPr>
          <w:rFonts w:ascii="Times New Roman" w:hAnsi="Times New Roman" w:cs="Times New Roman"/>
          <w:i/>
          <w:iCs/>
          <w:sz w:val="24"/>
          <w:szCs w:val="24"/>
        </w:rPr>
        <w:t>Vietato pubblicare le foto dei figli sui social network senza il consenso dell</w:t>
      </w:r>
      <w:r>
        <w:rPr>
          <w:rFonts w:ascii="Times New Roman" w:hAnsi="Times New Roman" w:cs="Times New Roman"/>
          <w:i/>
          <w:iCs/>
          <w:sz w:val="24"/>
          <w:szCs w:val="24"/>
        </w:rPr>
        <w:t>’</w:t>
      </w:r>
      <w:r w:rsidRPr="006E7EF0">
        <w:rPr>
          <w:rFonts w:ascii="Times New Roman" w:hAnsi="Times New Roman" w:cs="Times New Roman"/>
          <w:i/>
          <w:iCs/>
          <w:sz w:val="24"/>
          <w:szCs w:val="24"/>
        </w:rPr>
        <w:t>altro genitore</w:t>
      </w:r>
      <w:r>
        <w:rPr>
          <w:rFonts w:ascii="Times New Roman" w:hAnsi="Times New Roman" w:cs="Times New Roman"/>
          <w:sz w:val="24"/>
          <w:szCs w:val="24"/>
        </w:rPr>
        <w:t xml:space="preserve">”, su </w:t>
      </w:r>
      <w:r w:rsidRPr="006E7EF0">
        <w:rPr>
          <w:rFonts w:ascii="Times New Roman" w:hAnsi="Times New Roman" w:cs="Times New Roman"/>
          <w:i/>
          <w:iCs/>
          <w:sz w:val="24"/>
          <w:szCs w:val="24"/>
        </w:rPr>
        <w:t>Ilfamiliarista.it</w:t>
      </w:r>
      <w:r>
        <w:rPr>
          <w:rFonts w:ascii="Times New Roman" w:hAnsi="Times New Roman" w:cs="Times New Roman"/>
          <w:sz w:val="24"/>
          <w:szCs w:val="24"/>
        </w:rPr>
        <w:t>, gennaio</w:t>
      </w:r>
      <w:r w:rsidRPr="002659DB">
        <w:rPr>
          <w:rFonts w:ascii="Times New Roman" w:hAnsi="Times New Roman" w:cs="Times New Roman"/>
          <w:sz w:val="24"/>
          <w:szCs w:val="24"/>
        </w:rPr>
        <w:t xml:space="preserve"> 2018</w:t>
      </w:r>
      <w:r>
        <w:rPr>
          <w:rFonts w:ascii="Times New Roman" w:hAnsi="Times New Roman" w:cs="Times New Roman"/>
          <w:sz w:val="24"/>
          <w:szCs w:val="24"/>
        </w:rPr>
        <w:t>.</w:t>
      </w:r>
    </w:p>
  </w:footnote>
  <w:footnote w:id="222">
    <w:p w14:paraId="018B510C" w14:textId="6C1DF828" w:rsidR="000463A6" w:rsidRPr="00E7511E" w:rsidRDefault="000463A6" w:rsidP="002659DB">
      <w:pPr>
        <w:pStyle w:val="Testonotaapidipagina"/>
        <w:jc w:val="both"/>
        <w:rPr>
          <w:rFonts w:ascii="Times New Roman" w:hAnsi="Times New Roman" w:cs="Times New Roman"/>
          <w:sz w:val="24"/>
          <w:szCs w:val="24"/>
        </w:rPr>
      </w:pPr>
      <w:r w:rsidRPr="00201418">
        <w:rPr>
          <w:rStyle w:val="Rimandonotaapidipagina"/>
          <w:rFonts w:ascii="Times New Roman" w:hAnsi="Times New Roman" w:cs="Times New Roman"/>
          <w:sz w:val="24"/>
          <w:szCs w:val="24"/>
        </w:rPr>
        <w:footnoteRef/>
      </w:r>
      <w:r w:rsidRPr="00201418">
        <w:rPr>
          <w:rFonts w:ascii="Times New Roman" w:hAnsi="Times New Roman" w:cs="Times New Roman"/>
          <w:sz w:val="24"/>
          <w:szCs w:val="24"/>
        </w:rPr>
        <w:t xml:space="preserve"> </w:t>
      </w:r>
      <w:r w:rsidRPr="002659DB">
        <w:rPr>
          <w:rFonts w:ascii="Times New Roman" w:hAnsi="Times New Roman" w:cs="Times New Roman"/>
          <w:sz w:val="24"/>
          <w:szCs w:val="24"/>
        </w:rPr>
        <w:t xml:space="preserve">Tribunale </w:t>
      </w:r>
      <w:r>
        <w:rPr>
          <w:rFonts w:ascii="Times New Roman" w:hAnsi="Times New Roman" w:cs="Times New Roman"/>
          <w:sz w:val="24"/>
          <w:szCs w:val="24"/>
        </w:rPr>
        <w:t xml:space="preserve">di </w:t>
      </w:r>
      <w:r w:rsidRPr="002659DB">
        <w:rPr>
          <w:rFonts w:ascii="Times New Roman" w:hAnsi="Times New Roman" w:cs="Times New Roman"/>
          <w:sz w:val="24"/>
          <w:szCs w:val="24"/>
        </w:rPr>
        <w:t>Roma</w:t>
      </w:r>
      <w:r>
        <w:rPr>
          <w:rFonts w:ascii="Times New Roman" w:hAnsi="Times New Roman" w:cs="Times New Roman"/>
          <w:sz w:val="24"/>
          <w:szCs w:val="24"/>
        </w:rPr>
        <w:t>,</w:t>
      </w:r>
      <w:r w:rsidRPr="002659DB">
        <w:rPr>
          <w:rFonts w:ascii="Times New Roman" w:hAnsi="Times New Roman" w:cs="Times New Roman"/>
          <w:sz w:val="24"/>
          <w:szCs w:val="24"/>
        </w:rPr>
        <w:t xml:space="preserve"> sez. I, 23/12/2017</w:t>
      </w:r>
      <w:r>
        <w:rPr>
          <w:rFonts w:ascii="Times New Roman" w:hAnsi="Times New Roman" w:cs="Times New Roman"/>
          <w:sz w:val="24"/>
          <w:szCs w:val="24"/>
        </w:rPr>
        <w:t xml:space="preserve">, disponibile su </w:t>
      </w:r>
      <w:r w:rsidRPr="0081668B">
        <w:rPr>
          <w:rFonts w:ascii="Times New Roman" w:hAnsi="Times New Roman" w:cs="Times New Roman"/>
          <w:i/>
          <w:iCs/>
          <w:sz w:val="24"/>
          <w:szCs w:val="24"/>
        </w:rPr>
        <w:t>dejure.it</w:t>
      </w:r>
      <w:r>
        <w:rPr>
          <w:rFonts w:ascii="Times New Roman" w:hAnsi="Times New Roman" w:cs="Times New Roman"/>
          <w:sz w:val="24"/>
          <w:szCs w:val="24"/>
        </w:rPr>
        <w:t xml:space="preserve">, con nota a sentenza di </w:t>
      </w:r>
      <w:r w:rsidRPr="006E7EF0">
        <w:rPr>
          <w:rFonts w:ascii="Times New Roman" w:hAnsi="Times New Roman" w:cs="Times New Roman"/>
          <w:smallCaps/>
          <w:sz w:val="24"/>
          <w:szCs w:val="24"/>
        </w:rPr>
        <w:t>G.</w:t>
      </w:r>
      <w:r>
        <w:rPr>
          <w:rFonts w:ascii="Times New Roman" w:hAnsi="Times New Roman" w:cs="Times New Roman"/>
          <w:smallCaps/>
          <w:sz w:val="24"/>
          <w:szCs w:val="24"/>
        </w:rPr>
        <w:t xml:space="preserve"> </w:t>
      </w:r>
      <w:r w:rsidRPr="006E7EF0">
        <w:rPr>
          <w:rFonts w:ascii="Times New Roman" w:hAnsi="Times New Roman" w:cs="Times New Roman"/>
          <w:smallCaps/>
          <w:sz w:val="24"/>
          <w:szCs w:val="24"/>
        </w:rPr>
        <w:t xml:space="preserve">O. </w:t>
      </w:r>
      <w:proofErr w:type="spellStart"/>
      <w:r w:rsidRPr="006E7EF0">
        <w:rPr>
          <w:rFonts w:ascii="Times New Roman" w:hAnsi="Times New Roman" w:cs="Times New Roman"/>
          <w:smallCaps/>
          <w:sz w:val="24"/>
          <w:szCs w:val="24"/>
        </w:rPr>
        <w:t>Cesaro</w:t>
      </w:r>
      <w:proofErr w:type="spellEnd"/>
      <w:r>
        <w:rPr>
          <w:rFonts w:ascii="Times New Roman" w:hAnsi="Times New Roman" w:cs="Times New Roman"/>
          <w:sz w:val="24"/>
          <w:szCs w:val="24"/>
        </w:rPr>
        <w:t>, “</w:t>
      </w:r>
      <w:r w:rsidRPr="006E7EF0">
        <w:rPr>
          <w:rFonts w:ascii="Times New Roman" w:hAnsi="Times New Roman" w:cs="Times New Roman"/>
          <w:i/>
          <w:iCs/>
          <w:sz w:val="24"/>
          <w:szCs w:val="24"/>
        </w:rPr>
        <w:t>Genitore pubblica sui social network foto e notizie del figlio minore: interviene d’ufficio il Giudice</w:t>
      </w:r>
      <w:r>
        <w:rPr>
          <w:rFonts w:ascii="Times New Roman" w:hAnsi="Times New Roman" w:cs="Times New Roman"/>
          <w:sz w:val="24"/>
          <w:szCs w:val="24"/>
        </w:rPr>
        <w:t xml:space="preserve">”, su </w:t>
      </w:r>
      <w:r w:rsidRPr="006E7EF0">
        <w:rPr>
          <w:rFonts w:ascii="Times New Roman" w:hAnsi="Times New Roman" w:cs="Times New Roman"/>
          <w:i/>
          <w:iCs/>
          <w:sz w:val="24"/>
          <w:szCs w:val="24"/>
        </w:rPr>
        <w:t>Ilfamiliarista.it</w:t>
      </w:r>
      <w:r w:rsidRPr="002659DB">
        <w:rPr>
          <w:rFonts w:ascii="Times New Roman" w:hAnsi="Times New Roman" w:cs="Times New Roman"/>
          <w:sz w:val="24"/>
          <w:szCs w:val="24"/>
        </w:rPr>
        <w:t xml:space="preserve">, </w:t>
      </w:r>
      <w:r>
        <w:rPr>
          <w:rFonts w:ascii="Times New Roman" w:hAnsi="Times New Roman" w:cs="Times New Roman"/>
          <w:sz w:val="24"/>
          <w:szCs w:val="24"/>
        </w:rPr>
        <w:t>marzo</w:t>
      </w:r>
      <w:r w:rsidRPr="002659DB">
        <w:rPr>
          <w:rFonts w:ascii="Times New Roman" w:hAnsi="Times New Roman" w:cs="Times New Roman"/>
          <w:sz w:val="24"/>
          <w:szCs w:val="24"/>
        </w:rPr>
        <w:t xml:space="preserve"> 2018</w:t>
      </w:r>
      <w:r>
        <w:rPr>
          <w:rFonts w:ascii="Times New Roman" w:hAnsi="Times New Roman" w:cs="Times New Roman"/>
          <w:sz w:val="24"/>
          <w:szCs w:val="24"/>
        </w:rPr>
        <w:t>.</w:t>
      </w:r>
    </w:p>
  </w:footnote>
  <w:footnote w:id="223">
    <w:p w14:paraId="4E7C78A5" w14:textId="78525CFF" w:rsidR="000463A6" w:rsidRPr="006671C7" w:rsidRDefault="000463A6" w:rsidP="006671C7">
      <w:pPr>
        <w:pStyle w:val="Testonotaapidipagina"/>
        <w:jc w:val="both"/>
        <w:rPr>
          <w:rFonts w:ascii="Times New Roman" w:hAnsi="Times New Roman" w:cs="Times New Roman"/>
          <w:sz w:val="24"/>
          <w:szCs w:val="24"/>
        </w:rPr>
      </w:pPr>
      <w:r w:rsidRPr="006671C7">
        <w:rPr>
          <w:rStyle w:val="Rimandonotaapidipagina"/>
          <w:rFonts w:ascii="Times New Roman" w:hAnsi="Times New Roman" w:cs="Times New Roman"/>
          <w:sz w:val="24"/>
          <w:szCs w:val="24"/>
        </w:rPr>
        <w:footnoteRef/>
      </w:r>
      <w:r w:rsidRPr="006671C7">
        <w:rPr>
          <w:rFonts w:ascii="Times New Roman" w:hAnsi="Times New Roman" w:cs="Times New Roman"/>
          <w:sz w:val="24"/>
          <w:szCs w:val="24"/>
        </w:rPr>
        <w:t xml:space="preserve"> </w:t>
      </w:r>
      <w:r>
        <w:rPr>
          <w:rFonts w:ascii="Times New Roman" w:hAnsi="Times New Roman" w:cs="Times New Roman"/>
          <w:sz w:val="24"/>
          <w:szCs w:val="24"/>
        </w:rPr>
        <w:t xml:space="preserve">Vedi </w:t>
      </w:r>
      <w:r w:rsidRPr="006671C7">
        <w:rPr>
          <w:rFonts w:ascii="Times New Roman" w:hAnsi="Times New Roman" w:cs="Times New Roman"/>
          <w:smallCaps/>
          <w:sz w:val="24"/>
          <w:szCs w:val="24"/>
        </w:rPr>
        <w:t>G. Resta, V. Zeno-</w:t>
      </w:r>
      <w:proofErr w:type="spellStart"/>
      <w:r w:rsidRPr="006671C7">
        <w:rPr>
          <w:rFonts w:ascii="Times New Roman" w:hAnsi="Times New Roman" w:cs="Times New Roman"/>
          <w:smallCaps/>
          <w:sz w:val="24"/>
          <w:szCs w:val="24"/>
        </w:rPr>
        <w:t>Zencovich</w:t>
      </w:r>
      <w:proofErr w:type="spellEnd"/>
      <w:r w:rsidRPr="006671C7">
        <w:rPr>
          <w:rFonts w:ascii="Times New Roman" w:hAnsi="Times New Roman" w:cs="Times New Roman"/>
          <w:sz w:val="24"/>
          <w:szCs w:val="24"/>
        </w:rPr>
        <w:t xml:space="preserve"> (a cura di), </w:t>
      </w:r>
      <w:r>
        <w:rPr>
          <w:rFonts w:ascii="Times New Roman" w:hAnsi="Times New Roman" w:cs="Times New Roman"/>
          <w:sz w:val="24"/>
          <w:szCs w:val="24"/>
        </w:rPr>
        <w:t>“</w:t>
      </w:r>
      <w:r w:rsidRPr="006671C7">
        <w:rPr>
          <w:rFonts w:ascii="Times New Roman" w:hAnsi="Times New Roman" w:cs="Times New Roman"/>
          <w:i/>
          <w:iCs/>
          <w:sz w:val="24"/>
          <w:szCs w:val="24"/>
        </w:rPr>
        <w:t xml:space="preserve">Il diritto all’oblio su internet dopo la sentenza Google </w:t>
      </w:r>
      <w:proofErr w:type="spellStart"/>
      <w:r w:rsidRPr="006671C7">
        <w:rPr>
          <w:rFonts w:ascii="Times New Roman" w:hAnsi="Times New Roman" w:cs="Times New Roman"/>
          <w:i/>
          <w:iCs/>
          <w:sz w:val="24"/>
          <w:szCs w:val="24"/>
        </w:rPr>
        <w:t>Spain</w:t>
      </w:r>
      <w:proofErr w:type="spellEnd"/>
      <w:r>
        <w:rPr>
          <w:rFonts w:ascii="Times New Roman" w:hAnsi="Times New Roman" w:cs="Times New Roman"/>
          <w:sz w:val="24"/>
          <w:szCs w:val="24"/>
        </w:rPr>
        <w:t>”</w:t>
      </w:r>
      <w:r w:rsidRPr="006671C7">
        <w:rPr>
          <w:rFonts w:ascii="Times New Roman" w:hAnsi="Times New Roman" w:cs="Times New Roman"/>
          <w:sz w:val="24"/>
          <w:szCs w:val="24"/>
        </w:rPr>
        <w:t xml:space="preserve">, </w:t>
      </w:r>
      <w:r w:rsidRPr="006671C7">
        <w:rPr>
          <w:rFonts w:ascii="Times New Roman" w:hAnsi="Times New Roman" w:cs="Times New Roman"/>
          <w:i/>
          <w:iCs/>
          <w:sz w:val="24"/>
          <w:szCs w:val="24"/>
        </w:rPr>
        <w:t>Roma Tre Press</w:t>
      </w:r>
      <w:r w:rsidRPr="006671C7">
        <w:rPr>
          <w:rFonts w:ascii="Times New Roman" w:hAnsi="Times New Roman" w:cs="Times New Roman"/>
          <w:sz w:val="24"/>
          <w:szCs w:val="24"/>
        </w:rPr>
        <w:t>, Roma, 2015.</w:t>
      </w:r>
    </w:p>
  </w:footnote>
  <w:footnote w:id="224">
    <w:p w14:paraId="1CC0E502" w14:textId="5348B9C5" w:rsidR="000463A6" w:rsidRPr="006E7EF0" w:rsidRDefault="000463A6" w:rsidP="006671C7">
      <w:pPr>
        <w:pStyle w:val="Testonotaapidipagina"/>
        <w:jc w:val="both"/>
        <w:rPr>
          <w:rFonts w:ascii="Times New Roman" w:hAnsi="Times New Roman" w:cs="Times New Roman"/>
          <w:sz w:val="24"/>
          <w:szCs w:val="24"/>
        </w:rPr>
      </w:pPr>
      <w:r w:rsidRPr="006671C7">
        <w:rPr>
          <w:rStyle w:val="Rimandonotaapidipagina"/>
          <w:rFonts w:ascii="Times New Roman" w:hAnsi="Times New Roman" w:cs="Times New Roman"/>
          <w:sz w:val="24"/>
          <w:szCs w:val="24"/>
        </w:rPr>
        <w:footnoteRef/>
      </w:r>
      <w:r w:rsidRPr="006671C7">
        <w:rPr>
          <w:rFonts w:ascii="Times New Roman" w:hAnsi="Times New Roman" w:cs="Times New Roman"/>
          <w:sz w:val="24"/>
          <w:szCs w:val="24"/>
        </w:rPr>
        <w:t xml:space="preserve"> </w:t>
      </w:r>
      <w:proofErr w:type="spellStart"/>
      <w:r w:rsidRPr="006671C7">
        <w:rPr>
          <w:rFonts w:ascii="Times New Roman" w:hAnsi="Times New Roman" w:cs="Times New Roman"/>
          <w:sz w:val="24"/>
          <w:szCs w:val="24"/>
        </w:rPr>
        <w:t>Cass</w:t>
      </w:r>
      <w:proofErr w:type="spellEnd"/>
      <w:r w:rsidRPr="006671C7">
        <w:rPr>
          <w:rFonts w:ascii="Times New Roman" w:hAnsi="Times New Roman" w:cs="Times New Roman"/>
          <w:sz w:val="24"/>
          <w:szCs w:val="24"/>
        </w:rPr>
        <w:t xml:space="preserve">. </w:t>
      </w:r>
      <w:proofErr w:type="spellStart"/>
      <w:r w:rsidRPr="006671C7">
        <w:rPr>
          <w:rFonts w:ascii="Times New Roman" w:hAnsi="Times New Roman" w:cs="Times New Roman"/>
          <w:sz w:val="24"/>
          <w:szCs w:val="24"/>
        </w:rPr>
        <w:t>Civ</w:t>
      </w:r>
      <w:proofErr w:type="spellEnd"/>
      <w:r w:rsidRPr="006671C7">
        <w:rPr>
          <w:rFonts w:ascii="Times New Roman" w:hAnsi="Times New Roman" w:cs="Times New Roman"/>
          <w:sz w:val="24"/>
          <w:szCs w:val="24"/>
        </w:rPr>
        <w:t xml:space="preserve">., sez. I, 19/05/2020, n. 9147, disponibile su </w:t>
      </w:r>
      <w:r w:rsidRPr="006671C7">
        <w:rPr>
          <w:rFonts w:ascii="Times New Roman" w:hAnsi="Times New Roman" w:cs="Times New Roman"/>
          <w:i/>
          <w:iCs/>
          <w:sz w:val="24"/>
          <w:szCs w:val="24"/>
        </w:rPr>
        <w:t>dejure.it</w:t>
      </w:r>
      <w:r w:rsidRPr="006671C7">
        <w:rPr>
          <w:rFonts w:ascii="Times New Roman" w:hAnsi="Times New Roman" w:cs="Times New Roman"/>
          <w:sz w:val="24"/>
          <w:szCs w:val="24"/>
        </w:rPr>
        <w:t xml:space="preserve">; nota a sentenza di </w:t>
      </w:r>
      <w:r w:rsidRPr="006671C7">
        <w:rPr>
          <w:rFonts w:ascii="Times New Roman" w:hAnsi="Times New Roman" w:cs="Times New Roman"/>
          <w:smallCaps/>
          <w:sz w:val="24"/>
          <w:szCs w:val="24"/>
        </w:rPr>
        <w:t xml:space="preserve">M. </w:t>
      </w:r>
      <w:proofErr w:type="spellStart"/>
      <w:r w:rsidRPr="006671C7">
        <w:rPr>
          <w:rFonts w:ascii="Times New Roman" w:hAnsi="Times New Roman" w:cs="Times New Roman"/>
          <w:smallCaps/>
          <w:sz w:val="24"/>
          <w:szCs w:val="24"/>
        </w:rPr>
        <w:t>Cocuccio</w:t>
      </w:r>
      <w:proofErr w:type="spellEnd"/>
      <w:r w:rsidRPr="006671C7">
        <w:rPr>
          <w:rFonts w:ascii="Times New Roman" w:hAnsi="Times New Roman" w:cs="Times New Roman"/>
          <w:sz w:val="24"/>
          <w:szCs w:val="24"/>
        </w:rPr>
        <w:t>, “</w:t>
      </w:r>
      <w:r w:rsidRPr="006671C7">
        <w:rPr>
          <w:rFonts w:ascii="Times New Roman" w:hAnsi="Times New Roman" w:cs="Times New Roman"/>
          <w:i/>
          <w:iCs/>
          <w:sz w:val="24"/>
          <w:szCs w:val="24"/>
        </w:rPr>
        <w:t>Deindicizzare per non censurare: il «ragionevole compromesso» tra diritto all’oblio e diritto di cronaca</w:t>
      </w:r>
      <w:r w:rsidRPr="006671C7">
        <w:rPr>
          <w:rFonts w:ascii="Times New Roman" w:hAnsi="Times New Roman" w:cs="Times New Roman"/>
          <w:sz w:val="24"/>
          <w:szCs w:val="24"/>
        </w:rPr>
        <w:t xml:space="preserve">”, su </w:t>
      </w:r>
      <w:r w:rsidRPr="006671C7">
        <w:rPr>
          <w:rFonts w:ascii="Times New Roman" w:hAnsi="Times New Roman" w:cs="Times New Roman"/>
          <w:i/>
          <w:iCs/>
          <w:sz w:val="24"/>
          <w:szCs w:val="24"/>
        </w:rPr>
        <w:t>Responsabilità Civile e Previdenza</w:t>
      </w:r>
      <w:r w:rsidRPr="006671C7">
        <w:rPr>
          <w:rFonts w:ascii="Times New Roman" w:hAnsi="Times New Roman" w:cs="Times New Roman"/>
          <w:sz w:val="24"/>
          <w:szCs w:val="24"/>
        </w:rPr>
        <w:t>, fasc. 1, 2021, pag. 175.</w:t>
      </w:r>
    </w:p>
  </w:footnote>
  <w:footnote w:id="225">
    <w:p w14:paraId="03EF43B6" w14:textId="3780E0A0" w:rsidR="000463A6" w:rsidRPr="00D42B1D" w:rsidRDefault="000463A6" w:rsidP="00F45A74">
      <w:pPr>
        <w:pStyle w:val="Testonotaapidipagina"/>
        <w:jc w:val="both"/>
        <w:rPr>
          <w:rFonts w:ascii="Times New Roman" w:hAnsi="Times New Roman" w:cs="Times New Roman"/>
          <w:sz w:val="24"/>
          <w:szCs w:val="24"/>
        </w:rPr>
      </w:pPr>
      <w:r w:rsidRPr="00D42B1D">
        <w:rPr>
          <w:rStyle w:val="Rimandonotaapidipagina"/>
          <w:rFonts w:ascii="Times New Roman" w:hAnsi="Times New Roman" w:cs="Times New Roman"/>
          <w:sz w:val="24"/>
          <w:szCs w:val="24"/>
        </w:rPr>
        <w:footnoteRef/>
      </w:r>
      <w:r w:rsidRPr="00D42B1D">
        <w:rPr>
          <w:rFonts w:ascii="Times New Roman" w:hAnsi="Times New Roman" w:cs="Times New Roman"/>
          <w:sz w:val="24"/>
          <w:szCs w:val="24"/>
        </w:rPr>
        <w:t xml:space="preserve"> </w:t>
      </w:r>
      <w:proofErr w:type="spellStart"/>
      <w:r w:rsidRPr="00D42B1D">
        <w:rPr>
          <w:rFonts w:ascii="Times New Roman" w:hAnsi="Times New Roman" w:cs="Times New Roman"/>
          <w:sz w:val="24"/>
          <w:szCs w:val="24"/>
        </w:rPr>
        <w:t>Cass</w:t>
      </w:r>
      <w:proofErr w:type="spellEnd"/>
      <w:r w:rsidRPr="00D42B1D">
        <w:rPr>
          <w:rFonts w:ascii="Times New Roman" w:hAnsi="Times New Roman" w:cs="Times New Roman"/>
          <w:sz w:val="24"/>
          <w:szCs w:val="24"/>
        </w:rPr>
        <w:t xml:space="preserve">. </w:t>
      </w:r>
      <w:proofErr w:type="spellStart"/>
      <w:r w:rsidRPr="00D42B1D">
        <w:rPr>
          <w:rFonts w:ascii="Times New Roman" w:hAnsi="Times New Roman" w:cs="Times New Roman"/>
          <w:sz w:val="24"/>
          <w:szCs w:val="24"/>
        </w:rPr>
        <w:t>Civ</w:t>
      </w:r>
      <w:proofErr w:type="spellEnd"/>
      <w:r w:rsidRPr="00D42B1D">
        <w:rPr>
          <w:rFonts w:ascii="Times New Roman" w:hAnsi="Times New Roman" w:cs="Times New Roman"/>
          <w:sz w:val="24"/>
          <w:szCs w:val="24"/>
        </w:rPr>
        <w:t xml:space="preserve">., sez. I, 27/03/2020, n. 7559, disponibile su </w:t>
      </w:r>
      <w:r w:rsidRPr="0081668B">
        <w:rPr>
          <w:rFonts w:ascii="Times New Roman" w:hAnsi="Times New Roman" w:cs="Times New Roman"/>
          <w:i/>
          <w:iCs/>
          <w:sz w:val="24"/>
          <w:szCs w:val="24"/>
        </w:rPr>
        <w:t>dejure.it</w:t>
      </w:r>
      <w:r w:rsidRPr="00D42B1D">
        <w:rPr>
          <w:rFonts w:ascii="Times New Roman" w:hAnsi="Times New Roman" w:cs="Times New Roman"/>
          <w:sz w:val="24"/>
          <w:szCs w:val="24"/>
        </w:rPr>
        <w:t xml:space="preserve">; nota a sentenza di V. </w:t>
      </w:r>
      <w:proofErr w:type="spellStart"/>
      <w:r w:rsidRPr="00D42B1D">
        <w:rPr>
          <w:rFonts w:ascii="Times New Roman" w:hAnsi="Times New Roman" w:cs="Times New Roman"/>
          <w:smallCaps/>
          <w:sz w:val="24"/>
          <w:szCs w:val="24"/>
        </w:rPr>
        <w:t>Amendolagine</w:t>
      </w:r>
      <w:proofErr w:type="spellEnd"/>
      <w:r w:rsidRPr="00D42B1D">
        <w:rPr>
          <w:rFonts w:ascii="Times New Roman" w:hAnsi="Times New Roman" w:cs="Times New Roman"/>
          <w:sz w:val="24"/>
          <w:szCs w:val="24"/>
        </w:rPr>
        <w:t>, “</w:t>
      </w:r>
      <w:r w:rsidRPr="00D42B1D">
        <w:rPr>
          <w:rFonts w:ascii="Times New Roman" w:hAnsi="Times New Roman" w:cs="Times New Roman"/>
          <w:i/>
          <w:iCs/>
          <w:sz w:val="24"/>
          <w:szCs w:val="24"/>
        </w:rPr>
        <w:t>Il diritto all’oblio tra rievocazione storiografica online e cronaca giudiziaria</w:t>
      </w:r>
      <w:r w:rsidRPr="00D42B1D">
        <w:rPr>
          <w:rFonts w:ascii="Times New Roman" w:hAnsi="Times New Roman" w:cs="Times New Roman"/>
          <w:sz w:val="24"/>
          <w:szCs w:val="24"/>
        </w:rPr>
        <w:t xml:space="preserve">”, su </w:t>
      </w:r>
      <w:r w:rsidRPr="00D42B1D">
        <w:rPr>
          <w:rFonts w:ascii="Times New Roman" w:hAnsi="Times New Roman" w:cs="Times New Roman"/>
          <w:i/>
          <w:iCs/>
          <w:sz w:val="24"/>
          <w:szCs w:val="24"/>
        </w:rPr>
        <w:t>GiustiziaCivile.com</w:t>
      </w:r>
      <w:r w:rsidRPr="00D42B1D">
        <w:rPr>
          <w:rFonts w:ascii="Times New Roman" w:hAnsi="Times New Roman" w:cs="Times New Roman"/>
          <w:sz w:val="24"/>
          <w:szCs w:val="24"/>
        </w:rPr>
        <w:t xml:space="preserve">, 18 agosto 2020. </w:t>
      </w:r>
    </w:p>
  </w:footnote>
  <w:footnote w:id="226">
    <w:p w14:paraId="48B35D91" w14:textId="78483F5B" w:rsidR="000463A6" w:rsidRPr="00D42B1D" w:rsidRDefault="000463A6" w:rsidP="00544EAC">
      <w:pPr>
        <w:pStyle w:val="Testonotaapidipagina"/>
        <w:jc w:val="both"/>
        <w:rPr>
          <w:rFonts w:ascii="Times New Roman" w:hAnsi="Times New Roman" w:cs="Times New Roman"/>
          <w:sz w:val="24"/>
          <w:szCs w:val="24"/>
        </w:rPr>
      </w:pPr>
      <w:r w:rsidRPr="00D42B1D">
        <w:rPr>
          <w:rStyle w:val="Rimandonotaapidipagina"/>
          <w:rFonts w:ascii="Times New Roman" w:hAnsi="Times New Roman" w:cs="Times New Roman"/>
          <w:sz w:val="24"/>
          <w:szCs w:val="24"/>
        </w:rPr>
        <w:footnoteRef/>
      </w:r>
      <w:r w:rsidRPr="00D42B1D">
        <w:rPr>
          <w:rFonts w:ascii="Times New Roman" w:hAnsi="Times New Roman" w:cs="Times New Roman"/>
          <w:sz w:val="24"/>
          <w:szCs w:val="24"/>
        </w:rPr>
        <w:t xml:space="preserve"> </w:t>
      </w:r>
      <w:proofErr w:type="spellStart"/>
      <w:r w:rsidRPr="00D42B1D">
        <w:rPr>
          <w:rFonts w:ascii="Times New Roman" w:hAnsi="Times New Roman" w:cs="Times New Roman"/>
          <w:sz w:val="24"/>
          <w:szCs w:val="24"/>
        </w:rPr>
        <w:t>Cass</w:t>
      </w:r>
      <w:proofErr w:type="spellEnd"/>
      <w:r w:rsidRPr="00D42B1D">
        <w:rPr>
          <w:rFonts w:ascii="Times New Roman" w:hAnsi="Times New Roman" w:cs="Times New Roman"/>
          <w:sz w:val="24"/>
          <w:szCs w:val="24"/>
        </w:rPr>
        <w:t xml:space="preserve">. </w:t>
      </w:r>
      <w:proofErr w:type="spellStart"/>
      <w:r w:rsidRPr="00D42B1D">
        <w:rPr>
          <w:rFonts w:ascii="Times New Roman" w:hAnsi="Times New Roman" w:cs="Times New Roman"/>
          <w:sz w:val="24"/>
          <w:szCs w:val="24"/>
        </w:rPr>
        <w:t>Civ</w:t>
      </w:r>
      <w:proofErr w:type="spellEnd"/>
      <w:r w:rsidRPr="00D42B1D">
        <w:rPr>
          <w:rFonts w:ascii="Times New Roman" w:hAnsi="Times New Roman" w:cs="Times New Roman"/>
          <w:sz w:val="24"/>
          <w:szCs w:val="24"/>
        </w:rPr>
        <w:t xml:space="preserve">., sez. I, 24/06/2016, n. 13161, disponibile su </w:t>
      </w:r>
      <w:r w:rsidRPr="0081668B">
        <w:rPr>
          <w:rFonts w:ascii="Times New Roman" w:hAnsi="Times New Roman" w:cs="Times New Roman"/>
          <w:i/>
          <w:iCs/>
          <w:sz w:val="24"/>
          <w:szCs w:val="24"/>
        </w:rPr>
        <w:t>dejure.it</w:t>
      </w:r>
      <w:r w:rsidRPr="00D42B1D">
        <w:rPr>
          <w:rFonts w:ascii="Times New Roman" w:hAnsi="Times New Roman" w:cs="Times New Roman"/>
          <w:sz w:val="24"/>
          <w:szCs w:val="24"/>
        </w:rPr>
        <w:t xml:space="preserve">; nota a sentenza di </w:t>
      </w:r>
      <w:r w:rsidRPr="00D42B1D">
        <w:rPr>
          <w:rFonts w:ascii="Times New Roman" w:hAnsi="Times New Roman" w:cs="Times New Roman"/>
          <w:smallCaps/>
          <w:sz w:val="24"/>
          <w:szCs w:val="24"/>
        </w:rPr>
        <w:t>D. Bianchi</w:t>
      </w:r>
      <w:r w:rsidRPr="00D42B1D">
        <w:rPr>
          <w:rFonts w:ascii="Times New Roman" w:hAnsi="Times New Roman" w:cs="Times New Roman"/>
          <w:sz w:val="24"/>
          <w:szCs w:val="24"/>
        </w:rPr>
        <w:t>, “</w:t>
      </w:r>
      <w:r w:rsidRPr="00D42B1D">
        <w:rPr>
          <w:rFonts w:ascii="Times New Roman" w:hAnsi="Times New Roman" w:cs="Times New Roman"/>
          <w:i/>
          <w:iCs/>
          <w:sz w:val="24"/>
          <w:szCs w:val="24"/>
        </w:rPr>
        <w:t xml:space="preserve">Danno e oblio. Nesso di causalità, principio di proporzionalità e misure di sicurezza Data </w:t>
      </w:r>
      <w:proofErr w:type="spellStart"/>
      <w:r w:rsidRPr="00D42B1D">
        <w:rPr>
          <w:rFonts w:ascii="Times New Roman" w:hAnsi="Times New Roman" w:cs="Times New Roman"/>
          <w:i/>
          <w:iCs/>
          <w:sz w:val="24"/>
          <w:szCs w:val="24"/>
        </w:rPr>
        <w:t>Protection</w:t>
      </w:r>
      <w:proofErr w:type="spellEnd"/>
      <w:r w:rsidRPr="00D42B1D">
        <w:rPr>
          <w:rFonts w:ascii="Times New Roman" w:hAnsi="Times New Roman" w:cs="Times New Roman"/>
          <w:sz w:val="24"/>
          <w:szCs w:val="24"/>
        </w:rPr>
        <w:t xml:space="preserve">”, su </w:t>
      </w:r>
      <w:r w:rsidRPr="00D42B1D">
        <w:rPr>
          <w:rFonts w:ascii="Times New Roman" w:hAnsi="Times New Roman" w:cs="Times New Roman"/>
          <w:i/>
          <w:iCs/>
          <w:sz w:val="24"/>
          <w:szCs w:val="24"/>
        </w:rPr>
        <w:t>Ridare.it</w:t>
      </w:r>
      <w:r w:rsidRPr="00D42B1D">
        <w:rPr>
          <w:rFonts w:ascii="Times New Roman" w:hAnsi="Times New Roman" w:cs="Times New Roman"/>
          <w:sz w:val="24"/>
          <w:szCs w:val="24"/>
        </w:rPr>
        <w:t>, 19 ottobre 2016.</w:t>
      </w:r>
    </w:p>
  </w:footnote>
  <w:footnote w:id="227">
    <w:p w14:paraId="46E482CE" w14:textId="280B9202" w:rsidR="000463A6" w:rsidRPr="00E7511E" w:rsidRDefault="000463A6" w:rsidP="00E7511E">
      <w:pPr>
        <w:pStyle w:val="Testonotaapidipagina"/>
        <w:jc w:val="both"/>
        <w:rPr>
          <w:rFonts w:ascii="Times New Roman" w:hAnsi="Times New Roman" w:cs="Times New Roman"/>
          <w:sz w:val="24"/>
          <w:szCs w:val="24"/>
        </w:rPr>
      </w:pPr>
      <w:r w:rsidRPr="00D42B1D">
        <w:rPr>
          <w:rStyle w:val="Rimandonotaapidipagina"/>
          <w:rFonts w:ascii="Times New Roman" w:hAnsi="Times New Roman" w:cs="Times New Roman"/>
          <w:sz w:val="24"/>
          <w:szCs w:val="24"/>
        </w:rPr>
        <w:footnoteRef/>
      </w:r>
      <w:r w:rsidRPr="00D42B1D">
        <w:rPr>
          <w:rFonts w:ascii="Times New Roman" w:hAnsi="Times New Roman" w:cs="Times New Roman"/>
          <w:sz w:val="24"/>
          <w:szCs w:val="24"/>
        </w:rPr>
        <w:t xml:space="preserve"> </w:t>
      </w:r>
      <w:proofErr w:type="spellStart"/>
      <w:r w:rsidRPr="00C773FF">
        <w:rPr>
          <w:rFonts w:ascii="Times New Roman" w:hAnsi="Times New Roman" w:cs="Times New Roman"/>
          <w:sz w:val="24"/>
          <w:szCs w:val="24"/>
        </w:rPr>
        <w:t>Cass</w:t>
      </w:r>
      <w:proofErr w:type="spellEnd"/>
      <w:r w:rsidRPr="00C773FF">
        <w:rPr>
          <w:rFonts w:ascii="Times New Roman" w:hAnsi="Times New Roman" w:cs="Times New Roman"/>
          <w:sz w:val="24"/>
          <w:szCs w:val="24"/>
        </w:rPr>
        <w:t xml:space="preserve">. </w:t>
      </w:r>
      <w:proofErr w:type="spellStart"/>
      <w:r w:rsidRPr="00C773FF">
        <w:rPr>
          <w:rFonts w:ascii="Times New Roman" w:hAnsi="Times New Roman" w:cs="Times New Roman"/>
          <w:sz w:val="24"/>
          <w:szCs w:val="24"/>
        </w:rPr>
        <w:t>Civ</w:t>
      </w:r>
      <w:proofErr w:type="spellEnd"/>
      <w:r w:rsidRPr="00C773FF">
        <w:rPr>
          <w:rFonts w:ascii="Times New Roman" w:hAnsi="Times New Roman" w:cs="Times New Roman"/>
          <w:sz w:val="24"/>
          <w:szCs w:val="24"/>
        </w:rPr>
        <w:t xml:space="preserve">., sez. III, 05/04/2012, n. 5525, disponibile su </w:t>
      </w:r>
      <w:r w:rsidRPr="00C773FF">
        <w:rPr>
          <w:rFonts w:ascii="Times New Roman" w:hAnsi="Times New Roman" w:cs="Times New Roman"/>
          <w:i/>
          <w:iCs/>
          <w:sz w:val="24"/>
          <w:szCs w:val="24"/>
        </w:rPr>
        <w:t>dejure.it</w:t>
      </w:r>
      <w:r w:rsidRPr="00C773FF">
        <w:rPr>
          <w:rFonts w:ascii="Times New Roman" w:hAnsi="Times New Roman" w:cs="Times New Roman"/>
          <w:sz w:val="24"/>
          <w:szCs w:val="24"/>
        </w:rPr>
        <w:t xml:space="preserve">; nota a sentenza di </w:t>
      </w:r>
      <w:r w:rsidRPr="00C773FF">
        <w:rPr>
          <w:rFonts w:ascii="Times New Roman" w:hAnsi="Times New Roman" w:cs="Times New Roman"/>
          <w:smallCaps/>
          <w:sz w:val="24"/>
          <w:szCs w:val="24"/>
        </w:rPr>
        <w:t>G. Citarella</w:t>
      </w:r>
      <w:r w:rsidRPr="00C773FF">
        <w:rPr>
          <w:rFonts w:ascii="Times New Roman" w:hAnsi="Times New Roman" w:cs="Times New Roman"/>
          <w:sz w:val="24"/>
          <w:szCs w:val="24"/>
        </w:rPr>
        <w:t>, “</w:t>
      </w:r>
      <w:r w:rsidRPr="00C773FF">
        <w:rPr>
          <w:rFonts w:ascii="Times New Roman" w:hAnsi="Times New Roman" w:cs="Times New Roman"/>
          <w:i/>
          <w:iCs/>
          <w:sz w:val="24"/>
          <w:szCs w:val="24"/>
        </w:rPr>
        <w:t>Aggiornamento degli archivi online, tra diritto all’oblio e rettifica «atipica»</w:t>
      </w:r>
      <w:r w:rsidRPr="00C773FF">
        <w:rPr>
          <w:rFonts w:ascii="Times New Roman" w:hAnsi="Times New Roman" w:cs="Times New Roman"/>
          <w:sz w:val="24"/>
          <w:szCs w:val="24"/>
        </w:rPr>
        <w:t xml:space="preserve">”, su </w:t>
      </w:r>
      <w:r w:rsidRPr="00C773FF">
        <w:rPr>
          <w:rFonts w:ascii="Times New Roman" w:hAnsi="Times New Roman" w:cs="Times New Roman"/>
          <w:i/>
          <w:iCs/>
          <w:sz w:val="24"/>
          <w:szCs w:val="24"/>
        </w:rPr>
        <w:t>Responsabilità Civile e Previdenza</w:t>
      </w:r>
      <w:r w:rsidRPr="00C773FF">
        <w:rPr>
          <w:rFonts w:ascii="Times New Roman" w:hAnsi="Times New Roman" w:cs="Times New Roman"/>
          <w:sz w:val="24"/>
          <w:szCs w:val="24"/>
        </w:rPr>
        <w:t>, fasc.</w:t>
      </w:r>
      <w:r>
        <w:rPr>
          <w:rFonts w:ascii="Times New Roman" w:hAnsi="Times New Roman" w:cs="Times New Roman"/>
          <w:sz w:val="24"/>
          <w:szCs w:val="24"/>
        </w:rPr>
        <w:t xml:space="preserve"> </w:t>
      </w:r>
      <w:r w:rsidRPr="00C773FF">
        <w:rPr>
          <w:rFonts w:ascii="Times New Roman" w:hAnsi="Times New Roman" w:cs="Times New Roman"/>
          <w:sz w:val="24"/>
          <w:szCs w:val="24"/>
        </w:rPr>
        <w:t>4, 2012, pag. 1155.</w:t>
      </w:r>
    </w:p>
  </w:footnote>
  <w:footnote w:id="228">
    <w:p w14:paraId="1635640A" w14:textId="763C0F68" w:rsidR="000463A6" w:rsidRPr="00D42B1D" w:rsidRDefault="000463A6" w:rsidP="00D42B1D">
      <w:pPr>
        <w:pStyle w:val="Testonotaapidipagina"/>
        <w:jc w:val="both"/>
        <w:rPr>
          <w:rFonts w:ascii="Times New Roman" w:hAnsi="Times New Roman" w:cs="Times New Roman"/>
          <w:sz w:val="24"/>
          <w:szCs w:val="24"/>
        </w:rPr>
      </w:pPr>
      <w:r w:rsidRPr="00E7511E">
        <w:rPr>
          <w:rStyle w:val="Rimandonotaapidipagina"/>
          <w:rFonts w:ascii="Times New Roman" w:hAnsi="Times New Roman" w:cs="Times New Roman"/>
          <w:sz w:val="24"/>
          <w:szCs w:val="24"/>
        </w:rPr>
        <w:footnoteRef/>
      </w:r>
      <w:r w:rsidRPr="00D42B1D">
        <w:rPr>
          <w:rFonts w:ascii="Times New Roman" w:hAnsi="Times New Roman" w:cs="Times New Roman"/>
          <w:sz w:val="24"/>
          <w:szCs w:val="24"/>
        </w:rPr>
        <w:t xml:space="preserve"> </w:t>
      </w:r>
      <w:proofErr w:type="spellStart"/>
      <w:r w:rsidRPr="00D42B1D">
        <w:rPr>
          <w:rFonts w:ascii="Times New Roman" w:hAnsi="Times New Roman" w:cs="Times New Roman"/>
          <w:sz w:val="24"/>
          <w:szCs w:val="24"/>
        </w:rPr>
        <w:t>Cass</w:t>
      </w:r>
      <w:proofErr w:type="spellEnd"/>
      <w:r w:rsidRPr="00D42B1D">
        <w:rPr>
          <w:rFonts w:ascii="Times New Roman" w:hAnsi="Times New Roman" w:cs="Times New Roman"/>
          <w:sz w:val="24"/>
          <w:szCs w:val="24"/>
        </w:rPr>
        <w:t xml:space="preserve">. </w:t>
      </w:r>
      <w:proofErr w:type="spellStart"/>
      <w:r w:rsidRPr="00D42B1D">
        <w:rPr>
          <w:rFonts w:ascii="Times New Roman" w:hAnsi="Times New Roman" w:cs="Times New Roman"/>
          <w:sz w:val="24"/>
          <w:szCs w:val="24"/>
        </w:rPr>
        <w:t>Civ</w:t>
      </w:r>
      <w:proofErr w:type="spellEnd"/>
      <w:r w:rsidRPr="00D42B1D">
        <w:rPr>
          <w:rFonts w:ascii="Times New Roman" w:hAnsi="Times New Roman" w:cs="Times New Roman"/>
          <w:sz w:val="24"/>
          <w:szCs w:val="24"/>
        </w:rPr>
        <w:t xml:space="preserve">., sez. I, 31/05/2021, n. 15160, disponibile su </w:t>
      </w:r>
      <w:r w:rsidRPr="00C773FF">
        <w:rPr>
          <w:rFonts w:ascii="Times New Roman" w:hAnsi="Times New Roman" w:cs="Times New Roman"/>
          <w:i/>
          <w:iCs/>
          <w:sz w:val="24"/>
          <w:szCs w:val="24"/>
        </w:rPr>
        <w:t>dejure.it</w:t>
      </w:r>
      <w:r>
        <w:rPr>
          <w:rFonts w:ascii="Times New Roman" w:hAnsi="Times New Roman" w:cs="Times New Roman"/>
          <w:sz w:val="24"/>
          <w:szCs w:val="24"/>
        </w:rPr>
        <w:t>; v. anche “</w:t>
      </w:r>
      <w:r w:rsidRPr="00D42B1D">
        <w:rPr>
          <w:rFonts w:ascii="Times New Roman" w:hAnsi="Times New Roman" w:cs="Times New Roman"/>
          <w:i/>
          <w:iCs/>
          <w:sz w:val="24"/>
          <w:szCs w:val="24"/>
        </w:rPr>
        <w:t>Diritti alla riservatezza e all’identità personale e bilanciamento con il diritto della collettività all'informazione</w:t>
      </w:r>
      <w:r>
        <w:rPr>
          <w:rFonts w:ascii="Times New Roman" w:hAnsi="Times New Roman" w:cs="Times New Roman"/>
          <w:sz w:val="24"/>
          <w:szCs w:val="24"/>
        </w:rPr>
        <w:t xml:space="preserve">”, su </w:t>
      </w:r>
      <w:r w:rsidRPr="00627019">
        <w:rPr>
          <w:rFonts w:ascii="Times New Roman" w:hAnsi="Times New Roman" w:cs="Times New Roman"/>
          <w:i/>
          <w:iCs/>
          <w:sz w:val="24"/>
          <w:szCs w:val="24"/>
        </w:rPr>
        <w:t>Giustizia Civile Massimario,</w:t>
      </w:r>
      <w:r>
        <w:rPr>
          <w:rFonts w:ascii="Times New Roman" w:hAnsi="Times New Roman" w:cs="Times New Roman"/>
          <w:sz w:val="24"/>
          <w:szCs w:val="24"/>
        </w:rPr>
        <w:t xml:space="preserve"> </w:t>
      </w:r>
      <w:r w:rsidRPr="00D42B1D">
        <w:rPr>
          <w:rFonts w:ascii="Times New Roman" w:hAnsi="Times New Roman" w:cs="Times New Roman"/>
          <w:sz w:val="24"/>
          <w:szCs w:val="24"/>
        </w:rPr>
        <w:t>2021</w:t>
      </w:r>
      <w:r>
        <w:rPr>
          <w:rFonts w:ascii="Times New Roman" w:hAnsi="Times New Roman" w:cs="Times New Roman"/>
          <w:sz w:val="24"/>
          <w:szCs w:val="24"/>
        </w:rPr>
        <w:t>.</w:t>
      </w:r>
    </w:p>
  </w:footnote>
  <w:footnote w:id="229">
    <w:p w14:paraId="267D2063" w14:textId="5A9834CC" w:rsidR="000463A6" w:rsidRPr="00E7511E" w:rsidRDefault="000463A6" w:rsidP="00627019">
      <w:pPr>
        <w:pStyle w:val="Testonotaapidipagina"/>
        <w:jc w:val="both"/>
        <w:rPr>
          <w:rFonts w:ascii="Times New Roman" w:hAnsi="Times New Roman" w:cs="Times New Roman"/>
          <w:sz w:val="24"/>
          <w:szCs w:val="24"/>
        </w:rPr>
      </w:pPr>
      <w:r w:rsidRPr="00E7511E">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Pr="00627019">
        <w:rPr>
          <w:rFonts w:ascii="Times New Roman" w:hAnsi="Times New Roman" w:cs="Times New Roman"/>
          <w:sz w:val="24"/>
          <w:szCs w:val="24"/>
        </w:rPr>
        <w:t xml:space="preserve">Corte </w:t>
      </w:r>
      <w:r>
        <w:rPr>
          <w:rFonts w:ascii="Times New Roman" w:hAnsi="Times New Roman" w:cs="Times New Roman"/>
          <w:sz w:val="24"/>
          <w:szCs w:val="24"/>
        </w:rPr>
        <w:t>E</w:t>
      </w:r>
      <w:r w:rsidRPr="00627019">
        <w:rPr>
          <w:rFonts w:ascii="Times New Roman" w:hAnsi="Times New Roman" w:cs="Times New Roman"/>
          <w:sz w:val="24"/>
          <w:szCs w:val="24"/>
        </w:rPr>
        <w:t xml:space="preserve">uropea </w:t>
      </w:r>
      <w:r>
        <w:rPr>
          <w:rFonts w:ascii="Times New Roman" w:hAnsi="Times New Roman" w:cs="Times New Roman"/>
          <w:sz w:val="24"/>
          <w:szCs w:val="24"/>
        </w:rPr>
        <w:t>D</w:t>
      </w:r>
      <w:r w:rsidRPr="00627019">
        <w:rPr>
          <w:rFonts w:ascii="Times New Roman" w:hAnsi="Times New Roman" w:cs="Times New Roman"/>
          <w:sz w:val="24"/>
          <w:szCs w:val="24"/>
        </w:rPr>
        <w:t>iritti del</w:t>
      </w:r>
      <w:r>
        <w:rPr>
          <w:rFonts w:ascii="Times New Roman" w:hAnsi="Times New Roman" w:cs="Times New Roman"/>
          <w:sz w:val="24"/>
          <w:szCs w:val="24"/>
        </w:rPr>
        <w:t>l’U</w:t>
      </w:r>
      <w:r w:rsidRPr="00627019">
        <w:rPr>
          <w:rFonts w:ascii="Times New Roman" w:hAnsi="Times New Roman" w:cs="Times New Roman"/>
          <w:sz w:val="24"/>
          <w:szCs w:val="24"/>
        </w:rPr>
        <w:t>omo</w:t>
      </w:r>
      <w:r>
        <w:rPr>
          <w:rFonts w:ascii="Times New Roman" w:hAnsi="Times New Roman" w:cs="Times New Roman"/>
          <w:sz w:val="24"/>
          <w:szCs w:val="24"/>
        </w:rPr>
        <w:t xml:space="preserve">, </w:t>
      </w:r>
      <w:r w:rsidRPr="00627019">
        <w:rPr>
          <w:rFonts w:ascii="Times New Roman" w:hAnsi="Times New Roman" w:cs="Times New Roman"/>
          <w:sz w:val="24"/>
          <w:szCs w:val="24"/>
        </w:rPr>
        <w:t>sez. V, 28/06/2018, n.</w:t>
      </w:r>
      <w:r>
        <w:rPr>
          <w:rFonts w:ascii="Times New Roman" w:hAnsi="Times New Roman" w:cs="Times New Roman"/>
          <w:sz w:val="24"/>
          <w:szCs w:val="24"/>
        </w:rPr>
        <w:t xml:space="preserve"> </w:t>
      </w:r>
      <w:r w:rsidRPr="00627019">
        <w:rPr>
          <w:rFonts w:ascii="Times New Roman" w:hAnsi="Times New Roman" w:cs="Times New Roman"/>
          <w:sz w:val="24"/>
          <w:szCs w:val="24"/>
        </w:rPr>
        <w:t>60798</w:t>
      </w:r>
      <w:r>
        <w:rPr>
          <w:rFonts w:ascii="Times New Roman" w:hAnsi="Times New Roman" w:cs="Times New Roman"/>
          <w:sz w:val="24"/>
          <w:szCs w:val="24"/>
        </w:rPr>
        <w:t xml:space="preserve">, disponibile su </w:t>
      </w:r>
      <w:r w:rsidRPr="00C773FF">
        <w:rPr>
          <w:rFonts w:ascii="Times New Roman" w:hAnsi="Times New Roman" w:cs="Times New Roman"/>
          <w:i/>
          <w:iCs/>
          <w:sz w:val="24"/>
          <w:szCs w:val="24"/>
        </w:rPr>
        <w:t>dejure.it</w:t>
      </w:r>
      <w:r>
        <w:rPr>
          <w:rFonts w:ascii="Times New Roman" w:hAnsi="Times New Roman" w:cs="Times New Roman"/>
          <w:sz w:val="24"/>
          <w:szCs w:val="24"/>
        </w:rPr>
        <w:t>; v. anche “</w:t>
      </w:r>
      <w:r w:rsidRPr="00D736B1">
        <w:rPr>
          <w:rFonts w:ascii="Times New Roman" w:hAnsi="Times New Roman" w:cs="Times New Roman"/>
          <w:i/>
          <w:iCs/>
          <w:sz w:val="24"/>
          <w:szCs w:val="24"/>
        </w:rPr>
        <w:t>Il diritto all’informazione prevale su quello all’oblio se si tratti di notizie relative a procedimenti penali</w:t>
      </w:r>
      <w:r>
        <w:rPr>
          <w:rFonts w:ascii="Times New Roman" w:hAnsi="Times New Roman" w:cs="Times New Roman"/>
          <w:sz w:val="24"/>
          <w:szCs w:val="24"/>
        </w:rPr>
        <w:t xml:space="preserve">”, su </w:t>
      </w:r>
      <w:r w:rsidRPr="00627019">
        <w:rPr>
          <w:rFonts w:ascii="Times New Roman" w:hAnsi="Times New Roman" w:cs="Times New Roman"/>
          <w:i/>
          <w:iCs/>
          <w:sz w:val="24"/>
          <w:szCs w:val="24"/>
        </w:rPr>
        <w:t>Guida al diritto</w:t>
      </w:r>
      <w:r>
        <w:rPr>
          <w:rFonts w:ascii="Times New Roman" w:hAnsi="Times New Roman" w:cs="Times New Roman"/>
          <w:sz w:val="24"/>
          <w:szCs w:val="24"/>
        </w:rPr>
        <w:t xml:space="preserve">, </w:t>
      </w:r>
      <w:r w:rsidRPr="00627019">
        <w:rPr>
          <w:rFonts w:ascii="Times New Roman" w:hAnsi="Times New Roman" w:cs="Times New Roman"/>
          <w:sz w:val="24"/>
          <w:szCs w:val="24"/>
        </w:rPr>
        <w:t>2018, 30, 24</w:t>
      </w:r>
      <w:r>
        <w:rPr>
          <w:rFonts w:ascii="Times New Roman" w:hAnsi="Times New Roman" w:cs="Times New Roman"/>
          <w:sz w:val="24"/>
          <w:szCs w:val="24"/>
        </w:rPr>
        <w:t>.</w:t>
      </w:r>
    </w:p>
  </w:footnote>
  <w:footnote w:id="230">
    <w:p w14:paraId="0D86EFE5" w14:textId="1F049EAB" w:rsidR="000463A6" w:rsidRPr="00627019" w:rsidRDefault="000463A6" w:rsidP="00627019">
      <w:pPr>
        <w:pStyle w:val="Testonotaapidipagina"/>
        <w:jc w:val="both"/>
        <w:rPr>
          <w:rFonts w:ascii="Times New Roman" w:hAnsi="Times New Roman" w:cs="Times New Roman"/>
          <w:sz w:val="24"/>
          <w:szCs w:val="24"/>
        </w:rPr>
      </w:pPr>
      <w:r w:rsidRPr="00E7511E">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sidRPr="00627019">
        <w:rPr>
          <w:rFonts w:ascii="Times New Roman" w:hAnsi="Times New Roman" w:cs="Times New Roman"/>
          <w:sz w:val="24"/>
          <w:szCs w:val="24"/>
        </w:rPr>
        <w:t>Cass</w:t>
      </w:r>
      <w:proofErr w:type="spellEnd"/>
      <w:r>
        <w:rPr>
          <w:rFonts w:ascii="Times New Roman" w:hAnsi="Times New Roman" w:cs="Times New Roman"/>
          <w:sz w:val="24"/>
          <w:szCs w:val="24"/>
        </w:rPr>
        <w:t>.</w:t>
      </w:r>
      <w:r w:rsidRPr="00627019">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627019">
        <w:rPr>
          <w:rFonts w:ascii="Times New Roman" w:hAnsi="Times New Roman" w:cs="Times New Roman"/>
          <w:sz w:val="24"/>
          <w:szCs w:val="24"/>
        </w:rPr>
        <w:t>iv</w:t>
      </w:r>
      <w:proofErr w:type="spellEnd"/>
      <w:r>
        <w:rPr>
          <w:rFonts w:ascii="Times New Roman" w:hAnsi="Times New Roman" w:cs="Times New Roman"/>
          <w:sz w:val="24"/>
          <w:szCs w:val="24"/>
        </w:rPr>
        <w:t>.</w:t>
      </w:r>
      <w:r w:rsidRPr="00627019">
        <w:rPr>
          <w:rFonts w:ascii="Times New Roman" w:hAnsi="Times New Roman" w:cs="Times New Roman"/>
          <w:sz w:val="24"/>
          <w:szCs w:val="24"/>
        </w:rPr>
        <w:t xml:space="preserve">, </w:t>
      </w:r>
      <w:r>
        <w:rPr>
          <w:rFonts w:ascii="Times New Roman" w:hAnsi="Times New Roman" w:cs="Times New Roman"/>
          <w:sz w:val="24"/>
          <w:szCs w:val="24"/>
        </w:rPr>
        <w:t xml:space="preserve">sez. I, </w:t>
      </w:r>
      <w:r w:rsidRPr="00627019">
        <w:rPr>
          <w:rFonts w:ascii="Times New Roman" w:hAnsi="Times New Roman" w:cs="Times New Roman"/>
          <w:sz w:val="24"/>
          <w:szCs w:val="24"/>
        </w:rPr>
        <w:t>21</w:t>
      </w:r>
      <w:r>
        <w:rPr>
          <w:rFonts w:ascii="Times New Roman" w:hAnsi="Times New Roman" w:cs="Times New Roman"/>
          <w:sz w:val="24"/>
          <w:szCs w:val="24"/>
        </w:rPr>
        <w:t>/07/</w:t>
      </w:r>
      <w:r w:rsidRPr="00627019">
        <w:rPr>
          <w:rFonts w:ascii="Times New Roman" w:hAnsi="Times New Roman" w:cs="Times New Roman"/>
          <w:sz w:val="24"/>
          <w:szCs w:val="24"/>
        </w:rPr>
        <w:t>2021, n.</w:t>
      </w:r>
      <w:r>
        <w:rPr>
          <w:rFonts w:ascii="Times New Roman" w:hAnsi="Times New Roman" w:cs="Times New Roman"/>
          <w:sz w:val="24"/>
          <w:szCs w:val="24"/>
        </w:rPr>
        <w:t xml:space="preserve"> </w:t>
      </w:r>
      <w:r w:rsidRPr="00627019">
        <w:rPr>
          <w:rFonts w:ascii="Times New Roman" w:hAnsi="Times New Roman" w:cs="Times New Roman"/>
          <w:sz w:val="24"/>
          <w:szCs w:val="24"/>
        </w:rPr>
        <w:t>20861,</w:t>
      </w:r>
      <w:r>
        <w:rPr>
          <w:rFonts w:ascii="Times New Roman" w:hAnsi="Times New Roman" w:cs="Times New Roman"/>
          <w:sz w:val="24"/>
          <w:szCs w:val="24"/>
        </w:rPr>
        <w:t xml:space="preserve"> disponibile su </w:t>
      </w:r>
      <w:r w:rsidRPr="00C773FF">
        <w:rPr>
          <w:rFonts w:ascii="Times New Roman" w:hAnsi="Times New Roman" w:cs="Times New Roman"/>
          <w:i/>
          <w:iCs/>
          <w:sz w:val="24"/>
          <w:szCs w:val="24"/>
        </w:rPr>
        <w:t>dejure.it</w:t>
      </w:r>
      <w:r>
        <w:rPr>
          <w:rFonts w:ascii="Times New Roman" w:hAnsi="Times New Roman" w:cs="Times New Roman"/>
          <w:sz w:val="24"/>
          <w:szCs w:val="24"/>
        </w:rPr>
        <w:t xml:space="preserve">; nota a sentenza di </w:t>
      </w:r>
      <w:r w:rsidRPr="00627019">
        <w:rPr>
          <w:rFonts w:ascii="Times New Roman" w:hAnsi="Times New Roman" w:cs="Times New Roman"/>
          <w:sz w:val="24"/>
          <w:szCs w:val="24"/>
        </w:rPr>
        <w:t>R</w:t>
      </w:r>
      <w:r w:rsidRPr="00627019">
        <w:rPr>
          <w:rFonts w:ascii="Times New Roman" w:hAnsi="Times New Roman" w:cs="Times New Roman"/>
          <w:smallCaps/>
          <w:sz w:val="24"/>
          <w:szCs w:val="24"/>
        </w:rPr>
        <w:t>. Settimio</w:t>
      </w:r>
      <w:r>
        <w:rPr>
          <w:rFonts w:ascii="Times New Roman" w:hAnsi="Times New Roman" w:cs="Times New Roman"/>
          <w:sz w:val="24"/>
          <w:szCs w:val="24"/>
        </w:rPr>
        <w:t>, “</w:t>
      </w:r>
      <w:r w:rsidRPr="00D736B1">
        <w:rPr>
          <w:rFonts w:ascii="Times New Roman" w:hAnsi="Times New Roman" w:cs="Times New Roman"/>
          <w:i/>
          <w:iCs/>
          <w:sz w:val="24"/>
          <w:szCs w:val="24"/>
        </w:rPr>
        <w:t>Deindicizzazione e diritto all’oblio al vaglio della Suprema Corte</w:t>
      </w:r>
      <w:r>
        <w:rPr>
          <w:rFonts w:ascii="Times New Roman" w:hAnsi="Times New Roman" w:cs="Times New Roman"/>
          <w:sz w:val="24"/>
          <w:szCs w:val="24"/>
        </w:rPr>
        <w:t>”, su</w:t>
      </w:r>
      <w:r w:rsidRPr="00627019">
        <w:rPr>
          <w:rFonts w:ascii="Times New Roman" w:hAnsi="Times New Roman" w:cs="Times New Roman"/>
          <w:sz w:val="24"/>
          <w:szCs w:val="24"/>
        </w:rPr>
        <w:t xml:space="preserve"> </w:t>
      </w:r>
      <w:r w:rsidRPr="00627019">
        <w:rPr>
          <w:rFonts w:ascii="Times New Roman" w:hAnsi="Times New Roman" w:cs="Times New Roman"/>
          <w:i/>
          <w:iCs/>
          <w:sz w:val="24"/>
          <w:szCs w:val="24"/>
        </w:rPr>
        <w:t>GiustiziaCivile.com</w:t>
      </w:r>
      <w:r w:rsidRPr="00627019">
        <w:rPr>
          <w:rFonts w:ascii="Times New Roman" w:hAnsi="Times New Roman" w:cs="Times New Roman"/>
          <w:sz w:val="24"/>
          <w:szCs w:val="24"/>
        </w:rPr>
        <w:t>,</w:t>
      </w:r>
      <w:r>
        <w:rPr>
          <w:rFonts w:ascii="Times New Roman" w:hAnsi="Times New Roman" w:cs="Times New Roman"/>
          <w:sz w:val="24"/>
          <w:szCs w:val="24"/>
        </w:rPr>
        <w:t xml:space="preserve"> </w:t>
      </w:r>
      <w:r w:rsidRPr="00627019">
        <w:rPr>
          <w:rFonts w:ascii="Times New Roman" w:hAnsi="Times New Roman" w:cs="Times New Roman"/>
          <w:sz w:val="24"/>
          <w:szCs w:val="24"/>
        </w:rPr>
        <w:t xml:space="preserve">27 </w:t>
      </w:r>
      <w:r>
        <w:rPr>
          <w:rFonts w:ascii="Times New Roman" w:hAnsi="Times New Roman" w:cs="Times New Roman"/>
          <w:sz w:val="24"/>
          <w:szCs w:val="24"/>
        </w:rPr>
        <w:t>settembre</w:t>
      </w:r>
      <w:r w:rsidRPr="00627019">
        <w:rPr>
          <w:rFonts w:ascii="Times New Roman" w:hAnsi="Times New Roman" w:cs="Times New Roman"/>
          <w:sz w:val="24"/>
          <w:szCs w:val="24"/>
        </w:rPr>
        <w:t xml:space="preserve"> 2021</w:t>
      </w:r>
      <w:r>
        <w:rPr>
          <w:rFonts w:ascii="Times New Roman" w:hAnsi="Times New Roman" w:cs="Times New Roman"/>
          <w:sz w:val="24"/>
          <w:szCs w:val="24"/>
        </w:rPr>
        <w:t>.</w:t>
      </w:r>
      <w:r w:rsidRPr="00627019">
        <w:rPr>
          <w:rFonts w:ascii="Times New Roman" w:hAnsi="Times New Roman" w:cs="Times New Roman"/>
          <w:sz w:val="24"/>
          <w:szCs w:val="24"/>
        </w:rPr>
        <w:t xml:space="preserve"> </w:t>
      </w:r>
    </w:p>
    <w:p w14:paraId="48409E17" w14:textId="5B1E9291" w:rsidR="000463A6" w:rsidRPr="00E7511E" w:rsidRDefault="000463A6" w:rsidP="00627019">
      <w:pPr>
        <w:pStyle w:val="Testonotaapidipagina"/>
        <w:jc w:val="both"/>
        <w:rPr>
          <w:rFonts w:ascii="Times New Roman" w:hAnsi="Times New Roman" w:cs="Times New Roman"/>
          <w:sz w:val="24"/>
          <w:szCs w:val="24"/>
        </w:rPr>
      </w:pPr>
    </w:p>
  </w:footnote>
  <w:footnote w:id="231">
    <w:p w14:paraId="62BA871F" w14:textId="7698485B" w:rsidR="000463A6" w:rsidRPr="00D736B1" w:rsidRDefault="000463A6" w:rsidP="006A4DFC">
      <w:pPr>
        <w:pStyle w:val="Testonotaapidipagina"/>
        <w:jc w:val="both"/>
        <w:rPr>
          <w:rFonts w:ascii="Times New Roman" w:hAnsi="Times New Roman" w:cs="Times New Roman"/>
          <w:sz w:val="24"/>
          <w:szCs w:val="24"/>
        </w:rPr>
      </w:pPr>
      <w:r w:rsidRPr="00D736B1">
        <w:rPr>
          <w:rStyle w:val="Rimandonotaapidipagina"/>
          <w:rFonts w:ascii="Times New Roman" w:hAnsi="Times New Roman" w:cs="Times New Roman"/>
          <w:sz w:val="24"/>
          <w:szCs w:val="24"/>
        </w:rPr>
        <w:footnoteRef/>
      </w:r>
      <w:r w:rsidRPr="00D736B1">
        <w:rPr>
          <w:rFonts w:ascii="Times New Roman" w:hAnsi="Times New Roman" w:cs="Times New Roman"/>
          <w:sz w:val="24"/>
          <w:szCs w:val="24"/>
        </w:rPr>
        <w:t xml:space="preserve"> Accessibil</w:t>
      </w:r>
      <w:r>
        <w:rPr>
          <w:rFonts w:ascii="Times New Roman" w:hAnsi="Times New Roman" w:cs="Times New Roman"/>
          <w:sz w:val="24"/>
          <w:szCs w:val="24"/>
        </w:rPr>
        <w:t>i</w:t>
      </w:r>
      <w:r w:rsidRPr="00D736B1">
        <w:rPr>
          <w:rFonts w:ascii="Times New Roman" w:hAnsi="Times New Roman" w:cs="Times New Roman"/>
          <w:sz w:val="24"/>
          <w:szCs w:val="24"/>
        </w:rPr>
        <w:t xml:space="preserve"> da </w:t>
      </w:r>
      <w:hyperlink r:id="rId70" w:history="1">
        <w:r w:rsidRPr="00D736B1">
          <w:rPr>
            <w:rStyle w:val="Collegamentoipertestuale"/>
            <w:rFonts w:ascii="Times New Roman" w:hAnsi="Times New Roman" w:cs="Times New Roman"/>
            <w:sz w:val="24"/>
            <w:szCs w:val="24"/>
          </w:rPr>
          <w:t>https://edpb.europa.eu/our-work-tools/our-documents/guidelines/guidelines-52019-criteria-right-be-forgotten-search-engines_it</w:t>
        </w:r>
      </w:hyperlink>
      <w:r w:rsidRPr="00D736B1">
        <w:rPr>
          <w:rFonts w:ascii="Times New Roman" w:hAnsi="Times New Roman" w:cs="Times New Roman"/>
          <w:sz w:val="24"/>
          <w:szCs w:val="24"/>
        </w:rPr>
        <w:t>.</w:t>
      </w:r>
    </w:p>
  </w:footnote>
  <w:footnote w:id="232">
    <w:p w14:paraId="6547B5FD" w14:textId="11AFDCB1" w:rsidR="000463A6" w:rsidRPr="00D736B1" w:rsidRDefault="000463A6" w:rsidP="006A4DFC">
      <w:pPr>
        <w:pStyle w:val="Testonotaapidipagina"/>
        <w:jc w:val="both"/>
        <w:rPr>
          <w:rFonts w:ascii="Times New Roman" w:hAnsi="Times New Roman" w:cs="Times New Roman"/>
          <w:sz w:val="24"/>
          <w:szCs w:val="24"/>
        </w:rPr>
      </w:pPr>
      <w:r w:rsidRPr="00D736B1">
        <w:rPr>
          <w:rStyle w:val="Rimandonotaapidipagina"/>
          <w:rFonts w:ascii="Times New Roman" w:hAnsi="Times New Roman" w:cs="Times New Roman"/>
          <w:sz w:val="24"/>
          <w:szCs w:val="24"/>
        </w:rPr>
        <w:footnoteRef/>
      </w:r>
      <w:r w:rsidRPr="00D736B1">
        <w:rPr>
          <w:rFonts w:ascii="Times New Roman" w:hAnsi="Times New Roman" w:cs="Times New Roman"/>
          <w:sz w:val="24"/>
          <w:szCs w:val="24"/>
        </w:rPr>
        <w:t xml:space="preserve"> Si veda </w:t>
      </w:r>
      <w:proofErr w:type="spellStart"/>
      <w:r w:rsidRPr="00D42B1D">
        <w:rPr>
          <w:rFonts w:ascii="Times New Roman" w:hAnsi="Times New Roman" w:cs="Times New Roman"/>
          <w:sz w:val="24"/>
          <w:szCs w:val="24"/>
        </w:rPr>
        <w:t>Cass</w:t>
      </w:r>
      <w:proofErr w:type="spellEnd"/>
      <w:r w:rsidRPr="00D42B1D">
        <w:rPr>
          <w:rFonts w:ascii="Times New Roman" w:hAnsi="Times New Roman" w:cs="Times New Roman"/>
          <w:sz w:val="24"/>
          <w:szCs w:val="24"/>
        </w:rPr>
        <w:t xml:space="preserve">. </w:t>
      </w:r>
      <w:proofErr w:type="spellStart"/>
      <w:r w:rsidRPr="00D42B1D">
        <w:rPr>
          <w:rFonts w:ascii="Times New Roman" w:hAnsi="Times New Roman" w:cs="Times New Roman"/>
          <w:sz w:val="24"/>
          <w:szCs w:val="24"/>
        </w:rPr>
        <w:t>Civ</w:t>
      </w:r>
      <w:proofErr w:type="spellEnd"/>
      <w:r w:rsidRPr="00D42B1D">
        <w:rPr>
          <w:rFonts w:ascii="Times New Roman" w:hAnsi="Times New Roman" w:cs="Times New Roman"/>
          <w:sz w:val="24"/>
          <w:szCs w:val="24"/>
        </w:rPr>
        <w:t>., sez. I, 27/03/2020, n. 7559</w:t>
      </w:r>
      <w:r>
        <w:rPr>
          <w:rFonts w:ascii="Times New Roman" w:hAnsi="Times New Roman" w:cs="Times New Roman"/>
          <w:sz w:val="24"/>
          <w:szCs w:val="24"/>
        </w:rPr>
        <w:t>, cit.</w:t>
      </w:r>
    </w:p>
  </w:footnote>
  <w:footnote w:id="233">
    <w:p w14:paraId="39D907DC" w14:textId="14FBE155" w:rsidR="000463A6" w:rsidRPr="00E57B01" w:rsidRDefault="000463A6" w:rsidP="00E57B01">
      <w:pPr>
        <w:pStyle w:val="Testonotaapidipagina"/>
        <w:jc w:val="both"/>
        <w:rPr>
          <w:rFonts w:ascii="Times New Roman" w:hAnsi="Times New Roman" w:cs="Times New Roman"/>
          <w:sz w:val="24"/>
          <w:szCs w:val="24"/>
        </w:rPr>
      </w:pPr>
      <w:r w:rsidRPr="00E57B01">
        <w:rPr>
          <w:rStyle w:val="Rimandonotaapidipagina"/>
          <w:rFonts w:ascii="Times New Roman" w:hAnsi="Times New Roman" w:cs="Times New Roman"/>
          <w:sz w:val="24"/>
          <w:szCs w:val="24"/>
        </w:rPr>
        <w:footnoteRef/>
      </w:r>
      <w:r w:rsidRPr="00E57B01">
        <w:rPr>
          <w:rFonts w:ascii="Times New Roman" w:hAnsi="Times New Roman" w:cs="Times New Roman"/>
          <w:sz w:val="24"/>
          <w:szCs w:val="24"/>
        </w:rPr>
        <w:t xml:space="preserve"> </w:t>
      </w:r>
      <w:proofErr w:type="spellStart"/>
      <w:r w:rsidRPr="00E57B01">
        <w:rPr>
          <w:rFonts w:ascii="Times New Roman" w:hAnsi="Times New Roman" w:cs="Times New Roman"/>
          <w:sz w:val="24"/>
          <w:szCs w:val="24"/>
        </w:rPr>
        <w:t>Cass</w:t>
      </w:r>
      <w:proofErr w:type="spellEnd"/>
      <w:r w:rsidRPr="00E57B01">
        <w:rPr>
          <w:rFonts w:ascii="Times New Roman" w:hAnsi="Times New Roman" w:cs="Times New Roman"/>
          <w:sz w:val="24"/>
          <w:szCs w:val="24"/>
        </w:rPr>
        <w:t xml:space="preserve">. </w:t>
      </w:r>
      <w:proofErr w:type="spellStart"/>
      <w:r w:rsidRPr="00E57B01">
        <w:rPr>
          <w:rFonts w:ascii="Times New Roman" w:hAnsi="Times New Roman" w:cs="Times New Roman"/>
          <w:sz w:val="24"/>
          <w:szCs w:val="24"/>
        </w:rPr>
        <w:t>Civ</w:t>
      </w:r>
      <w:proofErr w:type="spellEnd"/>
      <w:r w:rsidRPr="00E57B01">
        <w:rPr>
          <w:rFonts w:ascii="Times New Roman" w:hAnsi="Times New Roman" w:cs="Times New Roman"/>
          <w:sz w:val="24"/>
          <w:szCs w:val="24"/>
        </w:rPr>
        <w:t xml:space="preserve">., sez. III, 19/07/2018, n. 19137, disponibile su </w:t>
      </w:r>
      <w:r w:rsidRPr="00D95542">
        <w:rPr>
          <w:rFonts w:ascii="Times New Roman" w:hAnsi="Times New Roman" w:cs="Times New Roman"/>
          <w:i/>
          <w:iCs/>
          <w:sz w:val="24"/>
          <w:szCs w:val="24"/>
        </w:rPr>
        <w:t>dejure.it</w:t>
      </w:r>
      <w:r>
        <w:rPr>
          <w:rFonts w:ascii="Times New Roman" w:hAnsi="Times New Roman" w:cs="Times New Roman"/>
          <w:sz w:val="24"/>
          <w:szCs w:val="24"/>
        </w:rPr>
        <w:t>;</w:t>
      </w:r>
      <w:r w:rsidRPr="00E57B01">
        <w:rPr>
          <w:rFonts w:ascii="Times New Roman" w:hAnsi="Times New Roman" w:cs="Times New Roman"/>
          <w:sz w:val="24"/>
          <w:szCs w:val="24"/>
        </w:rPr>
        <w:t xml:space="preserve"> nota a sentenza di </w:t>
      </w:r>
      <w:r w:rsidRPr="00E57B01">
        <w:rPr>
          <w:rFonts w:ascii="Times New Roman" w:hAnsi="Times New Roman" w:cs="Times New Roman"/>
          <w:smallCaps/>
          <w:sz w:val="24"/>
          <w:szCs w:val="24"/>
        </w:rPr>
        <w:t xml:space="preserve">I. </w:t>
      </w:r>
      <w:proofErr w:type="spellStart"/>
      <w:r w:rsidRPr="00E57B01">
        <w:rPr>
          <w:rFonts w:ascii="Times New Roman" w:hAnsi="Times New Roman" w:cs="Times New Roman"/>
          <w:smallCaps/>
          <w:sz w:val="24"/>
          <w:szCs w:val="24"/>
        </w:rPr>
        <w:t>Pietroletti</w:t>
      </w:r>
      <w:proofErr w:type="spellEnd"/>
      <w:r w:rsidRPr="00E57B01">
        <w:rPr>
          <w:rFonts w:ascii="Times New Roman" w:hAnsi="Times New Roman" w:cs="Times New Roman"/>
          <w:sz w:val="24"/>
          <w:szCs w:val="24"/>
        </w:rPr>
        <w:t>, “</w:t>
      </w:r>
      <w:r w:rsidRPr="00E57B01">
        <w:rPr>
          <w:rFonts w:ascii="Times New Roman" w:hAnsi="Times New Roman" w:cs="Times New Roman"/>
          <w:i/>
          <w:iCs/>
          <w:sz w:val="24"/>
          <w:szCs w:val="24"/>
        </w:rPr>
        <w:t>Nessun risarcimento per l’avvocato se non prova i pregiudizi concreti ricollegabili all’attività</w:t>
      </w:r>
      <w:r w:rsidRPr="00E57B01">
        <w:rPr>
          <w:rFonts w:ascii="Times New Roman" w:hAnsi="Times New Roman" w:cs="Times New Roman"/>
          <w:sz w:val="24"/>
          <w:szCs w:val="24"/>
        </w:rPr>
        <w:t xml:space="preserve">”, su </w:t>
      </w:r>
      <w:r w:rsidRPr="00E57B01">
        <w:rPr>
          <w:rFonts w:ascii="Times New Roman" w:hAnsi="Times New Roman" w:cs="Times New Roman"/>
          <w:i/>
          <w:iCs/>
          <w:sz w:val="24"/>
          <w:szCs w:val="24"/>
        </w:rPr>
        <w:t>Diritto &amp; Giustizia</w:t>
      </w:r>
      <w:r w:rsidRPr="00E57B01">
        <w:rPr>
          <w:rFonts w:ascii="Times New Roman" w:hAnsi="Times New Roman" w:cs="Times New Roman"/>
          <w:sz w:val="24"/>
          <w:szCs w:val="24"/>
        </w:rPr>
        <w:t>, fasc.</w:t>
      </w:r>
      <w:r>
        <w:rPr>
          <w:rFonts w:ascii="Times New Roman" w:hAnsi="Times New Roman" w:cs="Times New Roman"/>
          <w:sz w:val="24"/>
          <w:szCs w:val="24"/>
        </w:rPr>
        <w:t xml:space="preserve"> </w:t>
      </w:r>
      <w:r w:rsidRPr="00E57B01">
        <w:rPr>
          <w:rFonts w:ascii="Times New Roman" w:hAnsi="Times New Roman" w:cs="Times New Roman"/>
          <w:sz w:val="24"/>
          <w:szCs w:val="24"/>
        </w:rPr>
        <w:t>128, 2018, pag. 10</w:t>
      </w:r>
      <w:r>
        <w:rPr>
          <w:rFonts w:ascii="Times New Roman" w:hAnsi="Times New Roman" w:cs="Times New Roman"/>
          <w:sz w:val="24"/>
          <w:szCs w:val="24"/>
        </w:rPr>
        <w:t xml:space="preserve"> </w:t>
      </w:r>
      <w:r w:rsidRPr="00E57B01">
        <w:rPr>
          <w:rFonts w:ascii="Times New Roman" w:hAnsi="Times New Roman" w:cs="Times New Roman"/>
          <w:sz w:val="24"/>
          <w:szCs w:val="24"/>
        </w:rPr>
        <w:t xml:space="preserve">e </w:t>
      </w:r>
      <w:proofErr w:type="spellStart"/>
      <w:r w:rsidRPr="00E57B01">
        <w:rPr>
          <w:rFonts w:ascii="Times New Roman" w:hAnsi="Times New Roman" w:cs="Times New Roman"/>
          <w:sz w:val="24"/>
          <w:szCs w:val="24"/>
        </w:rPr>
        <w:t>Cass</w:t>
      </w:r>
      <w:proofErr w:type="spellEnd"/>
      <w:r w:rsidRPr="00E57B01">
        <w:rPr>
          <w:rFonts w:ascii="Times New Roman" w:hAnsi="Times New Roman" w:cs="Times New Roman"/>
          <w:sz w:val="24"/>
          <w:szCs w:val="24"/>
        </w:rPr>
        <w:t xml:space="preserve">. </w:t>
      </w:r>
      <w:proofErr w:type="spellStart"/>
      <w:r w:rsidRPr="00E57B01">
        <w:rPr>
          <w:rFonts w:ascii="Times New Roman" w:hAnsi="Times New Roman" w:cs="Times New Roman"/>
          <w:sz w:val="24"/>
          <w:szCs w:val="24"/>
        </w:rPr>
        <w:t>Civ</w:t>
      </w:r>
      <w:proofErr w:type="spellEnd"/>
      <w:r w:rsidRPr="00E57B01">
        <w:rPr>
          <w:rFonts w:ascii="Times New Roman" w:hAnsi="Times New Roman" w:cs="Times New Roman"/>
          <w:sz w:val="24"/>
          <w:szCs w:val="24"/>
        </w:rPr>
        <w:t>., sez. I, 23</w:t>
      </w:r>
      <w:r>
        <w:rPr>
          <w:rFonts w:ascii="Times New Roman" w:hAnsi="Times New Roman" w:cs="Times New Roman"/>
          <w:sz w:val="24"/>
          <w:szCs w:val="24"/>
        </w:rPr>
        <w:t>/05/</w:t>
      </w:r>
      <w:r w:rsidRPr="00E57B01">
        <w:rPr>
          <w:rFonts w:ascii="Times New Roman" w:hAnsi="Times New Roman" w:cs="Times New Roman"/>
          <w:sz w:val="24"/>
          <w:szCs w:val="24"/>
        </w:rPr>
        <w:t xml:space="preserve">2018, n. 12855, disponibile su </w:t>
      </w:r>
      <w:r w:rsidRPr="00D95542">
        <w:rPr>
          <w:rFonts w:ascii="Times New Roman" w:hAnsi="Times New Roman" w:cs="Times New Roman"/>
          <w:i/>
          <w:iCs/>
          <w:sz w:val="24"/>
          <w:szCs w:val="24"/>
        </w:rPr>
        <w:t>dejure.it</w:t>
      </w:r>
      <w:r>
        <w:rPr>
          <w:rFonts w:ascii="Times New Roman" w:hAnsi="Times New Roman" w:cs="Times New Roman"/>
          <w:sz w:val="24"/>
          <w:szCs w:val="24"/>
        </w:rPr>
        <w:t xml:space="preserve">; </w:t>
      </w:r>
      <w:r w:rsidRPr="00E57B01">
        <w:rPr>
          <w:rFonts w:ascii="Times New Roman" w:hAnsi="Times New Roman" w:cs="Times New Roman"/>
          <w:sz w:val="24"/>
          <w:szCs w:val="24"/>
        </w:rPr>
        <w:t xml:space="preserve">nota a sentenza di </w:t>
      </w:r>
      <w:r w:rsidRPr="0041738B">
        <w:rPr>
          <w:rFonts w:ascii="Times New Roman" w:hAnsi="Times New Roman" w:cs="Times New Roman"/>
          <w:smallCaps/>
          <w:sz w:val="24"/>
          <w:szCs w:val="24"/>
        </w:rPr>
        <w:t xml:space="preserve">F. </w:t>
      </w:r>
      <w:proofErr w:type="spellStart"/>
      <w:r w:rsidRPr="0041738B">
        <w:rPr>
          <w:rFonts w:ascii="Times New Roman" w:hAnsi="Times New Roman" w:cs="Times New Roman"/>
          <w:smallCaps/>
          <w:sz w:val="24"/>
          <w:szCs w:val="24"/>
        </w:rPr>
        <w:t>Valerini</w:t>
      </w:r>
      <w:proofErr w:type="spellEnd"/>
      <w:r w:rsidRPr="00E57B01">
        <w:rPr>
          <w:rFonts w:ascii="Times New Roman" w:hAnsi="Times New Roman" w:cs="Times New Roman"/>
          <w:sz w:val="24"/>
          <w:szCs w:val="24"/>
        </w:rPr>
        <w:t>, “</w:t>
      </w:r>
      <w:r w:rsidRPr="0041738B">
        <w:rPr>
          <w:rFonts w:ascii="Times New Roman" w:hAnsi="Times New Roman" w:cs="Times New Roman"/>
          <w:i/>
          <w:iCs/>
          <w:sz w:val="24"/>
          <w:szCs w:val="24"/>
        </w:rPr>
        <w:t>La familiarità della minore con i social network non salva Yahoo.it dal risarcimento del danno per la pubblicazione della foto</w:t>
      </w:r>
      <w:r w:rsidRPr="00E57B01">
        <w:rPr>
          <w:rFonts w:ascii="Times New Roman" w:hAnsi="Times New Roman" w:cs="Times New Roman"/>
          <w:sz w:val="24"/>
          <w:szCs w:val="24"/>
        </w:rPr>
        <w:t xml:space="preserve">”, su </w:t>
      </w:r>
      <w:r w:rsidRPr="0041738B">
        <w:rPr>
          <w:rFonts w:ascii="Times New Roman" w:hAnsi="Times New Roman" w:cs="Times New Roman"/>
          <w:i/>
          <w:iCs/>
          <w:sz w:val="24"/>
          <w:szCs w:val="24"/>
        </w:rPr>
        <w:t>Diritto &amp; Giustizia</w:t>
      </w:r>
      <w:r w:rsidRPr="00E57B01">
        <w:rPr>
          <w:rFonts w:ascii="Times New Roman" w:hAnsi="Times New Roman" w:cs="Times New Roman"/>
          <w:sz w:val="24"/>
          <w:szCs w:val="24"/>
        </w:rPr>
        <w:t>, fasc.</w:t>
      </w:r>
      <w:r>
        <w:rPr>
          <w:rFonts w:ascii="Times New Roman" w:hAnsi="Times New Roman" w:cs="Times New Roman"/>
          <w:sz w:val="24"/>
          <w:szCs w:val="24"/>
        </w:rPr>
        <w:t xml:space="preserve"> </w:t>
      </w:r>
      <w:r w:rsidRPr="00E57B01">
        <w:rPr>
          <w:rFonts w:ascii="Times New Roman" w:hAnsi="Times New Roman" w:cs="Times New Roman"/>
          <w:sz w:val="24"/>
          <w:szCs w:val="24"/>
        </w:rPr>
        <w:t>92, 2018, pag. 21.</w:t>
      </w:r>
    </w:p>
  </w:footnote>
  <w:footnote w:id="234">
    <w:p w14:paraId="25BB6776" w14:textId="5094A9CA" w:rsidR="000463A6" w:rsidRPr="00225EF9" w:rsidRDefault="000463A6" w:rsidP="00833D6B">
      <w:pPr>
        <w:pStyle w:val="Testonotaapidipagina"/>
        <w:jc w:val="both"/>
        <w:rPr>
          <w:rFonts w:ascii="Times New Roman" w:hAnsi="Times New Roman" w:cs="Times New Roman"/>
          <w:sz w:val="24"/>
          <w:szCs w:val="24"/>
        </w:rPr>
      </w:pPr>
      <w:r w:rsidRPr="00E57B01">
        <w:rPr>
          <w:rStyle w:val="Rimandonotaapidipagina"/>
          <w:rFonts w:ascii="Times New Roman" w:hAnsi="Times New Roman" w:cs="Times New Roman"/>
          <w:sz w:val="24"/>
          <w:szCs w:val="24"/>
        </w:rPr>
        <w:footnoteRef/>
      </w:r>
      <w:r w:rsidRPr="00E57B01">
        <w:rPr>
          <w:rFonts w:ascii="Times New Roman" w:hAnsi="Times New Roman" w:cs="Times New Roman"/>
          <w:sz w:val="24"/>
          <w:szCs w:val="24"/>
        </w:rPr>
        <w:t xml:space="preserve"> È utile richiamare la giurisprudenza della Cassazione relativa al risarcimento del danno da reputazione, la cui </w:t>
      </w:r>
      <w:r w:rsidRPr="00E57B01">
        <w:rPr>
          <w:rFonts w:ascii="Times New Roman" w:hAnsi="Times New Roman" w:cs="Times New Roman"/>
          <w:i/>
          <w:iCs/>
          <w:sz w:val="24"/>
          <w:szCs w:val="24"/>
        </w:rPr>
        <w:t>ratio</w:t>
      </w:r>
      <w:r w:rsidRPr="00E57B01">
        <w:rPr>
          <w:rFonts w:ascii="Times New Roman" w:hAnsi="Times New Roman" w:cs="Times New Roman"/>
          <w:sz w:val="24"/>
          <w:szCs w:val="24"/>
        </w:rPr>
        <w:t xml:space="preserve"> trova applicazione anche nel contesto che qui interessa. A proposito, la Corte ha ribadito che il giudice è “</w:t>
      </w:r>
      <w:r w:rsidRPr="00E57B01">
        <w:rPr>
          <w:rFonts w:ascii="Times New Roman" w:hAnsi="Times New Roman" w:cs="Times New Roman"/>
          <w:i/>
          <w:iCs/>
          <w:sz w:val="24"/>
          <w:szCs w:val="24"/>
        </w:rPr>
        <w:t>tenuto a dare conto delle circostanze considerate nel compimento della valutazione equitativa e del percorso logico che lo ha condotto a quel determinato risultato</w:t>
      </w:r>
      <w:r w:rsidRPr="00E57B01">
        <w:rPr>
          <w:rFonts w:ascii="Times New Roman" w:hAnsi="Times New Roman" w:cs="Times New Roman"/>
          <w:sz w:val="24"/>
          <w:szCs w:val="24"/>
        </w:rPr>
        <w:t>” (</w:t>
      </w:r>
      <w:proofErr w:type="spellStart"/>
      <w:r w:rsidRPr="00E57B01">
        <w:rPr>
          <w:rFonts w:ascii="Times New Roman" w:hAnsi="Times New Roman" w:cs="Times New Roman"/>
          <w:sz w:val="24"/>
          <w:szCs w:val="24"/>
        </w:rPr>
        <w:t>Cass</w:t>
      </w:r>
      <w:proofErr w:type="spellEnd"/>
      <w:r w:rsidRPr="00E57B01">
        <w:rPr>
          <w:rFonts w:ascii="Times New Roman" w:hAnsi="Times New Roman" w:cs="Times New Roman"/>
          <w:sz w:val="24"/>
          <w:szCs w:val="24"/>
        </w:rPr>
        <w:t xml:space="preserve">. </w:t>
      </w:r>
      <w:proofErr w:type="spellStart"/>
      <w:r w:rsidRPr="00E57B01">
        <w:rPr>
          <w:rFonts w:ascii="Times New Roman" w:hAnsi="Times New Roman" w:cs="Times New Roman"/>
          <w:sz w:val="24"/>
          <w:szCs w:val="24"/>
        </w:rPr>
        <w:t>Civ</w:t>
      </w:r>
      <w:proofErr w:type="spellEnd"/>
      <w:r w:rsidRPr="00E57B01">
        <w:rPr>
          <w:rFonts w:ascii="Times New Roman" w:hAnsi="Times New Roman" w:cs="Times New Roman"/>
          <w:sz w:val="24"/>
          <w:szCs w:val="24"/>
        </w:rPr>
        <w:t>.</w:t>
      </w:r>
      <w:r>
        <w:rPr>
          <w:rFonts w:ascii="Times New Roman" w:hAnsi="Times New Roman" w:cs="Times New Roman"/>
          <w:sz w:val="24"/>
          <w:szCs w:val="24"/>
        </w:rPr>
        <w:t>,</w:t>
      </w:r>
      <w:r w:rsidRPr="00E57B01">
        <w:rPr>
          <w:rFonts w:ascii="Times New Roman" w:hAnsi="Times New Roman" w:cs="Times New Roman"/>
          <w:sz w:val="24"/>
          <w:szCs w:val="24"/>
        </w:rPr>
        <w:t xml:space="preserve"> n. 11039/2006</w:t>
      </w:r>
      <w:r>
        <w:rPr>
          <w:rFonts w:ascii="Times New Roman" w:hAnsi="Times New Roman" w:cs="Times New Roman"/>
          <w:sz w:val="24"/>
          <w:szCs w:val="24"/>
        </w:rPr>
        <w:t xml:space="preserve">, disponibile su </w:t>
      </w:r>
      <w:r w:rsidRPr="00D95542">
        <w:rPr>
          <w:rFonts w:ascii="Times New Roman" w:hAnsi="Times New Roman" w:cs="Times New Roman"/>
          <w:i/>
          <w:iCs/>
          <w:sz w:val="24"/>
          <w:szCs w:val="24"/>
        </w:rPr>
        <w:t>dejure.it</w:t>
      </w:r>
      <w:r>
        <w:rPr>
          <w:rFonts w:ascii="Times New Roman" w:hAnsi="Times New Roman" w:cs="Times New Roman"/>
          <w:sz w:val="24"/>
          <w:szCs w:val="24"/>
        </w:rPr>
        <w:t xml:space="preserve"> e </w:t>
      </w:r>
      <w:proofErr w:type="spellStart"/>
      <w:r w:rsidRPr="0041738B">
        <w:rPr>
          <w:rFonts w:ascii="Times New Roman" w:hAnsi="Times New Roman" w:cs="Times New Roman"/>
          <w:i/>
          <w:iCs/>
          <w:sz w:val="24"/>
          <w:szCs w:val="24"/>
        </w:rPr>
        <w:t>Giust</w:t>
      </w:r>
      <w:proofErr w:type="spellEnd"/>
      <w:r w:rsidRPr="0041738B">
        <w:rPr>
          <w:rFonts w:ascii="Times New Roman" w:hAnsi="Times New Roman" w:cs="Times New Roman"/>
          <w:i/>
          <w:iCs/>
          <w:sz w:val="24"/>
          <w:szCs w:val="24"/>
        </w:rPr>
        <w:t>. civ. Mass</w:t>
      </w:r>
      <w:r w:rsidRPr="0041738B">
        <w:rPr>
          <w:rFonts w:ascii="Times New Roman" w:hAnsi="Times New Roman" w:cs="Times New Roman"/>
          <w:sz w:val="24"/>
          <w:szCs w:val="24"/>
        </w:rPr>
        <w:t>. 2006, 5</w:t>
      </w:r>
      <w:r>
        <w:rPr>
          <w:rFonts w:ascii="Times New Roman" w:hAnsi="Times New Roman" w:cs="Times New Roman"/>
          <w:sz w:val="24"/>
          <w:szCs w:val="24"/>
        </w:rPr>
        <w:t>).</w:t>
      </w:r>
    </w:p>
  </w:footnote>
  <w:footnote w:id="235">
    <w:p w14:paraId="7743F58C" w14:textId="738E57B1" w:rsidR="000463A6" w:rsidRPr="00C75B90" w:rsidRDefault="000463A6" w:rsidP="00C75B90">
      <w:pPr>
        <w:pStyle w:val="Testonotaapidipagina"/>
        <w:jc w:val="both"/>
        <w:rPr>
          <w:rFonts w:ascii="Times New Roman" w:hAnsi="Times New Roman" w:cs="Times New Roman"/>
          <w:sz w:val="24"/>
          <w:szCs w:val="24"/>
        </w:rPr>
      </w:pPr>
      <w:r w:rsidRPr="00C75B90">
        <w:rPr>
          <w:rStyle w:val="Rimandonotaapidipagina"/>
          <w:rFonts w:ascii="Times New Roman" w:hAnsi="Times New Roman" w:cs="Times New Roman"/>
          <w:sz w:val="24"/>
          <w:szCs w:val="24"/>
        </w:rPr>
        <w:footnoteRef/>
      </w:r>
      <w:r w:rsidRPr="00C75B90">
        <w:rPr>
          <w:rFonts w:ascii="Times New Roman" w:hAnsi="Times New Roman" w:cs="Times New Roman"/>
          <w:sz w:val="24"/>
          <w:szCs w:val="24"/>
        </w:rPr>
        <w:t xml:space="preserve"> Art. 2</w:t>
      </w:r>
      <w:r>
        <w:rPr>
          <w:rFonts w:ascii="Times New Roman" w:hAnsi="Times New Roman" w:cs="Times New Roman"/>
          <w:sz w:val="24"/>
          <w:szCs w:val="24"/>
        </w:rPr>
        <w:t>-</w:t>
      </w:r>
      <w:r w:rsidRPr="00C75B90">
        <w:rPr>
          <w:rFonts w:ascii="Times New Roman" w:hAnsi="Times New Roman" w:cs="Times New Roman"/>
          <w:sz w:val="24"/>
          <w:szCs w:val="24"/>
        </w:rPr>
        <w:t>terdecies Codice Privacy (</w:t>
      </w:r>
      <w:r>
        <w:rPr>
          <w:rFonts w:ascii="Times New Roman" w:hAnsi="Times New Roman" w:cs="Times New Roman"/>
          <w:sz w:val="24"/>
          <w:szCs w:val="24"/>
        </w:rPr>
        <w:t>“</w:t>
      </w:r>
      <w:r w:rsidRPr="00C75B90">
        <w:rPr>
          <w:rFonts w:ascii="Times New Roman" w:hAnsi="Times New Roman" w:cs="Times New Roman"/>
          <w:sz w:val="24"/>
          <w:szCs w:val="24"/>
        </w:rPr>
        <w:t>Diritti riguardanti le persone decedute</w:t>
      </w:r>
      <w:r>
        <w:rPr>
          <w:rFonts w:ascii="Times New Roman" w:hAnsi="Times New Roman" w:cs="Times New Roman"/>
          <w:sz w:val="24"/>
          <w:szCs w:val="24"/>
        </w:rPr>
        <w:t>”</w:t>
      </w:r>
      <w:r w:rsidRPr="00C75B90">
        <w:rPr>
          <w:rFonts w:ascii="Times New Roman" w:hAnsi="Times New Roman" w:cs="Times New Roman"/>
          <w:sz w:val="24"/>
          <w:szCs w:val="24"/>
        </w:rPr>
        <w:t>)</w:t>
      </w:r>
    </w:p>
    <w:p w14:paraId="052FFF23" w14:textId="3E0822B7" w:rsidR="000463A6" w:rsidRPr="00C75B90" w:rsidRDefault="000463A6" w:rsidP="00C75B90">
      <w:pPr>
        <w:pStyle w:val="Testonotaapidipagina"/>
        <w:jc w:val="both"/>
        <w:rPr>
          <w:rFonts w:ascii="Times New Roman" w:hAnsi="Times New Roman" w:cs="Times New Roman"/>
          <w:i/>
          <w:iCs/>
          <w:sz w:val="24"/>
          <w:szCs w:val="24"/>
        </w:rPr>
      </w:pPr>
      <w:r w:rsidRPr="00C75B90">
        <w:rPr>
          <w:rFonts w:ascii="Times New Roman" w:hAnsi="Times New Roman" w:cs="Times New Roman"/>
          <w:sz w:val="24"/>
          <w:szCs w:val="24"/>
        </w:rPr>
        <w:t>“</w:t>
      </w:r>
      <w:r w:rsidRPr="00C75B90">
        <w:rPr>
          <w:rFonts w:ascii="Times New Roman" w:hAnsi="Times New Roman" w:cs="Times New Roman"/>
          <w:i/>
          <w:iCs/>
          <w:sz w:val="24"/>
          <w:szCs w:val="24"/>
        </w:rPr>
        <w:t>1. I diritti di cui agli articoli da 15 a 22 del Regolamento riferiti ai dati personali concernenti persone decedute possono essere esercitati da chi ha un interesse proprio, o agisce a tutela dell’interessato, in qualità di suo mandatario, o per ragioni familiari meritevoli di protezione.</w:t>
      </w:r>
    </w:p>
    <w:p w14:paraId="75728039" w14:textId="689F485C" w:rsidR="000463A6" w:rsidRPr="00C75B90" w:rsidRDefault="000463A6" w:rsidP="00C75B90">
      <w:pPr>
        <w:pStyle w:val="Testonotaapidipagina"/>
        <w:jc w:val="both"/>
        <w:rPr>
          <w:rFonts w:ascii="Times New Roman" w:hAnsi="Times New Roman" w:cs="Times New Roman"/>
          <w:i/>
          <w:iCs/>
          <w:sz w:val="24"/>
          <w:szCs w:val="24"/>
        </w:rPr>
      </w:pPr>
      <w:r w:rsidRPr="00C75B90">
        <w:rPr>
          <w:rFonts w:ascii="Times New Roman" w:hAnsi="Times New Roman" w:cs="Times New Roman"/>
          <w:i/>
          <w:iCs/>
          <w:sz w:val="24"/>
          <w:szCs w:val="24"/>
        </w:rPr>
        <w:t>2. L’esercizio dei diritti di cui al comma 1 non è ammesso nei casi previsti dalla legge o quando, limitatamente all’offerta diretta di servizi della società dell’informazione, l’interessato lo ha espressamente vietato con dichiarazione scritta presentata al titolare del trattamento o a quest’ultimo comunicata.</w:t>
      </w:r>
    </w:p>
    <w:p w14:paraId="44AE05E4" w14:textId="77777777" w:rsidR="000463A6" w:rsidRPr="00C75B90" w:rsidRDefault="000463A6" w:rsidP="00C75B90">
      <w:pPr>
        <w:pStyle w:val="Testonotaapidipagina"/>
        <w:jc w:val="both"/>
        <w:rPr>
          <w:rFonts w:ascii="Times New Roman" w:hAnsi="Times New Roman" w:cs="Times New Roman"/>
          <w:i/>
          <w:iCs/>
          <w:sz w:val="24"/>
          <w:szCs w:val="24"/>
        </w:rPr>
      </w:pPr>
      <w:r w:rsidRPr="00C75B90">
        <w:rPr>
          <w:rFonts w:ascii="Times New Roman" w:hAnsi="Times New Roman" w:cs="Times New Roman"/>
          <w:i/>
          <w:iCs/>
          <w:sz w:val="24"/>
          <w:szCs w:val="24"/>
        </w:rPr>
        <w:t xml:space="preserve">3. La volontà dell’interessato di vietare l’esercizio dei diritti di cui al comma 1 deve risultare in modo non equivoco e deve essere specifica, libera e informata; il divieto può riguardare l’esercizio soltanto di alcuni dei diritti di cui al </w:t>
      </w:r>
      <w:proofErr w:type="gramStart"/>
      <w:r w:rsidRPr="00C75B90">
        <w:rPr>
          <w:rFonts w:ascii="Times New Roman" w:hAnsi="Times New Roman" w:cs="Times New Roman"/>
          <w:i/>
          <w:iCs/>
          <w:sz w:val="24"/>
          <w:szCs w:val="24"/>
        </w:rPr>
        <w:t>predetto</w:t>
      </w:r>
      <w:proofErr w:type="gramEnd"/>
      <w:r w:rsidRPr="00C75B90">
        <w:rPr>
          <w:rFonts w:ascii="Times New Roman" w:hAnsi="Times New Roman" w:cs="Times New Roman"/>
          <w:i/>
          <w:iCs/>
          <w:sz w:val="24"/>
          <w:szCs w:val="24"/>
        </w:rPr>
        <w:t xml:space="preserve"> comma.</w:t>
      </w:r>
    </w:p>
    <w:p w14:paraId="6324C6FB" w14:textId="77777777" w:rsidR="000463A6" w:rsidRPr="00C75B90" w:rsidRDefault="000463A6" w:rsidP="00C75B90">
      <w:pPr>
        <w:pStyle w:val="Testonotaapidipagina"/>
        <w:jc w:val="both"/>
        <w:rPr>
          <w:rFonts w:ascii="Times New Roman" w:hAnsi="Times New Roman" w:cs="Times New Roman"/>
          <w:i/>
          <w:iCs/>
          <w:sz w:val="24"/>
          <w:szCs w:val="24"/>
        </w:rPr>
      </w:pPr>
      <w:r w:rsidRPr="00C75B90">
        <w:rPr>
          <w:rFonts w:ascii="Times New Roman" w:hAnsi="Times New Roman" w:cs="Times New Roman"/>
          <w:i/>
          <w:iCs/>
          <w:sz w:val="24"/>
          <w:szCs w:val="24"/>
        </w:rPr>
        <w:t>4. L’interessato ha in ogni momento il diritto di revocare o modificare il divieto di cui ai commi 2 e 3.</w:t>
      </w:r>
    </w:p>
    <w:p w14:paraId="204D59DD" w14:textId="3A586AFD" w:rsidR="000463A6" w:rsidRDefault="000463A6" w:rsidP="00C75B90">
      <w:pPr>
        <w:pStyle w:val="Testonotaapidipagina"/>
        <w:jc w:val="both"/>
      </w:pPr>
      <w:r w:rsidRPr="00C75B90">
        <w:rPr>
          <w:rFonts w:ascii="Times New Roman" w:hAnsi="Times New Roman" w:cs="Times New Roman"/>
          <w:i/>
          <w:iCs/>
          <w:sz w:val="24"/>
          <w:szCs w:val="24"/>
        </w:rPr>
        <w:t>5. In ogni caso, il divieto non può produrre effetti pregiudizievoli per l’esercizio da parte dei terzi dei diritti patrimoniali che derivano dalla morte dell’interessato nonché del diritto di difendere in giudizio i propri interessi.</w:t>
      </w:r>
      <w:r w:rsidRPr="00C75B90">
        <w:rPr>
          <w:rFonts w:ascii="Times New Roman" w:hAnsi="Times New Roman" w:cs="Times New Roman"/>
          <w:sz w:val="24"/>
          <w:szCs w:val="24"/>
        </w:rPr>
        <w:t>”</w:t>
      </w:r>
    </w:p>
  </w:footnote>
  <w:footnote w:id="236">
    <w:p w14:paraId="76483A82" w14:textId="2261730B" w:rsidR="000463A6" w:rsidRPr="00C75B90" w:rsidRDefault="000463A6" w:rsidP="008A1E58">
      <w:pPr>
        <w:pStyle w:val="Testonotaapidipagina"/>
        <w:jc w:val="both"/>
        <w:rPr>
          <w:rFonts w:ascii="Times New Roman" w:hAnsi="Times New Roman" w:cs="Times New Roman"/>
          <w:sz w:val="24"/>
          <w:szCs w:val="24"/>
        </w:rPr>
      </w:pPr>
      <w:r w:rsidRPr="00C75B90">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Pr="008A1E58">
        <w:rPr>
          <w:rFonts w:ascii="Times New Roman" w:hAnsi="Times New Roman" w:cs="Times New Roman"/>
          <w:sz w:val="24"/>
          <w:szCs w:val="24"/>
        </w:rPr>
        <w:t xml:space="preserve">Tribunale </w:t>
      </w:r>
      <w:r>
        <w:rPr>
          <w:rFonts w:ascii="Times New Roman" w:hAnsi="Times New Roman" w:cs="Times New Roman"/>
          <w:sz w:val="24"/>
          <w:szCs w:val="24"/>
        </w:rPr>
        <w:t xml:space="preserve">di </w:t>
      </w:r>
      <w:r w:rsidRPr="008A1E58">
        <w:rPr>
          <w:rFonts w:ascii="Times New Roman" w:hAnsi="Times New Roman" w:cs="Times New Roman"/>
          <w:sz w:val="24"/>
          <w:szCs w:val="24"/>
        </w:rPr>
        <w:t>Milano</w:t>
      </w:r>
      <w:r>
        <w:rPr>
          <w:rFonts w:ascii="Times New Roman" w:hAnsi="Times New Roman" w:cs="Times New Roman"/>
          <w:sz w:val="24"/>
          <w:szCs w:val="24"/>
        </w:rPr>
        <w:t xml:space="preserve">, </w:t>
      </w:r>
      <w:r w:rsidRPr="008A1E58">
        <w:rPr>
          <w:rFonts w:ascii="Times New Roman" w:hAnsi="Times New Roman" w:cs="Times New Roman"/>
          <w:sz w:val="24"/>
          <w:szCs w:val="24"/>
        </w:rPr>
        <w:t>sez. I, 09/02/2021</w:t>
      </w:r>
      <w:r>
        <w:rPr>
          <w:rFonts w:ascii="Times New Roman" w:hAnsi="Times New Roman" w:cs="Times New Roman"/>
          <w:sz w:val="24"/>
          <w:szCs w:val="24"/>
        </w:rPr>
        <w:t xml:space="preserve">, disponibile su </w:t>
      </w:r>
      <w:r w:rsidRPr="00D95542">
        <w:rPr>
          <w:rFonts w:ascii="Times New Roman" w:hAnsi="Times New Roman" w:cs="Times New Roman"/>
          <w:i/>
          <w:iCs/>
          <w:sz w:val="24"/>
          <w:szCs w:val="24"/>
        </w:rPr>
        <w:t>dejure.it</w:t>
      </w:r>
      <w:r>
        <w:rPr>
          <w:rFonts w:ascii="Times New Roman" w:hAnsi="Times New Roman" w:cs="Times New Roman"/>
          <w:sz w:val="24"/>
          <w:szCs w:val="24"/>
        </w:rPr>
        <w:t>; v. nota a sentenza di S</w:t>
      </w:r>
      <w:r w:rsidRPr="00161ADA">
        <w:rPr>
          <w:rFonts w:ascii="Times New Roman" w:hAnsi="Times New Roman" w:cs="Times New Roman"/>
          <w:smallCaps/>
          <w:sz w:val="24"/>
          <w:szCs w:val="24"/>
        </w:rPr>
        <w:t>. Ciardo</w:t>
      </w:r>
      <w:r>
        <w:rPr>
          <w:rFonts w:ascii="Times New Roman" w:hAnsi="Times New Roman" w:cs="Times New Roman"/>
          <w:sz w:val="24"/>
          <w:szCs w:val="24"/>
        </w:rPr>
        <w:t>, “</w:t>
      </w:r>
      <w:r w:rsidRPr="00161ADA">
        <w:rPr>
          <w:rFonts w:ascii="Times New Roman" w:hAnsi="Times New Roman" w:cs="Times New Roman"/>
          <w:i/>
          <w:iCs/>
          <w:sz w:val="24"/>
          <w:szCs w:val="24"/>
        </w:rPr>
        <w:t>Privacy e tutela dei dati personali memorizzati nell’account della persona deceduta</w:t>
      </w:r>
      <w:r>
        <w:rPr>
          <w:rFonts w:ascii="Times New Roman" w:hAnsi="Times New Roman" w:cs="Times New Roman"/>
          <w:sz w:val="24"/>
          <w:szCs w:val="24"/>
        </w:rPr>
        <w:t xml:space="preserve">”, su </w:t>
      </w:r>
      <w:r w:rsidRPr="008A1E58">
        <w:rPr>
          <w:rFonts w:ascii="Times New Roman" w:hAnsi="Times New Roman" w:cs="Times New Roman"/>
          <w:i/>
          <w:iCs/>
          <w:sz w:val="24"/>
          <w:szCs w:val="24"/>
        </w:rPr>
        <w:t>Ridare.it</w:t>
      </w:r>
      <w:r>
        <w:rPr>
          <w:rFonts w:ascii="Times New Roman" w:hAnsi="Times New Roman" w:cs="Times New Roman"/>
          <w:sz w:val="24"/>
          <w:szCs w:val="24"/>
        </w:rPr>
        <w:t>,</w:t>
      </w:r>
      <w:r w:rsidRPr="008A1E58">
        <w:rPr>
          <w:rFonts w:ascii="Times New Roman" w:hAnsi="Times New Roman" w:cs="Times New Roman"/>
          <w:sz w:val="24"/>
          <w:szCs w:val="24"/>
        </w:rPr>
        <w:t xml:space="preserve"> 20 </w:t>
      </w:r>
      <w:r>
        <w:rPr>
          <w:rFonts w:ascii="Times New Roman" w:hAnsi="Times New Roman" w:cs="Times New Roman"/>
          <w:sz w:val="24"/>
          <w:szCs w:val="24"/>
        </w:rPr>
        <w:t>aprile</w:t>
      </w:r>
      <w:r w:rsidRPr="008A1E58">
        <w:rPr>
          <w:rFonts w:ascii="Times New Roman" w:hAnsi="Times New Roman" w:cs="Times New Roman"/>
          <w:sz w:val="24"/>
          <w:szCs w:val="24"/>
        </w:rPr>
        <w:t xml:space="preserve"> 2021</w:t>
      </w:r>
      <w:r>
        <w:rPr>
          <w:rFonts w:ascii="Times New Roman" w:hAnsi="Times New Roman" w:cs="Times New Roman"/>
          <w:sz w:val="24"/>
          <w:szCs w:val="24"/>
        </w:rPr>
        <w:t>.</w:t>
      </w:r>
    </w:p>
  </w:footnote>
  <w:footnote w:id="237">
    <w:p w14:paraId="2AFB594C" w14:textId="51B4444A" w:rsidR="000463A6" w:rsidRPr="00DA47FC" w:rsidRDefault="000463A6" w:rsidP="00DA47FC">
      <w:pPr>
        <w:pStyle w:val="Testonotaapidipagina"/>
        <w:jc w:val="both"/>
        <w:rPr>
          <w:rFonts w:ascii="Times New Roman" w:hAnsi="Times New Roman" w:cs="Times New Roman"/>
          <w:sz w:val="24"/>
          <w:szCs w:val="24"/>
          <w:lang w:val="en-US"/>
        </w:rPr>
      </w:pPr>
      <w:r w:rsidRPr="00DA47FC">
        <w:rPr>
          <w:rStyle w:val="Rimandonotaapidipagina"/>
          <w:rFonts w:ascii="Times New Roman" w:hAnsi="Times New Roman" w:cs="Times New Roman"/>
          <w:sz w:val="24"/>
          <w:szCs w:val="24"/>
        </w:rPr>
        <w:footnoteRef/>
      </w:r>
      <w:r w:rsidRPr="00DA47FC">
        <w:rPr>
          <w:rFonts w:ascii="Times New Roman" w:hAnsi="Times New Roman" w:cs="Times New Roman"/>
          <w:sz w:val="24"/>
          <w:szCs w:val="24"/>
        </w:rPr>
        <w:t xml:space="preserve"> Sul tema </w:t>
      </w:r>
      <w:r>
        <w:rPr>
          <w:rFonts w:ascii="Times New Roman" w:hAnsi="Times New Roman" w:cs="Times New Roman"/>
          <w:sz w:val="24"/>
          <w:szCs w:val="24"/>
        </w:rPr>
        <w:t xml:space="preserve">v. </w:t>
      </w:r>
      <w:r w:rsidRPr="00DA47FC">
        <w:rPr>
          <w:rFonts w:ascii="Times New Roman" w:hAnsi="Times New Roman" w:cs="Times New Roman"/>
          <w:smallCaps/>
          <w:sz w:val="24"/>
          <w:szCs w:val="24"/>
        </w:rPr>
        <w:t>G. M. Caletti</w:t>
      </w:r>
      <w:r w:rsidRPr="00DA47FC">
        <w:rPr>
          <w:rFonts w:ascii="Times New Roman" w:hAnsi="Times New Roman" w:cs="Times New Roman"/>
          <w:sz w:val="24"/>
          <w:szCs w:val="24"/>
        </w:rPr>
        <w:t xml:space="preserve">, </w:t>
      </w:r>
      <w:r>
        <w:rPr>
          <w:rFonts w:ascii="Times New Roman" w:hAnsi="Times New Roman" w:cs="Times New Roman"/>
          <w:sz w:val="24"/>
          <w:szCs w:val="24"/>
        </w:rPr>
        <w:t>“</w:t>
      </w:r>
      <w:r w:rsidRPr="00DA47FC">
        <w:rPr>
          <w:rFonts w:ascii="Times New Roman" w:hAnsi="Times New Roman" w:cs="Times New Roman"/>
          <w:i/>
          <w:iCs/>
          <w:sz w:val="24"/>
          <w:szCs w:val="24"/>
        </w:rPr>
        <w:t xml:space="preserve">Revenge </w:t>
      </w:r>
      <w:proofErr w:type="spellStart"/>
      <w:r w:rsidRPr="00DA47FC">
        <w:rPr>
          <w:rFonts w:ascii="Times New Roman" w:hAnsi="Times New Roman" w:cs="Times New Roman"/>
          <w:i/>
          <w:iCs/>
          <w:sz w:val="24"/>
          <w:szCs w:val="24"/>
        </w:rPr>
        <w:t>porn</w:t>
      </w:r>
      <w:proofErr w:type="spellEnd"/>
      <w:r w:rsidRPr="00DA47FC">
        <w:rPr>
          <w:rFonts w:ascii="Times New Roman" w:hAnsi="Times New Roman" w:cs="Times New Roman"/>
          <w:i/>
          <w:iCs/>
          <w:sz w:val="24"/>
          <w:szCs w:val="24"/>
        </w:rPr>
        <w:t xml:space="preserve"> e tutela penale. </w:t>
      </w:r>
      <w:r w:rsidRPr="00BF617A">
        <w:rPr>
          <w:rFonts w:ascii="Times New Roman" w:hAnsi="Times New Roman" w:cs="Times New Roman"/>
          <w:i/>
          <w:iCs/>
          <w:sz w:val="24"/>
          <w:szCs w:val="24"/>
          <w:lang w:val="en-US"/>
        </w:rPr>
        <w:t xml:space="preserve">Prime </w:t>
      </w:r>
      <w:proofErr w:type="spellStart"/>
      <w:r w:rsidRPr="00BF617A">
        <w:rPr>
          <w:rFonts w:ascii="Times New Roman" w:hAnsi="Times New Roman" w:cs="Times New Roman"/>
          <w:i/>
          <w:iCs/>
          <w:sz w:val="24"/>
          <w:szCs w:val="24"/>
          <w:lang w:val="en-US"/>
        </w:rPr>
        <w:t>riflessioni</w:t>
      </w:r>
      <w:proofErr w:type="spellEnd"/>
      <w:r w:rsidRPr="00BF617A">
        <w:rPr>
          <w:rFonts w:ascii="Times New Roman" w:hAnsi="Times New Roman" w:cs="Times New Roman"/>
          <w:i/>
          <w:iCs/>
          <w:sz w:val="24"/>
          <w:szCs w:val="24"/>
          <w:lang w:val="en-US"/>
        </w:rPr>
        <w:t xml:space="preserve"> </w:t>
      </w:r>
      <w:proofErr w:type="spellStart"/>
      <w:r w:rsidRPr="00BF617A">
        <w:rPr>
          <w:rFonts w:ascii="Times New Roman" w:hAnsi="Times New Roman" w:cs="Times New Roman"/>
          <w:i/>
          <w:iCs/>
          <w:sz w:val="24"/>
          <w:szCs w:val="24"/>
          <w:lang w:val="en-US"/>
        </w:rPr>
        <w:t>sulla</w:t>
      </w:r>
      <w:proofErr w:type="spellEnd"/>
      <w:r w:rsidRPr="00BF617A">
        <w:rPr>
          <w:rFonts w:ascii="Times New Roman" w:hAnsi="Times New Roman" w:cs="Times New Roman"/>
          <w:i/>
          <w:iCs/>
          <w:sz w:val="24"/>
          <w:szCs w:val="24"/>
          <w:lang w:val="en-US"/>
        </w:rPr>
        <w:t xml:space="preserve"> </w:t>
      </w:r>
      <w:proofErr w:type="spellStart"/>
      <w:r w:rsidRPr="00BF617A">
        <w:rPr>
          <w:rFonts w:ascii="Times New Roman" w:hAnsi="Times New Roman" w:cs="Times New Roman"/>
          <w:i/>
          <w:iCs/>
          <w:sz w:val="24"/>
          <w:szCs w:val="24"/>
          <w:lang w:val="en-US"/>
        </w:rPr>
        <w:t>criminalizzazione</w:t>
      </w:r>
      <w:proofErr w:type="spellEnd"/>
      <w:r w:rsidRPr="00BF617A">
        <w:rPr>
          <w:rFonts w:ascii="Times New Roman" w:hAnsi="Times New Roman" w:cs="Times New Roman"/>
          <w:i/>
          <w:iCs/>
          <w:sz w:val="24"/>
          <w:szCs w:val="24"/>
          <w:lang w:val="en-US"/>
        </w:rPr>
        <w:t xml:space="preserve"> </w:t>
      </w:r>
      <w:proofErr w:type="spellStart"/>
      <w:r w:rsidRPr="00BF617A">
        <w:rPr>
          <w:rFonts w:ascii="Times New Roman" w:hAnsi="Times New Roman" w:cs="Times New Roman"/>
          <w:i/>
          <w:iCs/>
          <w:sz w:val="24"/>
          <w:szCs w:val="24"/>
          <w:lang w:val="en-US"/>
        </w:rPr>
        <w:t>specifica</w:t>
      </w:r>
      <w:proofErr w:type="spellEnd"/>
      <w:r w:rsidRPr="00BF617A">
        <w:rPr>
          <w:rFonts w:ascii="Times New Roman" w:hAnsi="Times New Roman" w:cs="Times New Roman"/>
          <w:i/>
          <w:iCs/>
          <w:sz w:val="24"/>
          <w:szCs w:val="24"/>
          <w:lang w:val="en-US"/>
        </w:rPr>
        <w:t xml:space="preserve"> </w:t>
      </w:r>
      <w:proofErr w:type="spellStart"/>
      <w:r w:rsidRPr="00BF617A">
        <w:rPr>
          <w:rFonts w:ascii="Times New Roman" w:hAnsi="Times New Roman" w:cs="Times New Roman"/>
          <w:i/>
          <w:iCs/>
          <w:sz w:val="24"/>
          <w:szCs w:val="24"/>
          <w:lang w:val="en-US"/>
        </w:rPr>
        <w:t>della</w:t>
      </w:r>
      <w:proofErr w:type="spellEnd"/>
      <w:r w:rsidRPr="00BF617A">
        <w:rPr>
          <w:rFonts w:ascii="Times New Roman" w:hAnsi="Times New Roman" w:cs="Times New Roman"/>
          <w:i/>
          <w:iCs/>
          <w:sz w:val="24"/>
          <w:szCs w:val="24"/>
          <w:lang w:val="en-US"/>
        </w:rPr>
        <w:t xml:space="preserve"> </w:t>
      </w:r>
      <w:proofErr w:type="spellStart"/>
      <w:r w:rsidRPr="00BF617A">
        <w:rPr>
          <w:rFonts w:ascii="Times New Roman" w:hAnsi="Times New Roman" w:cs="Times New Roman"/>
          <w:i/>
          <w:iCs/>
          <w:sz w:val="24"/>
          <w:szCs w:val="24"/>
          <w:lang w:val="en-US"/>
        </w:rPr>
        <w:t>pornografia</w:t>
      </w:r>
      <w:proofErr w:type="spellEnd"/>
      <w:r w:rsidRPr="00BF617A">
        <w:rPr>
          <w:rFonts w:ascii="Times New Roman" w:hAnsi="Times New Roman" w:cs="Times New Roman"/>
          <w:i/>
          <w:iCs/>
          <w:sz w:val="24"/>
          <w:szCs w:val="24"/>
          <w:lang w:val="en-US"/>
        </w:rPr>
        <w:t xml:space="preserve"> non </w:t>
      </w:r>
      <w:proofErr w:type="spellStart"/>
      <w:r w:rsidRPr="00BF617A">
        <w:rPr>
          <w:rFonts w:ascii="Times New Roman" w:hAnsi="Times New Roman" w:cs="Times New Roman"/>
          <w:i/>
          <w:iCs/>
          <w:sz w:val="24"/>
          <w:szCs w:val="24"/>
          <w:lang w:val="en-US"/>
        </w:rPr>
        <w:t>consensuale</w:t>
      </w:r>
      <w:proofErr w:type="spellEnd"/>
      <w:r w:rsidRPr="00BF617A">
        <w:rPr>
          <w:rFonts w:ascii="Times New Roman" w:hAnsi="Times New Roman" w:cs="Times New Roman"/>
          <w:i/>
          <w:iCs/>
          <w:sz w:val="24"/>
          <w:szCs w:val="24"/>
          <w:lang w:val="en-US"/>
        </w:rPr>
        <w:t xml:space="preserve"> </w:t>
      </w:r>
      <w:proofErr w:type="spellStart"/>
      <w:r w:rsidRPr="00BF617A">
        <w:rPr>
          <w:rFonts w:ascii="Times New Roman" w:hAnsi="Times New Roman" w:cs="Times New Roman"/>
          <w:i/>
          <w:iCs/>
          <w:sz w:val="24"/>
          <w:szCs w:val="24"/>
          <w:lang w:val="en-US"/>
        </w:rPr>
        <w:t>alla</w:t>
      </w:r>
      <w:proofErr w:type="spellEnd"/>
      <w:r w:rsidRPr="00BF617A">
        <w:rPr>
          <w:rFonts w:ascii="Times New Roman" w:hAnsi="Times New Roman" w:cs="Times New Roman"/>
          <w:i/>
          <w:iCs/>
          <w:sz w:val="24"/>
          <w:szCs w:val="24"/>
          <w:lang w:val="en-US"/>
        </w:rPr>
        <w:t xml:space="preserve"> luce </w:t>
      </w:r>
      <w:proofErr w:type="spellStart"/>
      <w:r w:rsidRPr="00BF617A">
        <w:rPr>
          <w:rFonts w:ascii="Times New Roman" w:hAnsi="Times New Roman" w:cs="Times New Roman"/>
          <w:i/>
          <w:iCs/>
          <w:sz w:val="24"/>
          <w:szCs w:val="24"/>
          <w:lang w:val="en-US"/>
        </w:rPr>
        <w:t>delle</w:t>
      </w:r>
      <w:proofErr w:type="spellEnd"/>
      <w:r w:rsidRPr="00BF617A">
        <w:rPr>
          <w:rFonts w:ascii="Times New Roman" w:hAnsi="Times New Roman" w:cs="Times New Roman"/>
          <w:i/>
          <w:iCs/>
          <w:sz w:val="24"/>
          <w:szCs w:val="24"/>
          <w:lang w:val="en-US"/>
        </w:rPr>
        <w:t xml:space="preserve"> </w:t>
      </w:r>
      <w:proofErr w:type="spellStart"/>
      <w:r w:rsidRPr="00BF617A">
        <w:rPr>
          <w:rFonts w:ascii="Times New Roman" w:hAnsi="Times New Roman" w:cs="Times New Roman"/>
          <w:i/>
          <w:iCs/>
          <w:sz w:val="24"/>
          <w:szCs w:val="24"/>
          <w:lang w:val="en-US"/>
        </w:rPr>
        <w:t>esperienze</w:t>
      </w:r>
      <w:proofErr w:type="spellEnd"/>
      <w:r w:rsidRPr="00BF617A">
        <w:rPr>
          <w:rFonts w:ascii="Times New Roman" w:hAnsi="Times New Roman" w:cs="Times New Roman"/>
          <w:i/>
          <w:iCs/>
          <w:sz w:val="24"/>
          <w:szCs w:val="24"/>
          <w:lang w:val="en-US"/>
        </w:rPr>
        <w:t xml:space="preserve"> </w:t>
      </w:r>
      <w:proofErr w:type="spellStart"/>
      <w:r w:rsidRPr="00BF617A">
        <w:rPr>
          <w:rFonts w:ascii="Times New Roman" w:hAnsi="Times New Roman" w:cs="Times New Roman"/>
          <w:i/>
          <w:iCs/>
          <w:sz w:val="24"/>
          <w:szCs w:val="24"/>
          <w:lang w:val="en-US"/>
        </w:rPr>
        <w:t>angloamericane</w:t>
      </w:r>
      <w:proofErr w:type="spellEnd"/>
      <w:r w:rsidRPr="00BF617A">
        <w:rPr>
          <w:rFonts w:ascii="Times New Roman" w:hAnsi="Times New Roman" w:cs="Times New Roman"/>
          <w:sz w:val="24"/>
          <w:szCs w:val="24"/>
          <w:lang w:val="en-US"/>
        </w:rPr>
        <w:t xml:space="preserve">”, in </w:t>
      </w:r>
      <w:proofErr w:type="spellStart"/>
      <w:r w:rsidRPr="00BF617A">
        <w:rPr>
          <w:rFonts w:ascii="Times New Roman" w:hAnsi="Times New Roman" w:cs="Times New Roman"/>
          <w:i/>
          <w:iCs/>
          <w:sz w:val="24"/>
          <w:szCs w:val="24"/>
          <w:lang w:val="en-US"/>
        </w:rPr>
        <w:t>DirPenCont</w:t>
      </w:r>
      <w:proofErr w:type="spellEnd"/>
      <w:r w:rsidRPr="00BF617A">
        <w:rPr>
          <w:rFonts w:ascii="Times New Roman" w:hAnsi="Times New Roman" w:cs="Times New Roman"/>
          <w:sz w:val="24"/>
          <w:szCs w:val="24"/>
          <w:lang w:val="en-US"/>
        </w:rPr>
        <w:t xml:space="preserve"> 2018, 65 ss.; </w:t>
      </w:r>
      <w:r w:rsidRPr="00BF617A">
        <w:rPr>
          <w:rFonts w:ascii="Times New Roman" w:hAnsi="Times New Roman" w:cs="Times New Roman"/>
          <w:smallCaps/>
          <w:sz w:val="24"/>
          <w:szCs w:val="24"/>
          <w:lang w:val="en-US"/>
        </w:rPr>
        <w:t>D. Citron – K. Franks</w:t>
      </w:r>
      <w:r w:rsidRPr="00BF617A">
        <w:rPr>
          <w:rFonts w:ascii="Times New Roman" w:hAnsi="Times New Roman" w:cs="Times New Roman"/>
          <w:sz w:val="24"/>
          <w:szCs w:val="24"/>
          <w:lang w:val="en-US"/>
        </w:rPr>
        <w:t>, “</w:t>
      </w:r>
      <w:r w:rsidRPr="00BF617A">
        <w:rPr>
          <w:rFonts w:ascii="Times New Roman" w:hAnsi="Times New Roman" w:cs="Times New Roman"/>
          <w:i/>
          <w:iCs/>
          <w:sz w:val="24"/>
          <w:szCs w:val="24"/>
          <w:lang w:val="en-US"/>
        </w:rPr>
        <w:t>Criminalizing Revenge Porn</w:t>
      </w:r>
      <w:r w:rsidRPr="00BF617A">
        <w:rPr>
          <w:rFonts w:ascii="Times New Roman" w:hAnsi="Times New Roman" w:cs="Times New Roman"/>
          <w:sz w:val="24"/>
          <w:szCs w:val="24"/>
          <w:lang w:val="en-US"/>
        </w:rPr>
        <w:t xml:space="preserve">”, in </w:t>
      </w:r>
      <w:r w:rsidRPr="00BF617A">
        <w:rPr>
          <w:rFonts w:ascii="Times New Roman" w:hAnsi="Times New Roman" w:cs="Times New Roman"/>
          <w:i/>
          <w:iCs/>
          <w:sz w:val="24"/>
          <w:szCs w:val="24"/>
          <w:lang w:val="en-US"/>
        </w:rPr>
        <w:t>Wake Forest Law Review</w:t>
      </w:r>
      <w:r w:rsidRPr="00BF617A">
        <w:rPr>
          <w:rFonts w:ascii="Times New Roman" w:hAnsi="Times New Roman" w:cs="Times New Roman"/>
          <w:sz w:val="24"/>
          <w:szCs w:val="24"/>
          <w:lang w:val="en-US"/>
        </w:rPr>
        <w:t>, 2014, 347;</w:t>
      </w:r>
      <w:r>
        <w:rPr>
          <w:rFonts w:ascii="Times New Roman" w:hAnsi="Times New Roman" w:cs="Times New Roman"/>
          <w:sz w:val="24"/>
          <w:szCs w:val="24"/>
          <w:lang w:val="en-US"/>
        </w:rPr>
        <w:t xml:space="preserve"> </w:t>
      </w:r>
      <w:r w:rsidRPr="00BF617A">
        <w:rPr>
          <w:rFonts w:ascii="Times New Roman" w:hAnsi="Times New Roman" w:cs="Times New Roman"/>
          <w:smallCaps/>
          <w:sz w:val="24"/>
          <w:szCs w:val="24"/>
          <w:lang w:val="en-US"/>
        </w:rPr>
        <w:t>M. Kamal – W. Newman</w:t>
      </w:r>
      <w:r w:rsidRPr="00DA47F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F617A">
        <w:rPr>
          <w:rFonts w:ascii="Times New Roman" w:hAnsi="Times New Roman" w:cs="Times New Roman"/>
          <w:i/>
          <w:iCs/>
          <w:sz w:val="24"/>
          <w:szCs w:val="24"/>
          <w:lang w:val="en-US"/>
        </w:rPr>
        <w:t>Revenge Pornography: Mental Health Implications and Related Legislation</w:t>
      </w:r>
      <w:r>
        <w:rPr>
          <w:rFonts w:ascii="Times New Roman" w:hAnsi="Times New Roman" w:cs="Times New Roman"/>
          <w:sz w:val="24"/>
          <w:szCs w:val="24"/>
          <w:lang w:val="en-US"/>
        </w:rPr>
        <w:t>”</w:t>
      </w:r>
      <w:r w:rsidRPr="00DA47FC">
        <w:rPr>
          <w:rFonts w:ascii="Times New Roman" w:hAnsi="Times New Roman" w:cs="Times New Roman"/>
          <w:sz w:val="24"/>
          <w:szCs w:val="24"/>
          <w:lang w:val="en-US"/>
        </w:rPr>
        <w:t xml:space="preserve">, in </w:t>
      </w:r>
      <w:r w:rsidRPr="00BF617A">
        <w:rPr>
          <w:rFonts w:ascii="Times New Roman" w:hAnsi="Times New Roman" w:cs="Times New Roman"/>
          <w:i/>
          <w:iCs/>
          <w:sz w:val="24"/>
          <w:szCs w:val="24"/>
          <w:lang w:val="en-US"/>
        </w:rPr>
        <w:t>The Journal of American Academy of Psychiatry and the Law</w:t>
      </w:r>
      <w:r>
        <w:rPr>
          <w:rFonts w:ascii="Times New Roman" w:hAnsi="Times New Roman" w:cs="Times New Roman"/>
          <w:i/>
          <w:iCs/>
          <w:sz w:val="24"/>
          <w:szCs w:val="24"/>
          <w:lang w:val="en-US"/>
        </w:rPr>
        <w:t>,</w:t>
      </w:r>
      <w:r w:rsidRPr="00DA47FC">
        <w:rPr>
          <w:rFonts w:ascii="Times New Roman" w:hAnsi="Times New Roman" w:cs="Times New Roman"/>
          <w:sz w:val="24"/>
          <w:szCs w:val="24"/>
          <w:lang w:val="en-US"/>
        </w:rPr>
        <w:t xml:space="preserve"> 2016, 362 ss</w:t>
      </w:r>
      <w:r>
        <w:rPr>
          <w:rFonts w:ascii="Times New Roman" w:hAnsi="Times New Roman" w:cs="Times New Roman"/>
          <w:sz w:val="24"/>
          <w:szCs w:val="24"/>
          <w:lang w:val="en-US"/>
        </w:rPr>
        <w:t xml:space="preserve">.; </w:t>
      </w:r>
      <w:r w:rsidRPr="00BF617A">
        <w:rPr>
          <w:rFonts w:ascii="Times New Roman" w:hAnsi="Times New Roman" w:cs="Times New Roman"/>
          <w:smallCaps/>
          <w:sz w:val="24"/>
          <w:szCs w:val="24"/>
          <w:lang w:val="en-US"/>
        </w:rPr>
        <w:t xml:space="preserve">B. </w:t>
      </w:r>
      <w:proofErr w:type="spellStart"/>
      <w:r w:rsidRPr="00BF617A">
        <w:rPr>
          <w:rFonts w:ascii="Times New Roman" w:hAnsi="Times New Roman" w:cs="Times New Roman"/>
          <w:smallCaps/>
          <w:sz w:val="24"/>
          <w:szCs w:val="24"/>
          <w:lang w:val="en-US"/>
        </w:rPr>
        <w:t>Sandywell</w:t>
      </w:r>
      <w:proofErr w:type="spellEnd"/>
      <w:r w:rsidRPr="00DA47F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F617A">
        <w:rPr>
          <w:rFonts w:ascii="Times New Roman" w:hAnsi="Times New Roman" w:cs="Times New Roman"/>
          <w:i/>
          <w:iCs/>
          <w:sz w:val="24"/>
          <w:szCs w:val="24"/>
          <w:lang w:val="en-US"/>
        </w:rPr>
        <w:t xml:space="preserve">On the </w:t>
      </w:r>
      <w:proofErr w:type="spellStart"/>
      <w:r w:rsidRPr="00BF617A">
        <w:rPr>
          <w:rFonts w:ascii="Times New Roman" w:hAnsi="Times New Roman" w:cs="Times New Roman"/>
          <w:i/>
          <w:iCs/>
          <w:sz w:val="24"/>
          <w:szCs w:val="24"/>
          <w:lang w:val="en-US"/>
        </w:rPr>
        <w:t>globalisation</w:t>
      </w:r>
      <w:proofErr w:type="spellEnd"/>
      <w:r w:rsidRPr="00BF617A">
        <w:rPr>
          <w:rFonts w:ascii="Times New Roman" w:hAnsi="Times New Roman" w:cs="Times New Roman"/>
          <w:i/>
          <w:iCs/>
          <w:sz w:val="24"/>
          <w:szCs w:val="24"/>
          <w:lang w:val="en-US"/>
        </w:rPr>
        <w:t xml:space="preserve"> of crime: The internet and the new criminality</w:t>
      </w:r>
      <w:r>
        <w:rPr>
          <w:rFonts w:ascii="Times New Roman" w:hAnsi="Times New Roman" w:cs="Times New Roman"/>
          <w:sz w:val="24"/>
          <w:szCs w:val="24"/>
          <w:lang w:val="en-US"/>
        </w:rPr>
        <w:t>”</w:t>
      </w:r>
      <w:r w:rsidRPr="00DA47FC">
        <w:rPr>
          <w:rFonts w:ascii="Times New Roman" w:hAnsi="Times New Roman" w:cs="Times New Roman"/>
          <w:sz w:val="24"/>
          <w:szCs w:val="24"/>
          <w:lang w:val="en-US"/>
        </w:rPr>
        <w:t xml:space="preserve">, in </w:t>
      </w:r>
      <w:r>
        <w:rPr>
          <w:rFonts w:ascii="Times New Roman" w:hAnsi="Times New Roman" w:cs="Times New Roman"/>
          <w:sz w:val="24"/>
          <w:szCs w:val="24"/>
          <w:lang w:val="en-US"/>
        </w:rPr>
        <w:t>“</w:t>
      </w:r>
      <w:r w:rsidRPr="00BF617A">
        <w:rPr>
          <w:rFonts w:ascii="Times New Roman" w:hAnsi="Times New Roman" w:cs="Times New Roman"/>
          <w:i/>
          <w:iCs/>
          <w:sz w:val="24"/>
          <w:szCs w:val="24"/>
          <w:lang w:val="en-US"/>
        </w:rPr>
        <w:t>Handbook of Internet Crime</w:t>
      </w:r>
      <w:r w:rsidRPr="00BF617A">
        <w:rPr>
          <w:rFonts w:ascii="Times New Roman" w:hAnsi="Times New Roman" w:cs="Times New Roman"/>
          <w:sz w:val="24"/>
          <w:szCs w:val="24"/>
          <w:lang w:val="en-US"/>
        </w:rPr>
        <w:t xml:space="preserve">”, </w:t>
      </w:r>
      <w:r w:rsidRPr="00DA47FC">
        <w:rPr>
          <w:rFonts w:ascii="Times New Roman" w:hAnsi="Times New Roman" w:cs="Times New Roman"/>
          <w:sz w:val="24"/>
          <w:szCs w:val="24"/>
          <w:lang w:val="en-US"/>
        </w:rPr>
        <w:t xml:space="preserve">a </w:t>
      </w:r>
      <w:proofErr w:type="spellStart"/>
      <w:r w:rsidRPr="00DA47FC">
        <w:rPr>
          <w:rFonts w:ascii="Times New Roman" w:hAnsi="Times New Roman" w:cs="Times New Roman"/>
          <w:sz w:val="24"/>
          <w:szCs w:val="24"/>
          <w:lang w:val="en-US"/>
        </w:rPr>
        <w:t>cura</w:t>
      </w:r>
      <w:proofErr w:type="spellEnd"/>
      <w:r w:rsidRPr="00DA47FC">
        <w:rPr>
          <w:rFonts w:ascii="Times New Roman" w:hAnsi="Times New Roman" w:cs="Times New Roman"/>
          <w:sz w:val="24"/>
          <w:szCs w:val="24"/>
          <w:lang w:val="en-US"/>
        </w:rPr>
        <w:t xml:space="preserve"> di </w:t>
      </w:r>
      <w:r w:rsidRPr="00BF617A">
        <w:rPr>
          <w:rFonts w:ascii="Times New Roman" w:hAnsi="Times New Roman" w:cs="Times New Roman"/>
          <w:smallCaps/>
          <w:sz w:val="24"/>
          <w:szCs w:val="24"/>
          <w:lang w:val="en-US"/>
        </w:rPr>
        <w:t xml:space="preserve">Y. </w:t>
      </w:r>
      <w:proofErr w:type="spellStart"/>
      <w:r w:rsidRPr="00BF617A">
        <w:rPr>
          <w:rFonts w:ascii="Times New Roman" w:hAnsi="Times New Roman" w:cs="Times New Roman"/>
          <w:smallCaps/>
          <w:sz w:val="24"/>
          <w:szCs w:val="24"/>
          <w:lang w:val="en-US"/>
        </w:rPr>
        <w:t>Jewkes</w:t>
      </w:r>
      <w:proofErr w:type="spellEnd"/>
      <w:r w:rsidRPr="00BF617A">
        <w:rPr>
          <w:rFonts w:ascii="Times New Roman" w:hAnsi="Times New Roman" w:cs="Times New Roman"/>
          <w:smallCaps/>
          <w:sz w:val="24"/>
          <w:szCs w:val="24"/>
          <w:lang w:val="en-US"/>
        </w:rPr>
        <w:t xml:space="preserve"> – M. Yar</w:t>
      </w:r>
      <w:r w:rsidRPr="00DA47FC">
        <w:rPr>
          <w:rFonts w:ascii="Times New Roman" w:hAnsi="Times New Roman" w:cs="Times New Roman"/>
          <w:sz w:val="24"/>
          <w:szCs w:val="24"/>
          <w:lang w:val="en-US"/>
        </w:rPr>
        <w:t>, Milton</w:t>
      </w:r>
      <w:r w:rsidR="00A329BA">
        <w:rPr>
          <w:rFonts w:ascii="Times New Roman" w:hAnsi="Times New Roman" w:cs="Times New Roman"/>
          <w:sz w:val="24"/>
          <w:szCs w:val="24"/>
          <w:lang w:val="en-US"/>
        </w:rPr>
        <w:t>,</w:t>
      </w:r>
      <w:r w:rsidRPr="00DA47FC">
        <w:rPr>
          <w:rFonts w:ascii="Times New Roman" w:hAnsi="Times New Roman" w:cs="Times New Roman"/>
          <w:sz w:val="24"/>
          <w:szCs w:val="24"/>
          <w:lang w:val="en-US"/>
        </w:rPr>
        <w:t xml:space="preserve"> 2010, 46, </w:t>
      </w:r>
      <w:proofErr w:type="spellStart"/>
      <w:r>
        <w:rPr>
          <w:rFonts w:ascii="Times New Roman" w:hAnsi="Times New Roman" w:cs="Times New Roman"/>
          <w:sz w:val="24"/>
          <w:szCs w:val="24"/>
          <w:lang w:val="en-US"/>
        </w:rPr>
        <w:t>che</w:t>
      </w:r>
      <w:proofErr w:type="spellEnd"/>
      <w:r w:rsidRPr="00DA47FC">
        <w:rPr>
          <w:rFonts w:ascii="Times New Roman" w:hAnsi="Times New Roman" w:cs="Times New Roman"/>
          <w:sz w:val="24"/>
          <w:szCs w:val="24"/>
          <w:lang w:val="en-US"/>
        </w:rPr>
        <w:t xml:space="preserve"> </w:t>
      </w:r>
      <w:proofErr w:type="spellStart"/>
      <w:r w:rsidRPr="00DA47FC">
        <w:rPr>
          <w:rFonts w:ascii="Times New Roman" w:hAnsi="Times New Roman" w:cs="Times New Roman"/>
          <w:sz w:val="24"/>
          <w:szCs w:val="24"/>
          <w:lang w:val="en-US"/>
        </w:rPr>
        <w:t>inserisce</w:t>
      </w:r>
      <w:proofErr w:type="spellEnd"/>
      <w:r w:rsidRPr="00DA47FC">
        <w:rPr>
          <w:rFonts w:ascii="Times New Roman" w:hAnsi="Times New Roman" w:cs="Times New Roman"/>
          <w:sz w:val="24"/>
          <w:szCs w:val="24"/>
          <w:lang w:val="en-US"/>
        </w:rPr>
        <w:t xml:space="preserve"> il “</w:t>
      </w:r>
      <w:r w:rsidRPr="00BF617A">
        <w:rPr>
          <w:rFonts w:ascii="Times New Roman" w:hAnsi="Times New Roman" w:cs="Times New Roman"/>
          <w:i/>
          <w:iCs/>
          <w:sz w:val="24"/>
          <w:szCs w:val="24"/>
          <w:lang w:val="en-US"/>
        </w:rPr>
        <w:t>revenge porn</w:t>
      </w:r>
      <w:r w:rsidRPr="00DA47F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all’interno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delle</w:t>
      </w:r>
      <w:proofErr w:type="spellEnd"/>
      <w:r w:rsidRPr="00DA47FC">
        <w:rPr>
          <w:rFonts w:ascii="Times New Roman" w:hAnsi="Times New Roman" w:cs="Times New Roman"/>
          <w:sz w:val="24"/>
          <w:szCs w:val="24"/>
          <w:lang w:val="en-US"/>
        </w:rPr>
        <w:t xml:space="preserve"> «</w:t>
      </w:r>
      <w:r w:rsidRPr="00BF617A">
        <w:rPr>
          <w:rFonts w:ascii="Times New Roman" w:hAnsi="Times New Roman" w:cs="Times New Roman"/>
          <w:i/>
          <w:iCs/>
          <w:sz w:val="24"/>
          <w:szCs w:val="24"/>
          <w:lang w:val="en-US"/>
        </w:rPr>
        <w:t xml:space="preserve">traditional criminal activities that are </w:t>
      </w:r>
      <w:proofErr w:type="spellStart"/>
      <w:r w:rsidRPr="00BF617A">
        <w:rPr>
          <w:rFonts w:ascii="Times New Roman" w:hAnsi="Times New Roman" w:cs="Times New Roman"/>
          <w:i/>
          <w:iCs/>
          <w:sz w:val="24"/>
          <w:szCs w:val="24"/>
          <w:lang w:val="en-US"/>
        </w:rPr>
        <w:t>generalised</w:t>
      </w:r>
      <w:proofErr w:type="spellEnd"/>
      <w:r w:rsidRPr="00BF617A">
        <w:rPr>
          <w:rFonts w:ascii="Times New Roman" w:hAnsi="Times New Roman" w:cs="Times New Roman"/>
          <w:i/>
          <w:iCs/>
          <w:sz w:val="24"/>
          <w:szCs w:val="24"/>
          <w:lang w:val="en-US"/>
        </w:rPr>
        <w:t xml:space="preserve"> and </w:t>
      </w:r>
      <w:proofErr w:type="spellStart"/>
      <w:r w:rsidRPr="00BF617A">
        <w:rPr>
          <w:rFonts w:ascii="Times New Roman" w:hAnsi="Times New Roman" w:cs="Times New Roman"/>
          <w:i/>
          <w:iCs/>
          <w:sz w:val="24"/>
          <w:szCs w:val="24"/>
          <w:lang w:val="en-US"/>
        </w:rPr>
        <w:t>radicalised</w:t>
      </w:r>
      <w:proofErr w:type="spellEnd"/>
      <w:r w:rsidRPr="00BF617A">
        <w:rPr>
          <w:rFonts w:ascii="Times New Roman" w:hAnsi="Times New Roman" w:cs="Times New Roman"/>
          <w:i/>
          <w:iCs/>
          <w:sz w:val="24"/>
          <w:szCs w:val="24"/>
          <w:lang w:val="en-US"/>
        </w:rPr>
        <w:t xml:space="preserve"> by the internet</w:t>
      </w:r>
      <w:r w:rsidRPr="00DA47FC">
        <w:rPr>
          <w:rFonts w:ascii="Times New Roman" w:hAnsi="Times New Roman" w:cs="Times New Roman"/>
          <w:sz w:val="24"/>
          <w:szCs w:val="24"/>
          <w:lang w:val="en-US"/>
        </w:rPr>
        <w:t>».</w:t>
      </w:r>
    </w:p>
  </w:footnote>
  <w:footnote w:id="238">
    <w:p w14:paraId="0DCD6AD8" w14:textId="0A627082" w:rsidR="000463A6" w:rsidRPr="00161ADA" w:rsidRDefault="000463A6" w:rsidP="00DA47FC">
      <w:pPr>
        <w:pStyle w:val="Testonotaapidipagina"/>
        <w:jc w:val="both"/>
        <w:rPr>
          <w:rFonts w:ascii="Times New Roman" w:hAnsi="Times New Roman" w:cs="Times New Roman"/>
          <w:sz w:val="24"/>
          <w:szCs w:val="24"/>
        </w:rPr>
      </w:pPr>
      <w:r w:rsidRPr="00DA47FC">
        <w:rPr>
          <w:rStyle w:val="Rimandonotaapidipagina"/>
          <w:rFonts w:ascii="Times New Roman" w:hAnsi="Times New Roman" w:cs="Times New Roman"/>
          <w:sz w:val="24"/>
          <w:szCs w:val="24"/>
        </w:rPr>
        <w:footnoteRef/>
      </w:r>
      <w:r w:rsidRPr="00DA47FC">
        <w:rPr>
          <w:rFonts w:ascii="Times New Roman" w:hAnsi="Times New Roman" w:cs="Times New Roman"/>
          <w:sz w:val="24"/>
          <w:szCs w:val="24"/>
        </w:rPr>
        <w:t xml:space="preserve"> </w:t>
      </w:r>
      <w:proofErr w:type="spellStart"/>
      <w:r w:rsidRPr="00DA47FC">
        <w:rPr>
          <w:rFonts w:ascii="Times New Roman" w:hAnsi="Times New Roman" w:cs="Times New Roman"/>
          <w:sz w:val="24"/>
          <w:szCs w:val="24"/>
        </w:rPr>
        <w:t>Cass</w:t>
      </w:r>
      <w:proofErr w:type="spellEnd"/>
      <w:r w:rsidRPr="00DA47FC">
        <w:rPr>
          <w:rFonts w:ascii="Times New Roman" w:hAnsi="Times New Roman" w:cs="Times New Roman"/>
          <w:sz w:val="24"/>
          <w:szCs w:val="24"/>
        </w:rPr>
        <w:t xml:space="preserve">. Pen., sez. V, 17/12/2020, n. 3050, disponibile su </w:t>
      </w:r>
      <w:r w:rsidRPr="00DA47FC">
        <w:rPr>
          <w:rFonts w:ascii="Times New Roman" w:hAnsi="Times New Roman" w:cs="Times New Roman"/>
          <w:i/>
          <w:iCs/>
          <w:sz w:val="24"/>
          <w:szCs w:val="24"/>
        </w:rPr>
        <w:t>dejure.it</w:t>
      </w:r>
      <w:r w:rsidRPr="00DA47FC">
        <w:rPr>
          <w:rFonts w:ascii="Times New Roman" w:hAnsi="Times New Roman" w:cs="Times New Roman"/>
          <w:sz w:val="24"/>
          <w:szCs w:val="24"/>
        </w:rPr>
        <w:t xml:space="preserve">; nota a sentenza di </w:t>
      </w:r>
      <w:r w:rsidRPr="00DA47FC">
        <w:rPr>
          <w:rFonts w:ascii="Times New Roman" w:hAnsi="Times New Roman" w:cs="Times New Roman"/>
          <w:smallCaps/>
          <w:sz w:val="24"/>
          <w:szCs w:val="24"/>
        </w:rPr>
        <w:t>F. Brizzi</w:t>
      </w:r>
      <w:r w:rsidRPr="00DA47FC">
        <w:rPr>
          <w:rFonts w:ascii="Times New Roman" w:hAnsi="Times New Roman" w:cs="Times New Roman"/>
          <w:sz w:val="24"/>
          <w:szCs w:val="24"/>
        </w:rPr>
        <w:t>, “</w:t>
      </w:r>
      <w:r w:rsidRPr="00DA47FC">
        <w:rPr>
          <w:rFonts w:ascii="Times New Roman" w:hAnsi="Times New Roman" w:cs="Times New Roman"/>
          <w:i/>
          <w:iCs/>
          <w:sz w:val="24"/>
          <w:szCs w:val="24"/>
        </w:rPr>
        <w:t xml:space="preserve">Diffusione illecita di immagini o video sessualmente espliciti: tra tutela della privacy e </w:t>
      </w:r>
      <w:proofErr w:type="spellStart"/>
      <w:r w:rsidRPr="00DA47FC">
        <w:rPr>
          <w:rFonts w:ascii="Times New Roman" w:hAnsi="Times New Roman" w:cs="Times New Roman"/>
          <w:i/>
          <w:iCs/>
          <w:sz w:val="24"/>
          <w:szCs w:val="24"/>
        </w:rPr>
        <w:t>revenge</w:t>
      </w:r>
      <w:proofErr w:type="spellEnd"/>
      <w:r w:rsidRPr="00DA47FC">
        <w:rPr>
          <w:rFonts w:ascii="Times New Roman" w:hAnsi="Times New Roman" w:cs="Times New Roman"/>
          <w:i/>
          <w:iCs/>
          <w:sz w:val="24"/>
          <w:szCs w:val="24"/>
        </w:rPr>
        <w:t xml:space="preserve"> </w:t>
      </w:r>
      <w:proofErr w:type="spellStart"/>
      <w:r w:rsidRPr="00DA47FC">
        <w:rPr>
          <w:rFonts w:ascii="Times New Roman" w:hAnsi="Times New Roman" w:cs="Times New Roman"/>
          <w:i/>
          <w:iCs/>
          <w:sz w:val="24"/>
          <w:szCs w:val="24"/>
        </w:rPr>
        <w:t>porn</w:t>
      </w:r>
      <w:proofErr w:type="spellEnd"/>
      <w:r w:rsidRPr="00DA47FC">
        <w:rPr>
          <w:rFonts w:ascii="Times New Roman" w:hAnsi="Times New Roman" w:cs="Times New Roman"/>
          <w:sz w:val="24"/>
          <w:szCs w:val="24"/>
        </w:rPr>
        <w:t xml:space="preserve">”, su </w:t>
      </w:r>
      <w:r w:rsidRPr="00DA47FC">
        <w:rPr>
          <w:rFonts w:ascii="Times New Roman" w:hAnsi="Times New Roman" w:cs="Times New Roman"/>
          <w:i/>
          <w:iCs/>
          <w:sz w:val="24"/>
          <w:szCs w:val="24"/>
        </w:rPr>
        <w:t>Ilpenalista.it</w:t>
      </w:r>
      <w:r w:rsidRPr="00DA47FC">
        <w:rPr>
          <w:rFonts w:ascii="Times New Roman" w:hAnsi="Times New Roman" w:cs="Times New Roman"/>
          <w:sz w:val="24"/>
          <w:szCs w:val="24"/>
        </w:rPr>
        <w:t xml:space="preserve">, 30 </w:t>
      </w:r>
      <w:proofErr w:type="gramStart"/>
      <w:r w:rsidRPr="00DA47FC">
        <w:rPr>
          <w:rFonts w:ascii="Times New Roman" w:hAnsi="Times New Roman" w:cs="Times New Roman"/>
          <w:sz w:val="24"/>
          <w:szCs w:val="24"/>
        </w:rPr>
        <w:t>Marzo</w:t>
      </w:r>
      <w:proofErr w:type="gramEnd"/>
      <w:r w:rsidRPr="00DA47FC">
        <w:rPr>
          <w:rFonts w:ascii="Times New Roman" w:hAnsi="Times New Roman" w:cs="Times New Roman"/>
          <w:sz w:val="24"/>
          <w:szCs w:val="24"/>
        </w:rPr>
        <w:t xml:space="preserve"> 2021.</w:t>
      </w:r>
    </w:p>
  </w:footnote>
  <w:footnote w:id="239">
    <w:p w14:paraId="162EDBF6" w14:textId="490672D7" w:rsidR="000463A6" w:rsidRPr="003F7D10" w:rsidRDefault="000463A6" w:rsidP="002D29DD">
      <w:pPr>
        <w:pStyle w:val="Testonotaapidipagina"/>
        <w:jc w:val="both"/>
        <w:rPr>
          <w:rFonts w:ascii="Times New Roman" w:hAnsi="Times New Roman" w:cs="Times New Roman"/>
          <w:sz w:val="24"/>
          <w:szCs w:val="24"/>
        </w:rPr>
      </w:pPr>
      <w:r w:rsidRPr="003F7D10">
        <w:rPr>
          <w:rStyle w:val="Rimandonotaapidipagina"/>
          <w:rFonts w:ascii="Times New Roman" w:hAnsi="Times New Roman" w:cs="Times New Roman"/>
          <w:sz w:val="24"/>
          <w:szCs w:val="24"/>
        </w:rPr>
        <w:footnoteRef/>
      </w:r>
      <w:r w:rsidRPr="003F7D10">
        <w:rPr>
          <w:rFonts w:ascii="Times New Roman" w:hAnsi="Times New Roman" w:cs="Times New Roman"/>
          <w:sz w:val="24"/>
          <w:szCs w:val="24"/>
        </w:rPr>
        <w:t xml:space="preserve"> </w:t>
      </w:r>
      <w:r w:rsidRPr="003F7D10">
        <w:rPr>
          <w:rFonts w:ascii="Times New Roman" w:hAnsi="Times New Roman" w:cs="Times New Roman"/>
          <w:smallCaps/>
          <w:sz w:val="24"/>
          <w:szCs w:val="24"/>
        </w:rPr>
        <w:t>G. Alpa</w:t>
      </w:r>
      <w:r w:rsidRPr="003F7D10">
        <w:rPr>
          <w:rFonts w:ascii="Times New Roman" w:hAnsi="Times New Roman" w:cs="Times New Roman"/>
          <w:sz w:val="24"/>
          <w:szCs w:val="24"/>
        </w:rPr>
        <w:t>, “</w:t>
      </w:r>
      <w:r w:rsidRPr="003F7D10">
        <w:rPr>
          <w:rFonts w:ascii="Times New Roman" w:hAnsi="Times New Roman" w:cs="Times New Roman"/>
          <w:i/>
          <w:iCs/>
          <w:sz w:val="24"/>
          <w:szCs w:val="24"/>
        </w:rPr>
        <w:t>Alle origini dei diritti della personalità</w:t>
      </w:r>
      <w:r w:rsidRPr="003F7D10">
        <w:rPr>
          <w:rFonts w:ascii="Times New Roman" w:hAnsi="Times New Roman" w:cs="Times New Roman"/>
          <w:sz w:val="24"/>
          <w:szCs w:val="24"/>
        </w:rPr>
        <w:t xml:space="preserve">”, in </w:t>
      </w:r>
      <w:proofErr w:type="spellStart"/>
      <w:r w:rsidRPr="003F7D10">
        <w:rPr>
          <w:rFonts w:ascii="Times New Roman" w:hAnsi="Times New Roman" w:cs="Times New Roman"/>
          <w:i/>
          <w:iCs/>
          <w:sz w:val="24"/>
          <w:szCs w:val="24"/>
        </w:rPr>
        <w:t>Riv</w:t>
      </w:r>
      <w:proofErr w:type="spellEnd"/>
      <w:r w:rsidRPr="003F7D10">
        <w:rPr>
          <w:rFonts w:ascii="Times New Roman" w:hAnsi="Times New Roman" w:cs="Times New Roman"/>
          <w:i/>
          <w:iCs/>
          <w:sz w:val="24"/>
          <w:szCs w:val="24"/>
        </w:rPr>
        <w:t xml:space="preserve">. Trim. di Dir. </w:t>
      </w:r>
      <w:proofErr w:type="spellStart"/>
      <w:r w:rsidRPr="003F7D10">
        <w:rPr>
          <w:rFonts w:ascii="Times New Roman" w:hAnsi="Times New Roman" w:cs="Times New Roman"/>
          <w:i/>
          <w:iCs/>
          <w:sz w:val="24"/>
          <w:szCs w:val="24"/>
        </w:rPr>
        <w:t>Proc</w:t>
      </w:r>
      <w:proofErr w:type="spellEnd"/>
      <w:r w:rsidRPr="003F7D10">
        <w:rPr>
          <w:rFonts w:ascii="Times New Roman" w:hAnsi="Times New Roman" w:cs="Times New Roman"/>
          <w:i/>
          <w:iCs/>
          <w:sz w:val="24"/>
          <w:szCs w:val="24"/>
        </w:rPr>
        <w:t xml:space="preserve">. </w:t>
      </w:r>
      <w:proofErr w:type="spellStart"/>
      <w:r w:rsidRPr="003F7D10">
        <w:rPr>
          <w:rFonts w:ascii="Times New Roman" w:hAnsi="Times New Roman" w:cs="Times New Roman"/>
          <w:i/>
          <w:iCs/>
          <w:sz w:val="24"/>
          <w:szCs w:val="24"/>
        </w:rPr>
        <w:t>Civ</w:t>
      </w:r>
      <w:proofErr w:type="spellEnd"/>
      <w:r w:rsidRPr="003F7D10">
        <w:rPr>
          <w:rFonts w:ascii="Times New Roman" w:hAnsi="Times New Roman" w:cs="Times New Roman"/>
          <w:sz w:val="24"/>
          <w:szCs w:val="24"/>
        </w:rPr>
        <w:t>., 3, 2021, p. 567.</w:t>
      </w:r>
    </w:p>
  </w:footnote>
  <w:footnote w:id="240">
    <w:p w14:paraId="4A1549DE" w14:textId="0FDAB36F" w:rsidR="000463A6" w:rsidRPr="003F7D10" w:rsidRDefault="000463A6" w:rsidP="002D29DD">
      <w:pPr>
        <w:pStyle w:val="Testonotaapidipagina"/>
        <w:jc w:val="both"/>
        <w:rPr>
          <w:rFonts w:ascii="Times New Roman" w:hAnsi="Times New Roman" w:cs="Times New Roman"/>
          <w:sz w:val="24"/>
          <w:szCs w:val="24"/>
        </w:rPr>
      </w:pPr>
      <w:r w:rsidRPr="003F7D10">
        <w:rPr>
          <w:rStyle w:val="Rimandonotaapidipagina"/>
          <w:rFonts w:ascii="Times New Roman" w:hAnsi="Times New Roman" w:cs="Times New Roman"/>
          <w:sz w:val="24"/>
          <w:szCs w:val="24"/>
        </w:rPr>
        <w:footnoteRef/>
      </w:r>
      <w:r w:rsidRPr="003F7D10">
        <w:rPr>
          <w:rFonts w:ascii="Times New Roman" w:hAnsi="Times New Roman" w:cs="Times New Roman"/>
          <w:sz w:val="24"/>
          <w:szCs w:val="24"/>
        </w:rPr>
        <w:t xml:space="preserve"> Art. 2 </w:t>
      </w:r>
      <w:proofErr w:type="spellStart"/>
      <w:r w:rsidRPr="003F7D10">
        <w:rPr>
          <w:rFonts w:ascii="Times New Roman" w:hAnsi="Times New Roman" w:cs="Times New Roman"/>
          <w:sz w:val="24"/>
          <w:szCs w:val="24"/>
        </w:rPr>
        <w:t>Cost</w:t>
      </w:r>
      <w:proofErr w:type="spellEnd"/>
      <w:r w:rsidRPr="003F7D10">
        <w:rPr>
          <w:rFonts w:ascii="Times New Roman" w:hAnsi="Times New Roman" w:cs="Times New Roman"/>
          <w:sz w:val="24"/>
          <w:szCs w:val="24"/>
        </w:rPr>
        <w:t>.: “</w:t>
      </w:r>
      <w:r w:rsidRPr="003F7D10">
        <w:rPr>
          <w:rFonts w:ascii="Times New Roman" w:hAnsi="Times New Roman" w:cs="Times New Roman"/>
          <w:i/>
          <w:iCs/>
          <w:sz w:val="24"/>
          <w:szCs w:val="24"/>
        </w:rPr>
        <w:t>La Repubblica riconosce e garantisce i diritti inviolabili dell’uomo, sia come singolo sia nelle formazioni sociali ove si svolge la sua personalità, e richiede l’adempimento dei doveri inderogabili di solidarietà politica, economica e sociale</w:t>
      </w:r>
      <w:r w:rsidRPr="003F7D10">
        <w:rPr>
          <w:rFonts w:ascii="Times New Roman" w:hAnsi="Times New Roman" w:cs="Times New Roman"/>
          <w:sz w:val="24"/>
          <w:szCs w:val="24"/>
        </w:rPr>
        <w:t>”.</w:t>
      </w:r>
    </w:p>
  </w:footnote>
  <w:footnote w:id="241">
    <w:p w14:paraId="7D4B0393" w14:textId="6B8DC97F" w:rsidR="000463A6" w:rsidRPr="003F7D10" w:rsidRDefault="000463A6" w:rsidP="00AD0D74">
      <w:pPr>
        <w:pStyle w:val="Testonotaapidipagina"/>
        <w:jc w:val="both"/>
        <w:rPr>
          <w:rFonts w:ascii="Times New Roman" w:hAnsi="Times New Roman" w:cs="Times New Roman"/>
          <w:sz w:val="24"/>
          <w:szCs w:val="24"/>
        </w:rPr>
      </w:pPr>
      <w:r w:rsidRPr="003F7D10">
        <w:rPr>
          <w:rStyle w:val="Rimandonotaapidipagina"/>
          <w:rFonts w:ascii="Times New Roman" w:hAnsi="Times New Roman" w:cs="Times New Roman"/>
          <w:sz w:val="24"/>
          <w:szCs w:val="24"/>
        </w:rPr>
        <w:footnoteRef/>
      </w:r>
      <w:r w:rsidRPr="003F7D10">
        <w:rPr>
          <w:rFonts w:ascii="Times New Roman" w:hAnsi="Times New Roman" w:cs="Times New Roman"/>
          <w:sz w:val="24"/>
          <w:szCs w:val="24"/>
        </w:rPr>
        <w:t xml:space="preserve"> </w:t>
      </w:r>
      <w:r w:rsidRPr="003F7D10">
        <w:rPr>
          <w:rFonts w:ascii="Times New Roman" w:hAnsi="Times New Roman" w:cs="Times New Roman"/>
          <w:i/>
          <w:iCs/>
          <w:sz w:val="24"/>
          <w:szCs w:val="24"/>
        </w:rPr>
        <w:t>Cfr</w:t>
      </w:r>
      <w:r w:rsidRPr="003F7D10">
        <w:rPr>
          <w:rFonts w:ascii="Times New Roman" w:hAnsi="Times New Roman" w:cs="Times New Roman"/>
          <w:sz w:val="24"/>
          <w:szCs w:val="24"/>
        </w:rPr>
        <w:t xml:space="preserve">. I diritti fondamentali nella giurisprudenza della </w:t>
      </w:r>
      <w:proofErr w:type="gramStart"/>
      <w:r w:rsidRPr="003F7D10">
        <w:rPr>
          <w:rFonts w:ascii="Times New Roman" w:hAnsi="Times New Roman" w:cs="Times New Roman"/>
          <w:sz w:val="24"/>
          <w:szCs w:val="24"/>
        </w:rPr>
        <w:t>Corte Costituzionale</w:t>
      </w:r>
      <w:proofErr w:type="gramEnd"/>
      <w:r w:rsidRPr="003F7D10">
        <w:rPr>
          <w:rFonts w:ascii="Times New Roman" w:hAnsi="Times New Roman" w:cs="Times New Roman"/>
          <w:sz w:val="24"/>
          <w:szCs w:val="24"/>
        </w:rPr>
        <w:t xml:space="preserve">, 2006, p. 8., Corte Costituzionale, </w:t>
      </w:r>
      <w:proofErr w:type="spellStart"/>
      <w:r w:rsidRPr="003F7D10">
        <w:rPr>
          <w:rFonts w:ascii="Times New Roman" w:hAnsi="Times New Roman" w:cs="Times New Roman"/>
          <w:sz w:val="24"/>
          <w:szCs w:val="24"/>
        </w:rPr>
        <w:t>sent</w:t>
      </w:r>
      <w:proofErr w:type="spellEnd"/>
      <w:r w:rsidRPr="003F7D10">
        <w:rPr>
          <w:rFonts w:ascii="Times New Roman" w:hAnsi="Times New Roman" w:cs="Times New Roman"/>
          <w:sz w:val="24"/>
          <w:szCs w:val="24"/>
        </w:rPr>
        <w:t>. n. 98/1979.</w:t>
      </w:r>
    </w:p>
  </w:footnote>
  <w:footnote w:id="242">
    <w:p w14:paraId="5548F0DF" w14:textId="762679E3" w:rsidR="000463A6" w:rsidRPr="003F7D10" w:rsidRDefault="000463A6" w:rsidP="00AD0D74">
      <w:pPr>
        <w:pStyle w:val="Testonotaapidipagina"/>
        <w:jc w:val="both"/>
        <w:rPr>
          <w:rFonts w:ascii="Times New Roman" w:hAnsi="Times New Roman" w:cs="Times New Roman"/>
          <w:sz w:val="24"/>
          <w:szCs w:val="24"/>
        </w:rPr>
      </w:pPr>
      <w:r w:rsidRPr="003F7D10">
        <w:rPr>
          <w:rStyle w:val="Rimandonotaapidipagina"/>
          <w:rFonts w:ascii="Times New Roman" w:hAnsi="Times New Roman" w:cs="Times New Roman"/>
          <w:sz w:val="24"/>
          <w:szCs w:val="24"/>
        </w:rPr>
        <w:footnoteRef/>
      </w:r>
      <w:r w:rsidRPr="003F7D10">
        <w:rPr>
          <w:rFonts w:ascii="Times New Roman" w:hAnsi="Times New Roman" w:cs="Times New Roman"/>
          <w:sz w:val="24"/>
          <w:szCs w:val="24"/>
        </w:rPr>
        <w:t xml:space="preserve"> </w:t>
      </w:r>
      <w:r w:rsidRPr="0078644D">
        <w:rPr>
          <w:rFonts w:ascii="Times New Roman" w:hAnsi="Times New Roman" w:cs="Times New Roman"/>
          <w:i/>
          <w:iCs/>
          <w:sz w:val="24"/>
          <w:szCs w:val="24"/>
        </w:rPr>
        <w:t>Idem</w:t>
      </w:r>
      <w:r w:rsidRPr="003F7D10">
        <w:rPr>
          <w:rFonts w:ascii="Times New Roman" w:hAnsi="Times New Roman" w:cs="Times New Roman"/>
          <w:sz w:val="24"/>
          <w:szCs w:val="24"/>
        </w:rPr>
        <w:t>. Tale limite è espressamente riconosciuto dall’articolo 10 della CEDU: “</w:t>
      </w:r>
      <w:r w:rsidRPr="003F7D10">
        <w:rPr>
          <w:rFonts w:ascii="Times New Roman" w:hAnsi="Times New Roman" w:cs="Times New Roman"/>
          <w:i/>
          <w:iCs/>
          <w:sz w:val="24"/>
          <w:szCs w:val="24"/>
        </w:rPr>
        <w:t>L’esercizio di queste libertà, poiché comporta doveri e responsabilità, può essere sottoposto alle formalità, condizioni, restrizioni o sanzioni che sono previste dalla legge e che costituiscono misure necessarie, in una società democratica […] alla protezione della reputazione o dei diritti altrui</w:t>
      </w:r>
      <w:r w:rsidRPr="003F7D10">
        <w:rPr>
          <w:rFonts w:ascii="Times New Roman" w:hAnsi="Times New Roman" w:cs="Times New Roman"/>
          <w:sz w:val="24"/>
          <w:szCs w:val="24"/>
        </w:rPr>
        <w:t>”.</w:t>
      </w:r>
    </w:p>
  </w:footnote>
  <w:footnote w:id="243">
    <w:p w14:paraId="451D6BBD" w14:textId="4AD3A524" w:rsidR="000463A6" w:rsidRPr="00AD0D74" w:rsidRDefault="000463A6" w:rsidP="00873F0D">
      <w:pPr>
        <w:pStyle w:val="Testonotaapidipagina"/>
        <w:jc w:val="both"/>
        <w:rPr>
          <w:rFonts w:ascii="Times New Roman" w:hAnsi="Times New Roman" w:cs="Times New Roman"/>
          <w:sz w:val="24"/>
          <w:szCs w:val="24"/>
        </w:rPr>
      </w:pPr>
      <w:r w:rsidRPr="003F7D10">
        <w:rPr>
          <w:rStyle w:val="Rimandonotaapidipagina"/>
          <w:rFonts w:ascii="Times New Roman" w:hAnsi="Times New Roman" w:cs="Times New Roman"/>
          <w:sz w:val="24"/>
          <w:szCs w:val="24"/>
        </w:rPr>
        <w:footnoteRef/>
      </w:r>
      <w:r w:rsidRPr="003F7D10">
        <w:rPr>
          <w:rFonts w:ascii="Times New Roman" w:hAnsi="Times New Roman" w:cs="Times New Roman"/>
          <w:sz w:val="24"/>
          <w:szCs w:val="24"/>
        </w:rPr>
        <w:t xml:space="preserve"> </w:t>
      </w:r>
      <w:proofErr w:type="spellStart"/>
      <w:r w:rsidRPr="003F7D10">
        <w:rPr>
          <w:rFonts w:ascii="Times New Roman" w:hAnsi="Times New Roman" w:cs="Times New Roman"/>
          <w:sz w:val="24"/>
          <w:szCs w:val="24"/>
        </w:rPr>
        <w:t>Cass</w:t>
      </w:r>
      <w:proofErr w:type="spellEnd"/>
      <w:r w:rsidRPr="003F7D10">
        <w:rPr>
          <w:rFonts w:ascii="Times New Roman" w:hAnsi="Times New Roman" w:cs="Times New Roman"/>
          <w:sz w:val="24"/>
          <w:szCs w:val="24"/>
        </w:rPr>
        <w:t xml:space="preserve">. Pen., </w:t>
      </w:r>
      <w:r>
        <w:rPr>
          <w:rFonts w:ascii="Times New Roman" w:hAnsi="Times New Roman" w:cs="Times New Roman"/>
          <w:sz w:val="24"/>
          <w:szCs w:val="24"/>
        </w:rPr>
        <w:t>s</w:t>
      </w:r>
      <w:r w:rsidRPr="003F7D10">
        <w:rPr>
          <w:rFonts w:ascii="Times New Roman" w:hAnsi="Times New Roman" w:cs="Times New Roman"/>
          <w:sz w:val="24"/>
          <w:szCs w:val="24"/>
        </w:rPr>
        <w:t>ez. V, 16</w:t>
      </w:r>
      <w:r>
        <w:rPr>
          <w:rFonts w:ascii="Times New Roman" w:hAnsi="Times New Roman" w:cs="Times New Roman"/>
          <w:sz w:val="24"/>
          <w:szCs w:val="24"/>
        </w:rPr>
        <w:t>/07/</w:t>
      </w:r>
      <w:r w:rsidRPr="003F7D10">
        <w:rPr>
          <w:rFonts w:ascii="Times New Roman" w:hAnsi="Times New Roman" w:cs="Times New Roman"/>
          <w:sz w:val="24"/>
          <w:szCs w:val="24"/>
        </w:rPr>
        <w:t>2010, n. 35511</w:t>
      </w:r>
      <w:r>
        <w:rPr>
          <w:rFonts w:ascii="Times New Roman" w:hAnsi="Times New Roman" w:cs="Times New Roman"/>
          <w:sz w:val="24"/>
          <w:szCs w:val="24"/>
        </w:rPr>
        <w:t>,</w:t>
      </w:r>
      <w:r w:rsidRPr="00FB3B31">
        <w:rPr>
          <w:rFonts w:ascii="Times New Roman" w:hAnsi="Times New Roman" w:cs="Times New Roman"/>
          <w:sz w:val="24"/>
          <w:szCs w:val="24"/>
        </w:rPr>
        <w:t xml:space="preserve"> disponibile su </w:t>
      </w:r>
      <w:r w:rsidRPr="00FB3B31">
        <w:rPr>
          <w:rFonts w:ascii="Times New Roman" w:hAnsi="Times New Roman" w:cs="Times New Roman"/>
          <w:i/>
          <w:iCs/>
          <w:sz w:val="24"/>
          <w:szCs w:val="24"/>
        </w:rPr>
        <w:t>dejure.it</w:t>
      </w:r>
      <w:r w:rsidRPr="00FB3B31">
        <w:rPr>
          <w:rFonts w:ascii="Times New Roman" w:hAnsi="Times New Roman" w:cs="Times New Roman"/>
          <w:sz w:val="24"/>
          <w:szCs w:val="24"/>
        </w:rPr>
        <w:t xml:space="preserve">; nota a sentenza di </w:t>
      </w:r>
      <w:r w:rsidRPr="00FB3B31">
        <w:rPr>
          <w:rFonts w:ascii="Times New Roman" w:hAnsi="Times New Roman" w:cs="Times New Roman"/>
          <w:smallCaps/>
          <w:sz w:val="24"/>
          <w:szCs w:val="24"/>
        </w:rPr>
        <w:t>S. Peron</w:t>
      </w:r>
      <w:r w:rsidRPr="00FB3B31">
        <w:rPr>
          <w:rFonts w:ascii="Times New Roman" w:hAnsi="Times New Roman" w:cs="Times New Roman"/>
          <w:sz w:val="24"/>
          <w:szCs w:val="24"/>
        </w:rPr>
        <w:t>, “</w:t>
      </w:r>
      <w:r w:rsidRPr="00FB3B31">
        <w:rPr>
          <w:rFonts w:ascii="Times New Roman" w:hAnsi="Times New Roman" w:cs="Times New Roman"/>
          <w:i/>
          <w:iCs/>
          <w:sz w:val="24"/>
          <w:szCs w:val="24"/>
        </w:rPr>
        <w:t>Internet, regime applicabile per i casi di diffamazione e responsabilità del direttore</w:t>
      </w:r>
      <w:r w:rsidRPr="00FB3B31">
        <w:rPr>
          <w:rFonts w:ascii="Times New Roman" w:hAnsi="Times New Roman" w:cs="Times New Roman"/>
          <w:sz w:val="24"/>
          <w:szCs w:val="24"/>
        </w:rPr>
        <w:t>”,</w:t>
      </w:r>
      <w:r>
        <w:rPr>
          <w:rFonts w:ascii="Times New Roman" w:hAnsi="Times New Roman" w:cs="Times New Roman"/>
          <w:sz w:val="24"/>
          <w:szCs w:val="24"/>
        </w:rPr>
        <w:t xml:space="preserve"> </w:t>
      </w:r>
      <w:r w:rsidRPr="00FB3B31">
        <w:rPr>
          <w:rFonts w:ascii="Times New Roman" w:hAnsi="Times New Roman" w:cs="Times New Roman"/>
          <w:sz w:val="24"/>
          <w:szCs w:val="24"/>
        </w:rPr>
        <w:t xml:space="preserve">su </w:t>
      </w:r>
      <w:r w:rsidRPr="00FB3B31">
        <w:rPr>
          <w:rFonts w:ascii="Times New Roman" w:hAnsi="Times New Roman" w:cs="Times New Roman"/>
          <w:i/>
          <w:iCs/>
          <w:sz w:val="24"/>
          <w:szCs w:val="24"/>
        </w:rPr>
        <w:t>Responsabilità Civile e Previdenza</w:t>
      </w:r>
      <w:r w:rsidRPr="00FB3B31">
        <w:rPr>
          <w:rFonts w:ascii="Times New Roman" w:hAnsi="Times New Roman" w:cs="Times New Roman"/>
          <w:sz w:val="24"/>
          <w:szCs w:val="24"/>
        </w:rPr>
        <w:t>, fasc.</w:t>
      </w:r>
      <w:r>
        <w:rPr>
          <w:rFonts w:ascii="Times New Roman" w:hAnsi="Times New Roman" w:cs="Times New Roman"/>
          <w:sz w:val="24"/>
          <w:szCs w:val="24"/>
        </w:rPr>
        <w:t xml:space="preserve"> </w:t>
      </w:r>
      <w:r w:rsidRPr="00FB3B31">
        <w:rPr>
          <w:rFonts w:ascii="Times New Roman" w:hAnsi="Times New Roman" w:cs="Times New Roman"/>
          <w:sz w:val="24"/>
          <w:szCs w:val="24"/>
        </w:rPr>
        <w:t>1, 2011, pag. 85</w:t>
      </w:r>
      <w:r w:rsidRPr="003F7D10">
        <w:rPr>
          <w:rFonts w:ascii="Times New Roman" w:hAnsi="Times New Roman" w:cs="Times New Roman"/>
          <w:sz w:val="24"/>
          <w:szCs w:val="24"/>
        </w:rPr>
        <w:t xml:space="preserve">; </w:t>
      </w:r>
      <w:proofErr w:type="spellStart"/>
      <w:r w:rsidRPr="003F7D10">
        <w:rPr>
          <w:rFonts w:ascii="Times New Roman" w:hAnsi="Times New Roman" w:cs="Times New Roman"/>
          <w:sz w:val="24"/>
          <w:szCs w:val="24"/>
        </w:rPr>
        <w:t>Cass</w:t>
      </w:r>
      <w:proofErr w:type="spellEnd"/>
      <w:r w:rsidRPr="003F7D10">
        <w:rPr>
          <w:rFonts w:ascii="Times New Roman" w:hAnsi="Times New Roman" w:cs="Times New Roman"/>
          <w:sz w:val="24"/>
          <w:szCs w:val="24"/>
        </w:rPr>
        <w:t xml:space="preserve">. Pen., </w:t>
      </w:r>
      <w:r>
        <w:rPr>
          <w:rFonts w:ascii="Times New Roman" w:hAnsi="Times New Roman" w:cs="Times New Roman"/>
          <w:sz w:val="24"/>
          <w:szCs w:val="24"/>
        </w:rPr>
        <w:t>s</w:t>
      </w:r>
      <w:r w:rsidRPr="003F7D10">
        <w:rPr>
          <w:rFonts w:ascii="Times New Roman" w:hAnsi="Times New Roman" w:cs="Times New Roman"/>
          <w:sz w:val="24"/>
          <w:szCs w:val="24"/>
        </w:rPr>
        <w:t>ez. V, 28</w:t>
      </w:r>
      <w:r>
        <w:rPr>
          <w:rFonts w:ascii="Times New Roman" w:hAnsi="Times New Roman" w:cs="Times New Roman"/>
          <w:sz w:val="24"/>
          <w:szCs w:val="24"/>
        </w:rPr>
        <w:t>/10/</w:t>
      </w:r>
      <w:r w:rsidRPr="003F7D10">
        <w:rPr>
          <w:rFonts w:ascii="Times New Roman" w:hAnsi="Times New Roman" w:cs="Times New Roman"/>
          <w:sz w:val="24"/>
          <w:szCs w:val="24"/>
        </w:rPr>
        <w:t>2011, n. 44126,</w:t>
      </w:r>
      <w:r>
        <w:rPr>
          <w:rFonts w:ascii="Times New Roman" w:hAnsi="Times New Roman" w:cs="Times New Roman"/>
          <w:sz w:val="24"/>
          <w:szCs w:val="24"/>
        </w:rPr>
        <w:t xml:space="preserve"> disponibile su </w:t>
      </w:r>
      <w:r w:rsidRPr="007536A4">
        <w:rPr>
          <w:rFonts w:ascii="Times New Roman" w:hAnsi="Times New Roman" w:cs="Times New Roman"/>
          <w:i/>
          <w:iCs/>
          <w:sz w:val="24"/>
          <w:szCs w:val="24"/>
        </w:rPr>
        <w:t>dejure.it</w:t>
      </w:r>
      <w:r>
        <w:rPr>
          <w:rFonts w:ascii="Times New Roman" w:hAnsi="Times New Roman" w:cs="Times New Roman"/>
          <w:sz w:val="24"/>
          <w:szCs w:val="24"/>
        </w:rPr>
        <w:t xml:space="preserve">; </w:t>
      </w:r>
      <w:r w:rsidRPr="007536A4">
        <w:rPr>
          <w:rFonts w:ascii="Times New Roman" w:hAnsi="Times New Roman" w:cs="Times New Roman"/>
          <w:sz w:val="24"/>
          <w:szCs w:val="24"/>
        </w:rPr>
        <w:t xml:space="preserve">nota a sentenza di </w:t>
      </w:r>
      <w:r w:rsidRPr="007536A4">
        <w:rPr>
          <w:rFonts w:ascii="Times New Roman" w:hAnsi="Times New Roman" w:cs="Times New Roman"/>
          <w:smallCaps/>
          <w:sz w:val="24"/>
          <w:szCs w:val="24"/>
        </w:rPr>
        <w:t>D. Petrini</w:t>
      </w:r>
      <w:r>
        <w:rPr>
          <w:rFonts w:ascii="Times New Roman" w:hAnsi="Times New Roman" w:cs="Times New Roman"/>
          <w:sz w:val="24"/>
          <w:szCs w:val="24"/>
        </w:rPr>
        <w:t xml:space="preserve">, </w:t>
      </w:r>
      <w:r w:rsidRPr="007536A4">
        <w:rPr>
          <w:rFonts w:ascii="Times New Roman" w:hAnsi="Times New Roman" w:cs="Times New Roman"/>
          <w:sz w:val="24"/>
          <w:szCs w:val="24"/>
        </w:rPr>
        <w:t>“</w:t>
      </w:r>
      <w:r w:rsidRPr="007536A4">
        <w:rPr>
          <w:rFonts w:ascii="Times New Roman" w:hAnsi="Times New Roman" w:cs="Times New Roman"/>
          <w:i/>
          <w:iCs/>
          <w:sz w:val="24"/>
          <w:szCs w:val="24"/>
        </w:rPr>
        <w:t>Il direttore della testata telematica, tra horror vacui e prospettive di riforma; sperando che nulla cambi</w:t>
      </w:r>
      <w:r w:rsidRPr="007536A4">
        <w:rPr>
          <w:rFonts w:ascii="Times New Roman" w:hAnsi="Times New Roman" w:cs="Times New Roman"/>
          <w:sz w:val="24"/>
          <w:szCs w:val="24"/>
        </w:rPr>
        <w:t xml:space="preserve">”, su </w:t>
      </w:r>
      <w:proofErr w:type="spellStart"/>
      <w:r w:rsidRPr="007536A4">
        <w:rPr>
          <w:rFonts w:ascii="Times New Roman" w:hAnsi="Times New Roman" w:cs="Times New Roman"/>
          <w:i/>
          <w:iCs/>
          <w:sz w:val="24"/>
          <w:szCs w:val="24"/>
        </w:rPr>
        <w:t>Riv</w:t>
      </w:r>
      <w:proofErr w:type="spellEnd"/>
      <w:r w:rsidRPr="007536A4">
        <w:rPr>
          <w:rFonts w:ascii="Times New Roman" w:hAnsi="Times New Roman" w:cs="Times New Roman"/>
          <w:i/>
          <w:iCs/>
          <w:sz w:val="24"/>
          <w:szCs w:val="24"/>
        </w:rPr>
        <w:t xml:space="preserve">. </w:t>
      </w:r>
      <w:proofErr w:type="spellStart"/>
      <w:r w:rsidRPr="007536A4">
        <w:rPr>
          <w:rFonts w:ascii="Times New Roman" w:hAnsi="Times New Roman" w:cs="Times New Roman"/>
          <w:i/>
          <w:iCs/>
          <w:sz w:val="24"/>
          <w:szCs w:val="24"/>
        </w:rPr>
        <w:t>It</w:t>
      </w:r>
      <w:proofErr w:type="spellEnd"/>
      <w:r w:rsidRPr="007536A4">
        <w:rPr>
          <w:rFonts w:ascii="Times New Roman" w:hAnsi="Times New Roman" w:cs="Times New Roman"/>
          <w:i/>
          <w:iCs/>
          <w:sz w:val="24"/>
          <w:szCs w:val="24"/>
        </w:rPr>
        <w:t xml:space="preserve">. Dir. e </w:t>
      </w:r>
      <w:proofErr w:type="spellStart"/>
      <w:r w:rsidRPr="007536A4">
        <w:rPr>
          <w:rFonts w:ascii="Times New Roman" w:hAnsi="Times New Roman" w:cs="Times New Roman"/>
          <w:i/>
          <w:iCs/>
          <w:sz w:val="24"/>
          <w:szCs w:val="24"/>
        </w:rPr>
        <w:t>Proc</w:t>
      </w:r>
      <w:proofErr w:type="spellEnd"/>
      <w:r w:rsidRPr="007536A4">
        <w:rPr>
          <w:rFonts w:ascii="Times New Roman" w:hAnsi="Times New Roman" w:cs="Times New Roman"/>
          <w:i/>
          <w:iCs/>
          <w:sz w:val="24"/>
          <w:szCs w:val="24"/>
        </w:rPr>
        <w:t>. Pen</w:t>
      </w:r>
      <w:r w:rsidRPr="007536A4">
        <w:rPr>
          <w:rFonts w:ascii="Times New Roman" w:hAnsi="Times New Roman" w:cs="Times New Roman"/>
          <w:sz w:val="24"/>
          <w:szCs w:val="24"/>
        </w:rPr>
        <w:t>., fasc.</w:t>
      </w:r>
      <w:r>
        <w:rPr>
          <w:rFonts w:ascii="Times New Roman" w:hAnsi="Times New Roman" w:cs="Times New Roman"/>
          <w:sz w:val="24"/>
          <w:szCs w:val="24"/>
        </w:rPr>
        <w:t xml:space="preserve"> </w:t>
      </w:r>
      <w:r w:rsidRPr="007536A4">
        <w:rPr>
          <w:rFonts w:ascii="Times New Roman" w:hAnsi="Times New Roman" w:cs="Times New Roman"/>
          <w:sz w:val="24"/>
          <w:szCs w:val="24"/>
        </w:rPr>
        <w:t>4, 2012, pag. 1611</w:t>
      </w:r>
      <w:r>
        <w:rPr>
          <w:rFonts w:ascii="Times New Roman" w:hAnsi="Times New Roman" w:cs="Times New Roman"/>
          <w:sz w:val="24"/>
          <w:szCs w:val="24"/>
        </w:rPr>
        <w:t>;</w:t>
      </w:r>
      <w:r w:rsidRPr="003F7D10">
        <w:rPr>
          <w:rFonts w:ascii="Times New Roman" w:hAnsi="Times New Roman" w:cs="Times New Roman"/>
          <w:sz w:val="24"/>
          <w:szCs w:val="24"/>
        </w:rPr>
        <w:t xml:space="preserve"> </w:t>
      </w:r>
      <w:proofErr w:type="spellStart"/>
      <w:r w:rsidRPr="003F7D10">
        <w:rPr>
          <w:rFonts w:ascii="Times New Roman" w:hAnsi="Times New Roman" w:cs="Times New Roman"/>
          <w:sz w:val="24"/>
          <w:szCs w:val="24"/>
        </w:rPr>
        <w:t>Cass</w:t>
      </w:r>
      <w:proofErr w:type="spellEnd"/>
      <w:r w:rsidRPr="003F7D10">
        <w:rPr>
          <w:rFonts w:ascii="Times New Roman" w:hAnsi="Times New Roman" w:cs="Times New Roman"/>
          <w:sz w:val="24"/>
          <w:szCs w:val="24"/>
        </w:rPr>
        <w:t xml:space="preserve">. Pen., </w:t>
      </w:r>
      <w:r>
        <w:rPr>
          <w:rFonts w:ascii="Times New Roman" w:hAnsi="Times New Roman" w:cs="Times New Roman"/>
          <w:sz w:val="24"/>
          <w:szCs w:val="24"/>
        </w:rPr>
        <w:t>s</w:t>
      </w:r>
      <w:r w:rsidRPr="003F7D10">
        <w:rPr>
          <w:rFonts w:ascii="Times New Roman" w:hAnsi="Times New Roman" w:cs="Times New Roman"/>
          <w:sz w:val="24"/>
          <w:szCs w:val="24"/>
        </w:rPr>
        <w:t xml:space="preserve">ez. V, </w:t>
      </w:r>
      <w:r>
        <w:rPr>
          <w:rFonts w:ascii="Times New Roman" w:hAnsi="Times New Roman" w:cs="Times New Roman"/>
          <w:sz w:val="24"/>
          <w:szCs w:val="24"/>
        </w:rPr>
        <w:t>0</w:t>
      </w:r>
      <w:r w:rsidRPr="003F7D10">
        <w:rPr>
          <w:rFonts w:ascii="Times New Roman" w:hAnsi="Times New Roman" w:cs="Times New Roman"/>
          <w:sz w:val="24"/>
          <w:szCs w:val="24"/>
        </w:rPr>
        <w:t>5</w:t>
      </w:r>
      <w:r>
        <w:rPr>
          <w:rFonts w:ascii="Times New Roman" w:hAnsi="Times New Roman" w:cs="Times New Roman"/>
          <w:sz w:val="24"/>
          <w:szCs w:val="24"/>
        </w:rPr>
        <w:t>/11/</w:t>
      </w:r>
      <w:r w:rsidRPr="003F7D10">
        <w:rPr>
          <w:rFonts w:ascii="Times New Roman" w:hAnsi="Times New Roman" w:cs="Times New Roman"/>
          <w:sz w:val="24"/>
          <w:szCs w:val="24"/>
        </w:rPr>
        <w:t xml:space="preserve">2013, n. 10594, con nota di </w:t>
      </w:r>
      <w:r w:rsidRPr="003F7D10">
        <w:rPr>
          <w:rFonts w:ascii="Times New Roman" w:hAnsi="Times New Roman" w:cs="Times New Roman"/>
          <w:smallCaps/>
          <w:sz w:val="24"/>
          <w:szCs w:val="24"/>
        </w:rPr>
        <w:t xml:space="preserve">C. </w:t>
      </w:r>
      <w:proofErr w:type="spellStart"/>
      <w:r w:rsidRPr="003F7D10">
        <w:rPr>
          <w:rFonts w:ascii="Times New Roman" w:hAnsi="Times New Roman" w:cs="Times New Roman"/>
          <w:smallCaps/>
          <w:sz w:val="24"/>
          <w:szCs w:val="24"/>
        </w:rPr>
        <w:t>Melzi</w:t>
      </w:r>
      <w:proofErr w:type="spellEnd"/>
      <w:r w:rsidRPr="003F7D10">
        <w:rPr>
          <w:rFonts w:ascii="Times New Roman" w:hAnsi="Times New Roman" w:cs="Times New Roman"/>
          <w:smallCaps/>
          <w:sz w:val="24"/>
          <w:szCs w:val="24"/>
        </w:rPr>
        <w:t xml:space="preserve"> d’</w:t>
      </w:r>
      <w:proofErr w:type="spellStart"/>
      <w:r w:rsidRPr="003F7D10">
        <w:rPr>
          <w:rFonts w:ascii="Times New Roman" w:hAnsi="Times New Roman" w:cs="Times New Roman"/>
          <w:smallCaps/>
          <w:sz w:val="24"/>
          <w:szCs w:val="24"/>
        </w:rPr>
        <w:t>Eril</w:t>
      </w:r>
      <w:proofErr w:type="spellEnd"/>
      <w:r w:rsidRPr="003F7D10">
        <w:rPr>
          <w:rFonts w:ascii="Times New Roman" w:hAnsi="Times New Roman" w:cs="Times New Roman"/>
          <w:sz w:val="24"/>
          <w:szCs w:val="24"/>
        </w:rPr>
        <w:t>, “</w:t>
      </w:r>
      <w:r w:rsidRPr="003F7D10">
        <w:rPr>
          <w:rFonts w:ascii="Times New Roman" w:hAnsi="Times New Roman" w:cs="Times New Roman"/>
          <w:i/>
          <w:iCs/>
          <w:sz w:val="24"/>
          <w:szCs w:val="24"/>
        </w:rPr>
        <w:t>La Cassazione esclude l’estensione ai siti internet delle garanzie costituzionali previste per il sequestro di stampati</w:t>
      </w:r>
      <w:r w:rsidRPr="003F7D10">
        <w:rPr>
          <w:rFonts w:ascii="Times New Roman" w:hAnsi="Times New Roman" w:cs="Times New Roman"/>
          <w:sz w:val="24"/>
          <w:szCs w:val="24"/>
        </w:rPr>
        <w:t xml:space="preserve">”, in </w:t>
      </w:r>
      <w:r w:rsidRPr="003F7D10">
        <w:rPr>
          <w:rFonts w:ascii="Times New Roman" w:hAnsi="Times New Roman" w:cs="Times New Roman"/>
          <w:i/>
          <w:iCs/>
          <w:sz w:val="24"/>
          <w:szCs w:val="24"/>
        </w:rPr>
        <w:t>Dir. Pen. Uomo</w:t>
      </w:r>
      <w:r w:rsidRPr="003F7D10">
        <w:rPr>
          <w:rFonts w:ascii="Times New Roman" w:hAnsi="Times New Roman" w:cs="Times New Roman"/>
          <w:sz w:val="24"/>
          <w:szCs w:val="24"/>
        </w:rPr>
        <w:t>, 2014.</w:t>
      </w:r>
    </w:p>
  </w:footnote>
  <w:footnote w:id="244">
    <w:p w14:paraId="142FA4AE" w14:textId="121F0CBD" w:rsidR="000463A6" w:rsidRPr="00EF4915" w:rsidRDefault="000463A6" w:rsidP="00AD0D74">
      <w:pPr>
        <w:pStyle w:val="Testonotaapidipagina"/>
        <w:jc w:val="both"/>
        <w:rPr>
          <w:rFonts w:ascii="Times New Roman" w:hAnsi="Times New Roman" w:cs="Times New Roman"/>
          <w:sz w:val="24"/>
          <w:szCs w:val="24"/>
        </w:rPr>
      </w:pPr>
      <w:r w:rsidRPr="00EF4915">
        <w:rPr>
          <w:rStyle w:val="Rimandonotaapidipagina"/>
          <w:rFonts w:ascii="Times New Roman" w:hAnsi="Times New Roman" w:cs="Times New Roman"/>
          <w:sz w:val="24"/>
          <w:szCs w:val="24"/>
        </w:rPr>
        <w:footnoteRef/>
      </w:r>
      <w:r w:rsidRPr="00EF4915">
        <w:rPr>
          <w:rFonts w:ascii="Times New Roman" w:hAnsi="Times New Roman" w:cs="Times New Roman"/>
          <w:sz w:val="24"/>
          <w:szCs w:val="24"/>
        </w:rPr>
        <w:t xml:space="preserve"> </w:t>
      </w:r>
      <w:proofErr w:type="spellStart"/>
      <w:r w:rsidRPr="00EF4915">
        <w:rPr>
          <w:rFonts w:ascii="Times New Roman" w:hAnsi="Times New Roman" w:cs="Times New Roman"/>
          <w:sz w:val="24"/>
          <w:szCs w:val="24"/>
        </w:rPr>
        <w:t>Cass</w:t>
      </w:r>
      <w:proofErr w:type="spellEnd"/>
      <w:r w:rsidRPr="00EF4915">
        <w:rPr>
          <w:rFonts w:ascii="Times New Roman" w:hAnsi="Times New Roman" w:cs="Times New Roman"/>
          <w:sz w:val="24"/>
          <w:szCs w:val="24"/>
        </w:rPr>
        <w:t>. Pen., Sez. Un., 17</w:t>
      </w:r>
      <w:r>
        <w:rPr>
          <w:rFonts w:ascii="Times New Roman" w:hAnsi="Times New Roman" w:cs="Times New Roman"/>
          <w:sz w:val="24"/>
          <w:szCs w:val="24"/>
        </w:rPr>
        <w:t>/07/</w:t>
      </w:r>
      <w:r w:rsidRPr="00EF4915">
        <w:rPr>
          <w:rFonts w:ascii="Times New Roman" w:hAnsi="Times New Roman" w:cs="Times New Roman"/>
          <w:sz w:val="24"/>
          <w:szCs w:val="24"/>
        </w:rPr>
        <w:t>2015, n. 31022,</w:t>
      </w:r>
      <w:r>
        <w:rPr>
          <w:rFonts w:ascii="Times New Roman" w:hAnsi="Times New Roman" w:cs="Times New Roman"/>
          <w:sz w:val="24"/>
          <w:szCs w:val="24"/>
        </w:rPr>
        <w:t xml:space="preserve"> disponibile su </w:t>
      </w:r>
      <w:r w:rsidRPr="00F33AFD">
        <w:rPr>
          <w:rFonts w:ascii="Times New Roman" w:hAnsi="Times New Roman" w:cs="Times New Roman"/>
          <w:i/>
          <w:iCs/>
          <w:sz w:val="24"/>
          <w:szCs w:val="24"/>
        </w:rPr>
        <w:t>dejure.it</w:t>
      </w:r>
      <w:r>
        <w:rPr>
          <w:rFonts w:ascii="Times New Roman" w:hAnsi="Times New Roman" w:cs="Times New Roman"/>
          <w:sz w:val="24"/>
          <w:szCs w:val="24"/>
        </w:rPr>
        <w:t>; n</w:t>
      </w:r>
      <w:r w:rsidRPr="00F33AFD">
        <w:rPr>
          <w:rFonts w:ascii="Times New Roman" w:hAnsi="Times New Roman" w:cs="Times New Roman"/>
          <w:sz w:val="24"/>
          <w:szCs w:val="24"/>
        </w:rPr>
        <w:t xml:space="preserve">ota a sentenza di </w:t>
      </w:r>
      <w:r w:rsidRPr="00F33AFD">
        <w:rPr>
          <w:rFonts w:ascii="Times New Roman" w:hAnsi="Times New Roman" w:cs="Times New Roman"/>
          <w:smallCaps/>
          <w:sz w:val="24"/>
          <w:szCs w:val="24"/>
        </w:rPr>
        <w:t>L. Diotallevi</w:t>
      </w:r>
      <w:r w:rsidRPr="00F33AFD">
        <w:rPr>
          <w:rFonts w:ascii="Times New Roman" w:hAnsi="Times New Roman" w:cs="Times New Roman"/>
          <w:sz w:val="24"/>
          <w:szCs w:val="24"/>
        </w:rPr>
        <w:t>, “</w:t>
      </w:r>
      <w:r w:rsidRPr="00F33AFD">
        <w:rPr>
          <w:rFonts w:ascii="Times New Roman" w:hAnsi="Times New Roman" w:cs="Times New Roman"/>
          <w:i/>
          <w:iCs/>
          <w:sz w:val="24"/>
          <w:szCs w:val="24"/>
        </w:rPr>
        <w:t>La Corte di cassazione sancisce l'“equiparazione” tra giornali cartacei e telematici ai fini dell</w:t>
      </w:r>
      <w:r>
        <w:rPr>
          <w:rFonts w:ascii="Times New Roman" w:hAnsi="Times New Roman" w:cs="Times New Roman"/>
          <w:i/>
          <w:iCs/>
          <w:sz w:val="24"/>
          <w:szCs w:val="24"/>
        </w:rPr>
        <w:t>’</w:t>
      </w:r>
      <w:r w:rsidRPr="00F33AFD">
        <w:rPr>
          <w:rFonts w:ascii="Times New Roman" w:hAnsi="Times New Roman" w:cs="Times New Roman"/>
          <w:i/>
          <w:iCs/>
          <w:sz w:val="24"/>
          <w:szCs w:val="24"/>
        </w:rPr>
        <w:t>applicazione della disciplina in materia di sequestro preventivo: un nuovo caso di “scivolamento” dalla “nomofilachia” alla “</w:t>
      </w:r>
      <w:proofErr w:type="spellStart"/>
      <w:r w:rsidRPr="00F33AFD">
        <w:rPr>
          <w:rFonts w:ascii="Times New Roman" w:hAnsi="Times New Roman" w:cs="Times New Roman"/>
          <w:i/>
          <w:iCs/>
          <w:sz w:val="24"/>
          <w:szCs w:val="24"/>
        </w:rPr>
        <w:t>nomopoiesi</w:t>
      </w:r>
      <w:proofErr w:type="spellEnd"/>
      <w:r w:rsidRPr="00F33AFD">
        <w:rPr>
          <w:rFonts w:ascii="Times New Roman" w:hAnsi="Times New Roman" w:cs="Times New Roman"/>
          <w:i/>
          <w:iCs/>
          <w:sz w:val="24"/>
          <w:szCs w:val="24"/>
        </w:rPr>
        <w:t>”?</w:t>
      </w:r>
      <w:r w:rsidRPr="00F33AFD">
        <w:rPr>
          <w:rFonts w:ascii="Times New Roman" w:hAnsi="Times New Roman" w:cs="Times New Roman"/>
          <w:sz w:val="24"/>
          <w:szCs w:val="24"/>
        </w:rPr>
        <w:t xml:space="preserve">”, su </w:t>
      </w:r>
      <w:r w:rsidRPr="0087419F">
        <w:rPr>
          <w:rFonts w:ascii="Times New Roman" w:hAnsi="Times New Roman" w:cs="Times New Roman"/>
          <w:i/>
          <w:iCs/>
          <w:sz w:val="24"/>
          <w:szCs w:val="24"/>
        </w:rPr>
        <w:t>Giurisprudenza Costituzionale</w:t>
      </w:r>
      <w:r w:rsidRPr="00F33AFD">
        <w:rPr>
          <w:rFonts w:ascii="Times New Roman" w:hAnsi="Times New Roman" w:cs="Times New Roman"/>
          <w:sz w:val="24"/>
          <w:szCs w:val="24"/>
        </w:rPr>
        <w:t>, fasc. 3, 2015, pag. 1062.</w:t>
      </w:r>
    </w:p>
  </w:footnote>
  <w:footnote w:id="245">
    <w:p w14:paraId="1A72D766" w14:textId="7BC40443" w:rsidR="000463A6" w:rsidRPr="00EF4915" w:rsidRDefault="000463A6" w:rsidP="007401F0">
      <w:pPr>
        <w:pStyle w:val="Testonotaapidipagina"/>
        <w:jc w:val="both"/>
        <w:rPr>
          <w:rFonts w:ascii="Times New Roman" w:hAnsi="Times New Roman" w:cs="Times New Roman"/>
          <w:sz w:val="24"/>
          <w:szCs w:val="24"/>
        </w:rPr>
      </w:pPr>
      <w:r w:rsidRPr="00EF4915">
        <w:rPr>
          <w:rStyle w:val="Rimandonotaapidipagina"/>
          <w:rFonts w:ascii="Times New Roman" w:hAnsi="Times New Roman" w:cs="Times New Roman"/>
          <w:sz w:val="24"/>
          <w:szCs w:val="24"/>
        </w:rPr>
        <w:footnoteRef/>
      </w:r>
      <w:r w:rsidRPr="00EF4915">
        <w:rPr>
          <w:rFonts w:ascii="Times New Roman" w:hAnsi="Times New Roman" w:cs="Times New Roman"/>
          <w:sz w:val="24"/>
          <w:szCs w:val="24"/>
        </w:rPr>
        <w:t xml:space="preserve"> </w:t>
      </w:r>
      <w:r w:rsidRPr="00EF4915">
        <w:rPr>
          <w:rFonts w:ascii="Times New Roman" w:hAnsi="Times New Roman" w:cs="Times New Roman"/>
          <w:i/>
          <w:iCs/>
          <w:sz w:val="24"/>
          <w:szCs w:val="24"/>
        </w:rPr>
        <w:t>Cfr</w:t>
      </w:r>
      <w:r w:rsidRPr="00EF4915">
        <w:rPr>
          <w:rFonts w:ascii="Times New Roman" w:hAnsi="Times New Roman" w:cs="Times New Roman"/>
          <w:sz w:val="24"/>
          <w:szCs w:val="24"/>
        </w:rPr>
        <w:t xml:space="preserve">. </w:t>
      </w:r>
      <w:proofErr w:type="spellStart"/>
      <w:r w:rsidRPr="00EF4915">
        <w:rPr>
          <w:rFonts w:ascii="Times New Roman" w:hAnsi="Times New Roman" w:cs="Times New Roman"/>
          <w:sz w:val="24"/>
          <w:szCs w:val="24"/>
        </w:rPr>
        <w:t>Cass</w:t>
      </w:r>
      <w:proofErr w:type="spellEnd"/>
      <w:r w:rsidRPr="00EF4915">
        <w:rPr>
          <w:rFonts w:ascii="Times New Roman" w:hAnsi="Times New Roman" w:cs="Times New Roman"/>
          <w:sz w:val="24"/>
          <w:szCs w:val="24"/>
        </w:rPr>
        <w:t>. Pen., sez. I, 28</w:t>
      </w:r>
      <w:r>
        <w:rPr>
          <w:rFonts w:ascii="Times New Roman" w:hAnsi="Times New Roman" w:cs="Times New Roman"/>
          <w:sz w:val="24"/>
          <w:szCs w:val="24"/>
        </w:rPr>
        <w:t>/04/</w:t>
      </w:r>
      <w:r w:rsidRPr="00EF4915">
        <w:rPr>
          <w:rFonts w:ascii="Times New Roman" w:hAnsi="Times New Roman" w:cs="Times New Roman"/>
          <w:sz w:val="24"/>
          <w:szCs w:val="24"/>
        </w:rPr>
        <w:t>2015, n. 24431</w:t>
      </w:r>
      <w:r>
        <w:rPr>
          <w:rFonts w:ascii="Times New Roman" w:hAnsi="Times New Roman" w:cs="Times New Roman"/>
          <w:sz w:val="24"/>
          <w:szCs w:val="24"/>
        </w:rPr>
        <w:t xml:space="preserve">, disponibile su </w:t>
      </w:r>
      <w:r w:rsidRPr="008308BB">
        <w:rPr>
          <w:rFonts w:ascii="Times New Roman" w:hAnsi="Times New Roman" w:cs="Times New Roman"/>
          <w:i/>
          <w:iCs/>
          <w:sz w:val="24"/>
          <w:szCs w:val="24"/>
        </w:rPr>
        <w:t>dejure.it</w:t>
      </w:r>
      <w:r>
        <w:rPr>
          <w:rFonts w:ascii="Times New Roman" w:hAnsi="Times New Roman" w:cs="Times New Roman"/>
          <w:sz w:val="24"/>
          <w:szCs w:val="24"/>
        </w:rPr>
        <w:t xml:space="preserve"> e s</w:t>
      </w:r>
      <w:r w:rsidRPr="008308BB">
        <w:rPr>
          <w:rFonts w:ascii="Times New Roman" w:hAnsi="Times New Roman" w:cs="Times New Roman"/>
          <w:sz w:val="24"/>
          <w:szCs w:val="24"/>
        </w:rPr>
        <w:t xml:space="preserve">u </w:t>
      </w:r>
      <w:r w:rsidRPr="008308BB">
        <w:rPr>
          <w:rFonts w:ascii="Times New Roman" w:hAnsi="Times New Roman" w:cs="Times New Roman"/>
          <w:i/>
          <w:iCs/>
          <w:sz w:val="24"/>
          <w:szCs w:val="24"/>
        </w:rPr>
        <w:t>Ilpenalista.it</w:t>
      </w:r>
      <w:r w:rsidRPr="008308BB">
        <w:rPr>
          <w:rFonts w:ascii="Times New Roman" w:hAnsi="Times New Roman" w:cs="Times New Roman"/>
          <w:sz w:val="24"/>
          <w:szCs w:val="24"/>
        </w:rPr>
        <w:t xml:space="preserve">, 4 settembre 2015, con nota di </w:t>
      </w:r>
      <w:r w:rsidRPr="008308BB">
        <w:rPr>
          <w:rFonts w:ascii="Times New Roman" w:hAnsi="Times New Roman" w:cs="Times New Roman"/>
          <w:smallCaps/>
          <w:sz w:val="24"/>
          <w:szCs w:val="24"/>
        </w:rPr>
        <w:t xml:space="preserve">V. </w:t>
      </w:r>
      <w:proofErr w:type="spellStart"/>
      <w:r w:rsidRPr="008308BB">
        <w:rPr>
          <w:rFonts w:ascii="Times New Roman" w:hAnsi="Times New Roman" w:cs="Times New Roman"/>
          <w:smallCaps/>
          <w:sz w:val="24"/>
          <w:szCs w:val="24"/>
        </w:rPr>
        <w:t>Spaziani</w:t>
      </w:r>
      <w:proofErr w:type="spellEnd"/>
      <w:r w:rsidRPr="008308BB">
        <w:rPr>
          <w:rFonts w:ascii="Times New Roman" w:hAnsi="Times New Roman" w:cs="Times New Roman"/>
          <w:smallCaps/>
          <w:sz w:val="24"/>
          <w:szCs w:val="24"/>
        </w:rPr>
        <w:t xml:space="preserve"> Testa</w:t>
      </w:r>
      <w:r w:rsidRPr="00EF4915">
        <w:rPr>
          <w:rFonts w:ascii="Times New Roman" w:hAnsi="Times New Roman" w:cs="Times New Roman"/>
          <w:sz w:val="24"/>
          <w:szCs w:val="24"/>
        </w:rPr>
        <w:t xml:space="preserve">; </w:t>
      </w:r>
      <w:proofErr w:type="spellStart"/>
      <w:r w:rsidRPr="00EF4915">
        <w:rPr>
          <w:rFonts w:ascii="Times New Roman" w:hAnsi="Times New Roman" w:cs="Times New Roman"/>
          <w:sz w:val="24"/>
          <w:szCs w:val="24"/>
        </w:rPr>
        <w:t>Cass</w:t>
      </w:r>
      <w:proofErr w:type="spellEnd"/>
      <w:r w:rsidRPr="00EF4915">
        <w:rPr>
          <w:rFonts w:ascii="Times New Roman" w:hAnsi="Times New Roman" w:cs="Times New Roman"/>
          <w:sz w:val="24"/>
          <w:szCs w:val="24"/>
        </w:rPr>
        <w:t>. Pen., sez. V, 25</w:t>
      </w:r>
      <w:r>
        <w:rPr>
          <w:rFonts w:ascii="Times New Roman" w:hAnsi="Times New Roman" w:cs="Times New Roman"/>
          <w:sz w:val="24"/>
          <w:szCs w:val="24"/>
        </w:rPr>
        <w:t>/01/</w:t>
      </w:r>
      <w:r w:rsidRPr="00EF4915">
        <w:rPr>
          <w:rFonts w:ascii="Times New Roman" w:hAnsi="Times New Roman" w:cs="Times New Roman"/>
          <w:sz w:val="24"/>
          <w:szCs w:val="24"/>
        </w:rPr>
        <w:t xml:space="preserve">2021, n. 13979, </w:t>
      </w:r>
      <w:r>
        <w:rPr>
          <w:rFonts w:ascii="Times New Roman" w:hAnsi="Times New Roman" w:cs="Times New Roman"/>
          <w:sz w:val="24"/>
          <w:szCs w:val="24"/>
        </w:rPr>
        <w:t xml:space="preserve">disponibile su </w:t>
      </w:r>
      <w:r w:rsidRPr="008308BB">
        <w:rPr>
          <w:rFonts w:ascii="Times New Roman" w:hAnsi="Times New Roman" w:cs="Times New Roman"/>
          <w:i/>
          <w:iCs/>
          <w:sz w:val="24"/>
          <w:szCs w:val="24"/>
        </w:rPr>
        <w:t>dejure.it</w:t>
      </w:r>
      <w:r>
        <w:rPr>
          <w:rFonts w:ascii="Times New Roman" w:hAnsi="Times New Roman" w:cs="Times New Roman"/>
          <w:sz w:val="24"/>
          <w:szCs w:val="24"/>
        </w:rPr>
        <w:t xml:space="preserve"> e su </w:t>
      </w:r>
      <w:r w:rsidRPr="008308BB">
        <w:rPr>
          <w:rFonts w:ascii="Times New Roman" w:hAnsi="Times New Roman" w:cs="Times New Roman"/>
          <w:i/>
          <w:iCs/>
          <w:sz w:val="24"/>
          <w:szCs w:val="24"/>
        </w:rPr>
        <w:t>Responsabilità Civile e Previdenza</w:t>
      </w:r>
      <w:r>
        <w:rPr>
          <w:rFonts w:ascii="Times New Roman" w:hAnsi="Times New Roman" w:cs="Times New Roman"/>
          <w:i/>
          <w:iCs/>
          <w:sz w:val="24"/>
          <w:szCs w:val="24"/>
        </w:rPr>
        <w:t>,</w:t>
      </w:r>
      <w:r w:rsidRPr="008308BB">
        <w:rPr>
          <w:rFonts w:ascii="Times New Roman" w:hAnsi="Times New Roman" w:cs="Times New Roman"/>
          <w:sz w:val="24"/>
          <w:szCs w:val="24"/>
        </w:rPr>
        <w:t xml:space="preserve"> 2021, 4, 1341</w:t>
      </w:r>
      <w:r>
        <w:rPr>
          <w:rFonts w:ascii="Times New Roman" w:hAnsi="Times New Roman" w:cs="Times New Roman"/>
          <w:sz w:val="24"/>
          <w:szCs w:val="24"/>
        </w:rPr>
        <w:t>.</w:t>
      </w:r>
    </w:p>
  </w:footnote>
  <w:footnote w:id="246">
    <w:p w14:paraId="76745C07" w14:textId="44B30BEC" w:rsidR="000463A6" w:rsidRDefault="000463A6" w:rsidP="007401F0">
      <w:pPr>
        <w:pStyle w:val="Testonotaapidipagina"/>
        <w:jc w:val="both"/>
      </w:pPr>
      <w:r w:rsidRPr="007401F0">
        <w:rPr>
          <w:rStyle w:val="Rimandonotaapidipagina"/>
          <w:rFonts w:ascii="Times New Roman" w:hAnsi="Times New Roman" w:cs="Times New Roman"/>
          <w:sz w:val="24"/>
          <w:szCs w:val="24"/>
        </w:rPr>
        <w:footnoteRef/>
      </w:r>
      <w:r w:rsidRPr="007401F0">
        <w:rPr>
          <w:rFonts w:ascii="Times New Roman" w:hAnsi="Times New Roman" w:cs="Times New Roman"/>
          <w:sz w:val="24"/>
          <w:szCs w:val="24"/>
        </w:rPr>
        <w:t xml:space="preserve"> </w:t>
      </w:r>
      <w:r w:rsidRPr="00467D6D">
        <w:rPr>
          <w:rFonts w:ascii="Times New Roman" w:hAnsi="Times New Roman" w:cs="Times New Roman"/>
          <w:i/>
          <w:iCs/>
          <w:sz w:val="24"/>
          <w:szCs w:val="24"/>
        </w:rPr>
        <w:t>Cfr</w:t>
      </w:r>
      <w:r w:rsidRPr="007401F0">
        <w:rPr>
          <w:rFonts w:ascii="Times New Roman" w:hAnsi="Times New Roman" w:cs="Times New Roman"/>
          <w:sz w:val="24"/>
          <w:szCs w:val="24"/>
        </w:rPr>
        <w:t xml:space="preserve">. </w:t>
      </w:r>
      <w:proofErr w:type="spellStart"/>
      <w:r w:rsidRPr="007401F0">
        <w:rPr>
          <w:rFonts w:ascii="Times New Roman" w:hAnsi="Times New Roman" w:cs="Times New Roman"/>
          <w:sz w:val="24"/>
          <w:szCs w:val="24"/>
        </w:rPr>
        <w:t>Cass</w:t>
      </w:r>
      <w:proofErr w:type="spellEnd"/>
      <w:r w:rsidRPr="007401F0">
        <w:rPr>
          <w:rFonts w:ascii="Times New Roman" w:hAnsi="Times New Roman" w:cs="Times New Roman"/>
          <w:sz w:val="24"/>
          <w:szCs w:val="24"/>
        </w:rPr>
        <w:t>. Pen., sez. I, 28</w:t>
      </w:r>
      <w:r>
        <w:rPr>
          <w:rFonts w:ascii="Times New Roman" w:hAnsi="Times New Roman" w:cs="Times New Roman"/>
          <w:sz w:val="24"/>
          <w:szCs w:val="24"/>
        </w:rPr>
        <w:t>/04/</w:t>
      </w:r>
      <w:r w:rsidRPr="007401F0">
        <w:rPr>
          <w:rFonts w:ascii="Times New Roman" w:hAnsi="Times New Roman" w:cs="Times New Roman"/>
          <w:sz w:val="24"/>
          <w:szCs w:val="24"/>
        </w:rPr>
        <w:t>2015, n. 24431</w:t>
      </w:r>
      <w:r>
        <w:rPr>
          <w:rFonts w:ascii="Times New Roman" w:hAnsi="Times New Roman" w:cs="Times New Roman"/>
          <w:sz w:val="24"/>
          <w:szCs w:val="24"/>
        </w:rPr>
        <w:t>, cit.</w:t>
      </w:r>
    </w:p>
  </w:footnote>
  <w:footnote w:id="247">
    <w:p w14:paraId="04EC358C" w14:textId="251E92EC" w:rsidR="000463A6" w:rsidRPr="0051336C" w:rsidRDefault="000463A6" w:rsidP="0051336C">
      <w:pPr>
        <w:pStyle w:val="Testonotaapidipagina"/>
        <w:jc w:val="both"/>
        <w:rPr>
          <w:rFonts w:ascii="Times New Roman" w:hAnsi="Times New Roman" w:cs="Times New Roman"/>
          <w:i/>
          <w:iCs/>
          <w:sz w:val="24"/>
          <w:szCs w:val="24"/>
        </w:rPr>
      </w:pPr>
      <w:r w:rsidRPr="007401F0">
        <w:rPr>
          <w:rStyle w:val="Rimandonotaapidipagina"/>
          <w:rFonts w:ascii="Times New Roman" w:hAnsi="Times New Roman" w:cs="Times New Roman"/>
          <w:sz w:val="24"/>
          <w:szCs w:val="24"/>
        </w:rPr>
        <w:footnoteRef/>
      </w:r>
      <w:r w:rsidRPr="007401F0">
        <w:rPr>
          <w:rFonts w:ascii="Times New Roman" w:hAnsi="Times New Roman" w:cs="Times New Roman"/>
          <w:sz w:val="24"/>
          <w:szCs w:val="24"/>
        </w:rPr>
        <w:t xml:space="preserve"> </w:t>
      </w:r>
      <w:r w:rsidRPr="00467D6D">
        <w:rPr>
          <w:rFonts w:ascii="Times New Roman" w:hAnsi="Times New Roman" w:cs="Times New Roman"/>
          <w:i/>
          <w:iCs/>
          <w:sz w:val="24"/>
          <w:szCs w:val="24"/>
        </w:rPr>
        <w:t>Cfr</w:t>
      </w:r>
      <w:r w:rsidRPr="007401F0">
        <w:rPr>
          <w:rFonts w:ascii="Times New Roman" w:hAnsi="Times New Roman" w:cs="Times New Roman"/>
          <w:sz w:val="24"/>
          <w:szCs w:val="24"/>
        </w:rPr>
        <w:t xml:space="preserve">. </w:t>
      </w:r>
      <w:proofErr w:type="spellStart"/>
      <w:r w:rsidRPr="007401F0">
        <w:rPr>
          <w:rFonts w:ascii="Times New Roman" w:hAnsi="Times New Roman" w:cs="Times New Roman"/>
          <w:sz w:val="24"/>
          <w:szCs w:val="24"/>
        </w:rPr>
        <w:t>Cass</w:t>
      </w:r>
      <w:proofErr w:type="spellEnd"/>
      <w:r w:rsidRPr="007401F0">
        <w:rPr>
          <w:rFonts w:ascii="Times New Roman" w:hAnsi="Times New Roman" w:cs="Times New Roman"/>
          <w:sz w:val="24"/>
          <w:szCs w:val="24"/>
        </w:rPr>
        <w:t>. Pen., sez. I, 28</w:t>
      </w:r>
      <w:r>
        <w:rPr>
          <w:rFonts w:ascii="Times New Roman" w:hAnsi="Times New Roman" w:cs="Times New Roman"/>
          <w:sz w:val="24"/>
          <w:szCs w:val="24"/>
        </w:rPr>
        <w:t>/04/</w:t>
      </w:r>
      <w:r w:rsidRPr="007401F0">
        <w:rPr>
          <w:rFonts w:ascii="Times New Roman" w:hAnsi="Times New Roman" w:cs="Times New Roman"/>
          <w:sz w:val="24"/>
          <w:szCs w:val="24"/>
        </w:rPr>
        <w:t>2015, n. 24431</w:t>
      </w:r>
      <w:r>
        <w:rPr>
          <w:rFonts w:ascii="Times New Roman" w:hAnsi="Times New Roman" w:cs="Times New Roman"/>
          <w:sz w:val="24"/>
          <w:szCs w:val="24"/>
        </w:rPr>
        <w:t xml:space="preserve">, cit. </w:t>
      </w:r>
      <w:r w:rsidRPr="000719A7">
        <w:rPr>
          <w:rFonts w:ascii="Times New Roman" w:hAnsi="Times New Roman" w:cs="Times New Roman"/>
          <w:sz w:val="24"/>
          <w:szCs w:val="24"/>
        </w:rPr>
        <w:t xml:space="preserve">Un’altra interessante pronuncia da prendere in considerazione è la recente sentenza n. 27939 del 13 ottobre 2021, con cui la Corte di Cassazione, confermando la decisione della Corte d’Appello di Roma, ha rigettato definitivamente il ricorso contro un licenziamento di un ex dipendente TIM, statuendo che il lavoratore che insulta i propri responsabili sui </w:t>
      </w:r>
      <w:r w:rsidRPr="00B64E06">
        <w:rPr>
          <w:rFonts w:ascii="Times New Roman" w:hAnsi="Times New Roman" w:cs="Times New Roman"/>
          <w:i/>
          <w:iCs/>
          <w:sz w:val="24"/>
          <w:szCs w:val="24"/>
        </w:rPr>
        <w:t>social network</w:t>
      </w:r>
      <w:r w:rsidRPr="000719A7">
        <w:rPr>
          <w:rFonts w:ascii="Times New Roman" w:hAnsi="Times New Roman" w:cs="Times New Roman"/>
          <w:sz w:val="24"/>
          <w:szCs w:val="24"/>
        </w:rPr>
        <w:t xml:space="preserve"> può incorrere nel licenziamento per giusta causa. Il caso ha preso le mosse dalla diffusione – tramite tre e-mail e un post sulla propria pagina </w:t>
      </w:r>
      <w:proofErr w:type="spellStart"/>
      <w:r w:rsidRPr="000719A7">
        <w:rPr>
          <w:rFonts w:ascii="Times New Roman" w:hAnsi="Times New Roman" w:cs="Times New Roman"/>
          <w:sz w:val="24"/>
          <w:szCs w:val="24"/>
        </w:rPr>
        <w:t>Facebook</w:t>
      </w:r>
      <w:proofErr w:type="spellEnd"/>
      <w:r w:rsidRPr="000719A7">
        <w:rPr>
          <w:rFonts w:ascii="Times New Roman" w:hAnsi="Times New Roman" w:cs="Times New Roman"/>
          <w:sz w:val="24"/>
          <w:szCs w:val="24"/>
        </w:rPr>
        <w:t xml:space="preserve"> – di diverse frasi rivolte ai propri superiori, gravemente offensive e diffamatorie, cui è seguito il licenziamento del dipendente per giusta causa, in applicazione dell’art. 2119 c.c.</w:t>
      </w:r>
      <w:r>
        <w:rPr>
          <w:rFonts w:ascii="Times New Roman" w:hAnsi="Times New Roman" w:cs="Times New Roman"/>
          <w:sz w:val="24"/>
          <w:szCs w:val="24"/>
        </w:rPr>
        <w:t>,</w:t>
      </w:r>
      <w:r w:rsidRPr="000719A7">
        <w:rPr>
          <w:rFonts w:ascii="Times New Roman" w:hAnsi="Times New Roman" w:cs="Times New Roman"/>
          <w:sz w:val="24"/>
          <w:szCs w:val="24"/>
        </w:rPr>
        <w:t xml:space="preserve"> per la grave insubordinazione </w:t>
      </w:r>
      <w:proofErr w:type="gramStart"/>
      <w:r w:rsidRPr="000719A7">
        <w:rPr>
          <w:rFonts w:ascii="Times New Roman" w:hAnsi="Times New Roman" w:cs="Times New Roman"/>
          <w:sz w:val="24"/>
          <w:szCs w:val="24"/>
        </w:rPr>
        <w:t>posta in essere</w:t>
      </w:r>
      <w:proofErr w:type="gramEnd"/>
      <w:r w:rsidRPr="000719A7">
        <w:rPr>
          <w:rFonts w:ascii="Times New Roman" w:hAnsi="Times New Roman" w:cs="Times New Roman"/>
          <w:sz w:val="24"/>
          <w:szCs w:val="24"/>
        </w:rPr>
        <w:t xml:space="preserve"> attraverso i mezzi di comunicazione citati. Secondo il lavoratore, i post sulla pagina </w:t>
      </w:r>
      <w:proofErr w:type="spellStart"/>
      <w:r w:rsidRPr="000719A7">
        <w:rPr>
          <w:rFonts w:ascii="Times New Roman" w:hAnsi="Times New Roman" w:cs="Times New Roman"/>
          <w:sz w:val="24"/>
          <w:szCs w:val="24"/>
        </w:rPr>
        <w:t>Facebook</w:t>
      </w:r>
      <w:proofErr w:type="spellEnd"/>
      <w:r w:rsidRPr="000719A7">
        <w:rPr>
          <w:rFonts w:ascii="Times New Roman" w:hAnsi="Times New Roman" w:cs="Times New Roman"/>
          <w:sz w:val="24"/>
          <w:szCs w:val="24"/>
        </w:rPr>
        <w:t xml:space="preserve"> erano da considerarsi riservati, in quanto la pagina era destinata alla comunicazione esclusiva con i propri “amici”. Tuttavia, secondo i Giudici</w:t>
      </w:r>
      <w:r>
        <w:rPr>
          <w:rFonts w:ascii="Times New Roman" w:hAnsi="Times New Roman" w:cs="Times New Roman"/>
          <w:sz w:val="24"/>
          <w:szCs w:val="24"/>
        </w:rPr>
        <w:t>,</w:t>
      </w:r>
      <w:r w:rsidRPr="000719A7">
        <w:rPr>
          <w:rFonts w:ascii="Times New Roman" w:hAnsi="Times New Roman" w:cs="Times New Roman"/>
          <w:sz w:val="24"/>
          <w:szCs w:val="24"/>
        </w:rPr>
        <w:t xml:space="preserve"> la tutela della libertà e della segretezza della corrispondenza non può trovare applicazione dal momento che lo strumento utilizzato non integra le caratteristiche della corrispondenza o di “ogni altra forma di comunicazione”, ovvero l’attualità, la determinatezza o determinabilità del destinatario e la segretezza della comunicazione. Viene in questo caso in rilievo il concetto di “</w:t>
      </w:r>
      <w:r w:rsidRPr="00B64E06">
        <w:rPr>
          <w:rFonts w:ascii="Times New Roman" w:hAnsi="Times New Roman" w:cs="Times New Roman"/>
          <w:i/>
          <w:iCs/>
          <w:sz w:val="24"/>
          <w:szCs w:val="24"/>
        </w:rPr>
        <w:t xml:space="preserve">bacheca </w:t>
      </w:r>
      <w:proofErr w:type="spellStart"/>
      <w:r w:rsidRPr="00B64E06">
        <w:rPr>
          <w:rFonts w:ascii="Times New Roman" w:hAnsi="Times New Roman" w:cs="Times New Roman"/>
          <w:i/>
          <w:iCs/>
          <w:sz w:val="24"/>
          <w:szCs w:val="24"/>
        </w:rPr>
        <w:t>Facebook</w:t>
      </w:r>
      <w:proofErr w:type="spellEnd"/>
      <w:r w:rsidRPr="000719A7">
        <w:rPr>
          <w:rFonts w:ascii="Times New Roman" w:hAnsi="Times New Roman" w:cs="Times New Roman"/>
          <w:sz w:val="24"/>
          <w:szCs w:val="24"/>
        </w:rPr>
        <w:t>”, alla quale possono accedere gli utenti considerati “amici” dal titolare dell’account. Ebbene, se da una parte tale elenco di “amici” non comprende</w:t>
      </w:r>
      <w:r w:rsidRPr="0051336C">
        <w:rPr>
          <w:rFonts w:ascii="Times New Roman" w:hAnsi="Times New Roman" w:cs="Times New Roman"/>
          <w:sz w:val="24"/>
          <w:szCs w:val="24"/>
        </w:rPr>
        <w:t xml:space="preserve"> la totalità degli utilizzatori del </w:t>
      </w:r>
      <w:r w:rsidRPr="0051336C">
        <w:rPr>
          <w:rFonts w:ascii="Times New Roman" w:hAnsi="Times New Roman" w:cs="Times New Roman"/>
          <w:i/>
          <w:iCs/>
          <w:sz w:val="24"/>
          <w:szCs w:val="24"/>
        </w:rPr>
        <w:t>social network</w:t>
      </w:r>
      <w:r w:rsidRPr="0051336C">
        <w:rPr>
          <w:rFonts w:ascii="Times New Roman" w:hAnsi="Times New Roman" w:cs="Times New Roman"/>
          <w:sz w:val="24"/>
          <w:szCs w:val="24"/>
        </w:rPr>
        <w:t xml:space="preserve">, dall’altra parte l’elenco è sempre modificabile tramite l’accettazione o la rimozione di ulteriori “amicizie” da parte dell’utente, comportando perciò l’impossibilità di avere un numero di destinatari determinato o determinabile; emerge, quindi, l’elemento della pluralità, previsto nella fattispecie della diffamazione. V. </w:t>
      </w:r>
      <w:r w:rsidRPr="0051336C">
        <w:rPr>
          <w:rFonts w:ascii="Times New Roman" w:hAnsi="Times New Roman" w:cs="Times New Roman"/>
          <w:smallCaps/>
          <w:sz w:val="24"/>
          <w:szCs w:val="24"/>
        </w:rPr>
        <w:t>A. De Lucia</w:t>
      </w:r>
      <w:r w:rsidRPr="0051336C">
        <w:rPr>
          <w:rFonts w:ascii="Times New Roman" w:hAnsi="Times New Roman" w:cs="Times New Roman"/>
          <w:sz w:val="24"/>
          <w:szCs w:val="24"/>
        </w:rPr>
        <w:t>, “</w:t>
      </w:r>
      <w:r w:rsidRPr="0051336C">
        <w:rPr>
          <w:rFonts w:ascii="Times New Roman" w:hAnsi="Times New Roman" w:cs="Times New Roman"/>
          <w:i/>
          <w:iCs/>
          <w:sz w:val="24"/>
          <w:szCs w:val="24"/>
        </w:rPr>
        <w:t xml:space="preserve">Offese su </w:t>
      </w:r>
      <w:proofErr w:type="spellStart"/>
      <w:r w:rsidRPr="0051336C">
        <w:rPr>
          <w:rFonts w:ascii="Times New Roman" w:hAnsi="Times New Roman" w:cs="Times New Roman"/>
          <w:i/>
          <w:iCs/>
          <w:sz w:val="24"/>
          <w:szCs w:val="24"/>
        </w:rPr>
        <w:t>Facebook</w:t>
      </w:r>
      <w:proofErr w:type="spellEnd"/>
      <w:r w:rsidRPr="0051336C">
        <w:rPr>
          <w:rFonts w:ascii="Times New Roman" w:hAnsi="Times New Roman" w:cs="Times New Roman"/>
          <w:i/>
          <w:iCs/>
          <w:sz w:val="24"/>
          <w:szCs w:val="24"/>
        </w:rPr>
        <w:t>: la Cassazione conferma la legittimità del licenziamento</w:t>
      </w:r>
      <w:r w:rsidRPr="0051336C">
        <w:rPr>
          <w:rFonts w:ascii="Times New Roman" w:hAnsi="Times New Roman" w:cs="Times New Roman"/>
          <w:sz w:val="24"/>
          <w:szCs w:val="24"/>
        </w:rPr>
        <w:t xml:space="preserve">”, su </w:t>
      </w:r>
      <w:r w:rsidRPr="0051336C">
        <w:rPr>
          <w:rFonts w:ascii="Times New Roman" w:hAnsi="Times New Roman" w:cs="Times New Roman"/>
          <w:i/>
          <w:iCs/>
          <w:sz w:val="24"/>
          <w:szCs w:val="24"/>
        </w:rPr>
        <w:t>altalex.com.</w:t>
      </w:r>
    </w:p>
  </w:footnote>
  <w:footnote w:id="248">
    <w:p w14:paraId="6B53D0A6" w14:textId="50C23B1B" w:rsidR="000463A6" w:rsidRPr="0051336C" w:rsidRDefault="000463A6" w:rsidP="0051336C">
      <w:pPr>
        <w:pStyle w:val="Testonotaapidipagina"/>
        <w:jc w:val="both"/>
        <w:rPr>
          <w:rFonts w:ascii="Times New Roman" w:hAnsi="Times New Roman" w:cs="Times New Roman"/>
          <w:sz w:val="24"/>
          <w:szCs w:val="24"/>
        </w:rPr>
      </w:pPr>
      <w:r w:rsidRPr="0051336C">
        <w:rPr>
          <w:rStyle w:val="Rimandonotaapidipagina"/>
          <w:rFonts w:ascii="Times New Roman" w:hAnsi="Times New Roman" w:cs="Times New Roman"/>
          <w:sz w:val="24"/>
          <w:szCs w:val="24"/>
        </w:rPr>
        <w:footnoteRef/>
      </w:r>
      <w:r w:rsidRPr="0051336C">
        <w:rPr>
          <w:rFonts w:ascii="Times New Roman" w:hAnsi="Times New Roman" w:cs="Times New Roman"/>
          <w:sz w:val="24"/>
          <w:szCs w:val="24"/>
        </w:rPr>
        <w:t xml:space="preserve"> V. </w:t>
      </w:r>
      <w:proofErr w:type="spellStart"/>
      <w:r w:rsidRPr="0051336C">
        <w:rPr>
          <w:rFonts w:ascii="Times New Roman" w:hAnsi="Times New Roman" w:cs="Times New Roman"/>
          <w:sz w:val="24"/>
          <w:szCs w:val="24"/>
        </w:rPr>
        <w:t>Cass</w:t>
      </w:r>
      <w:proofErr w:type="spellEnd"/>
      <w:r w:rsidRPr="0051336C">
        <w:rPr>
          <w:rFonts w:ascii="Times New Roman" w:hAnsi="Times New Roman" w:cs="Times New Roman"/>
          <w:sz w:val="24"/>
          <w:szCs w:val="24"/>
        </w:rPr>
        <w:t xml:space="preserve">. Pen., sez. V, 29/01/2016, n. 3981, con nota di </w:t>
      </w:r>
      <w:r w:rsidRPr="0051336C">
        <w:rPr>
          <w:rFonts w:ascii="Times New Roman" w:hAnsi="Times New Roman" w:cs="Times New Roman"/>
          <w:smallCaps/>
          <w:sz w:val="24"/>
          <w:szCs w:val="24"/>
        </w:rPr>
        <w:t>A. Alì</w:t>
      </w:r>
      <w:r w:rsidRPr="0051336C">
        <w:rPr>
          <w:rFonts w:ascii="Times New Roman" w:hAnsi="Times New Roman" w:cs="Times New Roman"/>
          <w:sz w:val="24"/>
          <w:szCs w:val="24"/>
        </w:rPr>
        <w:t>, “</w:t>
      </w:r>
      <w:r w:rsidRPr="0051336C">
        <w:rPr>
          <w:rFonts w:ascii="Times New Roman" w:hAnsi="Times New Roman" w:cs="Times New Roman"/>
          <w:i/>
          <w:iCs/>
          <w:sz w:val="24"/>
          <w:szCs w:val="24"/>
        </w:rPr>
        <w:t xml:space="preserve">Diffamazione via </w:t>
      </w:r>
      <w:proofErr w:type="spellStart"/>
      <w:r w:rsidRPr="0051336C">
        <w:rPr>
          <w:rFonts w:ascii="Times New Roman" w:hAnsi="Times New Roman" w:cs="Times New Roman"/>
          <w:i/>
          <w:iCs/>
          <w:sz w:val="24"/>
          <w:szCs w:val="24"/>
        </w:rPr>
        <w:t>Facebook</w:t>
      </w:r>
      <w:proofErr w:type="spellEnd"/>
      <w:r w:rsidRPr="0051336C">
        <w:rPr>
          <w:rFonts w:ascii="Times New Roman" w:hAnsi="Times New Roman" w:cs="Times New Roman"/>
          <w:i/>
          <w:iCs/>
          <w:sz w:val="24"/>
          <w:szCs w:val="24"/>
        </w:rPr>
        <w:t>: condividere post offensivi non è reato</w:t>
      </w:r>
      <w:r w:rsidRPr="0051336C">
        <w:rPr>
          <w:rFonts w:ascii="Times New Roman" w:hAnsi="Times New Roman" w:cs="Times New Roman"/>
          <w:sz w:val="24"/>
          <w:szCs w:val="24"/>
        </w:rPr>
        <w:t xml:space="preserve">”, su </w:t>
      </w:r>
      <w:r w:rsidRPr="0051336C">
        <w:rPr>
          <w:rFonts w:ascii="Times New Roman" w:hAnsi="Times New Roman" w:cs="Times New Roman"/>
          <w:i/>
          <w:iCs/>
          <w:sz w:val="24"/>
          <w:szCs w:val="24"/>
        </w:rPr>
        <w:t>altalex.com</w:t>
      </w:r>
      <w:r w:rsidRPr="0051336C">
        <w:rPr>
          <w:rFonts w:ascii="Times New Roman" w:hAnsi="Times New Roman" w:cs="Times New Roman"/>
          <w:sz w:val="24"/>
          <w:szCs w:val="24"/>
        </w:rPr>
        <w:t>, 2016.</w:t>
      </w:r>
    </w:p>
  </w:footnote>
  <w:footnote w:id="249">
    <w:p w14:paraId="5C3E32FD" w14:textId="6FDC9BC7" w:rsidR="000463A6" w:rsidRDefault="000463A6" w:rsidP="0051336C">
      <w:pPr>
        <w:pStyle w:val="Testonotaapidipagina"/>
        <w:jc w:val="both"/>
      </w:pPr>
      <w:r w:rsidRPr="0051336C">
        <w:rPr>
          <w:rStyle w:val="Rimandonotaapidipagina"/>
          <w:rFonts w:ascii="Times New Roman" w:hAnsi="Times New Roman" w:cs="Times New Roman"/>
          <w:sz w:val="24"/>
          <w:szCs w:val="24"/>
        </w:rPr>
        <w:footnoteRef/>
      </w:r>
      <w:r w:rsidRPr="0051336C">
        <w:rPr>
          <w:rFonts w:ascii="Times New Roman" w:hAnsi="Times New Roman" w:cs="Times New Roman"/>
          <w:sz w:val="24"/>
          <w:szCs w:val="24"/>
        </w:rPr>
        <w:t xml:space="preserve"> La Corte d’Appello dell’Aquila, con la sentenza 1659 del 9 novembre 2021, si è espressa sul rapporto contrattuale che si instaura tra utente e </w:t>
      </w:r>
      <w:r w:rsidRPr="0051336C">
        <w:rPr>
          <w:rFonts w:ascii="Times New Roman" w:hAnsi="Times New Roman" w:cs="Times New Roman"/>
          <w:i/>
          <w:iCs/>
          <w:sz w:val="24"/>
          <w:szCs w:val="24"/>
        </w:rPr>
        <w:t>social network</w:t>
      </w:r>
      <w:r w:rsidRPr="0051336C">
        <w:rPr>
          <w:rFonts w:ascii="Times New Roman" w:hAnsi="Times New Roman" w:cs="Times New Roman"/>
          <w:sz w:val="24"/>
          <w:szCs w:val="24"/>
        </w:rPr>
        <w:t xml:space="preserve">, concludendo che l’utente ingiustamente </w:t>
      </w:r>
      <w:proofErr w:type="spellStart"/>
      <w:r w:rsidRPr="0051336C">
        <w:rPr>
          <w:rFonts w:ascii="Times New Roman" w:hAnsi="Times New Roman" w:cs="Times New Roman"/>
          <w:sz w:val="24"/>
          <w:szCs w:val="24"/>
        </w:rPr>
        <w:t>bannato</w:t>
      </w:r>
      <w:proofErr w:type="spellEnd"/>
      <w:r w:rsidRPr="0051336C">
        <w:rPr>
          <w:rFonts w:ascii="Times New Roman" w:hAnsi="Times New Roman" w:cs="Times New Roman"/>
          <w:sz w:val="24"/>
          <w:szCs w:val="24"/>
        </w:rPr>
        <w:t xml:space="preserve"> da un </w:t>
      </w:r>
      <w:r w:rsidRPr="0051336C">
        <w:rPr>
          <w:rFonts w:ascii="Times New Roman" w:hAnsi="Times New Roman" w:cs="Times New Roman"/>
          <w:i/>
          <w:iCs/>
          <w:sz w:val="24"/>
          <w:szCs w:val="24"/>
        </w:rPr>
        <w:t>social</w:t>
      </w:r>
      <w:r w:rsidRPr="0051336C">
        <w:rPr>
          <w:rFonts w:ascii="Times New Roman" w:hAnsi="Times New Roman" w:cs="Times New Roman"/>
          <w:sz w:val="24"/>
          <w:szCs w:val="24"/>
        </w:rPr>
        <w:t xml:space="preserve"> ha diritto di ottenere il risarcimento del danno subìto a causa della sospensione delle proprie relazioni sociali. La pronuncia ha preso le mosse dal ricorso presentato da un utente che, dopo aver pubblicato foto didascalie e commenti sulla figura di Mussolini, mostrando la propria appartenenza politica, era stato sospeso da </w:t>
      </w:r>
      <w:proofErr w:type="spellStart"/>
      <w:r w:rsidRPr="0051336C">
        <w:rPr>
          <w:rFonts w:ascii="Times New Roman" w:hAnsi="Times New Roman" w:cs="Times New Roman"/>
          <w:sz w:val="24"/>
          <w:szCs w:val="24"/>
        </w:rPr>
        <w:t>Facebook</w:t>
      </w:r>
      <w:proofErr w:type="spellEnd"/>
      <w:r w:rsidRPr="0051336C">
        <w:rPr>
          <w:rFonts w:ascii="Times New Roman" w:hAnsi="Times New Roman" w:cs="Times New Roman"/>
          <w:sz w:val="24"/>
          <w:szCs w:val="24"/>
        </w:rPr>
        <w:t xml:space="preserve"> per oltre quattro mesi per violazione degli «</w:t>
      </w:r>
      <w:r w:rsidRPr="0051336C">
        <w:rPr>
          <w:rFonts w:ascii="Times New Roman" w:hAnsi="Times New Roman" w:cs="Times New Roman"/>
          <w:i/>
          <w:iCs/>
          <w:sz w:val="24"/>
          <w:szCs w:val="24"/>
        </w:rPr>
        <w:t>standard della comunità</w:t>
      </w:r>
      <w:r w:rsidRPr="0051336C">
        <w:rPr>
          <w:rFonts w:ascii="Times New Roman" w:hAnsi="Times New Roman" w:cs="Times New Roman"/>
          <w:sz w:val="24"/>
          <w:szCs w:val="24"/>
        </w:rPr>
        <w:t xml:space="preserve">». I Giudici di prime cure hanno condannato </w:t>
      </w:r>
      <w:proofErr w:type="spellStart"/>
      <w:r w:rsidRPr="0051336C">
        <w:rPr>
          <w:rFonts w:ascii="Times New Roman" w:hAnsi="Times New Roman" w:cs="Times New Roman"/>
          <w:sz w:val="24"/>
          <w:szCs w:val="24"/>
        </w:rPr>
        <w:t>Facebook</w:t>
      </w:r>
      <w:proofErr w:type="spellEnd"/>
      <w:r w:rsidRPr="0051336C">
        <w:rPr>
          <w:rFonts w:ascii="Times New Roman" w:hAnsi="Times New Roman" w:cs="Times New Roman"/>
          <w:sz w:val="24"/>
          <w:szCs w:val="24"/>
        </w:rPr>
        <w:t xml:space="preserve"> a un risarcimento di 15</w:t>
      </w:r>
      <w:r>
        <w:rPr>
          <w:rFonts w:ascii="Times New Roman" w:hAnsi="Times New Roman" w:cs="Times New Roman"/>
          <w:sz w:val="24"/>
          <w:szCs w:val="24"/>
        </w:rPr>
        <w:t xml:space="preserve"> </w:t>
      </w:r>
      <w:r w:rsidRPr="0051336C">
        <w:rPr>
          <w:rFonts w:ascii="Times New Roman" w:hAnsi="Times New Roman" w:cs="Times New Roman"/>
          <w:sz w:val="24"/>
          <w:szCs w:val="24"/>
        </w:rPr>
        <w:t xml:space="preserve">mila euro a titolo di danno morale e il </w:t>
      </w:r>
      <w:r w:rsidRPr="0051336C">
        <w:rPr>
          <w:rFonts w:ascii="Times New Roman" w:hAnsi="Times New Roman" w:cs="Times New Roman"/>
          <w:i/>
          <w:iCs/>
          <w:sz w:val="24"/>
          <w:szCs w:val="24"/>
        </w:rPr>
        <w:t>social network</w:t>
      </w:r>
      <w:r w:rsidRPr="0051336C">
        <w:rPr>
          <w:rFonts w:ascii="Times New Roman" w:hAnsi="Times New Roman" w:cs="Times New Roman"/>
          <w:sz w:val="24"/>
          <w:szCs w:val="24"/>
        </w:rPr>
        <w:t xml:space="preserve"> ha impugnato la decisione. La Corte d’Appello, nel decidere la questione, è partita dal fatto che il contratto tra le parti è un contratto a titolo oneroso e a prestazioni corrispettive, dove il “prezzo” pagato dall’utente è rappresentato dalla concessione dei propri dati personali a fini commerciali. Dunque, se è vero che ogni </w:t>
      </w:r>
      <w:r w:rsidRPr="0051336C">
        <w:rPr>
          <w:rFonts w:ascii="Times New Roman" w:hAnsi="Times New Roman" w:cs="Times New Roman"/>
          <w:i/>
          <w:iCs/>
          <w:sz w:val="24"/>
          <w:szCs w:val="24"/>
        </w:rPr>
        <w:t>social network</w:t>
      </w:r>
      <w:r w:rsidRPr="0051336C">
        <w:rPr>
          <w:rFonts w:ascii="Times New Roman" w:hAnsi="Times New Roman" w:cs="Times New Roman"/>
          <w:sz w:val="24"/>
          <w:szCs w:val="24"/>
        </w:rPr>
        <w:t xml:space="preserve"> può introdurre clausole con poteri di rimozione dei post degli utenti e di sospensione degli </w:t>
      </w:r>
      <w:r w:rsidRPr="0051336C">
        <w:rPr>
          <w:rFonts w:ascii="Times New Roman" w:hAnsi="Times New Roman" w:cs="Times New Roman"/>
          <w:i/>
          <w:iCs/>
          <w:sz w:val="24"/>
          <w:szCs w:val="24"/>
        </w:rPr>
        <w:t>account</w:t>
      </w:r>
      <w:r w:rsidRPr="0051336C">
        <w:rPr>
          <w:rFonts w:ascii="Times New Roman" w:hAnsi="Times New Roman" w:cs="Times New Roman"/>
          <w:sz w:val="24"/>
          <w:szCs w:val="24"/>
        </w:rPr>
        <w:t xml:space="preserve">, è anche vero che i </w:t>
      </w:r>
      <w:r w:rsidRPr="0051336C">
        <w:rPr>
          <w:rFonts w:ascii="Times New Roman" w:hAnsi="Times New Roman" w:cs="Times New Roman"/>
          <w:i/>
          <w:iCs/>
          <w:sz w:val="24"/>
          <w:szCs w:val="24"/>
        </w:rPr>
        <w:t>social</w:t>
      </w:r>
      <w:r w:rsidRPr="0051336C">
        <w:rPr>
          <w:rFonts w:ascii="Times New Roman" w:hAnsi="Times New Roman" w:cs="Times New Roman"/>
          <w:sz w:val="24"/>
          <w:szCs w:val="24"/>
        </w:rPr>
        <w:t xml:space="preserve"> devono fare attente valutazioni prima di attivare poteri di sospensione o rimozione. Nel caso di specie, i giudici hanno ritenuto lecite le prime due sospensioni dell’</w:t>
      </w:r>
      <w:r w:rsidRPr="0051336C">
        <w:rPr>
          <w:rFonts w:ascii="Times New Roman" w:hAnsi="Times New Roman" w:cs="Times New Roman"/>
          <w:i/>
          <w:iCs/>
          <w:sz w:val="24"/>
          <w:szCs w:val="24"/>
        </w:rPr>
        <w:t>account</w:t>
      </w:r>
      <w:r w:rsidRPr="0051336C">
        <w:rPr>
          <w:rFonts w:ascii="Times New Roman" w:hAnsi="Times New Roman" w:cs="Times New Roman"/>
          <w:sz w:val="24"/>
          <w:szCs w:val="24"/>
        </w:rPr>
        <w:t>, effettuate per commenti lesivi dell’altrui reputazione (l’utente aveva definito “</w:t>
      </w:r>
      <w:r w:rsidRPr="00C85E9D">
        <w:rPr>
          <w:rFonts w:ascii="Times New Roman" w:hAnsi="Times New Roman" w:cs="Times New Roman"/>
          <w:i/>
          <w:iCs/>
          <w:sz w:val="24"/>
          <w:szCs w:val="24"/>
        </w:rPr>
        <w:t>stupido</w:t>
      </w:r>
      <w:r w:rsidRPr="0051336C">
        <w:rPr>
          <w:rFonts w:ascii="Times New Roman" w:hAnsi="Times New Roman" w:cs="Times New Roman"/>
          <w:sz w:val="24"/>
          <w:szCs w:val="24"/>
        </w:rPr>
        <w:t>” un altro utente); tuttavia</w:t>
      </w:r>
      <w:r>
        <w:rPr>
          <w:rFonts w:ascii="Times New Roman" w:hAnsi="Times New Roman" w:cs="Times New Roman"/>
          <w:sz w:val="24"/>
          <w:szCs w:val="24"/>
        </w:rPr>
        <w:t xml:space="preserve">, </w:t>
      </w:r>
      <w:r w:rsidRPr="0051336C">
        <w:rPr>
          <w:rFonts w:ascii="Times New Roman" w:hAnsi="Times New Roman" w:cs="Times New Roman"/>
          <w:sz w:val="24"/>
          <w:szCs w:val="24"/>
        </w:rPr>
        <w:t>ha considerato che le successive sospensioni fossero illegittime, poiché «</w:t>
      </w:r>
      <w:r w:rsidRPr="0051336C">
        <w:rPr>
          <w:rFonts w:ascii="Times New Roman" w:hAnsi="Times New Roman" w:cs="Times New Roman"/>
          <w:i/>
          <w:iCs/>
          <w:sz w:val="24"/>
          <w:szCs w:val="24"/>
        </w:rPr>
        <w:t>la mera pubblicazione di una foto con un commento che si limita all’espressione del proprio pensiero (…) non si ritiene sufficiente a violare gli standard della comunità</w:t>
      </w:r>
      <w:r w:rsidRPr="0051336C">
        <w:rPr>
          <w:rFonts w:ascii="Times New Roman" w:hAnsi="Times New Roman" w:cs="Times New Roman"/>
          <w:sz w:val="24"/>
          <w:szCs w:val="24"/>
        </w:rPr>
        <w:t xml:space="preserve">». In appello si è quindi ridimensionato il risarcimento dovuto, in </w:t>
      </w:r>
      <w:proofErr w:type="gramStart"/>
      <w:r w:rsidRPr="0051336C">
        <w:rPr>
          <w:rFonts w:ascii="Times New Roman" w:hAnsi="Times New Roman" w:cs="Times New Roman"/>
          <w:sz w:val="24"/>
          <w:szCs w:val="24"/>
        </w:rPr>
        <w:t>3</w:t>
      </w:r>
      <w:proofErr w:type="gramEnd"/>
      <w:r>
        <w:rPr>
          <w:rFonts w:ascii="Times New Roman" w:hAnsi="Times New Roman" w:cs="Times New Roman"/>
          <w:sz w:val="24"/>
          <w:szCs w:val="24"/>
        </w:rPr>
        <w:t xml:space="preserve"> </w:t>
      </w:r>
      <w:r w:rsidRPr="0051336C">
        <w:rPr>
          <w:rFonts w:ascii="Times New Roman" w:hAnsi="Times New Roman" w:cs="Times New Roman"/>
          <w:sz w:val="24"/>
          <w:szCs w:val="24"/>
        </w:rPr>
        <w:t>mila euro.</w:t>
      </w:r>
    </w:p>
  </w:footnote>
  <w:footnote w:id="250">
    <w:p w14:paraId="0B32F05A" w14:textId="564EAFF8" w:rsidR="000463A6" w:rsidRPr="00F62557" w:rsidRDefault="000463A6" w:rsidP="00F62557">
      <w:pPr>
        <w:pStyle w:val="Testonotaapidipagina"/>
        <w:jc w:val="both"/>
        <w:rPr>
          <w:rFonts w:ascii="Times New Roman" w:hAnsi="Times New Roman" w:cs="Times New Roman"/>
          <w:sz w:val="24"/>
          <w:szCs w:val="24"/>
        </w:rPr>
      </w:pPr>
      <w:r w:rsidRPr="00F62557">
        <w:rPr>
          <w:rStyle w:val="Rimandonotaapidipagina"/>
          <w:rFonts w:ascii="Times New Roman" w:hAnsi="Times New Roman" w:cs="Times New Roman"/>
          <w:sz w:val="24"/>
          <w:szCs w:val="24"/>
        </w:rPr>
        <w:footnoteRef/>
      </w:r>
      <w:r w:rsidRPr="00F62557">
        <w:rPr>
          <w:rFonts w:ascii="Times New Roman" w:hAnsi="Times New Roman" w:cs="Times New Roman"/>
          <w:sz w:val="24"/>
          <w:szCs w:val="24"/>
        </w:rPr>
        <w:t xml:space="preserve"> </w:t>
      </w:r>
      <w:r w:rsidRPr="00F62557">
        <w:rPr>
          <w:rFonts w:ascii="Times New Roman" w:hAnsi="Times New Roman" w:cs="Times New Roman"/>
          <w:i/>
          <w:iCs/>
          <w:sz w:val="24"/>
          <w:szCs w:val="24"/>
        </w:rPr>
        <w:t>Cfr</w:t>
      </w:r>
      <w:r w:rsidRPr="00F62557">
        <w:rPr>
          <w:rFonts w:ascii="Times New Roman" w:hAnsi="Times New Roman" w:cs="Times New Roman"/>
          <w:sz w:val="24"/>
          <w:szCs w:val="24"/>
        </w:rPr>
        <w:t xml:space="preserve">. </w:t>
      </w:r>
      <w:proofErr w:type="spellStart"/>
      <w:r w:rsidRPr="00F62557">
        <w:rPr>
          <w:rFonts w:ascii="Times New Roman" w:hAnsi="Times New Roman" w:cs="Times New Roman"/>
          <w:sz w:val="24"/>
          <w:szCs w:val="24"/>
        </w:rPr>
        <w:t>Cass</w:t>
      </w:r>
      <w:proofErr w:type="spellEnd"/>
      <w:r w:rsidRPr="00F62557">
        <w:rPr>
          <w:rFonts w:ascii="Times New Roman" w:hAnsi="Times New Roman" w:cs="Times New Roman"/>
          <w:sz w:val="24"/>
          <w:szCs w:val="24"/>
        </w:rPr>
        <w:t>. Pen., Sez. Un., 17</w:t>
      </w:r>
      <w:r>
        <w:rPr>
          <w:rFonts w:ascii="Times New Roman" w:hAnsi="Times New Roman" w:cs="Times New Roman"/>
          <w:sz w:val="24"/>
          <w:szCs w:val="24"/>
        </w:rPr>
        <w:t>/07/</w:t>
      </w:r>
      <w:r w:rsidRPr="00F62557">
        <w:rPr>
          <w:rFonts w:ascii="Times New Roman" w:hAnsi="Times New Roman" w:cs="Times New Roman"/>
          <w:sz w:val="24"/>
          <w:szCs w:val="24"/>
        </w:rPr>
        <w:t>2015, n. 31022</w:t>
      </w:r>
      <w:r>
        <w:rPr>
          <w:rFonts w:ascii="Times New Roman" w:hAnsi="Times New Roman" w:cs="Times New Roman"/>
          <w:sz w:val="24"/>
          <w:szCs w:val="24"/>
        </w:rPr>
        <w:t>, cit.</w:t>
      </w:r>
    </w:p>
  </w:footnote>
  <w:footnote w:id="251">
    <w:p w14:paraId="00C8EAFA" w14:textId="3EB3269B" w:rsidR="000463A6" w:rsidRPr="00512B68" w:rsidRDefault="000463A6" w:rsidP="00F62557">
      <w:pPr>
        <w:pStyle w:val="Testonotaapidipagina"/>
        <w:jc w:val="both"/>
      </w:pPr>
      <w:r w:rsidRPr="00F62557">
        <w:rPr>
          <w:rStyle w:val="Rimandonotaapidipagina"/>
          <w:rFonts w:ascii="Times New Roman" w:hAnsi="Times New Roman" w:cs="Times New Roman"/>
          <w:sz w:val="24"/>
          <w:szCs w:val="24"/>
        </w:rPr>
        <w:footnoteRef/>
      </w:r>
      <w:r w:rsidRPr="00512B68">
        <w:rPr>
          <w:rFonts w:ascii="Times New Roman" w:hAnsi="Times New Roman" w:cs="Times New Roman"/>
          <w:sz w:val="24"/>
          <w:szCs w:val="24"/>
        </w:rPr>
        <w:t xml:space="preserve"> </w:t>
      </w:r>
      <w:r w:rsidRPr="00512B68">
        <w:rPr>
          <w:rFonts w:ascii="Times New Roman" w:hAnsi="Times New Roman" w:cs="Times New Roman"/>
          <w:i/>
          <w:iCs/>
          <w:sz w:val="24"/>
          <w:szCs w:val="24"/>
        </w:rPr>
        <w:t>Cfr</w:t>
      </w:r>
      <w:r w:rsidRPr="00512B68">
        <w:rPr>
          <w:rFonts w:ascii="Times New Roman" w:hAnsi="Times New Roman" w:cs="Times New Roman"/>
          <w:sz w:val="24"/>
          <w:szCs w:val="24"/>
        </w:rPr>
        <w:t xml:space="preserve">. </w:t>
      </w:r>
      <w:proofErr w:type="spellStart"/>
      <w:r w:rsidRPr="00512B68">
        <w:rPr>
          <w:rFonts w:ascii="Times New Roman" w:hAnsi="Times New Roman" w:cs="Times New Roman"/>
          <w:sz w:val="24"/>
          <w:szCs w:val="24"/>
        </w:rPr>
        <w:t>Cass</w:t>
      </w:r>
      <w:proofErr w:type="spellEnd"/>
      <w:r w:rsidRPr="00512B68">
        <w:rPr>
          <w:rFonts w:ascii="Times New Roman" w:hAnsi="Times New Roman" w:cs="Times New Roman"/>
          <w:sz w:val="24"/>
          <w:szCs w:val="24"/>
        </w:rPr>
        <w:t xml:space="preserve">. Pen., sez. V, 25/02/2020, n. 10905, disponibile su </w:t>
      </w:r>
      <w:r w:rsidRPr="00512B68">
        <w:rPr>
          <w:rFonts w:ascii="Times New Roman" w:hAnsi="Times New Roman" w:cs="Times New Roman"/>
          <w:i/>
          <w:iCs/>
          <w:sz w:val="24"/>
          <w:szCs w:val="24"/>
        </w:rPr>
        <w:t>dejure.it</w:t>
      </w:r>
      <w:r w:rsidRPr="00512B68">
        <w:rPr>
          <w:rFonts w:ascii="Times New Roman" w:hAnsi="Times New Roman" w:cs="Times New Roman"/>
          <w:sz w:val="24"/>
          <w:szCs w:val="24"/>
        </w:rPr>
        <w:t xml:space="preserve"> e su </w:t>
      </w:r>
      <w:r w:rsidRPr="00512B68">
        <w:rPr>
          <w:rFonts w:ascii="Times New Roman" w:hAnsi="Times New Roman" w:cs="Times New Roman"/>
          <w:i/>
          <w:iCs/>
          <w:sz w:val="24"/>
          <w:szCs w:val="24"/>
        </w:rPr>
        <w:t xml:space="preserve">Responsabilità Civile e Previdenza </w:t>
      </w:r>
      <w:r w:rsidRPr="00512B68">
        <w:rPr>
          <w:rFonts w:ascii="Times New Roman" w:hAnsi="Times New Roman" w:cs="Times New Roman"/>
          <w:sz w:val="24"/>
          <w:szCs w:val="24"/>
        </w:rPr>
        <w:t>2020, 4, 1306.</w:t>
      </w:r>
      <w:r w:rsidR="00BD128F">
        <w:rPr>
          <w:rFonts w:ascii="Times New Roman" w:hAnsi="Times New Roman" w:cs="Times New Roman"/>
          <w:sz w:val="24"/>
          <w:szCs w:val="24"/>
        </w:rPr>
        <w:t xml:space="preserve"> </w:t>
      </w:r>
      <w:r w:rsidR="00BD128F" w:rsidRPr="00BD128F">
        <w:rPr>
          <w:rFonts w:ascii="Times New Roman" w:hAnsi="Times New Roman" w:cs="Times New Roman"/>
          <w:sz w:val="24"/>
          <w:szCs w:val="24"/>
        </w:rPr>
        <w:t xml:space="preserve">Si veda </w:t>
      </w:r>
      <w:r w:rsidR="00BD128F">
        <w:rPr>
          <w:rFonts w:ascii="Times New Roman" w:hAnsi="Times New Roman" w:cs="Times New Roman"/>
          <w:sz w:val="24"/>
          <w:szCs w:val="24"/>
        </w:rPr>
        <w:t xml:space="preserve">anche </w:t>
      </w:r>
      <w:r w:rsidR="00BD128F" w:rsidRPr="00BD128F">
        <w:rPr>
          <w:rFonts w:ascii="Times New Roman" w:hAnsi="Times New Roman" w:cs="Times New Roman"/>
          <w:sz w:val="24"/>
          <w:szCs w:val="24"/>
        </w:rPr>
        <w:t>la recente sentenza 2 dicembre 2021, n. 44662</w:t>
      </w:r>
      <w:r w:rsidR="00BD128F">
        <w:rPr>
          <w:rFonts w:ascii="Times New Roman" w:hAnsi="Times New Roman" w:cs="Times New Roman"/>
          <w:sz w:val="24"/>
          <w:szCs w:val="24"/>
        </w:rPr>
        <w:t>,</w:t>
      </w:r>
      <w:r w:rsidR="00BD128F" w:rsidRPr="00BD128F">
        <w:rPr>
          <w:rFonts w:ascii="Times New Roman" w:hAnsi="Times New Roman" w:cs="Times New Roman"/>
          <w:sz w:val="24"/>
          <w:szCs w:val="24"/>
        </w:rPr>
        <w:t xml:space="preserve"> della Quinta Sezione Penale della Corte di Cassazione, commentata da </w:t>
      </w:r>
      <w:r w:rsidR="00BD128F" w:rsidRPr="00BD128F">
        <w:rPr>
          <w:rFonts w:ascii="Times New Roman" w:hAnsi="Times New Roman" w:cs="Times New Roman"/>
          <w:smallCaps/>
          <w:sz w:val="24"/>
          <w:szCs w:val="24"/>
        </w:rPr>
        <w:t xml:space="preserve">M. </w:t>
      </w:r>
      <w:proofErr w:type="spellStart"/>
      <w:r w:rsidR="00BD128F" w:rsidRPr="00BD128F">
        <w:rPr>
          <w:rFonts w:ascii="Times New Roman" w:hAnsi="Times New Roman" w:cs="Times New Roman"/>
          <w:smallCaps/>
          <w:sz w:val="24"/>
          <w:szCs w:val="24"/>
        </w:rPr>
        <w:t>Martorana</w:t>
      </w:r>
      <w:proofErr w:type="spellEnd"/>
      <w:r w:rsidR="00BD128F" w:rsidRPr="00BD128F">
        <w:rPr>
          <w:rFonts w:ascii="Times New Roman" w:hAnsi="Times New Roman" w:cs="Times New Roman"/>
          <w:sz w:val="24"/>
          <w:szCs w:val="24"/>
        </w:rPr>
        <w:t>, “</w:t>
      </w:r>
      <w:r w:rsidR="00BD128F" w:rsidRPr="00BD128F">
        <w:rPr>
          <w:rFonts w:ascii="Times New Roman" w:hAnsi="Times New Roman" w:cs="Times New Roman"/>
          <w:i/>
          <w:iCs/>
          <w:sz w:val="24"/>
          <w:szCs w:val="24"/>
        </w:rPr>
        <w:t xml:space="preserve">L’offesa su </w:t>
      </w:r>
      <w:proofErr w:type="spellStart"/>
      <w:r w:rsidR="00BD128F" w:rsidRPr="00BD128F">
        <w:rPr>
          <w:rFonts w:ascii="Times New Roman" w:hAnsi="Times New Roman" w:cs="Times New Roman"/>
          <w:i/>
          <w:iCs/>
          <w:sz w:val="24"/>
          <w:szCs w:val="24"/>
        </w:rPr>
        <w:t>Facebook</w:t>
      </w:r>
      <w:proofErr w:type="spellEnd"/>
      <w:r w:rsidR="00BD128F" w:rsidRPr="00BD128F">
        <w:rPr>
          <w:rFonts w:ascii="Times New Roman" w:hAnsi="Times New Roman" w:cs="Times New Roman"/>
          <w:i/>
          <w:iCs/>
          <w:sz w:val="24"/>
          <w:szCs w:val="24"/>
        </w:rPr>
        <w:t xml:space="preserve"> non è reato se l’insultato è online</w:t>
      </w:r>
      <w:r w:rsidR="00BD128F" w:rsidRPr="00BD128F">
        <w:rPr>
          <w:rFonts w:ascii="Times New Roman" w:hAnsi="Times New Roman" w:cs="Times New Roman"/>
          <w:sz w:val="24"/>
          <w:szCs w:val="24"/>
        </w:rPr>
        <w:t xml:space="preserve">”, su </w:t>
      </w:r>
      <w:r w:rsidR="00BD128F" w:rsidRPr="00BD128F">
        <w:rPr>
          <w:rFonts w:ascii="Times New Roman" w:hAnsi="Times New Roman" w:cs="Times New Roman"/>
          <w:i/>
          <w:iCs/>
          <w:sz w:val="24"/>
          <w:szCs w:val="24"/>
        </w:rPr>
        <w:t>altalex.com</w:t>
      </w:r>
      <w:r w:rsidR="00BD128F" w:rsidRPr="00BD128F">
        <w:rPr>
          <w:rFonts w:ascii="Times New Roman" w:hAnsi="Times New Roman" w:cs="Times New Roman"/>
          <w:sz w:val="24"/>
          <w:szCs w:val="24"/>
        </w:rPr>
        <w:t xml:space="preserve">, febbraio 2022. Nel caso di specie, i giudici della Corte d’Appello di Catanzaro avevano confermato la condanna di un soggetto per diffamazione per aver pubblicato commenti e insulti su una </w:t>
      </w:r>
      <w:r w:rsidR="00BD128F" w:rsidRPr="00BD128F">
        <w:rPr>
          <w:rFonts w:ascii="Times New Roman" w:hAnsi="Times New Roman" w:cs="Times New Roman"/>
          <w:i/>
          <w:iCs/>
          <w:sz w:val="24"/>
          <w:szCs w:val="24"/>
        </w:rPr>
        <w:t>chat</w:t>
      </w:r>
      <w:r w:rsidR="00BD128F" w:rsidRPr="00BD128F">
        <w:rPr>
          <w:rFonts w:ascii="Times New Roman" w:hAnsi="Times New Roman" w:cs="Times New Roman"/>
          <w:sz w:val="24"/>
          <w:szCs w:val="24"/>
        </w:rPr>
        <w:t xml:space="preserve"> con la persona offesa. La Corte di Cassazione, tuttavia, ha accolto il ricorso dell’imputato, che richiedeva di qualificare la fattispecie come ingiuria</w:t>
      </w:r>
      <w:r w:rsidR="00BD128F">
        <w:rPr>
          <w:rFonts w:ascii="Times New Roman" w:hAnsi="Times New Roman" w:cs="Times New Roman"/>
          <w:sz w:val="24"/>
          <w:szCs w:val="24"/>
        </w:rPr>
        <w:t xml:space="preserve"> </w:t>
      </w:r>
      <w:r w:rsidR="00BD128F" w:rsidRPr="00BD128F">
        <w:rPr>
          <w:rFonts w:ascii="Times New Roman" w:hAnsi="Times New Roman" w:cs="Times New Roman"/>
          <w:sz w:val="24"/>
          <w:szCs w:val="24"/>
        </w:rPr>
        <w:t xml:space="preserve">e non come diffamazione. In sostanza, la Corte ha ribadito l’importanza del requisito della presenza della vittima per la distinzione tra ingiuria e diffamazione, presenza che secondo i giudici può essere anche “virtuale” e non necessariamente fisica o telefonica. Poiché nel caso di specie il destinatario delle offese in </w:t>
      </w:r>
      <w:r w:rsidR="00BD128F" w:rsidRPr="00BD128F">
        <w:rPr>
          <w:rFonts w:ascii="Times New Roman" w:hAnsi="Times New Roman" w:cs="Times New Roman"/>
          <w:i/>
          <w:iCs/>
          <w:sz w:val="24"/>
          <w:szCs w:val="24"/>
        </w:rPr>
        <w:t>chat</w:t>
      </w:r>
      <w:r w:rsidR="00BD128F" w:rsidRPr="00BD128F">
        <w:rPr>
          <w:rFonts w:ascii="Times New Roman" w:hAnsi="Times New Roman" w:cs="Times New Roman"/>
          <w:sz w:val="24"/>
          <w:szCs w:val="24"/>
        </w:rPr>
        <w:t xml:space="preserve"> era </w:t>
      </w:r>
      <w:r w:rsidR="00BD128F" w:rsidRPr="00BD128F">
        <w:rPr>
          <w:rFonts w:ascii="Times New Roman" w:hAnsi="Times New Roman" w:cs="Times New Roman"/>
          <w:i/>
          <w:iCs/>
          <w:sz w:val="24"/>
          <w:szCs w:val="24"/>
        </w:rPr>
        <w:t>online</w:t>
      </w:r>
      <w:r w:rsidR="00BD128F" w:rsidRPr="00BD128F">
        <w:rPr>
          <w:rFonts w:ascii="Times New Roman" w:hAnsi="Times New Roman" w:cs="Times New Roman"/>
          <w:sz w:val="24"/>
          <w:szCs w:val="24"/>
        </w:rPr>
        <w:t xml:space="preserve"> e, dunque, riceveva i messaggi in tempo reale, la fattispecie che si è configurata è quella dell’ingiuria, con esclusione del reato di diffamazione e della rilevanza penale della condotta. La Corte, richiamando la precedente sentenza n. 10905/2020, ha chiarito che anche laddove gli insulti fossero stati proferiti durante una riunione da remoto tra più individui compreso l’offeso si sarebbe trattato di ingiuria commessa alla presenza di più persone, anch’essa depenalizzata.</w:t>
      </w:r>
    </w:p>
  </w:footnote>
  <w:footnote w:id="252">
    <w:p w14:paraId="1AF75E37" w14:textId="63955856" w:rsidR="000463A6" w:rsidRPr="00796345" w:rsidRDefault="000463A6" w:rsidP="003A6C0E">
      <w:pPr>
        <w:pStyle w:val="Testonotaapidipagina"/>
        <w:jc w:val="both"/>
        <w:rPr>
          <w:rFonts w:ascii="Times New Roman" w:hAnsi="Times New Roman" w:cs="Times New Roman"/>
          <w:sz w:val="24"/>
          <w:szCs w:val="24"/>
        </w:rPr>
      </w:pPr>
      <w:r w:rsidRPr="00796345">
        <w:rPr>
          <w:rStyle w:val="Rimandonotaapidipagina"/>
          <w:rFonts w:ascii="Times New Roman" w:hAnsi="Times New Roman" w:cs="Times New Roman"/>
          <w:sz w:val="24"/>
          <w:szCs w:val="24"/>
        </w:rPr>
        <w:footnoteRef/>
      </w:r>
      <w:r w:rsidRPr="00796345">
        <w:rPr>
          <w:rFonts w:ascii="Times New Roman" w:hAnsi="Times New Roman" w:cs="Times New Roman"/>
          <w:sz w:val="24"/>
          <w:szCs w:val="24"/>
        </w:rPr>
        <w:t xml:space="preserve"> </w:t>
      </w:r>
      <w:proofErr w:type="spellStart"/>
      <w:r w:rsidRPr="00796345">
        <w:rPr>
          <w:rFonts w:ascii="Times New Roman" w:hAnsi="Times New Roman" w:cs="Times New Roman"/>
          <w:sz w:val="24"/>
          <w:szCs w:val="24"/>
        </w:rPr>
        <w:t>Cass</w:t>
      </w:r>
      <w:proofErr w:type="spellEnd"/>
      <w:r w:rsidRPr="00796345">
        <w:rPr>
          <w:rFonts w:ascii="Times New Roman" w:hAnsi="Times New Roman" w:cs="Times New Roman"/>
          <w:sz w:val="24"/>
          <w:szCs w:val="24"/>
        </w:rPr>
        <w:t xml:space="preserve">. Pen., sez. V, 02/02/2017, n. 12603, disponibile su </w:t>
      </w:r>
      <w:r w:rsidRPr="00796345">
        <w:rPr>
          <w:rFonts w:ascii="Times New Roman" w:hAnsi="Times New Roman" w:cs="Times New Roman"/>
          <w:i/>
          <w:iCs/>
          <w:sz w:val="24"/>
          <w:szCs w:val="24"/>
        </w:rPr>
        <w:t>dejure.it</w:t>
      </w:r>
      <w:r w:rsidRPr="00796345">
        <w:rPr>
          <w:rFonts w:ascii="Times New Roman" w:hAnsi="Times New Roman" w:cs="Times New Roman"/>
          <w:sz w:val="24"/>
          <w:szCs w:val="24"/>
        </w:rPr>
        <w:t xml:space="preserve"> e su </w:t>
      </w:r>
      <w:r w:rsidRPr="00796345">
        <w:rPr>
          <w:rFonts w:ascii="Times New Roman" w:hAnsi="Times New Roman" w:cs="Times New Roman"/>
          <w:i/>
          <w:iCs/>
          <w:sz w:val="24"/>
          <w:szCs w:val="24"/>
        </w:rPr>
        <w:t>Cassazione Penale</w:t>
      </w:r>
      <w:r w:rsidRPr="00796345">
        <w:rPr>
          <w:rFonts w:ascii="Times New Roman" w:hAnsi="Times New Roman" w:cs="Times New Roman"/>
          <w:sz w:val="24"/>
          <w:szCs w:val="24"/>
        </w:rPr>
        <w:t xml:space="preserve"> 2017, 9, 3312 e </w:t>
      </w:r>
      <w:r w:rsidRPr="00796345">
        <w:rPr>
          <w:rFonts w:ascii="Times New Roman" w:hAnsi="Times New Roman" w:cs="Times New Roman"/>
          <w:i/>
          <w:iCs/>
          <w:sz w:val="24"/>
          <w:szCs w:val="24"/>
        </w:rPr>
        <w:t>CED</w:t>
      </w:r>
      <w:r w:rsidRPr="00796345">
        <w:rPr>
          <w:rFonts w:ascii="Times New Roman" w:hAnsi="Times New Roman" w:cs="Times New Roman"/>
          <w:sz w:val="24"/>
          <w:szCs w:val="24"/>
        </w:rPr>
        <w:t xml:space="preserve"> </w:t>
      </w:r>
      <w:proofErr w:type="spellStart"/>
      <w:r w:rsidRPr="00796345">
        <w:rPr>
          <w:rFonts w:ascii="Times New Roman" w:hAnsi="Times New Roman" w:cs="Times New Roman"/>
          <w:sz w:val="24"/>
          <w:szCs w:val="24"/>
        </w:rPr>
        <w:t>Cass</w:t>
      </w:r>
      <w:proofErr w:type="spellEnd"/>
      <w:r w:rsidRPr="00796345">
        <w:rPr>
          <w:rFonts w:ascii="Times New Roman" w:hAnsi="Times New Roman" w:cs="Times New Roman"/>
          <w:sz w:val="24"/>
          <w:szCs w:val="24"/>
        </w:rPr>
        <w:t xml:space="preserve">. </w:t>
      </w:r>
      <w:proofErr w:type="spellStart"/>
      <w:r w:rsidRPr="00796345">
        <w:rPr>
          <w:rFonts w:ascii="Times New Roman" w:hAnsi="Times New Roman" w:cs="Times New Roman"/>
          <w:sz w:val="24"/>
          <w:szCs w:val="24"/>
        </w:rPr>
        <w:t>pen</w:t>
      </w:r>
      <w:proofErr w:type="spellEnd"/>
      <w:r w:rsidRPr="00796345">
        <w:rPr>
          <w:rFonts w:ascii="Times New Roman" w:hAnsi="Times New Roman" w:cs="Times New Roman"/>
          <w:sz w:val="24"/>
          <w:szCs w:val="24"/>
        </w:rPr>
        <w:t xml:space="preserve">. 2017; </w:t>
      </w:r>
      <w:proofErr w:type="spellStart"/>
      <w:r w:rsidRPr="00796345">
        <w:rPr>
          <w:rFonts w:ascii="Times New Roman" w:hAnsi="Times New Roman" w:cs="Times New Roman"/>
          <w:sz w:val="24"/>
          <w:szCs w:val="24"/>
        </w:rPr>
        <w:t>Cass</w:t>
      </w:r>
      <w:proofErr w:type="spellEnd"/>
      <w:r w:rsidRPr="00796345">
        <w:rPr>
          <w:rFonts w:ascii="Times New Roman" w:hAnsi="Times New Roman" w:cs="Times New Roman"/>
          <w:sz w:val="24"/>
          <w:szCs w:val="24"/>
        </w:rPr>
        <w:t>. Pen., sez. V, 06/07/2018, n. 34484</w:t>
      </w:r>
      <w:r>
        <w:rPr>
          <w:rFonts w:ascii="Times New Roman" w:hAnsi="Times New Roman" w:cs="Times New Roman"/>
          <w:sz w:val="24"/>
          <w:szCs w:val="24"/>
        </w:rPr>
        <w:t xml:space="preserve">, </w:t>
      </w:r>
      <w:r w:rsidRPr="00796345">
        <w:rPr>
          <w:rFonts w:ascii="Times New Roman" w:hAnsi="Times New Roman" w:cs="Times New Roman"/>
          <w:sz w:val="24"/>
          <w:szCs w:val="24"/>
        </w:rPr>
        <w:t xml:space="preserve">disponibile su </w:t>
      </w:r>
      <w:r w:rsidRPr="00796345">
        <w:rPr>
          <w:rFonts w:ascii="Times New Roman" w:hAnsi="Times New Roman" w:cs="Times New Roman"/>
          <w:i/>
          <w:iCs/>
          <w:sz w:val="24"/>
          <w:szCs w:val="24"/>
        </w:rPr>
        <w:t>dejure.it</w:t>
      </w:r>
      <w:r w:rsidRPr="00796345">
        <w:rPr>
          <w:rFonts w:ascii="Times New Roman" w:hAnsi="Times New Roman" w:cs="Times New Roman"/>
          <w:sz w:val="24"/>
          <w:szCs w:val="24"/>
        </w:rPr>
        <w:t xml:space="preserve"> e su </w:t>
      </w:r>
      <w:r w:rsidRPr="00796345">
        <w:rPr>
          <w:rFonts w:ascii="Times New Roman" w:hAnsi="Times New Roman" w:cs="Times New Roman"/>
          <w:i/>
          <w:iCs/>
          <w:sz w:val="24"/>
          <w:szCs w:val="24"/>
        </w:rPr>
        <w:t>Diritto &amp; Giustizia</w:t>
      </w:r>
      <w:r w:rsidRPr="00796345">
        <w:rPr>
          <w:rFonts w:ascii="Times New Roman" w:hAnsi="Times New Roman" w:cs="Times New Roman"/>
          <w:sz w:val="24"/>
          <w:szCs w:val="24"/>
        </w:rPr>
        <w:t xml:space="preserve">, 23 luglio 2018; </w:t>
      </w:r>
      <w:proofErr w:type="spellStart"/>
      <w:r w:rsidRPr="00796345">
        <w:rPr>
          <w:rFonts w:ascii="Times New Roman" w:hAnsi="Times New Roman" w:cs="Times New Roman"/>
          <w:sz w:val="24"/>
          <w:szCs w:val="24"/>
        </w:rPr>
        <w:t>Cass</w:t>
      </w:r>
      <w:proofErr w:type="spellEnd"/>
      <w:r w:rsidRPr="00796345">
        <w:rPr>
          <w:rFonts w:ascii="Times New Roman" w:hAnsi="Times New Roman" w:cs="Times New Roman"/>
          <w:sz w:val="24"/>
          <w:szCs w:val="24"/>
        </w:rPr>
        <w:t xml:space="preserve">. Pen., sez. V, 04/03/2021, n. 13252, disponibile su </w:t>
      </w:r>
      <w:r w:rsidRPr="00796345">
        <w:rPr>
          <w:rFonts w:ascii="Times New Roman" w:hAnsi="Times New Roman" w:cs="Times New Roman"/>
          <w:i/>
          <w:iCs/>
          <w:sz w:val="24"/>
          <w:szCs w:val="24"/>
        </w:rPr>
        <w:t>dejure.it</w:t>
      </w:r>
      <w:r w:rsidRPr="00796345">
        <w:rPr>
          <w:rFonts w:ascii="Times New Roman" w:hAnsi="Times New Roman" w:cs="Times New Roman"/>
          <w:sz w:val="24"/>
          <w:szCs w:val="24"/>
        </w:rPr>
        <w:t>; nota a sentenza di A</w:t>
      </w:r>
      <w:r w:rsidRPr="00796345">
        <w:rPr>
          <w:rFonts w:ascii="Times New Roman" w:hAnsi="Times New Roman" w:cs="Times New Roman"/>
          <w:smallCaps/>
          <w:sz w:val="24"/>
          <w:szCs w:val="24"/>
        </w:rPr>
        <w:t>. Ievolella</w:t>
      </w:r>
      <w:r w:rsidRPr="00796345">
        <w:rPr>
          <w:rFonts w:ascii="Times New Roman" w:hAnsi="Times New Roman" w:cs="Times New Roman"/>
          <w:sz w:val="24"/>
          <w:szCs w:val="24"/>
        </w:rPr>
        <w:t>, “</w:t>
      </w:r>
      <w:r w:rsidRPr="00796345">
        <w:rPr>
          <w:rFonts w:ascii="Times New Roman" w:hAnsi="Times New Roman" w:cs="Times New Roman"/>
          <w:i/>
          <w:iCs/>
          <w:sz w:val="24"/>
          <w:szCs w:val="24"/>
        </w:rPr>
        <w:t>Offeso con una e-mail inviata a lui e ad alcuni colleghi: è diffamazione</w:t>
      </w:r>
      <w:r w:rsidRPr="00796345">
        <w:rPr>
          <w:rFonts w:ascii="Times New Roman" w:hAnsi="Times New Roman" w:cs="Times New Roman"/>
          <w:sz w:val="24"/>
          <w:szCs w:val="24"/>
        </w:rPr>
        <w:t xml:space="preserve">”, su </w:t>
      </w:r>
      <w:r w:rsidRPr="00796345">
        <w:rPr>
          <w:rFonts w:ascii="Times New Roman" w:hAnsi="Times New Roman" w:cs="Times New Roman"/>
          <w:i/>
          <w:iCs/>
          <w:sz w:val="24"/>
          <w:szCs w:val="24"/>
        </w:rPr>
        <w:t>Diritto &amp; Giustizia</w:t>
      </w:r>
      <w:r w:rsidRPr="00796345">
        <w:rPr>
          <w:rFonts w:ascii="Times New Roman" w:hAnsi="Times New Roman" w:cs="Times New Roman"/>
          <w:sz w:val="24"/>
          <w:szCs w:val="24"/>
        </w:rPr>
        <w:t>, fasc. 73, 2021, pag. 7.</w:t>
      </w:r>
    </w:p>
  </w:footnote>
  <w:footnote w:id="253">
    <w:p w14:paraId="59D78E8D" w14:textId="690CA5E4" w:rsidR="000463A6" w:rsidRPr="00351783" w:rsidRDefault="000463A6" w:rsidP="003A6C0E">
      <w:pPr>
        <w:pStyle w:val="Testonotaapidipagina"/>
        <w:jc w:val="both"/>
        <w:rPr>
          <w:rFonts w:ascii="Times New Roman" w:hAnsi="Times New Roman" w:cs="Times New Roman"/>
          <w:sz w:val="24"/>
          <w:szCs w:val="24"/>
          <w:lang w:val="en-US"/>
        </w:rPr>
      </w:pPr>
      <w:r w:rsidRPr="00796345">
        <w:rPr>
          <w:rStyle w:val="Rimandonotaapidipagina"/>
          <w:rFonts w:ascii="Times New Roman" w:hAnsi="Times New Roman" w:cs="Times New Roman"/>
          <w:sz w:val="24"/>
          <w:szCs w:val="24"/>
        </w:rPr>
        <w:footnoteRef/>
      </w:r>
      <w:r w:rsidRPr="00351783">
        <w:rPr>
          <w:rFonts w:ascii="Times New Roman" w:hAnsi="Times New Roman" w:cs="Times New Roman"/>
          <w:sz w:val="24"/>
          <w:szCs w:val="24"/>
          <w:lang w:val="en-US"/>
        </w:rPr>
        <w:t xml:space="preserve"> V. Cass. Pen., sez. V, n. 10905/2020, cit.</w:t>
      </w:r>
    </w:p>
  </w:footnote>
  <w:footnote w:id="254">
    <w:p w14:paraId="35B7A7C9" w14:textId="6B59C7E3" w:rsidR="000463A6" w:rsidRPr="00BF3C46" w:rsidRDefault="000463A6" w:rsidP="00696406">
      <w:pPr>
        <w:pStyle w:val="Testonotaapidipagina"/>
        <w:jc w:val="both"/>
        <w:rPr>
          <w:rFonts w:ascii="Times New Roman" w:hAnsi="Times New Roman" w:cs="Times New Roman"/>
          <w:sz w:val="24"/>
          <w:szCs w:val="24"/>
        </w:rPr>
      </w:pPr>
      <w:r w:rsidRPr="00796345">
        <w:rPr>
          <w:rStyle w:val="Rimandonotaapidipagina"/>
          <w:rFonts w:ascii="Times New Roman" w:hAnsi="Times New Roman" w:cs="Times New Roman"/>
          <w:sz w:val="24"/>
          <w:szCs w:val="24"/>
        </w:rPr>
        <w:footnoteRef/>
      </w:r>
      <w:r w:rsidRPr="00796345">
        <w:rPr>
          <w:rFonts w:ascii="Times New Roman" w:hAnsi="Times New Roman" w:cs="Times New Roman"/>
          <w:sz w:val="24"/>
          <w:szCs w:val="24"/>
        </w:rPr>
        <w:t xml:space="preserve"> </w:t>
      </w:r>
      <w:r w:rsidRPr="008D4F17">
        <w:rPr>
          <w:rFonts w:ascii="Times New Roman" w:hAnsi="Times New Roman" w:cs="Times New Roman"/>
          <w:sz w:val="24"/>
          <w:szCs w:val="24"/>
        </w:rPr>
        <w:t xml:space="preserve">Si vedano le sentenze Tribunale di Firenze, 15/05/2019, n. 1502, disponibile su </w:t>
      </w:r>
      <w:r w:rsidRPr="001028FD">
        <w:rPr>
          <w:rFonts w:ascii="Times New Roman" w:hAnsi="Times New Roman" w:cs="Times New Roman"/>
          <w:i/>
          <w:iCs/>
          <w:sz w:val="24"/>
          <w:szCs w:val="24"/>
        </w:rPr>
        <w:t>dejure.it</w:t>
      </w:r>
      <w:r w:rsidRPr="008D4F17">
        <w:rPr>
          <w:rFonts w:ascii="Times New Roman" w:hAnsi="Times New Roman" w:cs="Times New Roman"/>
          <w:sz w:val="24"/>
          <w:szCs w:val="24"/>
        </w:rPr>
        <w:t xml:space="preserve"> e su </w:t>
      </w:r>
      <w:r w:rsidRPr="001028FD">
        <w:rPr>
          <w:rFonts w:ascii="Times New Roman" w:hAnsi="Times New Roman" w:cs="Times New Roman"/>
          <w:i/>
          <w:iCs/>
          <w:sz w:val="24"/>
          <w:szCs w:val="24"/>
        </w:rPr>
        <w:t xml:space="preserve">Redazione </w:t>
      </w:r>
      <w:proofErr w:type="spellStart"/>
      <w:r w:rsidRPr="001028FD">
        <w:rPr>
          <w:rFonts w:ascii="Times New Roman" w:hAnsi="Times New Roman" w:cs="Times New Roman"/>
          <w:i/>
          <w:iCs/>
          <w:sz w:val="24"/>
          <w:szCs w:val="24"/>
        </w:rPr>
        <w:t>Giuffrè</w:t>
      </w:r>
      <w:proofErr w:type="spellEnd"/>
      <w:r w:rsidRPr="001028FD">
        <w:rPr>
          <w:rFonts w:ascii="Times New Roman" w:hAnsi="Times New Roman" w:cs="Times New Roman"/>
          <w:i/>
          <w:iCs/>
          <w:sz w:val="24"/>
          <w:szCs w:val="24"/>
        </w:rPr>
        <w:t xml:space="preserve"> 2019</w:t>
      </w:r>
      <w:r w:rsidRPr="008D4F17">
        <w:rPr>
          <w:rFonts w:ascii="Times New Roman" w:hAnsi="Times New Roman" w:cs="Times New Roman"/>
          <w:sz w:val="24"/>
          <w:szCs w:val="24"/>
        </w:rPr>
        <w:t xml:space="preserve">; Corte di Appello di Taranto, 27/01/2021, n. 84, disponibile su </w:t>
      </w:r>
      <w:r w:rsidRPr="001028FD">
        <w:rPr>
          <w:rFonts w:ascii="Times New Roman" w:hAnsi="Times New Roman" w:cs="Times New Roman"/>
          <w:i/>
          <w:iCs/>
          <w:sz w:val="24"/>
          <w:szCs w:val="24"/>
        </w:rPr>
        <w:t>dejure.it</w:t>
      </w:r>
      <w:r w:rsidRPr="008D4F17">
        <w:rPr>
          <w:rFonts w:ascii="Times New Roman" w:hAnsi="Times New Roman" w:cs="Times New Roman"/>
          <w:sz w:val="24"/>
          <w:szCs w:val="24"/>
        </w:rPr>
        <w:t xml:space="preserve"> e su </w:t>
      </w:r>
      <w:r w:rsidRPr="001028FD">
        <w:rPr>
          <w:rFonts w:ascii="Times New Roman" w:hAnsi="Times New Roman" w:cs="Times New Roman"/>
          <w:i/>
          <w:iCs/>
          <w:sz w:val="24"/>
          <w:szCs w:val="24"/>
        </w:rPr>
        <w:t>Guida al diritto</w:t>
      </w:r>
      <w:r w:rsidRPr="008D4F17">
        <w:rPr>
          <w:rFonts w:ascii="Times New Roman" w:hAnsi="Times New Roman" w:cs="Times New Roman"/>
          <w:sz w:val="24"/>
          <w:szCs w:val="24"/>
        </w:rPr>
        <w:t xml:space="preserve"> 2021, 23; </w:t>
      </w:r>
      <w:proofErr w:type="spellStart"/>
      <w:r w:rsidRPr="008D4F17">
        <w:rPr>
          <w:rFonts w:ascii="Times New Roman" w:hAnsi="Times New Roman" w:cs="Times New Roman"/>
          <w:sz w:val="24"/>
          <w:szCs w:val="24"/>
        </w:rPr>
        <w:t>Cass</w:t>
      </w:r>
      <w:proofErr w:type="spellEnd"/>
      <w:r w:rsidRPr="008D4F17">
        <w:rPr>
          <w:rFonts w:ascii="Times New Roman" w:hAnsi="Times New Roman" w:cs="Times New Roman"/>
          <w:sz w:val="24"/>
          <w:szCs w:val="24"/>
        </w:rPr>
        <w:t xml:space="preserve">. </w:t>
      </w:r>
      <w:proofErr w:type="spellStart"/>
      <w:r w:rsidRPr="008D4F17">
        <w:rPr>
          <w:rFonts w:ascii="Times New Roman" w:hAnsi="Times New Roman" w:cs="Times New Roman"/>
          <w:sz w:val="24"/>
          <w:szCs w:val="24"/>
        </w:rPr>
        <w:t>Civ</w:t>
      </w:r>
      <w:proofErr w:type="spellEnd"/>
      <w:r w:rsidRPr="008D4F17">
        <w:rPr>
          <w:rFonts w:ascii="Times New Roman" w:hAnsi="Times New Roman" w:cs="Times New Roman"/>
          <w:sz w:val="24"/>
          <w:szCs w:val="24"/>
        </w:rPr>
        <w:t xml:space="preserve">., sez. III, 26/10/2017, n. 25420, disponibile su </w:t>
      </w:r>
      <w:r w:rsidRPr="001028FD">
        <w:rPr>
          <w:rFonts w:ascii="Times New Roman" w:hAnsi="Times New Roman" w:cs="Times New Roman"/>
          <w:i/>
          <w:iCs/>
          <w:sz w:val="24"/>
          <w:szCs w:val="24"/>
        </w:rPr>
        <w:t>dejure.it</w:t>
      </w:r>
      <w:r w:rsidRPr="008D4F17">
        <w:rPr>
          <w:rFonts w:ascii="Times New Roman" w:hAnsi="Times New Roman" w:cs="Times New Roman"/>
          <w:sz w:val="24"/>
          <w:szCs w:val="24"/>
        </w:rPr>
        <w:t xml:space="preserve">; note a sentenza di </w:t>
      </w:r>
      <w:r w:rsidRPr="001028FD">
        <w:rPr>
          <w:rFonts w:ascii="Times New Roman" w:hAnsi="Times New Roman" w:cs="Times New Roman"/>
          <w:smallCaps/>
          <w:sz w:val="24"/>
          <w:szCs w:val="24"/>
        </w:rPr>
        <w:t>I. Alagna</w:t>
      </w:r>
      <w:r w:rsidRPr="008D4F17">
        <w:rPr>
          <w:rFonts w:ascii="Times New Roman" w:hAnsi="Times New Roman" w:cs="Times New Roman"/>
          <w:sz w:val="24"/>
          <w:szCs w:val="24"/>
        </w:rPr>
        <w:t>, “</w:t>
      </w:r>
      <w:r w:rsidRPr="001028FD">
        <w:rPr>
          <w:rFonts w:ascii="Times New Roman" w:hAnsi="Times New Roman" w:cs="Times New Roman"/>
          <w:i/>
          <w:iCs/>
          <w:sz w:val="24"/>
          <w:szCs w:val="24"/>
        </w:rPr>
        <w:t>Diffamazione a mezzo stampa: il reato sussiste anche in assenza di esplicita indicazione del nome</w:t>
      </w:r>
      <w:r w:rsidRPr="008D4F17">
        <w:rPr>
          <w:rFonts w:ascii="Times New Roman" w:hAnsi="Times New Roman" w:cs="Times New Roman"/>
          <w:sz w:val="24"/>
          <w:szCs w:val="24"/>
        </w:rPr>
        <w:t xml:space="preserve">”, su </w:t>
      </w:r>
      <w:r w:rsidRPr="001028FD">
        <w:rPr>
          <w:rFonts w:ascii="Times New Roman" w:hAnsi="Times New Roman" w:cs="Times New Roman"/>
          <w:i/>
          <w:iCs/>
          <w:sz w:val="24"/>
          <w:szCs w:val="24"/>
        </w:rPr>
        <w:t>Ridare.it</w:t>
      </w:r>
      <w:r w:rsidRPr="008D4F17">
        <w:rPr>
          <w:rFonts w:ascii="Times New Roman" w:hAnsi="Times New Roman" w:cs="Times New Roman"/>
          <w:sz w:val="24"/>
          <w:szCs w:val="24"/>
        </w:rPr>
        <w:t xml:space="preserve">, 18 dicembre 2017 e </w:t>
      </w:r>
      <w:r w:rsidRPr="001028FD">
        <w:rPr>
          <w:rFonts w:ascii="Times New Roman" w:hAnsi="Times New Roman" w:cs="Times New Roman"/>
          <w:smallCaps/>
          <w:sz w:val="24"/>
          <w:szCs w:val="24"/>
        </w:rPr>
        <w:t>A. Villa</w:t>
      </w:r>
      <w:r w:rsidRPr="008D4F17">
        <w:rPr>
          <w:rFonts w:ascii="Times New Roman" w:hAnsi="Times New Roman" w:cs="Times New Roman"/>
          <w:sz w:val="24"/>
          <w:szCs w:val="24"/>
        </w:rPr>
        <w:t>, “</w:t>
      </w:r>
      <w:r w:rsidRPr="001028FD">
        <w:rPr>
          <w:rFonts w:ascii="Times New Roman" w:hAnsi="Times New Roman" w:cs="Times New Roman"/>
          <w:i/>
          <w:iCs/>
          <w:sz w:val="24"/>
          <w:szCs w:val="24"/>
        </w:rPr>
        <w:t>Il diritto di critica ancorché contenga giudizi soggettivi deve fondarsi su fatti che debbono corrispondere a verità perlomeno putativa</w:t>
      </w:r>
      <w:r w:rsidRPr="008D4F17">
        <w:rPr>
          <w:rFonts w:ascii="Times New Roman" w:hAnsi="Times New Roman" w:cs="Times New Roman"/>
          <w:sz w:val="24"/>
          <w:szCs w:val="24"/>
        </w:rPr>
        <w:t xml:space="preserve">”, su </w:t>
      </w:r>
      <w:r w:rsidRPr="001028FD">
        <w:rPr>
          <w:rFonts w:ascii="Times New Roman" w:hAnsi="Times New Roman" w:cs="Times New Roman"/>
          <w:i/>
          <w:iCs/>
          <w:sz w:val="24"/>
          <w:szCs w:val="24"/>
        </w:rPr>
        <w:t>Diritto &amp; Giustizia</w:t>
      </w:r>
      <w:r w:rsidRPr="008D4F17">
        <w:rPr>
          <w:rFonts w:ascii="Times New Roman" w:hAnsi="Times New Roman" w:cs="Times New Roman"/>
          <w:sz w:val="24"/>
          <w:szCs w:val="24"/>
        </w:rPr>
        <w:t xml:space="preserve">, fasc. 171, 2017, pag. 11; Tribunale di Milano, sez. I, 15/07/2020, n. 4250, disponibile su </w:t>
      </w:r>
      <w:r w:rsidRPr="001028FD">
        <w:rPr>
          <w:rFonts w:ascii="Times New Roman" w:hAnsi="Times New Roman" w:cs="Times New Roman"/>
          <w:i/>
          <w:iCs/>
          <w:sz w:val="24"/>
          <w:szCs w:val="24"/>
        </w:rPr>
        <w:t>dejure.it</w:t>
      </w:r>
      <w:r w:rsidRPr="008D4F17">
        <w:rPr>
          <w:rFonts w:ascii="Times New Roman" w:hAnsi="Times New Roman" w:cs="Times New Roman"/>
          <w:sz w:val="24"/>
          <w:szCs w:val="24"/>
        </w:rPr>
        <w:t xml:space="preserve"> e </w:t>
      </w:r>
      <w:r w:rsidRPr="001028FD">
        <w:rPr>
          <w:rFonts w:ascii="Times New Roman" w:hAnsi="Times New Roman" w:cs="Times New Roman"/>
          <w:i/>
          <w:iCs/>
          <w:sz w:val="24"/>
          <w:szCs w:val="24"/>
        </w:rPr>
        <w:t xml:space="preserve">Redazione </w:t>
      </w:r>
      <w:proofErr w:type="spellStart"/>
      <w:r w:rsidRPr="001028FD">
        <w:rPr>
          <w:rFonts w:ascii="Times New Roman" w:hAnsi="Times New Roman" w:cs="Times New Roman"/>
          <w:i/>
          <w:iCs/>
          <w:sz w:val="24"/>
          <w:szCs w:val="24"/>
        </w:rPr>
        <w:t>Giuffrè</w:t>
      </w:r>
      <w:proofErr w:type="spellEnd"/>
      <w:r w:rsidRPr="001028FD">
        <w:rPr>
          <w:rFonts w:ascii="Times New Roman" w:hAnsi="Times New Roman" w:cs="Times New Roman"/>
          <w:i/>
          <w:iCs/>
          <w:sz w:val="24"/>
          <w:szCs w:val="24"/>
        </w:rPr>
        <w:t xml:space="preserve"> 2020</w:t>
      </w:r>
      <w:r w:rsidRPr="008D4F17">
        <w:rPr>
          <w:rFonts w:ascii="Times New Roman" w:hAnsi="Times New Roman" w:cs="Times New Roman"/>
          <w:sz w:val="24"/>
          <w:szCs w:val="24"/>
        </w:rPr>
        <w:t xml:space="preserve">; </w:t>
      </w:r>
      <w:proofErr w:type="spellStart"/>
      <w:r w:rsidRPr="008D4F17">
        <w:rPr>
          <w:rFonts w:ascii="Times New Roman" w:hAnsi="Times New Roman" w:cs="Times New Roman"/>
          <w:sz w:val="24"/>
          <w:szCs w:val="24"/>
        </w:rPr>
        <w:t>Cass</w:t>
      </w:r>
      <w:proofErr w:type="spellEnd"/>
      <w:r w:rsidRPr="008D4F17">
        <w:rPr>
          <w:rFonts w:ascii="Times New Roman" w:hAnsi="Times New Roman" w:cs="Times New Roman"/>
          <w:sz w:val="24"/>
          <w:szCs w:val="24"/>
        </w:rPr>
        <w:t xml:space="preserve">. </w:t>
      </w:r>
      <w:proofErr w:type="spellStart"/>
      <w:r w:rsidRPr="008D4F17">
        <w:rPr>
          <w:rFonts w:ascii="Times New Roman" w:hAnsi="Times New Roman" w:cs="Times New Roman"/>
          <w:sz w:val="24"/>
          <w:szCs w:val="24"/>
        </w:rPr>
        <w:t>Civ</w:t>
      </w:r>
      <w:proofErr w:type="spellEnd"/>
      <w:r w:rsidRPr="008D4F17">
        <w:rPr>
          <w:rFonts w:ascii="Times New Roman" w:hAnsi="Times New Roman" w:cs="Times New Roman"/>
          <w:sz w:val="24"/>
          <w:szCs w:val="24"/>
        </w:rPr>
        <w:t xml:space="preserve">., sez. III, 29/10/2019, n. 27592, disponibile su </w:t>
      </w:r>
      <w:r w:rsidRPr="001028FD">
        <w:rPr>
          <w:rFonts w:ascii="Times New Roman" w:hAnsi="Times New Roman" w:cs="Times New Roman"/>
          <w:i/>
          <w:iCs/>
          <w:sz w:val="24"/>
          <w:szCs w:val="24"/>
        </w:rPr>
        <w:t>dejure.it</w:t>
      </w:r>
      <w:r w:rsidRPr="008D4F17">
        <w:rPr>
          <w:rFonts w:ascii="Times New Roman" w:hAnsi="Times New Roman" w:cs="Times New Roman"/>
          <w:sz w:val="24"/>
          <w:szCs w:val="24"/>
        </w:rPr>
        <w:t xml:space="preserve"> e </w:t>
      </w:r>
      <w:r w:rsidRPr="001028FD">
        <w:rPr>
          <w:rFonts w:ascii="Times New Roman" w:hAnsi="Times New Roman" w:cs="Times New Roman"/>
          <w:i/>
          <w:iCs/>
          <w:sz w:val="24"/>
          <w:szCs w:val="24"/>
        </w:rPr>
        <w:t>Giustizia Civile Massimario 2019</w:t>
      </w:r>
      <w:r w:rsidRPr="008D4F17">
        <w:rPr>
          <w:rFonts w:ascii="Times New Roman" w:hAnsi="Times New Roman" w:cs="Times New Roman"/>
          <w:sz w:val="24"/>
          <w:szCs w:val="24"/>
        </w:rPr>
        <w:t>.</w:t>
      </w:r>
    </w:p>
  </w:footnote>
  <w:footnote w:id="255">
    <w:p w14:paraId="680D345A" w14:textId="6520034B" w:rsidR="000463A6" w:rsidRPr="00467D6D" w:rsidRDefault="000463A6" w:rsidP="00B81441">
      <w:pPr>
        <w:pStyle w:val="Testonotaapidipagina"/>
        <w:jc w:val="both"/>
        <w:rPr>
          <w:rFonts w:ascii="Times New Roman" w:hAnsi="Times New Roman" w:cs="Times New Roman"/>
          <w:sz w:val="24"/>
          <w:szCs w:val="24"/>
        </w:rPr>
      </w:pPr>
      <w:r w:rsidRPr="00467D6D">
        <w:rPr>
          <w:rStyle w:val="Rimandonotaapidipagina"/>
          <w:rFonts w:ascii="Times New Roman" w:hAnsi="Times New Roman" w:cs="Times New Roman"/>
          <w:sz w:val="24"/>
          <w:szCs w:val="24"/>
        </w:rPr>
        <w:footnoteRef/>
      </w:r>
      <w:r w:rsidRPr="00467D6D">
        <w:rPr>
          <w:rFonts w:ascii="Times New Roman" w:hAnsi="Times New Roman" w:cs="Times New Roman"/>
          <w:sz w:val="24"/>
          <w:szCs w:val="24"/>
        </w:rPr>
        <w:t xml:space="preserve"> Vedi </w:t>
      </w:r>
      <w:proofErr w:type="spellStart"/>
      <w:r w:rsidRPr="00467D6D">
        <w:rPr>
          <w:rFonts w:ascii="Times New Roman" w:hAnsi="Times New Roman" w:cs="Times New Roman"/>
          <w:sz w:val="24"/>
          <w:szCs w:val="24"/>
        </w:rPr>
        <w:t>Cass</w:t>
      </w:r>
      <w:proofErr w:type="spellEnd"/>
      <w:r w:rsidRPr="00467D6D">
        <w:rPr>
          <w:rFonts w:ascii="Times New Roman" w:hAnsi="Times New Roman" w:cs="Times New Roman"/>
          <w:sz w:val="24"/>
          <w:szCs w:val="24"/>
        </w:rPr>
        <w:t>. Pen., sez. V, 16</w:t>
      </w:r>
      <w:r>
        <w:rPr>
          <w:rFonts w:ascii="Times New Roman" w:hAnsi="Times New Roman" w:cs="Times New Roman"/>
          <w:sz w:val="24"/>
          <w:szCs w:val="24"/>
        </w:rPr>
        <w:t>/06/</w:t>
      </w:r>
      <w:r w:rsidRPr="00467D6D">
        <w:rPr>
          <w:rFonts w:ascii="Times New Roman" w:hAnsi="Times New Roman" w:cs="Times New Roman"/>
          <w:sz w:val="24"/>
          <w:szCs w:val="24"/>
        </w:rPr>
        <w:t>2016, n. 41414,</w:t>
      </w:r>
      <w:r>
        <w:rPr>
          <w:rFonts w:ascii="Times New Roman" w:hAnsi="Times New Roman" w:cs="Times New Roman"/>
          <w:sz w:val="24"/>
          <w:szCs w:val="24"/>
        </w:rPr>
        <w:t xml:space="preserve"> disponibile su </w:t>
      </w:r>
      <w:r w:rsidRPr="001028FD">
        <w:rPr>
          <w:rFonts w:ascii="Times New Roman" w:hAnsi="Times New Roman" w:cs="Times New Roman"/>
          <w:i/>
          <w:iCs/>
          <w:sz w:val="24"/>
          <w:szCs w:val="24"/>
        </w:rPr>
        <w:t>dejure.it</w:t>
      </w:r>
      <w:r>
        <w:rPr>
          <w:rFonts w:ascii="Times New Roman" w:hAnsi="Times New Roman" w:cs="Times New Roman"/>
          <w:sz w:val="24"/>
          <w:szCs w:val="24"/>
        </w:rPr>
        <w:t xml:space="preserve"> e </w:t>
      </w:r>
      <w:r w:rsidRPr="001028FD">
        <w:rPr>
          <w:rFonts w:ascii="Times New Roman" w:hAnsi="Times New Roman" w:cs="Times New Roman"/>
          <w:i/>
          <w:iCs/>
          <w:sz w:val="24"/>
          <w:szCs w:val="24"/>
        </w:rPr>
        <w:t>CED</w:t>
      </w:r>
      <w:r w:rsidRPr="001028FD">
        <w:rPr>
          <w:rFonts w:ascii="Times New Roman" w:hAnsi="Times New Roman" w:cs="Times New Roman"/>
          <w:sz w:val="24"/>
          <w:szCs w:val="24"/>
        </w:rPr>
        <w:t xml:space="preserve"> </w:t>
      </w:r>
      <w:proofErr w:type="spellStart"/>
      <w:r w:rsidRPr="001028FD">
        <w:rPr>
          <w:rFonts w:ascii="Times New Roman" w:hAnsi="Times New Roman" w:cs="Times New Roman"/>
          <w:sz w:val="24"/>
          <w:szCs w:val="24"/>
        </w:rPr>
        <w:t>Cass</w:t>
      </w:r>
      <w:proofErr w:type="spellEnd"/>
      <w:r>
        <w:rPr>
          <w:rFonts w:ascii="Times New Roman" w:hAnsi="Times New Roman" w:cs="Times New Roman"/>
          <w:sz w:val="24"/>
          <w:szCs w:val="24"/>
        </w:rPr>
        <w:t xml:space="preserve">. </w:t>
      </w:r>
      <w:proofErr w:type="spellStart"/>
      <w:r w:rsidRPr="001028FD">
        <w:rPr>
          <w:rFonts w:ascii="Times New Roman" w:hAnsi="Times New Roman" w:cs="Times New Roman"/>
          <w:sz w:val="24"/>
          <w:szCs w:val="24"/>
        </w:rPr>
        <w:t>pen</w:t>
      </w:r>
      <w:proofErr w:type="spellEnd"/>
      <w:r>
        <w:rPr>
          <w:rFonts w:ascii="Times New Roman" w:hAnsi="Times New Roman" w:cs="Times New Roman"/>
          <w:sz w:val="24"/>
          <w:szCs w:val="24"/>
        </w:rPr>
        <w:t>.</w:t>
      </w:r>
      <w:r w:rsidRPr="001028FD">
        <w:rPr>
          <w:rFonts w:ascii="Times New Roman" w:hAnsi="Times New Roman" w:cs="Times New Roman"/>
          <w:sz w:val="24"/>
          <w:szCs w:val="24"/>
        </w:rPr>
        <w:t xml:space="preserve"> 2016</w:t>
      </w:r>
      <w:r>
        <w:rPr>
          <w:rFonts w:ascii="Times New Roman" w:hAnsi="Times New Roman" w:cs="Times New Roman"/>
          <w:sz w:val="24"/>
          <w:szCs w:val="24"/>
        </w:rPr>
        <w:t>.</w:t>
      </w:r>
    </w:p>
  </w:footnote>
  <w:footnote w:id="256">
    <w:p w14:paraId="1BE5CA08" w14:textId="52235AF9" w:rsidR="000463A6" w:rsidRPr="00467D6D" w:rsidRDefault="000463A6" w:rsidP="00B81441">
      <w:pPr>
        <w:pStyle w:val="Testonotaapidipagina"/>
        <w:jc w:val="both"/>
        <w:rPr>
          <w:rFonts w:ascii="Times New Roman" w:hAnsi="Times New Roman" w:cs="Times New Roman"/>
          <w:sz w:val="24"/>
          <w:szCs w:val="24"/>
        </w:rPr>
      </w:pPr>
      <w:r w:rsidRPr="00467D6D">
        <w:rPr>
          <w:rStyle w:val="Rimandonotaapidipagina"/>
          <w:rFonts w:ascii="Times New Roman" w:hAnsi="Times New Roman" w:cs="Times New Roman"/>
          <w:sz w:val="24"/>
          <w:szCs w:val="24"/>
        </w:rPr>
        <w:footnoteRef/>
      </w:r>
      <w:r w:rsidRPr="00467D6D">
        <w:rPr>
          <w:rFonts w:ascii="Times New Roman" w:hAnsi="Times New Roman" w:cs="Times New Roman"/>
          <w:sz w:val="24"/>
          <w:szCs w:val="24"/>
        </w:rPr>
        <w:t xml:space="preserve"> </w:t>
      </w:r>
      <w:proofErr w:type="spellStart"/>
      <w:r w:rsidRPr="00467D6D">
        <w:rPr>
          <w:rFonts w:ascii="Times New Roman" w:hAnsi="Times New Roman" w:cs="Times New Roman"/>
          <w:sz w:val="24"/>
          <w:szCs w:val="24"/>
        </w:rPr>
        <w:t>Cass</w:t>
      </w:r>
      <w:proofErr w:type="spellEnd"/>
      <w:r w:rsidRPr="00467D6D">
        <w:rPr>
          <w:rFonts w:ascii="Times New Roman" w:hAnsi="Times New Roman" w:cs="Times New Roman"/>
          <w:sz w:val="24"/>
          <w:szCs w:val="24"/>
        </w:rPr>
        <w:t>. Pen., sez. V, 18</w:t>
      </w:r>
      <w:r>
        <w:rPr>
          <w:rFonts w:ascii="Times New Roman" w:hAnsi="Times New Roman" w:cs="Times New Roman"/>
          <w:sz w:val="24"/>
          <w:szCs w:val="24"/>
        </w:rPr>
        <w:t>/11/</w:t>
      </w:r>
      <w:r w:rsidRPr="00467D6D">
        <w:rPr>
          <w:rFonts w:ascii="Times New Roman" w:hAnsi="Times New Roman" w:cs="Times New Roman"/>
          <w:sz w:val="24"/>
          <w:szCs w:val="24"/>
        </w:rPr>
        <w:t>2019, n. 7008</w:t>
      </w:r>
      <w:r>
        <w:rPr>
          <w:rFonts w:ascii="Times New Roman" w:hAnsi="Times New Roman" w:cs="Times New Roman"/>
          <w:sz w:val="24"/>
          <w:szCs w:val="24"/>
        </w:rPr>
        <w:t xml:space="preserve">, disponibile su </w:t>
      </w:r>
      <w:r w:rsidRPr="001028FD">
        <w:rPr>
          <w:rFonts w:ascii="Times New Roman" w:hAnsi="Times New Roman" w:cs="Times New Roman"/>
          <w:i/>
          <w:iCs/>
          <w:sz w:val="24"/>
          <w:szCs w:val="24"/>
        </w:rPr>
        <w:t>dejure.it</w:t>
      </w:r>
      <w:r>
        <w:rPr>
          <w:rFonts w:ascii="Times New Roman" w:hAnsi="Times New Roman" w:cs="Times New Roman"/>
          <w:i/>
          <w:iCs/>
          <w:sz w:val="24"/>
          <w:szCs w:val="24"/>
        </w:rPr>
        <w:t xml:space="preserve"> </w:t>
      </w:r>
      <w:r w:rsidRPr="001028FD">
        <w:rPr>
          <w:rFonts w:ascii="Times New Roman" w:hAnsi="Times New Roman" w:cs="Times New Roman"/>
          <w:sz w:val="24"/>
          <w:szCs w:val="24"/>
        </w:rPr>
        <w:t>e</w:t>
      </w:r>
      <w:r>
        <w:rPr>
          <w:rFonts w:ascii="Times New Roman" w:hAnsi="Times New Roman" w:cs="Times New Roman"/>
          <w:i/>
          <w:iCs/>
          <w:sz w:val="24"/>
          <w:szCs w:val="24"/>
        </w:rPr>
        <w:t xml:space="preserve"> </w:t>
      </w:r>
      <w:r w:rsidRPr="001028FD">
        <w:rPr>
          <w:rFonts w:ascii="Times New Roman" w:hAnsi="Times New Roman" w:cs="Times New Roman"/>
          <w:i/>
          <w:iCs/>
          <w:sz w:val="24"/>
          <w:szCs w:val="24"/>
        </w:rPr>
        <w:t xml:space="preserve">CED </w:t>
      </w:r>
      <w:proofErr w:type="spellStart"/>
      <w:r w:rsidRPr="001028FD">
        <w:rPr>
          <w:rFonts w:ascii="Times New Roman" w:hAnsi="Times New Roman" w:cs="Times New Roman"/>
          <w:sz w:val="24"/>
          <w:szCs w:val="24"/>
        </w:rPr>
        <w:t>Cass</w:t>
      </w:r>
      <w:proofErr w:type="spellEnd"/>
      <w:r w:rsidRPr="001028FD">
        <w:rPr>
          <w:rFonts w:ascii="Times New Roman" w:hAnsi="Times New Roman" w:cs="Times New Roman"/>
          <w:sz w:val="24"/>
          <w:szCs w:val="24"/>
        </w:rPr>
        <w:t xml:space="preserve">. </w:t>
      </w:r>
      <w:proofErr w:type="spellStart"/>
      <w:r w:rsidRPr="001028FD">
        <w:rPr>
          <w:rFonts w:ascii="Times New Roman" w:hAnsi="Times New Roman" w:cs="Times New Roman"/>
          <w:sz w:val="24"/>
          <w:szCs w:val="24"/>
        </w:rPr>
        <w:t>pen</w:t>
      </w:r>
      <w:proofErr w:type="spellEnd"/>
      <w:r w:rsidRPr="001028FD">
        <w:rPr>
          <w:rFonts w:ascii="Times New Roman" w:hAnsi="Times New Roman" w:cs="Times New Roman"/>
          <w:sz w:val="24"/>
          <w:szCs w:val="24"/>
        </w:rPr>
        <w:t>. 2020.</w:t>
      </w:r>
    </w:p>
  </w:footnote>
  <w:footnote w:id="257">
    <w:p w14:paraId="33B3EE6A" w14:textId="50CF11C9" w:rsidR="000463A6" w:rsidRPr="00467D6D" w:rsidRDefault="000463A6" w:rsidP="00B81441">
      <w:pPr>
        <w:pStyle w:val="Testonotaapidipagina"/>
        <w:jc w:val="both"/>
        <w:rPr>
          <w:rFonts w:ascii="Times New Roman" w:hAnsi="Times New Roman" w:cs="Times New Roman"/>
          <w:sz w:val="24"/>
          <w:szCs w:val="24"/>
        </w:rPr>
      </w:pPr>
      <w:r w:rsidRPr="00467D6D">
        <w:rPr>
          <w:rStyle w:val="Rimandonotaapidipagina"/>
          <w:rFonts w:ascii="Times New Roman" w:hAnsi="Times New Roman" w:cs="Times New Roman"/>
          <w:sz w:val="24"/>
          <w:szCs w:val="24"/>
        </w:rPr>
        <w:footnoteRef/>
      </w:r>
      <w:r w:rsidRPr="00467D6D">
        <w:rPr>
          <w:rFonts w:ascii="Times New Roman" w:hAnsi="Times New Roman" w:cs="Times New Roman"/>
          <w:sz w:val="24"/>
          <w:szCs w:val="24"/>
        </w:rPr>
        <w:t xml:space="preserve"> </w:t>
      </w:r>
      <w:r w:rsidRPr="00467D6D">
        <w:rPr>
          <w:rFonts w:ascii="Times New Roman" w:hAnsi="Times New Roman" w:cs="Times New Roman"/>
          <w:smallCaps/>
          <w:sz w:val="24"/>
          <w:szCs w:val="24"/>
        </w:rPr>
        <w:t>M. Bianca</w:t>
      </w:r>
      <w:r w:rsidRPr="00467D6D">
        <w:rPr>
          <w:rFonts w:ascii="Times New Roman" w:hAnsi="Times New Roman" w:cs="Times New Roman"/>
          <w:sz w:val="24"/>
          <w:szCs w:val="24"/>
        </w:rPr>
        <w:t>, “</w:t>
      </w:r>
      <w:r w:rsidRPr="00467D6D">
        <w:rPr>
          <w:rFonts w:ascii="Times New Roman" w:hAnsi="Times New Roman" w:cs="Times New Roman"/>
          <w:i/>
          <w:iCs/>
          <w:sz w:val="24"/>
          <w:szCs w:val="24"/>
        </w:rPr>
        <w:t>Diritto civile</w:t>
      </w:r>
      <w:r w:rsidRPr="00467D6D">
        <w:rPr>
          <w:rFonts w:ascii="Times New Roman" w:hAnsi="Times New Roman" w:cs="Times New Roman"/>
          <w:sz w:val="24"/>
          <w:szCs w:val="24"/>
        </w:rPr>
        <w:t>”, Milano, 2011, 123.</w:t>
      </w:r>
    </w:p>
  </w:footnote>
  <w:footnote w:id="258">
    <w:p w14:paraId="2E60EAC9" w14:textId="7F7FCBD8" w:rsidR="000463A6" w:rsidRPr="00091B42" w:rsidRDefault="000463A6" w:rsidP="00B81441">
      <w:pPr>
        <w:pStyle w:val="NormaleWeb"/>
        <w:spacing w:before="0" w:beforeAutospacing="0" w:after="0" w:afterAutospacing="0"/>
        <w:jc w:val="both"/>
      </w:pPr>
      <w:r w:rsidRPr="00467D6D">
        <w:rPr>
          <w:rStyle w:val="Rimandonotaapidipagina"/>
        </w:rPr>
        <w:footnoteRef/>
      </w:r>
      <w:r w:rsidRPr="00467D6D">
        <w:t xml:space="preserve"> </w:t>
      </w:r>
      <w:proofErr w:type="spellStart"/>
      <w:r w:rsidRPr="00467D6D">
        <w:t>Cass</w:t>
      </w:r>
      <w:proofErr w:type="spellEnd"/>
      <w:r w:rsidRPr="00467D6D">
        <w:t xml:space="preserve">. </w:t>
      </w:r>
      <w:proofErr w:type="spellStart"/>
      <w:r w:rsidRPr="00467D6D">
        <w:t>Civ</w:t>
      </w:r>
      <w:proofErr w:type="spellEnd"/>
      <w:r w:rsidRPr="00467D6D">
        <w:t>., Sez. Un., 26</w:t>
      </w:r>
      <w:r>
        <w:t>/01/</w:t>
      </w:r>
      <w:r w:rsidRPr="00467D6D">
        <w:t xml:space="preserve">1971, n. 174, in </w:t>
      </w:r>
      <w:proofErr w:type="spellStart"/>
      <w:r w:rsidRPr="00467D6D">
        <w:rPr>
          <w:i/>
          <w:iCs/>
        </w:rPr>
        <w:t>Resp</w:t>
      </w:r>
      <w:proofErr w:type="spellEnd"/>
      <w:r w:rsidRPr="00467D6D">
        <w:rPr>
          <w:i/>
          <w:iCs/>
        </w:rPr>
        <w:t xml:space="preserve">. </w:t>
      </w:r>
      <w:proofErr w:type="spellStart"/>
      <w:r w:rsidRPr="00467D6D">
        <w:rPr>
          <w:i/>
          <w:iCs/>
        </w:rPr>
        <w:t>Civ</w:t>
      </w:r>
      <w:proofErr w:type="spellEnd"/>
      <w:r w:rsidRPr="00467D6D">
        <w:rPr>
          <w:i/>
          <w:iCs/>
        </w:rPr>
        <w:t xml:space="preserve">. </w:t>
      </w:r>
      <w:proofErr w:type="spellStart"/>
      <w:r w:rsidRPr="00467D6D">
        <w:rPr>
          <w:i/>
          <w:iCs/>
        </w:rPr>
        <w:t>Prev</w:t>
      </w:r>
      <w:proofErr w:type="spellEnd"/>
      <w:r w:rsidRPr="00467D6D">
        <w:t>., 1971, 67 ss.</w:t>
      </w:r>
    </w:p>
  </w:footnote>
  <w:footnote w:id="259">
    <w:p w14:paraId="33AF2300" w14:textId="70EAE60E" w:rsidR="000463A6" w:rsidRPr="00467D6D" w:rsidRDefault="000463A6" w:rsidP="00EE6300">
      <w:pPr>
        <w:pStyle w:val="Testonotaapidipagina"/>
        <w:jc w:val="both"/>
        <w:rPr>
          <w:rFonts w:ascii="Times New Roman" w:hAnsi="Times New Roman" w:cs="Times New Roman"/>
          <w:sz w:val="24"/>
          <w:szCs w:val="24"/>
        </w:rPr>
      </w:pPr>
      <w:r w:rsidRPr="00467D6D">
        <w:rPr>
          <w:rStyle w:val="Rimandonotaapidipagina"/>
          <w:rFonts w:ascii="Times New Roman" w:hAnsi="Times New Roman" w:cs="Times New Roman"/>
          <w:sz w:val="24"/>
          <w:szCs w:val="24"/>
        </w:rPr>
        <w:footnoteRef/>
      </w:r>
      <w:r w:rsidRPr="00467D6D">
        <w:rPr>
          <w:rFonts w:ascii="Times New Roman" w:hAnsi="Times New Roman" w:cs="Times New Roman"/>
          <w:sz w:val="24"/>
          <w:szCs w:val="24"/>
        </w:rPr>
        <w:t xml:space="preserve"> Solo nel biennio 2011-2012, su un campione di 112 sentenze emesse dal Tribunale di Milano, sono state registrate richieste risarcitorie per un ammontare pari a €766.511,93; </w:t>
      </w:r>
      <w:r w:rsidRPr="00467D6D">
        <w:rPr>
          <w:rFonts w:ascii="Times New Roman" w:hAnsi="Times New Roman" w:cs="Times New Roman"/>
          <w:i/>
          <w:iCs/>
          <w:sz w:val="24"/>
          <w:szCs w:val="24"/>
        </w:rPr>
        <w:t>cfr</w:t>
      </w:r>
      <w:r w:rsidRPr="00467D6D">
        <w:rPr>
          <w:rFonts w:ascii="Times New Roman" w:hAnsi="Times New Roman" w:cs="Times New Roman"/>
          <w:sz w:val="24"/>
          <w:szCs w:val="24"/>
        </w:rPr>
        <w:t xml:space="preserve">. </w:t>
      </w:r>
      <w:r w:rsidRPr="00467D6D">
        <w:rPr>
          <w:rFonts w:ascii="Times New Roman" w:hAnsi="Times New Roman" w:cs="Times New Roman"/>
          <w:i/>
          <w:iCs/>
          <w:sz w:val="24"/>
          <w:szCs w:val="24"/>
        </w:rPr>
        <w:t>New Tabloid</w:t>
      </w:r>
      <w:r w:rsidRPr="00467D6D">
        <w:rPr>
          <w:rFonts w:ascii="Times New Roman" w:hAnsi="Times New Roman" w:cs="Times New Roman"/>
          <w:sz w:val="24"/>
          <w:szCs w:val="24"/>
        </w:rPr>
        <w:t xml:space="preserve">, 3, 2013, 32 ss., come riportato da </w:t>
      </w:r>
      <w:r w:rsidRPr="00467D6D">
        <w:rPr>
          <w:rFonts w:ascii="Times New Roman" w:hAnsi="Times New Roman" w:cs="Times New Roman"/>
          <w:smallCaps/>
          <w:sz w:val="24"/>
          <w:szCs w:val="24"/>
        </w:rPr>
        <w:t>S. Peron</w:t>
      </w:r>
      <w:r w:rsidRPr="00467D6D">
        <w:rPr>
          <w:rFonts w:ascii="Times New Roman" w:hAnsi="Times New Roman" w:cs="Times New Roman"/>
          <w:sz w:val="24"/>
          <w:szCs w:val="24"/>
        </w:rPr>
        <w:t xml:space="preserve">, “Il </w:t>
      </w:r>
      <w:r w:rsidRPr="00467D6D">
        <w:rPr>
          <w:rFonts w:ascii="Times New Roman" w:hAnsi="Times New Roman" w:cs="Times New Roman"/>
          <w:i/>
          <w:iCs/>
          <w:sz w:val="24"/>
          <w:szCs w:val="24"/>
        </w:rPr>
        <w:t>risarcimento dei danni da diffamazione: analisi e riflessione sui criteri orientativi proposti dell’Osservatorio sulla Giustizia civile di Milano</w:t>
      </w:r>
      <w:r w:rsidRPr="00467D6D">
        <w:rPr>
          <w:rFonts w:ascii="Times New Roman" w:hAnsi="Times New Roman" w:cs="Times New Roman"/>
          <w:sz w:val="24"/>
          <w:szCs w:val="24"/>
        </w:rPr>
        <w:t xml:space="preserve">” (edizione 2018), in </w:t>
      </w:r>
      <w:r w:rsidRPr="000278A4">
        <w:rPr>
          <w:rFonts w:ascii="Times New Roman" w:hAnsi="Times New Roman" w:cs="Times New Roman"/>
          <w:i/>
          <w:iCs/>
          <w:sz w:val="24"/>
          <w:szCs w:val="24"/>
        </w:rPr>
        <w:t>filodiritto.it</w:t>
      </w:r>
      <w:r w:rsidRPr="00467D6D">
        <w:rPr>
          <w:rFonts w:ascii="Times New Roman" w:hAnsi="Times New Roman" w:cs="Times New Roman"/>
          <w:sz w:val="24"/>
          <w:szCs w:val="24"/>
        </w:rPr>
        <w:t>, 2018.</w:t>
      </w:r>
    </w:p>
  </w:footnote>
  <w:footnote w:id="260">
    <w:p w14:paraId="1AB4F9C3" w14:textId="3931A04E" w:rsidR="000463A6" w:rsidRPr="00467D6D" w:rsidRDefault="000463A6" w:rsidP="00EE6300">
      <w:pPr>
        <w:pStyle w:val="Testonotaapidipagina"/>
        <w:jc w:val="both"/>
        <w:rPr>
          <w:rFonts w:ascii="Times New Roman" w:hAnsi="Times New Roman" w:cs="Times New Roman"/>
          <w:sz w:val="24"/>
          <w:szCs w:val="24"/>
        </w:rPr>
      </w:pPr>
      <w:r w:rsidRPr="00467D6D">
        <w:rPr>
          <w:rStyle w:val="Rimandonotaapidipagina"/>
          <w:rFonts w:ascii="Times New Roman" w:hAnsi="Times New Roman" w:cs="Times New Roman"/>
          <w:sz w:val="24"/>
          <w:szCs w:val="24"/>
        </w:rPr>
        <w:footnoteRef/>
      </w:r>
      <w:r w:rsidRPr="00467D6D">
        <w:rPr>
          <w:rFonts w:ascii="Times New Roman" w:hAnsi="Times New Roman" w:cs="Times New Roman"/>
          <w:sz w:val="24"/>
          <w:szCs w:val="24"/>
        </w:rPr>
        <w:t xml:space="preserve"> Punto</w:t>
      </w:r>
      <w:r>
        <w:rPr>
          <w:rFonts w:ascii="Times New Roman" w:hAnsi="Times New Roman" w:cs="Times New Roman"/>
          <w:sz w:val="24"/>
          <w:szCs w:val="24"/>
        </w:rPr>
        <w:t xml:space="preserve"> </w:t>
      </w:r>
      <w:r w:rsidRPr="00467D6D">
        <w:rPr>
          <w:rFonts w:ascii="Times New Roman" w:hAnsi="Times New Roman" w:cs="Times New Roman"/>
          <w:sz w:val="24"/>
          <w:szCs w:val="24"/>
        </w:rPr>
        <w:t>2.1,</w:t>
      </w:r>
      <w:r>
        <w:rPr>
          <w:rFonts w:ascii="Times New Roman" w:hAnsi="Times New Roman" w:cs="Times New Roman"/>
          <w:sz w:val="24"/>
          <w:szCs w:val="24"/>
        </w:rPr>
        <w:t xml:space="preserve"> </w:t>
      </w:r>
      <w:proofErr w:type="spellStart"/>
      <w:r w:rsidRPr="000278A4">
        <w:rPr>
          <w:rFonts w:ascii="Times New Roman" w:hAnsi="Times New Roman" w:cs="Times New Roman"/>
          <w:sz w:val="24"/>
          <w:szCs w:val="24"/>
        </w:rPr>
        <w:t>Cass</w:t>
      </w:r>
      <w:proofErr w:type="spellEnd"/>
      <w:r w:rsidRPr="000278A4">
        <w:rPr>
          <w:rFonts w:ascii="Times New Roman" w:hAnsi="Times New Roman" w:cs="Times New Roman"/>
          <w:sz w:val="24"/>
          <w:szCs w:val="24"/>
        </w:rPr>
        <w:t xml:space="preserve">. </w:t>
      </w:r>
      <w:proofErr w:type="spellStart"/>
      <w:r w:rsidRPr="000278A4">
        <w:rPr>
          <w:rFonts w:ascii="Times New Roman" w:hAnsi="Times New Roman" w:cs="Times New Roman"/>
          <w:sz w:val="24"/>
          <w:szCs w:val="24"/>
        </w:rPr>
        <w:t>Civ</w:t>
      </w:r>
      <w:proofErr w:type="spellEnd"/>
      <w:r w:rsidRPr="000278A4">
        <w:rPr>
          <w:rFonts w:ascii="Times New Roman" w:hAnsi="Times New Roman" w:cs="Times New Roman"/>
          <w:sz w:val="24"/>
          <w:szCs w:val="24"/>
        </w:rPr>
        <w:t>., Sez. Un</w:t>
      </w:r>
      <w:r>
        <w:rPr>
          <w:rFonts w:ascii="Times New Roman" w:hAnsi="Times New Roman" w:cs="Times New Roman"/>
          <w:sz w:val="24"/>
          <w:szCs w:val="24"/>
        </w:rPr>
        <w:t>.</w:t>
      </w:r>
      <w:r w:rsidRPr="000278A4">
        <w:rPr>
          <w:rFonts w:ascii="Times New Roman" w:hAnsi="Times New Roman" w:cs="Times New Roman"/>
          <w:sz w:val="24"/>
          <w:szCs w:val="24"/>
        </w:rPr>
        <w:t>, 11</w:t>
      </w:r>
      <w:r>
        <w:rPr>
          <w:rFonts w:ascii="Times New Roman" w:hAnsi="Times New Roman" w:cs="Times New Roman"/>
          <w:sz w:val="24"/>
          <w:szCs w:val="24"/>
        </w:rPr>
        <w:t>/</w:t>
      </w:r>
      <w:r w:rsidRPr="000278A4">
        <w:rPr>
          <w:rFonts w:ascii="Times New Roman" w:hAnsi="Times New Roman" w:cs="Times New Roman"/>
          <w:sz w:val="24"/>
          <w:szCs w:val="24"/>
        </w:rPr>
        <w:t>11</w:t>
      </w:r>
      <w:r>
        <w:rPr>
          <w:rFonts w:ascii="Times New Roman" w:hAnsi="Times New Roman" w:cs="Times New Roman"/>
          <w:sz w:val="24"/>
          <w:szCs w:val="24"/>
        </w:rPr>
        <w:t>/</w:t>
      </w:r>
      <w:r w:rsidRPr="000278A4">
        <w:rPr>
          <w:rFonts w:ascii="Times New Roman" w:hAnsi="Times New Roman" w:cs="Times New Roman"/>
          <w:sz w:val="24"/>
          <w:szCs w:val="24"/>
        </w:rPr>
        <w:t xml:space="preserve">2008, n. 26972, disponibile su </w:t>
      </w:r>
      <w:r w:rsidRPr="000278A4">
        <w:rPr>
          <w:rFonts w:ascii="Times New Roman" w:hAnsi="Times New Roman" w:cs="Times New Roman"/>
          <w:i/>
          <w:iCs/>
          <w:sz w:val="24"/>
          <w:szCs w:val="24"/>
        </w:rPr>
        <w:t>dejure.it</w:t>
      </w:r>
      <w:r w:rsidRPr="000278A4">
        <w:rPr>
          <w:rFonts w:ascii="Times New Roman" w:hAnsi="Times New Roman" w:cs="Times New Roman"/>
          <w:sz w:val="24"/>
          <w:szCs w:val="24"/>
        </w:rPr>
        <w:t xml:space="preserve">; nota a sentenza di </w:t>
      </w:r>
      <w:r w:rsidRPr="000278A4">
        <w:rPr>
          <w:rFonts w:ascii="Times New Roman" w:hAnsi="Times New Roman" w:cs="Times New Roman"/>
          <w:smallCaps/>
          <w:sz w:val="24"/>
          <w:szCs w:val="24"/>
        </w:rPr>
        <w:t>M. Rossetti</w:t>
      </w:r>
      <w:r w:rsidRPr="000278A4">
        <w:rPr>
          <w:rFonts w:ascii="Times New Roman" w:hAnsi="Times New Roman" w:cs="Times New Roman"/>
          <w:sz w:val="24"/>
          <w:szCs w:val="24"/>
        </w:rPr>
        <w:t>, “</w:t>
      </w:r>
      <w:r w:rsidRPr="000278A4">
        <w:rPr>
          <w:rFonts w:ascii="Times New Roman" w:hAnsi="Times New Roman" w:cs="Times New Roman"/>
          <w:i/>
          <w:iCs/>
          <w:sz w:val="24"/>
          <w:szCs w:val="24"/>
        </w:rPr>
        <w:t xml:space="preserve">Post nubila </w:t>
      </w:r>
      <w:proofErr w:type="spellStart"/>
      <w:r w:rsidRPr="000278A4">
        <w:rPr>
          <w:rFonts w:ascii="Times New Roman" w:hAnsi="Times New Roman" w:cs="Times New Roman"/>
          <w:i/>
          <w:iCs/>
          <w:sz w:val="24"/>
          <w:szCs w:val="24"/>
        </w:rPr>
        <w:t>phoebus</w:t>
      </w:r>
      <w:proofErr w:type="spellEnd"/>
      <w:r w:rsidRPr="000278A4">
        <w:rPr>
          <w:rFonts w:ascii="Times New Roman" w:hAnsi="Times New Roman" w:cs="Times New Roman"/>
          <w:i/>
          <w:iCs/>
          <w:sz w:val="24"/>
          <w:szCs w:val="24"/>
        </w:rPr>
        <w:t>, ovvero gli effetti concreti della sentenza delle sezioni unite n. 26972 del 2008 in tema di danno non patrimoniale</w:t>
      </w:r>
      <w:r w:rsidRPr="000278A4">
        <w:rPr>
          <w:rFonts w:ascii="Times New Roman" w:hAnsi="Times New Roman" w:cs="Times New Roman"/>
          <w:sz w:val="24"/>
          <w:szCs w:val="24"/>
        </w:rPr>
        <w:t xml:space="preserve">”, su </w:t>
      </w:r>
      <w:r w:rsidRPr="000278A4">
        <w:rPr>
          <w:rFonts w:ascii="Times New Roman" w:hAnsi="Times New Roman" w:cs="Times New Roman"/>
          <w:i/>
          <w:iCs/>
          <w:sz w:val="24"/>
          <w:szCs w:val="24"/>
        </w:rPr>
        <w:t>Giustizia Civile</w:t>
      </w:r>
      <w:r w:rsidRPr="000278A4">
        <w:rPr>
          <w:rFonts w:ascii="Times New Roman" w:hAnsi="Times New Roman" w:cs="Times New Roman"/>
          <w:sz w:val="24"/>
          <w:szCs w:val="24"/>
        </w:rPr>
        <w:t>, fasc. 4-5, 2009, pag. 930.</w:t>
      </w:r>
    </w:p>
  </w:footnote>
  <w:footnote w:id="261">
    <w:p w14:paraId="1623D77D" w14:textId="2170CE53" w:rsidR="000463A6" w:rsidRPr="00467D6D" w:rsidRDefault="000463A6" w:rsidP="00EE6300">
      <w:pPr>
        <w:pStyle w:val="Testonotaapidipagina"/>
        <w:jc w:val="both"/>
        <w:rPr>
          <w:rFonts w:ascii="Times New Roman" w:hAnsi="Times New Roman" w:cs="Times New Roman"/>
          <w:sz w:val="24"/>
          <w:szCs w:val="24"/>
        </w:rPr>
      </w:pPr>
      <w:r w:rsidRPr="00467D6D">
        <w:rPr>
          <w:rStyle w:val="Rimandonotaapidipagina"/>
          <w:rFonts w:ascii="Times New Roman" w:hAnsi="Times New Roman" w:cs="Times New Roman"/>
          <w:sz w:val="24"/>
          <w:szCs w:val="24"/>
        </w:rPr>
        <w:footnoteRef/>
      </w:r>
      <w:r w:rsidRPr="00467D6D">
        <w:rPr>
          <w:rFonts w:ascii="Times New Roman" w:hAnsi="Times New Roman" w:cs="Times New Roman"/>
          <w:sz w:val="24"/>
          <w:szCs w:val="24"/>
        </w:rPr>
        <w:t xml:space="preserve"> Punto 4.8, </w:t>
      </w:r>
      <w:proofErr w:type="spellStart"/>
      <w:r w:rsidRPr="00467D6D">
        <w:rPr>
          <w:rFonts w:ascii="Times New Roman" w:hAnsi="Times New Roman" w:cs="Times New Roman"/>
          <w:sz w:val="24"/>
          <w:szCs w:val="24"/>
        </w:rPr>
        <w:t>Cass</w:t>
      </w:r>
      <w:proofErr w:type="spellEnd"/>
      <w:r w:rsidRPr="00467D6D">
        <w:rPr>
          <w:rFonts w:ascii="Times New Roman" w:hAnsi="Times New Roman" w:cs="Times New Roman"/>
          <w:sz w:val="24"/>
          <w:szCs w:val="24"/>
        </w:rPr>
        <w:t xml:space="preserve">. </w:t>
      </w:r>
      <w:proofErr w:type="spellStart"/>
      <w:r w:rsidRPr="00467D6D">
        <w:rPr>
          <w:rFonts w:ascii="Times New Roman" w:hAnsi="Times New Roman" w:cs="Times New Roman"/>
          <w:sz w:val="24"/>
          <w:szCs w:val="24"/>
        </w:rPr>
        <w:t>Civ</w:t>
      </w:r>
      <w:proofErr w:type="spellEnd"/>
      <w:r w:rsidRPr="00467D6D">
        <w:rPr>
          <w:rFonts w:ascii="Times New Roman" w:hAnsi="Times New Roman" w:cs="Times New Roman"/>
          <w:sz w:val="24"/>
          <w:szCs w:val="24"/>
        </w:rPr>
        <w:t xml:space="preserve">., Sez. Un., </w:t>
      </w:r>
      <w:r w:rsidRPr="000278A4">
        <w:rPr>
          <w:rFonts w:ascii="Times New Roman" w:hAnsi="Times New Roman" w:cs="Times New Roman"/>
          <w:sz w:val="24"/>
          <w:szCs w:val="24"/>
        </w:rPr>
        <w:t>11</w:t>
      </w:r>
      <w:r>
        <w:rPr>
          <w:rFonts w:ascii="Times New Roman" w:hAnsi="Times New Roman" w:cs="Times New Roman"/>
          <w:sz w:val="24"/>
          <w:szCs w:val="24"/>
        </w:rPr>
        <w:t>/</w:t>
      </w:r>
      <w:r w:rsidRPr="000278A4">
        <w:rPr>
          <w:rFonts w:ascii="Times New Roman" w:hAnsi="Times New Roman" w:cs="Times New Roman"/>
          <w:sz w:val="24"/>
          <w:szCs w:val="24"/>
        </w:rPr>
        <w:t>11</w:t>
      </w:r>
      <w:r>
        <w:rPr>
          <w:rFonts w:ascii="Times New Roman" w:hAnsi="Times New Roman" w:cs="Times New Roman"/>
          <w:sz w:val="24"/>
          <w:szCs w:val="24"/>
        </w:rPr>
        <w:t>/</w:t>
      </w:r>
      <w:r w:rsidRPr="000278A4">
        <w:rPr>
          <w:rFonts w:ascii="Times New Roman" w:hAnsi="Times New Roman" w:cs="Times New Roman"/>
          <w:sz w:val="24"/>
          <w:szCs w:val="24"/>
        </w:rPr>
        <w:t>2008, n. 26972</w:t>
      </w:r>
      <w:r>
        <w:rPr>
          <w:rFonts w:ascii="Times New Roman" w:hAnsi="Times New Roman" w:cs="Times New Roman"/>
          <w:sz w:val="24"/>
          <w:szCs w:val="24"/>
        </w:rPr>
        <w:t>, cit.</w:t>
      </w:r>
    </w:p>
  </w:footnote>
  <w:footnote w:id="262">
    <w:p w14:paraId="6DCF2D14" w14:textId="7ED56001" w:rsidR="000463A6" w:rsidRPr="00EE6300" w:rsidRDefault="000463A6" w:rsidP="00EE6300">
      <w:pPr>
        <w:pStyle w:val="Testonotaapidipagina"/>
        <w:jc w:val="both"/>
        <w:rPr>
          <w:rFonts w:ascii="Times New Roman" w:hAnsi="Times New Roman" w:cs="Times New Roman"/>
          <w:sz w:val="24"/>
          <w:szCs w:val="24"/>
        </w:rPr>
      </w:pPr>
      <w:r w:rsidRPr="00467D6D">
        <w:rPr>
          <w:rStyle w:val="Rimandonotaapidipagina"/>
          <w:rFonts w:ascii="Times New Roman" w:hAnsi="Times New Roman" w:cs="Times New Roman"/>
          <w:sz w:val="24"/>
          <w:szCs w:val="24"/>
        </w:rPr>
        <w:footnoteRef/>
      </w:r>
      <w:r w:rsidRPr="00467D6D">
        <w:rPr>
          <w:rFonts w:ascii="Times New Roman" w:hAnsi="Times New Roman" w:cs="Times New Roman"/>
          <w:sz w:val="24"/>
          <w:szCs w:val="24"/>
        </w:rPr>
        <w:t xml:space="preserve"> In tema di risarcimento del danno causato da diffamazione a mezzo stampa, la liquidazione del danno morale va necessariamente operata con criteri equitativi, il ricorso ai quali è insito nella natura del danno e nella funzione del risarcimento, realizzato mediante la dazione di una somma di denaro compensativa di un pregiudizio di tipo non economico (v. </w:t>
      </w:r>
      <w:proofErr w:type="spellStart"/>
      <w:r w:rsidRPr="00467D6D">
        <w:rPr>
          <w:rFonts w:ascii="Times New Roman" w:hAnsi="Times New Roman" w:cs="Times New Roman"/>
          <w:sz w:val="24"/>
          <w:szCs w:val="24"/>
        </w:rPr>
        <w:t>Cass</w:t>
      </w:r>
      <w:proofErr w:type="spellEnd"/>
      <w:r w:rsidRPr="00467D6D">
        <w:rPr>
          <w:rFonts w:ascii="Times New Roman" w:hAnsi="Times New Roman" w:cs="Times New Roman"/>
          <w:sz w:val="24"/>
          <w:szCs w:val="24"/>
        </w:rPr>
        <w:t xml:space="preserve">. </w:t>
      </w:r>
      <w:r>
        <w:rPr>
          <w:rFonts w:ascii="Times New Roman" w:hAnsi="Times New Roman" w:cs="Times New Roman"/>
          <w:sz w:val="24"/>
          <w:szCs w:val="24"/>
        </w:rPr>
        <w:t>0</w:t>
      </w:r>
      <w:r w:rsidRPr="00467D6D">
        <w:rPr>
          <w:rFonts w:ascii="Times New Roman" w:hAnsi="Times New Roman" w:cs="Times New Roman"/>
          <w:sz w:val="24"/>
          <w:szCs w:val="24"/>
        </w:rPr>
        <w:t>5</w:t>
      </w:r>
      <w:r>
        <w:rPr>
          <w:rFonts w:ascii="Times New Roman" w:hAnsi="Times New Roman" w:cs="Times New Roman"/>
          <w:sz w:val="24"/>
          <w:szCs w:val="24"/>
        </w:rPr>
        <w:t>/12/</w:t>
      </w:r>
      <w:r w:rsidRPr="00467D6D">
        <w:rPr>
          <w:rFonts w:ascii="Times New Roman" w:hAnsi="Times New Roman" w:cs="Times New Roman"/>
          <w:sz w:val="24"/>
          <w:szCs w:val="24"/>
        </w:rPr>
        <w:t xml:space="preserve">2014, n. 25739; v. anche </w:t>
      </w:r>
      <w:proofErr w:type="spellStart"/>
      <w:r w:rsidRPr="00467D6D">
        <w:rPr>
          <w:rFonts w:ascii="Times New Roman" w:hAnsi="Times New Roman" w:cs="Times New Roman"/>
          <w:sz w:val="24"/>
          <w:szCs w:val="24"/>
        </w:rPr>
        <w:t>Cass</w:t>
      </w:r>
      <w:proofErr w:type="spellEnd"/>
      <w:r w:rsidRPr="00467D6D">
        <w:rPr>
          <w:rFonts w:ascii="Times New Roman" w:hAnsi="Times New Roman" w:cs="Times New Roman"/>
          <w:sz w:val="24"/>
          <w:szCs w:val="24"/>
        </w:rPr>
        <w:t>. 16</w:t>
      </w:r>
      <w:r>
        <w:rPr>
          <w:rFonts w:ascii="Times New Roman" w:hAnsi="Times New Roman" w:cs="Times New Roman"/>
          <w:sz w:val="24"/>
          <w:szCs w:val="24"/>
        </w:rPr>
        <w:t>/07/</w:t>
      </w:r>
      <w:r w:rsidRPr="00467D6D">
        <w:rPr>
          <w:rFonts w:ascii="Times New Roman" w:hAnsi="Times New Roman" w:cs="Times New Roman"/>
          <w:sz w:val="24"/>
          <w:szCs w:val="24"/>
        </w:rPr>
        <w:t>2002, n. 10268, secondo cui la liquidazione del danno morale conseguente alla lesione dell’onore o della reputazione è rimessa alla valutazione equitativa del giudice).</w:t>
      </w:r>
    </w:p>
  </w:footnote>
  <w:footnote w:id="263">
    <w:p w14:paraId="1E5E2E76" w14:textId="42EF52C1" w:rsidR="000463A6" w:rsidRPr="006B4230" w:rsidRDefault="000463A6" w:rsidP="00EE6300">
      <w:pPr>
        <w:pStyle w:val="Testonotaapidipagina"/>
        <w:jc w:val="both"/>
        <w:rPr>
          <w:rFonts w:ascii="Times New Roman" w:hAnsi="Times New Roman" w:cs="Times New Roman"/>
          <w:sz w:val="24"/>
          <w:szCs w:val="24"/>
        </w:rPr>
      </w:pPr>
      <w:r w:rsidRPr="006B4230">
        <w:rPr>
          <w:rStyle w:val="Rimandonotaapidipagina"/>
          <w:rFonts w:ascii="Times New Roman" w:hAnsi="Times New Roman" w:cs="Times New Roman"/>
          <w:sz w:val="24"/>
          <w:szCs w:val="24"/>
        </w:rPr>
        <w:footnoteRef/>
      </w:r>
      <w:r w:rsidRPr="006B4230">
        <w:rPr>
          <w:rFonts w:ascii="Times New Roman" w:hAnsi="Times New Roman" w:cs="Times New Roman"/>
          <w:sz w:val="24"/>
          <w:szCs w:val="24"/>
        </w:rPr>
        <w:t xml:space="preserve"> A tal proposito</w:t>
      </w:r>
      <w:r>
        <w:rPr>
          <w:rFonts w:ascii="Times New Roman" w:hAnsi="Times New Roman" w:cs="Times New Roman"/>
          <w:sz w:val="24"/>
          <w:szCs w:val="24"/>
        </w:rPr>
        <w:t>,</w:t>
      </w:r>
      <w:r w:rsidRPr="006B4230">
        <w:rPr>
          <w:rFonts w:ascii="Times New Roman" w:hAnsi="Times New Roman" w:cs="Times New Roman"/>
          <w:sz w:val="24"/>
          <w:szCs w:val="24"/>
        </w:rPr>
        <w:t xml:space="preserve"> è stato ritenuto che anche solo il titolo di un articolo giornalistico sia idoneo ad integrare la fattispecie, </w:t>
      </w:r>
      <w:r w:rsidRPr="006B4230">
        <w:rPr>
          <w:rFonts w:ascii="Times New Roman" w:hAnsi="Times New Roman" w:cs="Times New Roman"/>
          <w:i/>
          <w:iCs/>
          <w:sz w:val="24"/>
          <w:szCs w:val="24"/>
        </w:rPr>
        <w:t>cfr</w:t>
      </w:r>
      <w:r w:rsidRPr="006B4230">
        <w:rPr>
          <w:rFonts w:ascii="Times New Roman" w:hAnsi="Times New Roman" w:cs="Times New Roman"/>
          <w:sz w:val="24"/>
          <w:szCs w:val="24"/>
        </w:rPr>
        <w:t xml:space="preserve">. </w:t>
      </w:r>
      <w:proofErr w:type="spellStart"/>
      <w:r w:rsidRPr="006B4230">
        <w:rPr>
          <w:rFonts w:ascii="Times New Roman" w:hAnsi="Times New Roman" w:cs="Times New Roman"/>
          <w:sz w:val="24"/>
          <w:szCs w:val="24"/>
        </w:rPr>
        <w:t>Cass</w:t>
      </w:r>
      <w:proofErr w:type="spellEnd"/>
      <w:r w:rsidRPr="006B4230">
        <w:rPr>
          <w:rFonts w:ascii="Times New Roman" w:hAnsi="Times New Roman" w:cs="Times New Roman"/>
          <w:sz w:val="24"/>
          <w:szCs w:val="24"/>
        </w:rPr>
        <w:t xml:space="preserve">. </w:t>
      </w:r>
      <w:proofErr w:type="spellStart"/>
      <w:r w:rsidRPr="006B4230">
        <w:rPr>
          <w:rFonts w:ascii="Times New Roman" w:hAnsi="Times New Roman" w:cs="Times New Roman"/>
          <w:sz w:val="24"/>
          <w:szCs w:val="24"/>
        </w:rPr>
        <w:t>Civ</w:t>
      </w:r>
      <w:proofErr w:type="spellEnd"/>
      <w:r w:rsidRPr="006B4230">
        <w:rPr>
          <w:rFonts w:ascii="Times New Roman" w:hAnsi="Times New Roman" w:cs="Times New Roman"/>
          <w:sz w:val="24"/>
          <w:szCs w:val="24"/>
        </w:rPr>
        <w:t xml:space="preserve">., sez. III, </w:t>
      </w:r>
      <w:r>
        <w:rPr>
          <w:rFonts w:ascii="Times New Roman" w:hAnsi="Times New Roman" w:cs="Times New Roman"/>
          <w:sz w:val="24"/>
          <w:szCs w:val="24"/>
        </w:rPr>
        <w:t>0</w:t>
      </w:r>
      <w:r w:rsidRPr="006B4230">
        <w:rPr>
          <w:rFonts w:ascii="Times New Roman" w:hAnsi="Times New Roman" w:cs="Times New Roman"/>
          <w:sz w:val="24"/>
          <w:szCs w:val="24"/>
        </w:rPr>
        <w:t>7</w:t>
      </w:r>
      <w:r>
        <w:rPr>
          <w:rFonts w:ascii="Times New Roman" w:hAnsi="Times New Roman" w:cs="Times New Roman"/>
          <w:sz w:val="24"/>
          <w:szCs w:val="24"/>
        </w:rPr>
        <w:t>/08/</w:t>
      </w:r>
      <w:r w:rsidRPr="006B4230">
        <w:rPr>
          <w:rFonts w:ascii="Times New Roman" w:hAnsi="Times New Roman" w:cs="Times New Roman"/>
          <w:sz w:val="24"/>
          <w:szCs w:val="24"/>
        </w:rPr>
        <w:t>2013, n. 18769.</w:t>
      </w:r>
    </w:p>
  </w:footnote>
  <w:footnote w:id="264">
    <w:p w14:paraId="270B5579" w14:textId="09219B79" w:rsidR="000463A6" w:rsidRPr="006B4230" w:rsidRDefault="000463A6" w:rsidP="00EE6300">
      <w:pPr>
        <w:pStyle w:val="Testonotaapidipagina"/>
        <w:jc w:val="both"/>
        <w:rPr>
          <w:rFonts w:ascii="Times New Roman" w:hAnsi="Times New Roman" w:cs="Times New Roman"/>
          <w:sz w:val="24"/>
          <w:szCs w:val="24"/>
        </w:rPr>
      </w:pPr>
      <w:r w:rsidRPr="006B4230">
        <w:rPr>
          <w:rStyle w:val="Rimandonotaapidipagina"/>
          <w:rFonts w:ascii="Times New Roman" w:hAnsi="Times New Roman" w:cs="Times New Roman"/>
          <w:sz w:val="24"/>
          <w:szCs w:val="24"/>
        </w:rPr>
        <w:footnoteRef/>
      </w:r>
      <w:r w:rsidRPr="006B4230">
        <w:rPr>
          <w:rFonts w:ascii="Times New Roman" w:hAnsi="Times New Roman" w:cs="Times New Roman"/>
          <w:sz w:val="24"/>
          <w:szCs w:val="24"/>
        </w:rPr>
        <w:t xml:space="preserve"> Elaborazione dell’Osservatorio per la giustizia civile di</w:t>
      </w:r>
      <w:r>
        <w:rPr>
          <w:rFonts w:ascii="Times New Roman" w:hAnsi="Times New Roman" w:cs="Times New Roman"/>
          <w:sz w:val="24"/>
          <w:szCs w:val="24"/>
        </w:rPr>
        <w:t xml:space="preserve"> </w:t>
      </w:r>
      <w:r w:rsidRPr="006B4230">
        <w:rPr>
          <w:rFonts w:ascii="Times New Roman" w:hAnsi="Times New Roman" w:cs="Times New Roman"/>
          <w:sz w:val="24"/>
          <w:szCs w:val="24"/>
        </w:rPr>
        <w:t>Milano nell’anno 2018</w:t>
      </w:r>
      <w:r>
        <w:rPr>
          <w:rFonts w:ascii="Times New Roman" w:hAnsi="Times New Roman" w:cs="Times New Roman"/>
          <w:sz w:val="24"/>
          <w:szCs w:val="24"/>
        </w:rPr>
        <w:t>.</w:t>
      </w:r>
    </w:p>
  </w:footnote>
  <w:footnote w:id="265">
    <w:p w14:paraId="2CDC021A" w14:textId="05B6BFE8" w:rsidR="000463A6" w:rsidRPr="006B4230" w:rsidRDefault="000463A6" w:rsidP="00EE6300">
      <w:pPr>
        <w:pStyle w:val="Testonotaapidipagina"/>
        <w:jc w:val="both"/>
        <w:rPr>
          <w:rFonts w:ascii="Times New Roman" w:hAnsi="Times New Roman" w:cs="Times New Roman"/>
          <w:sz w:val="24"/>
          <w:szCs w:val="24"/>
        </w:rPr>
      </w:pPr>
      <w:r w:rsidRPr="006B4230">
        <w:rPr>
          <w:rStyle w:val="Rimandonotaapidipagina"/>
          <w:rFonts w:ascii="Times New Roman" w:hAnsi="Times New Roman" w:cs="Times New Roman"/>
          <w:sz w:val="24"/>
          <w:szCs w:val="24"/>
        </w:rPr>
        <w:footnoteRef/>
      </w:r>
      <w:r w:rsidRPr="006B4230">
        <w:rPr>
          <w:rFonts w:ascii="Times New Roman" w:hAnsi="Times New Roman" w:cs="Times New Roman"/>
          <w:sz w:val="24"/>
          <w:szCs w:val="24"/>
        </w:rPr>
        <w:t xml:space="preserve"> Per completezza, l’Osservatorio di Milano ha stimato che l’importo medio matematico liquidato tra i casi analizzati sia pari a €26.290.</w:t>
      </w:r>
    </w:p>
  </w:footnote>
  <w:footnote w:id="266">
    <w:p w14:paraId="4A5407FC" w14:textId="63CB24A0" w:rsidR="000463A6" w:rsidRDefault="000463A6" w:rsidP="00EE6300">
      <w:pPr>
        <w:pStyle w:val="Testonotaapidipagina"/>
        <w:jc w:val="both"/>
      </w:pPr>
      <w:r w:rsidRPr="006B4230">
        <w:rPr>
          <w:rStyle w:val="Rimandonotaapidipagina"/>
          <w:rFonts w:ascii="Times New Roman" w:hAnsi="Times New Roman" w:cs="Times New Roman"/>
          <w:sz w:val="24"/>
          <w:szCs w:val="24"/>
        </w:rPr>
        <w:footnoteRef/>
      </w:r>
      <w:r w:rsidRPr="006B4230">
        <w:rPr>
          <w:rFonts w:ascii="Times New Roman" w:hAnsi="Times New Roman" w:cs="Times New Roman"/>
          <w:sz w:val="24"/>
          <w:szCs w:val="24"/>
        </w:rPr>
        <w:t xml:space="preserve"> Attualmente prospettato intorno a €40.000.</w:t>
      </w:r>
    </w:p>
  </w:footnote>
  <w:footnote w:id="267">
    <w:p w14:paraId="371B9E58" w14:textId="28C62816" w:rsidR="000463A6" w:rsidRPr="00013F02" w:rsidRDefault="000463A6" w:rsidP="0098573A">
      <w:pPr>
        <w:pStyle w:val="Testonotaapidipagina"/>
        <w:jc w:val="both"/>
        <w:rPr>
          <w:rFonts w:ascii="Times New Roman" w:hAnsi="Times New Roman" w:cs="Times New Roman"/>
          <w:sz w:val="24"/>
          <w:szCs w:val="24"/>
        </w:rPr>
      </w:pPr>
      <w:r w:rsidRPr="00013F02">
        <w:rPr>
          <w:rStyle w:val="Rimandonotaapidipagina"/>
          <w:rFonts w:ascii="Times New Roman" w:hAnsi="Times New Roman" w:cs="Times New Roman"/>
          <w:sz w:val="24"/>
          <w:szCs w:val="24"/>
        </w:rPr>
        <w:footnoteRef/>
      </w:r>
      <w:r w:rsidRPr="00013F02">
        <w:rPr>
          <w:rFonts w:ascii="Times New Roman" w:hAnsi="Times New Roman" w:cs="Times New Roman"/>
          <w:sz w:val="24"/>
          <w:szCs w:val="24"/>
        </w:rPr>
        <w:t xml:space="preserve"> </w:t>
      </w:r>
      <w:proofErr w:type="spellStart"/>
      <w:r w:rsidRPr="00013F02">
        <w:rPr>
          <w:rFonts w:ascii="Times New Roman" w:hAnsi="Times New Roman" w:cs="Times New Roman"/>
          <w:sz w:val="24"/>
          <w:szCs w:val="24"/>
        </w:rPr>
        <w:t>Cass</w:t>
      </w:r>
      <w:proofErr w:type="spellEnd"/>
      <w:r w:rsidRPr="00013F02">
        <w:rPr>
          <w:rFonts w:ascii="Times New Roman" w:hAnsi="Times New Roman" w:cs="Times New Roman"/>
          <w:sz w:val="24"/>
          <w:szCs w:val="24"/>
        </w:rPr>
        <w:t xml:space="preserve">. Pen., sez. V, 17/11/2000, n. 4741, disponibile su </w:t>
      </w:r>
      <w:r w:rsidRPr="00013F02">
        <w:rPr>
          <w:rFonts w:ascii="Times New Roman" w:hAnsi="Times New Roman" w:cs="Times New Roman"/>
          <w:i/>
          <w:iCs/>
          <w:sz w:val="24"/>
          <w:szCs w:val="24"/>
        </w:rPr>
        <w:t>dejure.it</w:t>
      </w:r>
      <w:r w:rsidRPr="00013F02">
        <w:rPr>
          <w:rFonts w:ascii="Times New Roman" w:hAnsi="Times New Roman" w:cs="Times New Roman"/>
          <w:sz w:val="24"/>
          <w:szCs w:val="24"/>
        </w:rPr>
        <w:t xml:space="preserve">; nota a sentenza di </w:t>
      </w:r>
      <w:r w:rsidRPr="00013F02">
        <w:rPr>
          <w:rFonts w:ascii="Times New Roman" w:hAnsi="Times New Roman" w:cs="Times New Roman"/>
          <w:smallCaps/>
          <w:sz w:val="24"/>
          <w:szCs w:val="24"/>
        </w:rPr>
        <w:t xml:space="preserve">E. </w:t>
      </w:r>
      <w:proofErr w:type="spellStart"/>
      <w:r w:rsidRPr="00013F02">
        <w:rPr>
          <w:rFonts w:ascii="Times New Roman" w:hAnsi="Times New Roman" w:cs="Times New Roman"/>
          <w:smallCaps/>
          <w:sz w:val="24"/>
          <w:szCs w:val="24"/>
        </w:rPr>
        <w:t>Perusia</w:t>
      </w:r>
      <w:proofErr w:type="spellEnd"/>
      <w:r w:rsidRPr="00013F02">
        <w:rPr>
          <w:rFonts w:ascii="Times New Roman" w:hAnsi="Times New Roman" w:cs="Times New Roman"/>
          <w:sz w:val="24"/>
          <w:szCs w:val="24"/>
        </w:rPr>
        <w:t>, “</w:t>
      </w:r>
      <w:r w:rsidRPr="00013F02">
        <w:rPr>
          <w:rFonts w:ascii="Times New Roman" w:hAnsi="Times New Roman" w:cs="Times New Roman"/>
          <w:i/>
          <w:iCs/>
          <w:sz w:val="24"/>
          <w:szCs w:val="24"/>
        </w:rPr>
        <w:t>Giurisdizione italiana anche per le offese on line su un sito straniero</w:t>
      </w:r>
      <w:r w:rsidRPr="00013F02">
        <w:rPr>
          <w:rFonts w:ascii="Times New Roman" w:hAnsi="Times New Roman" w:cs="Times New Roman"/>
          <w:sz w:val="24"/>
          <w:szCs w:val="24"/>
        </w:rPr>
        <w:t xml:space="preserve">”, su </w:t>
      </w:r>
      <w:r w:rsidRPr="00013F02">
        <w:rPr>
          <w:rFonts w:ascii="Times New Roman" w:hAnsi="Times New Roman" w:cs="Times New Roman"/>
          <w:i/>
          <w:iCs/>
          <w:sz w:val="24"/>
          <w:szCs w:val="24"/>
        </w:rPr>
        <w:t>Cassazione Penale</w:t>
      </w:r>
      <w:r w:rsidRPr="00013F02">
        <w:rPr>
          <w:rFonts w:ascii="Times New Roman" w:hAnsi="Times New Roman" w:cs="Times New Roman"/>
          <w:sz w:val="24"/>
          <w:szCs w:val="24"/>
        </w:rPr>
        <w:t>, fasc.</w:t>
      </w:r>
      <w:r>
        <w:rPr>
          <w:rFonts w:ascii="Times New Roman" w:hAnsi="Times New Roman" w:cs="Times New Roman"/>
          <w:sz w:val="24"/>
          <w:szCs w:val="24"/>
        </w:rPr>
        <w:t xml:space="preserve"> </w:t>
      </w:r>
      <w:r w:rsidRPr="00013F02">
        <w:rPr>
          <w:rFonts w:ascii="Times New Roman" w:hAnsi="Times New Roman" w:cs="Times New Roman"/>
          <w:sz w:val="24"/>
          <w:szCs w:val="24"/>
        </w:rPr>
        <w:t>6, 2001, pag. 1835.</w:t>
      </w:r>
    </w:p>
  </w:footnote>
  <w:footnote w:id="268">
    <w:p w14:paraId="3E317BF3" w14:textId="35BA7B86" w:rsidR="000463A6" w:rsidRPr="00351783" w:rsidRDefault="000463A6" w:rsidP="0098573A">
      <w:pPr>
        <w:pStyle w:val="Testonotaapidipagina"/>
        <w:jc w:val="both"/>
        <w:rPr>
          <w:rFonts w:ascii="Times New Roman" w:hAnsi="Times New Roman" w:cs="Times New Roman"/>
          <w:sz w:val="24"/>
          <w:szCs w:val="24"/>
          <w:lang w:val="en-US"/>
        </w:rPr>
      </w:pPr>
      <w:r w:rsidRPr="00013F02">
        <w:rPr>
          <w:rStyle w:val="Rimandonotaapidipagina"/>
          <w:rFonts w:ascii="Times New Roman" w:hAnsi="Times New Roman" w:cs="Times New Roman"/>
          <w:sz w:val="24"/>
          <w:szCs w:val="24"/>
        </w:rPr>
        <w:footnoteRef/>
      </w:r>
      <w:r w:rsidRPr="00351783">
        <w:rPr>
          <w:rFonts w:ascii="Times New Roman" w:hAnsi="Times New Roman" w:cs="Times New Roman"/>
          <w:sz w:val="24"/>
          <w:szCs w:val="24"/>
          <w:lang w:val="en-US"/>
        </w:rPr>
        <w:t xml:space="preserve"> Cass. Pen., sez. V, 27/12/2000, n. 4741, cit.</w:t>
      </w:r>
    </w:p>
  </w:footnote>
  <w:footnote w:id="269">
    <w:p w14:paraId="59E082C2" w14:textId="2FE8AF3F" w:rsidR="000463A6" w:rsidRPr="000B1ED4" w:rsidRDefault="000463A6" w:rsidP="000B1ED4">
      <w:pPr>
        <w:pStyle w:val="Testonotaapidipagina"/>
        <w:jc w:val="both"/>
        <w:rPr>
          <w:rFonts w:ascii="Times New Roman" w:hAnsi="Times New Roman" w:cs="Times New Roman"/>
          <w:sz w:val="24"/>
          <w:szCs w:val="24"/>
        </w:rPr>
      </w:pPr>
      <w:r w:rsidRPr="000B1ED4">
        <w:rPr>
          <w:rStyle w:val="Rimandonotaapidipagina"/>
          <w:rFonts w:ascii="Times New Roman" w:hAnsi="Times New Roman" w:cs="Times New Roman"/>
          <w:sz w:val="24"/>
          <w:szCs w:val="24"/>
        </w:rPr>
        <w:footnoteRef/>
      </w:r>
      <w:r w:rsidRPr="000B1ED4">
        <w:rPr>
          <w:rFonts w:ascii="Times New Roman" w:hAnsi="Times New Roman" w:cs="Times New Roman"/>
          <w:sz w:val="24"/>
          <w:szCs w:val="24"/>
        </w:rPr>
        <w:t xml:space="preserve"> L’OSCE ha definito gli ISP degli intermediari che danno accesso agli utenti, ospitano, trasmettono, e indicizzano contenuti originati dai </w:t>
      </w:r>
      <w:proofErr w:type="spellStart"/>
      <w:r w:rsidRPr="000B1ED4">
        <w:rPr>
          <w:rFonts w:ascii="Times New Roman" w:hAnsi="Times New Roman" w:cs="Times New Roman"/>
          <w:i/>
          <w:iCs/>
          <w:sz w:val="24"/>
          <w:szCs w:val="24"/>
        </w:rPr>
        <w:t>content</w:t>
      </w:r>
      <w:proofErr w:type="spellEnd"/>
      <w:r w:rsidRPr="000B1ED4">
        <w:rPr>
          <w:rFonts w:ascii="Times New Roman" w:hAnsi="Times New Roman" w:cs="Times New Roman"/>
          <w:i/>
          <w:iCs/>
          <w:sz w:val="24"/>
          <w:szCs w:val="24"/>
        </w:rPr>
        <w:t xml:space="preserve"> provider</w:t>
      </w:r>
      <w:r w:rsidRPr="000B1ED4">
        <w:rPr>
          <w:rFonts w:ascii="Times New Roman" w:hAnsi="Times New Roman" w:cs="Times New Roman"/>
          <w:sz w:val="24"/>
          <w:szCs w:val="24"/>
        </w:rPr>
        <w:t xml:space="preserve"> o forniscono servizi basati su internet a terze parti, </w:t>
      </w:r>
      <w:r w:rsidRPr="000B1ED4">
        <w:rPr>
          <w:rFonts w:ascii="Times New Roman" w:hAnsi="Times New Roman" w:cs="Times New Roman"/>
          <w:i/>
          <w:iCs/>
          <w:sz w:val="24"/>
          <w:szCs w:val="24"/>
        </w:rPr>
        <w:t>cfr</w:t>
      </w:r>
      <w:r w:rsidRPr="000B1ED4">
        <w:rPr>
          <w:rFonts w:ascii="Times New Roman" w:hAnsi="Times New Roman" w:cs="Times New Roman"/>
          <w:sz w:val="24"/>
          <w:szCs w:val="24"/>
        </w:rPr>
        <w:t xml:space="preserve">. </w:t>
      </w:r>
      <w:r w:rsidRPr="000B1ED4">
        <w:rPr>
          <w:rFonts w:ascii="Times New Roman" w:hAnsi="Times New Roman" w:cs="Times New Roman"/>
          <w:smallCaps/>
          <w:sz w:val="24"/>
          <w:szCs w:val="24"/>
        </w:rPr>
        <w:t xml:space="preserve">G. E. Vigevani, O. Pollicino, C. </w:t>
      </w:r>
      <w:proofErr w:type="spellStart"/>
      <w:r w:rsidRPr="000B1ED4">
        <w:rPr>
          <w:rFonts w:ascii="Times New Roman" w:hAnsi="Times New Roman" w:cs="Times New Roman"/>
          <w:smallCaps/>
          <w:sz w:val="24"/>
          <w:szCs w:val="24"/>
        </w:rPr>
        <w:t>Melzi</w:t>
      </w:r>
      <w:proofErr w:type="spellEnd"/>
      <w:r w:rsidRPr="000B1ED4">
        <w:rPr>
          <w:rFonts w:ascii="Times New Roman" w:hAnsi="Times New Roman" w:cs="Times New Roman"/>
          <w:smallCaps/>
          <w:sz w:val="24"/>
          <w:szCs w:val="24"/>
        </w:rPr>
        <w:t xml:space="preserve"> D’</w:t>
      </w:r>
      <w:proofErr w:type="spellStart"/>
      <w:r w:rsidRPr="000B1ED4">
        <w:rPr>
          <w:rFonts w:ascii="Times New Roman" w:hAnsi="Times New Roman" w:cs="Times New Roman"/>
          <w:smallCaps/>
          <w:sz w:val="24"/>
          <w:szCs w:val="24"/>
        </w:rPr>
        <w:t>Eril</w:t>
      </w:r>
      <w:proofErr w:type="spellEnd"/>
      <w:r w:rsidRPr="000B1ED4">
        <w:rPr>
          <w:rFonts w:ascii="Times New Roman" w:hAnsi="Times New Roman" w:cs="Times New Roman"/>
          <w:smallCaps/>
          <w:sz w:val="24"/>
          <w:szCs w:val="24"/>
        </w:rPr>
        <w:t xml:space="preserve">, M. </w:t>
      </w:r>
      <w:proofErr w:type="spellStart"/>
      <w:r w:rsidRPr="000B1ED4">
        <w:rPr>
          <w:rFonts w:ascii="Times New Roman" w:hAnsi="Times New Roman" w:cs="Times New Roman"/>
          <w:smallCaps/>
          <w:sz w:val="24"/>
          <w:szCs w:val="24"/>
        </w:rPr>
        <w:t>Cuniberti</w:t>
      </w:r>
      <w:proofErr w:type="spellEnd"/>
      <w:r w:rsidRPr="000B1ED4">
        <w:rPr>
          <w:rFonts w:ascii="Times New Roman" w:hAnsi="Times New Roman" w:cs="Times New Roman"/>
          <w:smallCaps/>
          <w:sz w:val="24"/>
          <w:szCs w:val="24"/>
        </w:rPr>
        <w:t>, M. Bassini</w:t>
      </w:r>
      <w:r w:rsidRPr="000B1ED4">
        <w:rPr>
          <w:rFonts w:ascii="Times New Roman" w:hAnsi="Times New Roman" w:cs="Times New Roman"/>
          <w:sz w:val="24"/>
          <w:szCs w:val="24"/>
        </w:rPr>
        <w:t xml:space="preserve">, </w:t>
      </w:r>
      <w:r>
        <w:rPr>
          <w:rFonts w:ascii="Times New Roman" w:hAnsi="Times New Roman" w:cs="Times New Roman"/>
          <w:sz w:val="24"/>
          <w:szCs w:val="24"/>
        </w:rPr>
        <w:t>“</w:t>
      </w:r>
      <w:r w:rsidRPr="000B1ED4">
        <w:rPr>
          <w:rFonts w:ascii="Times New Roman" w:hAnsi="Times New Roman" w:cs="Times New Roman"/>
          <w:i/>
          <w:iCs/>
          <w:sz w:val="24"/>
          <w:szCs w:val="24"/>
        </w:rPr>
        <w:t>Diritto dell’informazione e dei media</w:t>
      </w:r>
      <w:r>
        <w:rPr>
          <w:rFonts w:ascii="Times New Roman" w:hAnsi="Times New Roman" w:cs="Times New Roman"/>
          <w:sz w:val="24"/>
          <w:szCs w:val="24"/>
        </w:rPr>
        <w:t>”</w:t>
      </w:r>
      <w:r w:rsidRPr="000B1ED4">
        <w:rPr>
          <w:rFonts w:ascii="Times New Roman" w:hAnsi="Times New Roman" w:cs="Times New Roman"/>
          <w:sz w:val="24"/>
          <w:szCs w:val="24"/>
        </w:rPr>
        <w:t>, G. Giappichelli Editore, Torino, 2019, p. 336.</w:t>
      </w:r>
    </w:p>
  </w:footnote>
  <w:footnote w:id="270">
    <w:p w14:paraId="6E1B4C55" w14:textId="5DECC060" w:rsidR="000463A6" w:rsidRPr="00521B00" w:rsidRDefault="000463A6" w:rsidP="00521B00">
      <w:pPr>
        <w:pStyle w:val="Testonotaapidipagina"/>
        <w:jc w:val="both"/>
        <w:rPr>
          <w:rFonts w:ascii="Times New Roman" w:hAnsi="Times New Roman" w:cs="Times New Roman"/>
          <w:sz w:val="24"/>
          <w:szCs w:val="24"/>
        </w:rPr>
      </w:pPr>
      <w:r w:rsidRPr="00521B00">
        <w:rPr>
          <w:rStyle w:val="Rimandonotaapidipagina"/>
          <w:rFonts w:ascii="Times New Roman" w:hAnsi="Times New Roman" w:cs="Times New Roman"/>
          <w:sz w:val="24"/>
          <w:szCs w:val="24"/>
        </w:rPr>
        <w:footnoteRef/>
      </w:r>
      <w:r w:rsidRPr="00521B00">
        <w:rPr>
          <w:rFonts w:ascii="Times New Roman" w:hAnsi="Times New Roman" w:cs="Times New Roman"/>
          <w:sz w:val="24"/>
          <w:szCs w:val="24"/>
        </w:rPr>
        <w:t xml:space="preserve"> </w:t>
      </w:r>
      <w:r w:rsidRPr="00091B42">
        <w:rPr>
          <w:rFonts w:ascii="Times New Roman" w:hAnsi="Times New Roman" w:cs="Times New Roman"/>
          <w:i/>
          <w:iCs/>
          <w:sz w:val="24"/>
          <w:szCs w:val="24"/>
        </w:rPr>
        <w:t>Cfr</w:t>
      </w:r>
      <w:r w:rsidRPr="00521B00">
        <w:rPr>
          <w:rFonts w:ascii="Times New Roman" w:hAnsi="Times New Roman" w:cs="Times New Roman"/>
          <w:sz w:val="24"/>
          <w:szCs w:val="24"/>
        </w:rPr>
        <w:t xml:space="preserve">. sul punto: </w:t>
      </w:r>
      <w:proofErr w:type="spellStart"/>
      <w:r w:rsidRPr="00521B00">
        <w:rPr>
          <w:rFonts w:ascii="Times New Roman" w:hAnsi="Times New Roman" w:cs="Times New Roman"/>
          <w:sz w:val="24"/>
          <w:szCs w:val="24"/>
        </w:rPr>
        <w:t>Sabam</w:t>
      </w:r>
      <w:proofErr w:type="spellEnd"/>
      <w:r w:rsidRPr="00521B00">
        <w:rPr>
          <w:rFonts w:ascii="Times New Roman" w:hAnsi="Times New Roman" w:cs="Times New Roman"/>
          <w:sz w:val="24"/>
          <w:szCs w:val="24"/>
        </w:rPr>
        <w:t xml:space="preserve"> c. </w:t>
      </w:r>
      <w:proofErr w:type="spellStart"/>
      <w:r w:rsidRPr="00521B00">
        <w:rPr>
          <w:rFonts w:ascii="Times New Roman" w:hAnsi="Times New Roman" w:cs="Times New Roman"/>
          <w:sz w:val="24"/>
          <w:szCs w:val="24"/>
        </w:rPr>
        <w:t>Netlog</w:t>
      </w:r>
      <w:proofErr w:type="spellEnd"/>
      <w:r w:rsidRPr="00521B00">
        <w:rPr>
          <w:rFonts w:ascii="Times New Roman" w:hAnsi="Times New Roman" w:cs="Times New Roman"/>
          <w:sz w:val="24"/>
          <w:szCs w:val="24"/>
        </w:rPr>
        <w:t xml:space="preserve">, C-360/10; </w:t>
      </w:r>
      <w:proofErr w:type="spellStart"/>
      <w:r w:rsidRPr="00521B00">
        <w:rPr>
          <w:rFonts w:ascii="Times New Roman" w:hAnsi="Times New Roman" w:cs="Times New Roman"/>
          <w:sz w:val="24"/>
          <w:szCs w:val="24"/>
        </w:rPr>
        <w:t>Scarlet</w:t>
      </w:r>
      <w:proofErr w:type="spellEnd"/>
      <w:r w:rsidRPr="00521B00">
        <w:rPr>
          <w:rFonts w:ascii="Times New Roman" w:hAnsi="Times New Roman" w:cs="Times New Roman"/>
          <w:sz w:val="24"/>
          <w:szCs w:val="24"/>
        </w:rPr>
        <w:t xml:space="preserve"> Extended c. SABAM, C-70/10.</w:t>
      </w:r>
    </w:p>
  </w:footnote>
  <w:footnote w:id="271">
    <w:p w14:paraId="0D634F93" w14:textId="3BBD0075" w:rsidR="000463A6" w:rsidRPr="00521B00" w:rsidRDefault="000463A6" w:rsidP="00D74425">
      <w:pPr>
        <w:pStyle w:val="Testonotaapidipagina"/>
        <w:jc w:val="both"/>
        <w:rPr>
          <w:rFonts w:ascii="Times New Roman" w:hAnsi="Times New Roman" w:cs="Times New Roman"/>
          <w:sz w:val="24"/>
          <w:szCs w:val="24"/>
        </w:rPr>
      </w:pPr>
      <w:r w:rsidRPr="00521B00">
        <w:rPr>
          <w:rStyle w:val="Rimandonotaapidipagina"/>
          <w:rFonts w:ascii="Times New Roman" w:hAnsi="Times New Roman" w:cs="Times New Roman"/>
          <w:sz w:val="24"/>
          <w:szCs w:val="24"/>
        </w:rPr>
        <w:footnoteRef/>
      </w:r>
      <w:r w:rsidRPr="00521B00">
        <w:rPr>
          <w:rFonts w:ascii="Times New Roman" w:hAnsi="Times New Roman" w:cs="Times New Roman"/>
          <w:sz w:val="24"/>
          <w:szCs w:val="24"/>
        </w:rPr>
        <w:t xml:space="preserve"> La causa C-18/18 ha ad oggetto la domanda di pronuncia pregiudiziale proposta alla CGUE dalla Corte suprema austriaca nel procedimento </w:t>
      </w:r>
      <w:r w:rsidRPr="007E2ED5">
        <w:rPr>
          <w:rFonts w:ascii="Times New Roman" w:hAnsi="Times New Roman" w:cs="Times New Roman"/>
          <w:i/>
          <w:iCs/>
          <w:sz w:val="24"/>
          <w:szCs w:val="24"/>
        </w:rPr>
        <w:t xml:space="preserve">Eva </w:t>
      </w:r>
      <w:proofErr w:type="spellStart"/>
      <w:r w:rsidRPr="007E2ED5">
        <w:rPr>
          <w:rFonts w:ascii="Times New Roman" w:hAnsi="Times New Roman" w:cs="Times New Roman"/>
          <w:i/>
          <w:iCs/>
          <w:sz w:val="24"/>
          <w:szCs w:val="24"/>
        </w:rPr>
        <w:t>Glawischnig</w:t>
      </w:r>
      <w:proofErr w:type="spellEnd"/>
      <w:r w:rsidRPr="007E2ED5">
        <w:rPr>
          <w:rFonts w:ascii="Times New Roman" w:hAnsi="Times New Roman" w:cs="Times New Roman"/>
          <w:i/>
          <w:iCs/>
          <w:sz w:val="24"/>
          <w:szCs w:val="24"/>
        </w:rPr>
        <w:t xml:space="preserve"> </w:t>
      </w:r>
      <w:proofErr w:type="spellStart"/>
      <w:r w:rsidRPr="007E2ED5">
        <w:rPr>
          <w:rFonts w:ascii="Times New Roman" w:hAnsi="Times New Roman" w:cs="Times New Roman"/>
          <w:i/>
          <w:iCs/>
          <w:sz w:val="24"/>
          <w:szCs w:val="24"/>
        </w:rPr>
        <w:t>Piesczek</w:t>
      </w:r>
      <w:proofErr w:type="spellEnd"/>
      <w:r w:rsidRPr="00521B00">
        <w:rPr>
          <w:rFonts w:ascii="Times New Roman" w:hAnsi="Times New Roman" w:cs="Times New Roman"/>
          <w:sz w:val="24"/>
          <w:szCs w:val="24"/>
        </w:rPr>
        <w:t xml:space="preserve"> </w:t>
      </w:r>
      <w:r>
        <w:rPr>
          <w:rFonts w:ascii="Times New Roman" w:hAnsi="Times New Roman" w:cs="Times New Roman"/>
          <w:sz w:val="24"/>
          <w:szCs w:val="24"/>
        </w:rPr>
        <w:t>v.</w:t>
      </w:r>
      <w:r w:rsidRPr="00521B00">
        <w:rPr>
          <w:rFonts w:ascii="Times New Roman" w:hAnsi="Times New Roman" w:cs="Times New Roman"/>
          <w:sz w:val="24"/>
          <w:szCs w:val="24"/>
        </w:rPr>
        <w:t xml:space="preserve"> </w:t>
      </w:r>
      <w:proofErr w:type="spellStart"/>
      <w:r w:rsidRPr="007E2ED5">
        <w:rPr>
          <w:rFonts w:ascii="Times New Roman" w:hAnsi="Times New Roman" w:cs="Times New Roman"/>
          <w:i/>
          <w:iCs/>
          <w:sz w:val="24"/>
          <w:szCs w:val="24"/>
        </w:rPr>
        <w:t>Facebook</w:t>
      </w:r>
      <w:proofErr w:type="spellEnd"/>
      <w:r w:rsidRPr="007E2ED5">
        <w:rPr>
          <w:rFonts w:ascii="Times New Roman" w:hAnsi="Times New Roman" w:cs="Times New Roman"/>
          <w:i/>
          <w:iCs/>
          <w:sz w:val="24"/>
          <w:szCs w:val="24"/>
        </w:rPr>
        <w:t xml:space="preserve"> </w:t>
      </w:r>
      <w:proofErr w:type="spellStart"/>
      <w:r w:rsidRPr="007E2ED5">
        <w:rPr>
          <w:rFonts w:ascii="Times New Roman" w:hAnsi="Times New Roman" w:cs="Times New Roman"/>
          <w:i/>
          <w:iCs/>
          <w:sz w:val="24"/>
          <w:szCs w:val="24"/>
        </w:rPr>
        <w:t>Ireland</w:t>
      </w:r>
      <w:proofErr w:type="spellEnd"/>
      <w:r w:rsidRPr="00521B00">
        <w:rPr>
          <w:rFonts w:ascii="Times New Roman" w:hAnsi="Times New Roman" w:cs="Times New Roman"/>
          <w:sz w:val="24"/>
          <w:szCs w:val="24"/>
        </w:rPr>
        <w:t>.</w:t>
      </w:r>
    </w:p>
    <w:p w14:paraId="35F060C4" w14:textId="77777777" w:rsidR="000463A6" w:rsidRPr="00521B00" w:rsidRDefault="000463A6" w:rsidP="00D74425">
      <w:pPr>
        <w:pStyle w:val="Testonotaapidipagina"/>
        <w:jc w:val="both"/>
        <w:rPr>
          <w:rFonts w:ascii="Times New Roman" w:hAnsi="Times New Roman" w:cs="Times New Roman"/>
          <w:sz w:val="24"/>
          <w:szCs w:val="24"/>
        </w:rPr>
      </w:pPr>
      <w:r w:rsidRPr="00521B00">
        <w:rPr>
          <w:rFonts w:ascii="Times New Roman" w:hAnsi="Times New Roman" w:cs="Times New Roman"/>
          <w:sz w:val="24"/>
          <w:szCs w:val="24"/>
        </w:rPr>
        <w:t>Il caso trae origine da un commento diffamatorio ad opera di un utente della piattaforma, che ha accompagnato la condivisione di un articolo di un quotidiano austriaco con un commento lesivo dell’onore e della reputazione della ricorrente.</w:t>
      </w:r>
    </w:p>
    <w:p w14:paraId="61BD190A" w14:textId="77777777" w:rsidR="000463A6" w:rsidRPr="00521B00" w:rsidRDefault="000463A6" w:rsidP="00D74425">
      <w:pPr>
        <w:pStyle w:val="Testonotaapidipagina"/>
        <w:jc w:val="both"/>
        <w:rPr>
          <w:rFonts w:ascii="Times New Roman" w:hAnsi="Times New Roman" w:cs="Times New Roman"/>
          <w:sz w:val="24"/>
          <w:szCs w:val="24"/>
        </w:rPr>
      </w:pPr>
      <w:r w:rsidRPr="00521B00">
        <w:rPr>
          <w:rFonts w:ascii="Times New Roman" w:hAnsi="Times New Roman" w:cs="Times New Roman"/>
          <w:sz w:val="24"/>
          <w:szCs w:val="24"/>
        </w:rPr>
        <w:t>Le domande proposte sono state tre:</w:t>
      </w:r>
    </w:p>
    <w:p w14:paraId="2E768CAB" w14:textId="77777777" w:rsidR="000463A6" w:rsidRPr="00521B00" w:rsidRDefault="000463A6" w:rsidP="00D74425">
      <w:pPr>
        <w:pStyle w:val="Testonotaapidipagina"/>
        <w:jc w:val="both"/>
        <w:rPr>
          <w:rFonts w:ascii="Times New Roman" w:hAnsi="Times New Roman" w:cs="Times New Roman"/>
          <w:sz w:val="24"/>
          <w:szCs w:val="24"/>
        </w:rPr>
      </w:pPr>
      <w:r>
        <w:rPr>
          <w:rFonts w:ascii="Times New Roman" w:hAnsi="Times New Roman" w:cs="Times New Roman"/>
          <w:sz w:val="24"/>
          <w:szCs w:val="24"/>
        </w:rPr>
        <w:t xml:space="preserve">I) </w:t>
      </w:r>
      <w:r w:rsidRPr="00521B00">
        <w:rPr>
          <w:rFonts w:ascii="Times New Roman" w:hAnsi="Times New Roman" w:cs="Times New Roman"/>
          <w:sz w:val="24"/>
          <w:szCs w:val="24"/>
        </w:rPr>
        <w:t>Se l’articolo 15, co.</w:t>
      </w:r>
      <w:r>
        <w:rPr>
          <w:rFonts w:ascii="Times New Roman" w:hAnsi="Times New Roman" w:cs="Times New Roman"/>
          <w:sz w:val="24"/>
          <w:szCs w:val="24"/>
        </w:rPr>
        <w:t xml:space="preserve"> </w:t>
      </w:r>
      <w:r w:rsidRPr="00521B00">
        <w:rPr>
          <w:rFonts w:ascii="Times New Roman" w:hAnsi="Times New Roman" w:cs="Times New Roman"/>
          <w:sz w:val="24"/>
          <w:szCs w:val="24"/>
        </w:rPr>
        <w:t xml:space="preserve">1 della direttiva 2000/31/CE consenta di imporre ad un </w:t>
      </w:r>
      <w:r w:rsidRPr="007E2ED5">
        <w:rPr>
          <w:rFonts w:ascii="Times New Roman" w:hAnsi="Times New Roman" w:cs="Times New Roman"/>
          <w:i/>
          <w:iCs/>
          <w:sz w:val="24"/>
          <w:szCs w:val="24"/>
        </w:rPr>
        <w:t>hosting provider</w:t>
      </w:r>
      <w:r w:rsidRPr="00521B00">
        <w:rPr>
          <w:rFonts w:ascii="Times New Roman" w:hAnsi="Times New Roman" w:cs="Times New Roman"/>
          <w:sz w:val="24"/>
          <w:szCs w:val="24"/>
        </w:rPr>
        <w:t xml:space="preserve"> di eliminare non soltanto il contenuto dichiarato illecito</w:t>
      </w:r>
      <w:r>
        <w:rPr>
          <w:rFonts w:ascii="Times New Roman" w:hAnsi="Times New Roman" w:cs="Times New Roman"/>
          <w:sz w:val="24"/>
          <w:szCs w:val="24"/>
        </w:rPr>
        <w:t>,</w:t>
      </w:r>
      <w:r w:rsidRPr="00521B00">
        <w:rPr>
          <w:rFonts w:ascii="Times New Roman" w:hAnsi="Times New Roman" w:cs="Times New Roman"/>
          <w:sz w:val="24"/>
          <w:szCs w:val="24"/>
        </w:rPr>
        <w:t xml:space="preserve"> ma anche contenuti identici, anche qualora pubblicati da altri utenti e a livello mondiale;</w:t>
      </w:r>
    </w:p>
    <w:p w14:paraId="14FF5583" w14:textId="77777777" w:rsidR="000463A6" w:rsidRPr="00521B00" w:rsidRDefault="000463A6" w:rsidP="00D74425">
      <w:pPr>
        <w:pStyle w:val="Testonotaapidipagina"/>
        <w:jc w:val="both"/>
        <w:rPr>
          <w:rFonts w:ascii="Times New Roman" w:hAnsi="Times New Roman" w:cs="Times New Roman"/>
          <w:sz w:val="24"/>
          <w:szCs w:val="24"/>
        </w:rPr>
      </w:pPr>
      <w:r w:rsidRPr="00521B00">
        <w:rPr>
          <w:rFonts w:ascii="Times New Roman" w:hAnsi="Times New Roman" w:cs="Times New Roman"/>
          <w:sz w:val="24"/>
          <w:szCs w:val="24"/>
        </w:rPr>
        <w:t>II)</w:t>
      </w:r>
      <w:r>
        <w:rPr>
          <w:rFonts w:ascii="Times New Roman" w:hAnsi="Times New Roman" w:cs="Times New Roman"/>
          <w:sz w:val="24"/>
          <w:szCs w:val="24"/>
        </w:rPr>
        <w:t xml:space="preserve"> </w:t>
      </w:r>
      <w:r w:rsidRPr="00521B00">
        <w:rPr>
          <w:rFonts w:ascii="Times New Roman" w:hAnsi="Times New Roman" w:cs="Times New Roman"/>
          <w:sz w:val="24"/>
          <w:szCs w:val="24"/>
        </w:rPr>
        <w:t>In caso di risposta negativa al primo quesito, valga anche per i contenuti equivalenti;</w:t>
      </w:r>
    </w:p>
    <w:p w14:paraId="228050D1" w14:textId="77777777" w:rsidR="000463A6" w:rsidRPr="00521B00" w:rsidRDefault="000463A6" w:rsidP="00D74425">
      <w:pPr>
        <w:pStyle w:val="Testonotaapidipagina"/>
        <w:jc w:val="both"/>
        <w:rPr>
          <w:sz w:val="28"/>
          <w:szCs w:val="28"/>
        </w:rPr>
      </w:pPr>
      <w:r w:rsidRPr="00521B00">
        <w:rPr>
          <w:rFonts w:ascii="Times New Roman" w:hAnsi="Times New Roman" w:cs="Times New Roman"/>
          <w:sz w:val="24"/>
          <w:szCs w:val="24"/>
        </w:rPr>
        <w:t>III)</w:t>
      </w:r>
      <w:r>
        <w:rPr>
          <w:rFonts w:ascii="Times New Roman" w:hAnsi="Times New Roman" w:cs="Times New Roman"/>
          <w:sz w:val="24"/>
          <w:szCs w:val="24"/>
        </w:rPr>
        <w:t xml:space="preserve"> </w:t>
      </w:r>
      <w:r w:rsidRPr="00521B00">
        <w:rPr>
          <w:rFonts w:ascii="Times New Roman" w:hAnsi="Times New Roman" w:cs="Times New Roman"/>
          <w:sz w:val="24"/>
          <w:szCs w:val="24"/>
        </w:rPr>
        <w:t>Se valga per i contenuti equivalenti, non appena il gestore sia venuto a conoscenza di tale circostanza.</w:t>
      </w:r>
    </w:p>
  </w:footnote>
  <w:footnote w:id="272">
    <w:p w14:paraId="32EDD69A" w14:textId="30025EBF" w:rsidR="000463A6" w:rsidRPr="00521B00" w:rsidRDefault="000463A6" w:rsidP="00521B00">
      <w:pPr>
        <w:pStyle w:val="Testonotaapidipagina"/>
        <w:jc w:val="both"/>
        <w:rPr>
          <w:rFonts w:ascii="Times New Roman" w:hAnsi="Times New Roman" w:cs="Times New Roman"/>
          <w:sz w:val="24"/>
          <w:szCs w:val="24"/>
        </w:rPr>
      </w:pPr>
      <w:r w:rsidRPr="00521B00">
        <w:rPr>
          <w:rStyle w:val="Rimandonotaapidipagina"/>
          <w:rFonts w:ascii="Times New Roman" w:hAnsi="Times New Roman" w:cs="Times New Roman"/>
          <w:sz w:val="24"/>
          <w:szCs w:val="24"/>
        </w:rPr>
        <w:footnoteRef/>
      </w:r>
      <w:r w:rsidRPr="00521B00">
        <w:rPr>
          <w:rFonts w:ascii="Times New Roman" w:hAnsi="Times New Roman" w:cs="Times New Roman"/>
          <w:sz w:val="24"/>
          <w:szCs w:val="24"/>
        </w:rPr>
        <w:t xml:space="preserve"> Punto 39 della sentenza: “</w:t>
      </w:r>
      <w:r w:rsidRPr="00D74425">
        <w:rPr>
          <w:rFonts w:ascii="Times New Roman" w:hAnsi="Times New Roman" w:cs="Times New Roman"/>
          <w:i/>
          <w:iCs/>
          <w:sz w:val="24"/>
          <w:szCs w:val="24"/>
        </w:rPr>
        <w:t>Dalle indicazioni contenute nella decisione di rinvio risulta che, con i termini «informazioni di contenuto equivalente», il giudice del rinvio intende riferirsi a informazioni che veicolano un messaggio il cui contenuto rimane, in sostanza, invariato e quindi diverge molto poco da quello che ha dato luogo all’accertamento d’illiceità</w:t>
      </w:r>
      <w:r w:rsidRPr="00521B00">
        <w:rPr>
          <w:rFonts w:ascii="Times New Roman" w:hAnsi="Times New Roman" w:cs="Times New Roman"/>
          <w:sz w:val="24"/>
          <w:szCs w:val="24"/>
        </w:rPr>
        <w:t>”.</w:t>
      </w:r>
    </w:p>
  </w:footnote>
  <w:footnote w:id="273">
    <w:p w14:paraId="52F1BFD0" w14:textId="1FA54C79" w:rsidR="000463A6" w:rsidRPr="00521B00" w:rsidRDefault="000463A6" w:rsidP="00521B00">
      <w:pPr>
        <w:pStyle w:val="Testonotaapidipagina"/>
        <w:jc w:val="both"/>
        <w:rPr>
          <w:rFonts w:ascii="Times New Roman" w:hAnsi="Times New Roman" w:cs="Times New Roman"/>
          <w:sz w:val="24"/>
          <w:szCs w:val="24"/>
        </w:rPr>
      </w:pPr>
      <w:r w:rsidRPr="00521B00">
        <w:rPr>
          <w:rStyle w:val="Rimandonotaapidipagina"/>
          <w:rFonts w:ascii="Times New Roman" w:hAnsi="Times New Roman" w:cs="Times New Roman"/>
          <w:sz w:val="24"/>
          <w:szCs w:val="24"/>
        </w:rPr>
        <w:footnoteRef/>
      </w:r>
      <w:r w:rsidRPr="00521B00">
        <w:rPr>
          <w:rFonts w:ascii="Times New Roman" w:hAnsi="Times New Roman" w:cs="Times New Roman"/>
          <w:sz w:val="24"/>
          <w:szCs w:val="24"/>
        </w:rPr>
        <w:t xml:space="preserve"> Con riguardo ai tempi, alle circostanze e al contenuto da bloccare o rimuovere.</w:t>
      </w:r>
    </w:p>
  </w:footnote>
  <w:footnote w:id="274">
    <w:p w14:paraId="74E41A9E" w14:textId="6140FAB0" w:rsidR="000463A6" w:rsidRPr="00521B00" w:rsidRDefault="000463A6" w:rsidP="00521B00">
      <w:pPr>
        <w:pStyle w:val="Testonotaapidipagina"/>
        <w:jc w:val="both"/>
        <w:rPr>
          <w:rFonts w:ascii="Times New Roman" w:hAnsi="Times New Roman" w:cs="Times New Roman"/>
          <w:sz w:val="24"/>
          <w:szCs w:val="24"/>
        </w:rPr>
      </w:pPr>
      <w:r w:rsidRPr="00521B00">
        <w:rPr>
          <w:rStyle w:val="Rimandonotaapidipagina"/>
          <w:rFonts w:ascii="Times New Roman" w:hAnsi="Times New Roman" w:cs="Times New Roman"/>
          <w:sz w:val="24"/>
          <w:szCs w:val="24"/>
        </w:rPr>
        <w:footnoteRef/>
      </w:r>
      <w:r w:rsidRPr="00521B00">
        <w:rPr>
          <w:rFonts w:ascii="Times New Roman" w:hAnsi="Times New Roman" w:cs="Times New Roman"/>
          <w:sz w:val="24"/>
          <w:szCs w:val="24"/>
        </w:rPr>
        <w:t xml:space="preserve"> In forma prettamente automatizzata, emblematica sul punto è la sentenza C 324/09, </w:t>
      </w:r>
      <w:r w:rsidRPr="00D74425">
        <w:rPr>
          <w:rFonts w:ascii="Times New Roman" w:hAnsi="Times New Roman" w:cs="Times New Roman"/>
          <w:i/>
          <w:iCs/>
          <w:sz w:val="24"/>
          <w:szCs w:val="24"/>
        </w:rPr>
        <w:t>L’</w:t>
      </w:r>
      <w:proofErr w:type="spellStart"/>
      <w:r w:rsidRPr="00D74425">
        <w:rPr>
          <w:rFonts w:ascii="Times New Roman" w:hAnsi="Times New Roman" w:cs="Times New Roman"/>
          <w:i/>
          <w:iCs/>
          <w:sz w:val="24"/>
          <w:szCs w:val="24"/>
        </w:rPr>
        <w:t>Oreal</w:t>
      </w:r>
      <w:proofErr w:type="spellEnd"/>
      <w:r w:rsidRPr="00521B00">
        <w:rPr>
          <w:rFonts w:ascii="Times New Roman" w:hAnsi="Times New Roman" w:cs="Times New Roman"/>
          <w:sz w:val="24"/>
          <w:szCs w:val="24"/>
        </w:rPr>
        <w:t xml:space="preserve"> v. </w:t>
      </w:r>
      <w:proofErr w:type="spellStart"/>
      <w:r w:rsidRPr="00D74425">
        <w:rPr>
          <w:rFonts w:ascii="Times New Roman" w:hAnsi="Times New Roman" w:cs="Times New Roman"/>
          <w:i/>
          <w:iCs/>
          <w:sz w:val="24"/>
          <w:szCs w:val="24"/>
        </w:rPr>
        <w:t>eBay</w:t>
      </w:r>
      <w:proofErr w:type="spellEnd"/>
      <w:r w:rsidRPr="00521B00">
        <w:rPr>
          <w:rFonts w:ascii="Times New Roman" w:hAnsi="Times New Roman" w:cs="Times New Roman"/>
          <w:sz w:val="24"/>
          <w:szCs w:val="24"/>
        </w:rPr>
        <w:t>.</w:t>
      </w:r>
    </w:p>
  </w:footnote>
  <w:footnote w:id="275">
    <w:p w14:paraId="051472E4" w14:textId="3E936876" w:rsidR="000463A6" w:rsidRPr="006C1713" w:rsidRDefault="000463A6" w:rsidP="00091B42">
      <w:pPr>
        <w:spacing w:after="0" w:line="240" w:lineRule="auto"/>
        <w:jc w:val="both"/>
        <w:rPr>
          <w:rFonts w:ascii="Times New Roman" w:eastAsia="Times New Roman" w:hAnsi="Times New Roman" w:cs="Times New Roman"/>
          <w:sz w:val="24"/>
          <w:szCs w:val="24"/>
          <w:lang w:val="en-GB"/>
        </w:rPr>
      </w:pPr>
      <w:r w:rsidRPr="006C1713">
        <w:rPr>
          <w:rFonts w:ascii="Times New Roman" w:hAnsi="Times New Roman" w:cs="Times New Roman"/>
          <w:sz w:val="24"/>
          <w:szCs w:val="24"/>
          <w:vertAlign w:val="superscript"/>
        </w:rPr>
        <w:footnoteRef/>
      </w:r>
      <w:r w:rsidRPr="006C1713">
        <w:rPr>
          <w:rFonts w:ascii="Times New Roman" w:eastAsia="Times New Roman" w:hAnsi="Times New Roman" w:cs="Times New Roman"/>
          <w:sz w:val="24"/>
          <w:szCs w:val="24"/>
          <w:lang w:val="en-GB"/>
        </w:rPr>
        <w:t xml:space="preserve"> Art. 1, comma 1, </w:t>
      </w:r>
      <w:proofErr w:type="spellStart"/>
      <w:r w:rsidRPr="006C1713">
        <w:rPr>
          <w:rFonts w:ascii="Times New Roman" w:eastAsia="Times New Roman" w:hAnsi="Times New Roman" w:cs="Times New Roman"/>
          <w:sz w:val="24"/>
          <w:szCs w:val="24"/>
          <w:lang w:val="en-GB"/>
        </w:rPr>
        <w:t>lett</w:t>
      </w:r>
      <w:proofErr w:type="spellEnd"/>
      <w:r w:rsidRPr="006C1713">
        <w:rPr>
          <w:rFonts w:ascii="Times New Roman" w:eastAsia="Times New Roman" w:hAnsi="Times New Roman" w:cs="Times New Roman"/>
          <w:sz w:val="24"/>
          <w:szCs w:val="24"/>
          <w:lang w:val="en-GB"/>
        </w:rPr>
        <w:t xml:space="preserve">. dd) D. </w:t>
      </w:r>
      <w:proofErr w:type="spellStart"/>
      <w:r w:rsidRPr="006C1713">
        <w:rPr>
          <w:rFonts w:ascii="Times New Roman" w:eastAsia="Times New Roman" w:hAnsi="Times New Roman" w:cs="Times New Roman"/>
          <w:sz w:val="24"/>
          <w:szCs w:val="24"/>
          <w:lang w:val="en-GB"/>
        </w:rPr>
        <w:t>Lgs</w:t>
      </w:r>
      <w:proofErr w:type="spellEnd"/>
      <w:r w:rsidRPr="006C1713">
        <w:rPr>
          <w:rFonts w:ascii="Times New Roman" w:eastAsia="Times New Roman" w:hAnsi="Times New Roman" w:cs="Times New Roman"/>
          <w:sz w:val="24"/>
          <w:szCs w:val="24"/>
          <w:lang w:val="en-GB"/>
        </w:rPr>
        <w:t>. n. 82/2015.</w:t>
      </w:r>
    </w:p>
  </w:footnote>
  <w:footnote w:id="276">
    <w:p w14:paraId="7C885304" w14:textId="77777777" w:rsidR="000463A6" w:rsidRPr="002315B9" w:rsidRDefault="000463A6" w:rsidP="00091B42">
      <w:pPr>
        <w:spacing w:after="0" w:line="240" w:lineRule="auto"/>
        <w:jc w:val="both"/>
        <w:rPr>
          <w:rFonts w:ascii="Times New Roman" w:eastAsia="Times New Roman" w:hAnsi="Times New Roman" w:cs="Times New Roman"/>
          <w:sz w:val="24"/>
          <w:szCs w:val="24"/>
          <w:lang w:val="en-GB"/>
        </w:rPr>
      </w:pPr>
      <w:r w:rsidRPr="006C1713">
        <w:rPr>
          <w:rFonts w:ascii="Times New Roman" w:hAnsi="Times New Roman" w:cs="Times New Roman"/>
          <w:sz w:val="24"/>
          <w:szCs w:val="24"/>
          <w:vertAlign w:val="superscript"/>
        </w:rPr>
        <w:footnoteRef/>
      </w:r>
      <w:r w:rsidRPr="006C1713">
        <w:rPr>
          <w:rFonts w:ascii="Times New Roman" w:eastAsia="Times New Roman" w:hAnsi="Times New Roman" w:cs="Times New Roman"/>
          <w:sz w:val="24"/>
          <w:szCs w:val="24"/>
          <w:lang w:val="en-GB"/>
        </w:rPr>
        <w:t xml:space="preserve"> Art. 1, comma 1, </w:t>
      </w:r>
      <w:proofErr w:type="spellStart"/>
      <w:r w:rsidRPr="006C1713">
        <w:rPr>
          <w:rFonts w:ascii="Times New Roman" w:eastAsia="Times New Roman" w:hAnsi="Times New Roman" w:cs="Times New Roman"/>
          <w:sz w:val="24"/>
          <w:szCs w:val="24"/>
          <w:lang w:val="en-GB"/>
        </w:rPr>
        <w:t>lett</w:t>
      </w:r>
      <w:proofErr w:type="spellEnd"/>
      <w:r w:rsidRPr="006C1713">
        <w:rPr>
          <w:rFonts w:ascii="Times New Roman" w:eastAsia="Times New Roman" w:hAnsi="Times New Roman" w:cs="Times New Roman"/>
          <w:sz w:val="24"/>
          <w:szCs w:val="24"/>
          <w:lang w:val="en-GB"/>
        </w:rPr>
        <w:t xml:space="preserve">. </w:t>
      </w:r>
      <w:proofErr w:type="spellStart"/>
      <w:r w:rsidRPr="006C1713">
        <w:rPr>
          <w:rFonts w:ascii="Times New Roman" w:eastAsia="Times New Roman" w:hAnsi="Times New Roman" w:cs="Times New Roman"/>
          <w:sz w:val="24"/>
          <w:szCs w:val="24"/>
          <w:lang w:val="en-GB"/>
        </w:rPr>
        <w:t>ee</w:t>
      </w:r>
      <w:proofErr w:type="spellEnd"/>
      <w:r w:rsidRPr="006C1713">
        <w:rPr>
          <w:rFonts w:ascii="Times New Roman" w:eastAsia="Times New Roman" w:hAnsi="Times New Roman" w:cs="Times New Roman"/>
          <w:sz w:val="24"/>
          <w:szCs w:val="24"/>
          <w:lang w:val="en-GB"/>
        </w:rPr>
        <w:t xml:space="preserve">) D. </w:t>
      </w:r>
      <w:proofErr w:type="spellStart"/>
      <w:r w:rsidRPr="006C1713">
        <w:rPr>
          <w:rFonts w:ascii="Times New Roman" w:eastAsia="Times New Roman" w:hAnsi="Times New Roman" w:cs="Times New Roman"/>
          <w:sz w:val="24"/>
          <w:szCs w:val="24"/>
          <w:lang w:val="en-GB"/>
        </w:rPr>
        <w:t>Lgs</w:t>
      </w:r>
      <w:proofErr w:type="spellEnd"/>
      <w:r w:rsidRPr="006C1713">
        <w:rPr>
          <w:rFonts w:ascii="Times New Roman" w:eastAsia="Times New Roman" w:hAnsi="Times New Roman" w:cs="Times New Roman"/>
          <w:sz w:val="24"/>
          <w:szCs w:val="24"/>
          <w:lang w:val="en-GB"/>
        </w:rPr>
        <w:t>. n. 82/2015.</w:t>
      </w:r>
    </w:p>
  </w:footnote>
  <w:footnote w:id="277">
    <w:p w14:paraId="14E5B784" w14:textId="1DE73C2B" w:rsidR="000463A6" w:rsidRPr="0063116A" w:rsidRDefault="000463A6" w:rsidP="00091B42">
      <w:pPr>
        <w:spacing w:after="0" w:line="240" w:lineRule="auto"/>
        <w:jc w:val="both"/>
        <w:rPr>
          <w:rFonts w:ascii="Times New Roman" w:hAnsi="Times New Roman" w:cs="Times New Roman"/>
          <w:sz w:val="24"/>
          <w:szCs w:val="24"/>
        </w:rPr>
      </w:pPr>
      <w:r w:rsidRPr="0063116A">
        <w:rPr>
          <w:rFonts w:ascii="Times New Roman" w:hAnsi="Times New Roman" w:cs="Times New Roman"/>
          <w:sz w:val="24"/>
          <w:szCs w:val="24"/>
          <w:vertAlign w:val="superscript"/>
        </w:rPr>
        <w:footnoteRef/>
      </w:r>
      <w:r w:rsidRPr="0063116A">
        <w:rPr>
          <w:rFonts w:ascii="Times New Roman" w:hAnsi="Times New Roman" w:cs="Times New Roman"/>
          <w:sz w:val="24"/>
          <w:szCs w:val="24"/>
        </w:rPr>
        <w:t xml:space="preserve"> </w:t>
      </w:r>
      <w:r w:rsidRPr="0063116A">
        <w:rPr>
          <w:rFonts w:ascii="Times New Roman" w:eastAsia="Times New Roman" w:hAnsi="Times New Roman" w:cs="Times New Roman"/>
          <w:smallCaps/>
          <w:sz w:val="24"/>
          <w:szCs w:val="24"/>
        </w:rPr>
        <w:t>G. Manca</w:t>
      </w:r>
      <w:r w:rsidRPr="0063116A">
        <w:rPr>
          <w:rFonts w:ascii="Times New Roman" w:eastAsia="Times New Roman" w:hAnsi="Times New Roman" w:cs="Times New Roman"/>
          <w:sz w:val="24"/>
          <w:szCs w:val="24"/>
        </w:rPr>
        <w:t>, “</w:t>
      </w:r>
      <w:r w:rsidRPr="0063116A">
        <w:rPr>
          <w:rFonts w:ascii="Times New Roman" w:eastAsia="Times New Roman" w:hAnsi="Times New Roman" w:cs="Times New Roman"/>
          <w:i/>
          <w:sz w:val="24"/>
          <w:szCs w:val="24"/>
        </w:rPr>
        <w:t>Interoperabilità nella pubblica amministrazione: presente e futuro digitale</w:t>
      </w:r>
      <w:r w:rsidRPr="006C1713">
        <w:rPr>
          <w:rFonts w:ascii="Times New Roman" w:eastAsia="Times New Roman" w:hAnsi="Times New Roman" w:cs="Times New Roman"/>
          <w:iCs/>
          <w:sz w:val="24"/>
          <w:szCs w:val="24"/>
        </w:rPr>
        <w:t xml:space="preserve">”, </w:t>
      </w:r>
      <w:r w:rsidRPr="0063116A">
        <w:rPr>
          <w:rFonts w:ascii="Times New Roman" w:eastAsia="Times New Roman" w:hAnsi="Times New Roman" w:cs="Times New Roman"/>
          <w:sz w:val="24"/>
          <w:szCs w:val="24"/>
        </w:rPr>
        <w:t xml:space="preserve">in </w:t>
      </w:r>
      <w:r w:rsidRPr="0063116A">
        <w:rPr>
          <w:rFonts w:ascii="Times New Roman" w:eastAsia="Times New Roman" w:hAnsi="Times New Roman" w:cs="Times New Roman"/>
          <w:i/>
          <w:sz w:val="24"/>
          <w:szCs w:val="24"/>
        </w:rPr>
        <w:t>www.agendadigitale.eu</w:t>
      </w:r>
      <w:r w:rsidRPr="0063116A">
        <w:rPr>
          <w:rFonts w:ascii="Times New Roman" w:eastAsia="Times New Roman" w:hAnsi="Times New Roman" w:cs="Times New Roman"/>
          <w:sz w:val="24"/>
          <w:szCs w:val="24"/>
        </w:rPr>
        <w:t>, 6 settembre 2018.</w:t>
      </w:r>
    </w:p>
  </w:footnote>
  <w:footnote w:id="278">
    <w:p w14:paraId="4BBE0E8E" w14:textId="246138E5" w:rsidR="000463A6" w:rsidRPr="0063116A" w:rsidRDefault="000463A6" w:rsidP="00091B42">
      <w:pPr>
        <w:pBdr>
          <w:top w:val="nil"/>
          <w:left w:val="nil"/>
          <w:bottom w:val="nil"/>
          <w:right w:val="nil"/>
          <w:between w:val="nil"/>
        </w:pBdr>
        <w:spacing w:after="0" w:line="240" w:lineRule="auto"/>
        <w:jc w:val="both"/>
        <w:rPr>
          <w:rFonts w:ascii="Times New Roman" w:eastAsia="Times New Roman" w:hAnsi="Times New Roman" w:cs="Times New Roman"/>
          <w:i/>
          <w:iCs/>
          <w:color w:val="000000"/>
          <w:sz w:val="24"/>
          <w:szCs w:val="24"/>
        </w:rPr>
      </w:pPr>
      <w:r w:rsidRPr="0063116A">
        <w:rPr>
          <w:rFonts w:ascii="Times New Roman" w:hAnsi="Times New Roman" w:cs="Times New Roman"/>
          <w:sz w:val="24"/>
          <w:szCs w:val="24"/>
          <w:vertAlign w:val="superscript"/>
        </w:rPr>
        <w:footnoteRef/>
      </w:r>
      <w:r w:rsidRPr="0063116A">
        <w:rPr>
          <w:rFonts w:ascii="Times New Roman" w:hAnsi="Times New Roman" w:cs="Times New Roman"/>
          <w:color w:val="000000"/>
          <w:sz w:val="24"/>
          <w:szCs w:val="24"/>
        </w:rPr>
        <w:t xml:space="preserve"> </w:t>
      </w:r>
      <w:r w:rsidRPr="0063116A">
        <w:rPr>
          <w:rFonts w:ascii="Times New Roman" w:eastAsia="Times New Roman" w:hAnsi="Times New Roman" w:cs="Times New Roman"/>
          <w:color w:val="000000"/>
          <w:sz w:val="24"/>
          <w:szCs w:val="24"/>
        </w:rPr>
        <w:t>L’art. 71 del CAD dispone che “</w:t>
      </w:r>
      <w:r w:rsidRPr="0063116A">
        <w:rPr>
          <w:rFonts w:ascii="Times New Roman" w:eastAsia="Times New Roman" w:hAnsi="Times New Roman" w:cs="Times New Roman"/>
          <w:i/>
          <w:iCs/>
          <w:color w:val="000000"/>
          <w:sz w:val="24"/>
          <w:szCs w:val="24"/>
        </w:rPr>
        <w:t>1. L</w:t>
      </w:r>
      <w:r>
        <w:rPr>
          <w:rFonts w:ascii="Times New Roman" w:eastAsia="Times New Roman" w:hAnsi="Times New Roman" w:cs="Times New Roman"/>
          <w:i/>
          <w:iCs/>
          <w:color w:val="000000"/>
          <w:sz w:val="24"/>
          <w:szCs w:val="24"/>
        </w:rPr>
        <w:t>’</w:t>
      </w:r>
      <w:proofErr w:type="spellStart"/>
      <w:r w:rsidRPr="0063116A">
        <w:rPr>
          <w:rFonts w:ascii="Times New Roman" w:eastAsia="Times New Roman" w:hAnsi="Times New Roman" w:cs="Times New Roman"/>
          <w:i/>
          <w:iCs/>
          <w:color w:val="000000"/>
          <w:sz w:val="24"/>
          <w:szCs w:val="24"/>
        </w:rPr>
        <w:t>AgID</w:t>
      </w:r>
      <w:proofErr w:type="spellEnd"/>
      <w:r w:rsidRPr="0063116A">
        <w:rPr>
          <w:rFonts w:ascii="Times New Roman" w:eastAsia="Times New Roman" w:hAnsi="Times New Roman" w:cs="Times New Roman"/>
          <w:i/>
          <w:iCs/>
          <w:color w:val="000000"/>
          <w:sz w:val="24"/>
          <w:szCs w:val="24"/>
        </w:rPr>
        <w:t xml:space="preserve">, previa consultazione pubblica da svolgersi entro il termine di trenta giorni, </w:t>
      </w:r>
      <w:r w:rsidRPr="0063116A">
        <w:rPr>
          <w:rFonts w:ascii="Times New Roman" w:eastAsia="Times New Roman" w:hAnsi="Times New Roman" w:cs="Times New Roman"/>
          <w:i/>
          <w:iCs/>
          <w:color w:val="000000"/>
          <w:sz w:val="24"/>
          <w:szCs w:val="24"/>
          <w:u w:val="single"/>
        </w:rPr>
        <w:t>sentiti le amministrazioni competenti e il Garante per la protezione dei dati personali nelle materie di competenza</w:t>
      </w:r>
      <w:r w:rsidRPr="0063116A">
        <w:rPr>
          <w:rFonts w:ascii="Times New Roman" w:eastAsia="Times New Roman" w:hAnsi="Times New Roman" w:cs="Times New Roman"/>
          <w:i/>
          <w:iCs/>
          <w:color w:val="000000"/>
          <w:sz w:val="24"/>
          <w:szCs w:val="24"/>
        </w:rPr>
        <w:t>, nonché acquisito il parere della Conferenza unificata, adotta Linee guida contenenti le regole tecniche e di indirizzo per l</w:t>
      </w:r>
      <w:r>
        <w:rPr>
          <w:rFonts w:ascii="Times New Roman" w:eastAsia="Times New Roman" w:hAnsi="Times New Roman" w:cs="Times New Roman"/>
          <w:i/>
          <w:iCs/>
          <w:color w:val="000000"/>
          <w:sz w:val="24"/>
          <w:szCs w:val="24"/>
        </w:rPr>
        <w:t>’</w:t>
      </w:r>
      <w:r w:rsidRPr="0063116A">
        <w:rPr>
          <w:rFonts w:ascii="Times New Roman" w:eastAsia="Times New Roman" w:hAnsi="Times New Roman" w:cs="Times New Roman"/>
          <w:i/>
          <w:iCs/>
          <w:color w:val="000000"/>
          <w:sz w:val="24"/>
          <w:szCs w:val="24"/>
        </w:rPr>
        <w:t>attuazione del presente Codice. Le Linee guida divengono efficaci dopo la loro pubblicazione nell</w:t>
      </w:r>
      <w:r>
        <w:rPr>
          <w:rFonts w:ascii="Times New Roman" w:eastAsia="Times New Roman" w:hAnsi="Times New Roman" w:cs="Times New Roman"/>
          <w:i/>
          <w:iCs/>
          <w:color w:val="000000"/>
          <w:sz w:val="24"/>
          <w:szCs w:val="24"/>
        </w:rPr>
        <w:t>’</w:t>
      </w:r>
      <w:r w:rsidRPr="0063116A">
        <w:rPr>
          <w:rFonts w:ascii="Times New Roman" w:eastAsia="Times New Roman" w:hAnsi="Times New Roman" w:cs="Times New Roman"/>
          <w:i/>
          <w:iCs/>
          <w:color w:val="000000"/>
          <w:sz w:val="24"/>
          <w:szCs w:val="24"/>
        </w:rPr>
        <w:t>apposita area del sito Internet istituzionale dell</w:t>
      </w:r>
      <w:r>
        <w:rPr>
          <w:rFonts w:ascii="Times New Roman" w:eastAsia="Times New Roman" w:hAnsi="Times New Roman" w:cs="Times New Roman"/>
          <w:i/>
          <w:iCs/>
          <w:color w:val="000000"/>
          <w:sz w:val="24"/>
          <w:szCs w:val="24"/>
        </w:rPr>
        <w:t>’</w:t>
      </w:r>
      <w:proofErr w:type="spellStart"/>
      <w:r w:rsidRPr="0063116A">
        <w:rPr>
          <w:rFonts w:ascii="Times New Roman" w:eastAsia="Times New Roman" w:hAnsi="Times New Roman" w:cs="Times New Roman"/>
          <w:i/>
          <w:iCs/>
          <w:color w:val="000000"/>
          <w:sz w:val="24"/>
          <w:szCs w:val="24"/>
        </w:rPr>
        <w:t>AgID</w:t>
      </w:r>
      <w:proofErr w:type="spellEnd"/>
      <w:r w:rsidRPr="0063116A">
        <w:rPr>
          <w:rFonts w:ascii="Times New Roman" w:eastAsia="Times New Roman" w:hAnsi="Times New Roman" w:cs="Times New Roman"/>
          <w:i/>
          <w:iCs/>
          <w:color w:val="000000"/>
          <w:sz w:val="24"/>
          <w:szCs w:val="24"/>
        </w:rPr>
        <w:t xml:space="preserve"> e di essa ne è data notizia nella Gazzetta Ufficiale della Repubblica italiana. Le Linee guida sono aggiornate o modificate con la procedura di cui al primo periodo.</w:t>
      </w:r>
    </w:p>
    <w:p w14:paraId="554141FD" w14:textId="42AFA596" w:rsidR="000463A6" w:rsidRPr="0063116A" w:rsidRDefault="000463A6" w:rsidP="00091B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3116A">
        <w:rPr>
          <w:rFonts w:ascii="Times New Roman" w:eastAsia="Times New Roman" w:hAnsi="Times New Roman" w:cs="Times New Roman"/>
          <w:i/>
          <w:iCs/>
          <w:color w:val="000000"/>
          <w:sz w:val="24"/>
          <w:szCs w:val="24"/>
        </w:rPr>
        <w:t>1-ter. Le regole tecniche di cui al presente codice sono dettate in conformità ai requisiti tecnici di accessibilità di cui all'articolo 11 della legge 9 gennaio 2004, n. 4, alle discipline risultanti dal processo di standardizzazione tecnologica a livello internazionale ed alle normative dell</w:t>
      </w:r>
      <w:r>
        <w:rPr>
          <w:rFonts w:ascii="Times New Roman" w:eastAsia="Times New Roman" w:hAnsi="Times New Roman" w:cs="Times New Roman"/>
          <w:i/>
          <w:iCs/>
          <w:color w:val="000000"/>
          <w:sz w:val="24"/>
          <w:szCs w:val="24"/>
        </w:rPr>
        <w:t>’</w:t>
      </w:r>
      <w:r w:rsidRPr="0063116A">
        <w:rPr>
          <w:rFonts w:ascii="Times New Roman" w:eastAsia="Times New Roman" w:hAnsi="Times New Roman" w:cs="Times New Roman"/>
          <w:i/>
          <w:iCs/>
          <w:color w:val="000000"/>
          <w:sz w:val="24"/>
          <w:szCs w:val="24"/>
        </w:rPr>
        <w:t>Unione europea</w:t>
      </w:r>
      <w:r w:rsidRPr="0063116A">
        <w:rPr>
          <w:rFonts w:ascii="Times New Roman" w:eastAsia="Times New Roman" w:hAnsi="Times New Roman" w:cs="Times New Roman"/>
          <w:color w:val="000000"/>
          <w:sz w:val="24"/>
          <w:szCs w:val="24"/>
        </w:rPr>
        <w:t>”.</w:t>
      </w:r>
    </w:p>
    <w:p w14:paraId="121A49E6" w14:textId="77777777" w:rsidR="000463A6" w:rsidRDefault="000463A6" w:rsidP="00091B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3116A">
        <w:rPr>
          <w:rFonts w:ascii="Times New Roman" w:eastAsia="Times New Roman" w:hAnsi="Times New Roman" w:cs="Times New Roman"/>
          <w:color w:val="000000"/>
          <w:sz w:val="24"/>
          <w:szCs w:val="24"/>
        </w:rPr>
        <w:t xml:space="preserve">Mentre, l’art. 72 del CAD </w:t>
      </w:r>
      <w:r>
        <w:rPr>
          <w:rFonts w:ascii="Times New Roman" w:eastAsia="Times New Roman" w:hAnsi="Times New Roman" w:cs="Times New Roman"/>
          <w:color w:val="000000"/>
          <w:sz w:val="24"/>
          <w:szCs w:val="24"/>
        </w:rPr>
        <w:t>–</w:t>
      </w:r>
      <w:r w:rsidRPr="0063116A">
        <w:rPr>
          <w:rFonts w:ascii="Times New Roman" w:eastAsia="Times New Roman" w:hAnsi="Times New Roman" w:cs="Times New Roman"/>
          <w:color w:val="000000"/>
          <w:sz w:val="24"/>
          <w:szCs w:val="24"/>
        </w:rPr>
        <w:t xml:space="preserve"> abrogato dal D.Lgs. 179/2016</w:t>
      </w:r>
      <w:r>
        <w:rPr>
          <w:rFonts w:ascii="Times New Roman" w:eastAsia="Times New Roman" w:hAnsi="Times New Roman" w:cs="Times New Roman"/>
          <w:color w:val="000000"/>
          <w:sz w:val="24"/>
          <w:szCs w:val="24"/>
        </w:rPr>
        <w:t xml:space="preserve"> – </w:t>
      </w:r>
      <w:r w:rsidRPr="0063116A">
        <w:rPr>
          <w:rFonts w:ascii="Times New Roman" w:eastAsia="Times New Roman" w:hAnsi="Times New Roman" w:cs="Times New Roman"/>
          <w:color w:val="000000"/>
          <w:sz w:val="24"/>
          <w:szCs w:val="24"/>
        </w:rPr>
        <w:t>forniva le definizioni di “</w:t>
      </w:r>
      <w:r w:rsidRPr="0063116A">
        <w:rPr>
          <w:rFonts w:ascii="Times New Roman" w:eastAsia="Times New Roman" w:hAnsi="Times New Roman" w:cs="Times New Roman"/>
          <w:i/>
          <w:iCs/>
          <w:color w:val="000000"/>
          <w:sz w:val="24"/>
          <w:szCs w:val="24"/>
        </w:rPr>
        <w:t xml:space="preserve">d) </w:t>
      </w:r>
      <w:r>
        <w:rPr>
          <w:rFonts w:ascii="Times New Roman" w:eastAsia="Times New Roman" w:hAnsi="Times New Roman" w:cs="Times New Roman"/>
          <w:i/>
          <w:iCs/>
          <w:color w:val="000000"/>
          <w:sz w:val="24"/>
          <w:szCs w:val="24"/>
        </w:rPr>
        <w:t>“</w:t>
      </w:r>
      <w:r w:rsidRPr="0063116A">
        <w:rPr>
          <w:rFonts w:ascii="Times New Roman" w:eastAsia="Times New Roman" w:hAnsi="Times New Roman" w:cs="Times New Roman"/>
          <w:i/>
          <w:iCs/>
          <w:color w:val="000000"/>
          <w:sz w:val="24"/>
          <w:szCs w:val="24"/>
        </w:rPr>
        <w:t>interoperabilità evoluta</w:t>
      </w:r>
      <w:r>
        <w:rPr>
          <w:rFonts w:ascii="Times New Roman" w:eastAsia="Times New Roman" w:hAnsi="Times New Roman" w:cs="Times New Roman"/>
          <w:i/>
          <w:iCs/>
          <w:color w:val="000000"/>
          <w:sz w:val="24"/>
          <w:szCs w:val="24"/>
        </w:rPr>
        <w:t>”</w:t>
      </w:r>
      <w:r w:rsidRPr="0063116A">
        <w:rPr>
          <w:rFonts w:ascii="Times New Roman" w:eastAsia="Times New Roman" w:hAnsi="Times New Roman" w:cs="Times New Roman"/>
          <w:i/>
          <w:iCs/>
          <w:color w:val="000000"/>
          <w:sz w:val="24"/>
          <w:szCs w:val="24"/>
        </w:rPr>
        <w:t>: i servizi idonei a favorire la circolazione, lo scambio di dati e informazioni, e l</w:t>
      </w:r>
      <w:r>
        <w:rPr>
          <w:rFonts w:ascii="Times New Roman" w:eastAsia="Times New Roman" w:hAnsi="Times New Roman" w:cs="Times New Roman"/>
          <w:i/>
          <w:iCs/>
          <w:color w:val="000000"/>
          <w:sz w:val="24"/>
          <w:szCs w:val="24"/>
        </w:rPr>
        <w:t>’</w:t>
      </w:r>
      <w:r w:rsidRPr="0063116A">
        <w:rPr>
          <w:rFonts w:ascii="Times New Roman" w:eastAsia="Times New Roman" w:hAnsi="Times New Roman" w:cs="Times New Roman"/>
          <w:i/>
          <w:iCs/>
          <w:color w:val="000000"/>
          <w:sz w:val="24"/>
          <w:szCs w:val="24"/>
        </w:rPr>
        <w:t xml:space="preserve">erogazione fra le pubbliche amministrazioni e tra queste e i cittadini; e) </w:t>
      </w:r>
      <w:r>
        <w:rPr>
          <w:rFonts w:ascii="Times New Roman" w:eastAsia="Times New Roman" w:hAnsi="Times New Roman" w:cs="Times New Roman"/>
          <w:i/>
          <w:iCs/>
          <w:color w:val="000000"/>
          <w:sz w:val="24"/>
          <w:szCs w:val="24"/>
        </w:rPr>
        <w:t>“</w:t>
      </w:r>
      <w:r w:rsidRPr="0063116A">
        <w:rPr>
          <w:rFonts w:ascii="Times New Roman" w:eastAsia="Times New Roman" w:hAnsi="Times New Roman" w:cs="Times New Roman"/>
          <w:i/>
          <w:iCs/>
          <w:color w:val="000000"/>
          <w:sz w:val="24"/>
          <w:szCs w:val="24"/>
        </w:rPr>
        <w:t>cooperazione applicativa</w:t>
      </w:r>
      <w:r>
        <w:rPr>
          <w:rFonts w:ascii="Times New Roman" w:eastAsia="Times New Roman" w:hAnsi="Times New Roman" w:cs="Times New Roman"/>
          <w:i/>
          <w:iCs/>
          <w:color w:val="000000"/>
          <w:sz w:val="24"/>
          <w:szCs w:val="24"/>
        </w:rPr>
        <w:t>”</w:t>
      </w:r>
      <w:r w:rsidRPr="0063116A">
        <w:rPr>
          <w:rFonts w:ascii="Times New Roman" w:eastAsia="Times New Roman" w:hAnsi="Times New Roman" w:cs="Times New Roman"/>
          <w:i/>
          <w:iCs/>
          <w:color w:val="000000"/>
          <w:sz w:val="24"/>
          <w:szCs w:val="24"/>
        </w:rPr>
        <w:t>: la parte del sistema pubblico di connettività finalizzata all</w:t>
      </w:r>
      <w:r>
        <w:rPr>
          <w:rFonts w:ascii="Times New Roman" w:eastAsia="Times New Roman" w:hAnsi="Times New Roman" w:cs="Times New Roman"/>
          <w:i/>
          <w:iCs/>
          <w:color w:val="000000"/>
          <w:sz w:val="24"/>
          <w:szCs w:val="24"/>
        </w:rPr>
        <w:t>’</w:t>
      </w:r>
      <w:r w:rsidRPr="0063116A">
        <w:rPr>
          <w:rFonts w:ascii="Times New Roman" w:eastAsia="Times New Roman" w:hAnsi="Times New Roman" w:cs="Times New Roman"/>
          <w:i/>
          <w:iCs/>
          <w:color w:val="000000"/>
          <w:sz w:val="24"/>
          <w:szCs w:val="24"/>
        </w:rPr>
        <w:t>interazione tra i sistemi informatici delle pubbliche amministrazioni per garantire l</w:t>
      </w:r>
      <w:r>
        <w:rPr>
          <w:rFonts w:ascii="Times New Roman" w:eastAsia="Times New Roman" w:hAnsi="Times New Roman" w:cs="Times New Roman"/>
          <w:i/>
          <w:iCs/>
          <w:color w:val="000000"/>
          <w:sz w:val="24"/>
          <w:szCs w:val="24"/>
        </w:rPr>
        <w:t>’</w:t>
      </w:r>
      <w:r w:rsidRPr="0063116A">
        <w:rPr>
          <w:rFonts w:ascii="Times New Roman" w:eastAsia="Times New Roman" w:hAnsi="Times New Roman" w:cs="Times New Roman"/>
          <w:i/>
          <w:iCs/>
          <w:color w:val="000000"/>
          <w:sz w:val="24"/>
          <w:szCs w:val="24"/>
        </w:rPr>
        <w:t>integrazione dei metadati, delle informazioni e dei procedimenti amministrativi</w:t>
      </w:r>
      <w:r w:rsidRPr="0063116A">
        <w:rPr>
          <w:rFonts w:ascii="Times New Roman" w:eastAsia="Times New Roman" w:hAnsi="Times New Roman" w:cs="Times New Roman"/>
          <w:color w:val="000000"/>
          <w:sz w:val="24"/>
          <w:szCs w:val="24"/>
        </w:rPr>
        <w:t xml:space="preserve">”. </w:t>
      </w:r>
    </w:p>
    <w:p w14:paraId="438D7009" w14:textId="4D8330C1" w:rsidR="000463A6" w:rsidRPr="00D02B4E" w:rsidRDefault="000463A6" w:rsidP="00091B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3116A">
        <w:rPr>
          <w:rFonts w:ascii="Times New Roman" w:eastAsia="Times New Roman" w:hAnsi="Times New Roman" w:cs="Times New Roman"/>
          <w:color w:val="000000"/>
          <w:sz w:val="24"/>
          <w:szCs w:val="24"/>
        </w:rPr>
        <w:t>L’art. 72, abrogato</w:t>
      </w:r>
      <w:r>
        <w:rPr>
          <w:rFonts w:ascii="Times New Roman" w:eastAsia="Times New Roman" w:hAnsi="Times New Roman" w:cs="Times New Roman"/>
          <w:color w:val="000000"/>
          <w:sz w:val="24"/>
          <w:szCs w:val="24"/>
        </w:rPr>
        <w:t>,</w:t>
      </w:r>
      <w:r w:rsidRPr="0063116A">
        <w:rPr>
          <w:rFonts w:ascii="Times New Roman" w:eastAsia="Times New Roman" w:hAnsi="Times New Roman" w:cs="Times New Roman"/>
          <w:color w:val="000000"/>
          <w:sz w:val="24"/>
          <w:szCs w:val="24"/>
        </w:rPr>
        <w:t xml:space="preserve"> recitava espressamente: “</w:t>
      </w:r>
      <w:r w:rsidRPr="0063116A">
        <w:rPr>
          <w:rFonts w:ascii="Times New Roman" w:eastAsia="Times New Roman" w:hAnsi="Times New Roman" w:cs="Times New Roman"/>
          <w:i/>
          <w:color w:val="000000"/>
          <w:sz w:val="24"/>
          <w:szCs w:val="24"/>
        </w:rPr>
        <w:t>1. Ai fini del presente decreto si intende per:</w:t>
      </w:r>
    </w:p>
    <w:p w14:paraId="240FDD0B" w14:textId="4C2F4BFE" w:rsidR="000463A6" w:rsidRPr="0063116A" w:rsidRDefault="000463A6" w:rsidP="00091B42">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63116A">
        <w:rPr>
          <w:rFonts w:ascii="Times New Roman" w:eastAsia="Times New Roman" w:hAnsi="Times New Roman" w:cs="Times New Roman"/>
          <w:i/>
          <w:color w:val="000000"/>
          <w:sz w:val="24"/>
          <w:szCs w:val="24"/>
        </w:rPr>
        <w:t xml:space="preserve">    a) </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trasporto di dati</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 i servizi per la realizzazione, gestione ed evoluzione di reti informatiche per la trasmissione di dati, oggetti multimediali e fonia;</w:t>
      </w:r>
    </w:p>
    <w:p w14:paraId="0F9FA553" w14:textId="5B50A70A" w:rsidR="000463A6" w:rsidRPr="0063116A" w:rsidRDefault="000463A6" w:rsidP="00091B42">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63116A">
        <w:rPr>
          <w:rFonts w:ascii="Times New Roman" w:eastAsia="Times New Roman" w:hAnsi="Times New Roman" w:cs="Times New Roman"/>
          <w:i/>
          <w:color w:val="000000"/>
          <w:sz w:val="24"/>
          <w:szCs w:val="24"/>
        </w:rPr>
        <w:t xml:space="preserve">    b) </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interoperabilità di base</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 i servizi per la realizzazione, gestione ed evoluzione di strumenti per lo scambio di documenti informatici fra le pubbliche amministrazioni e tra queste e i cittadini;</w:t>
      </w:r>
    </w:p>
    <w:p w14:paraId="7A9608B6" w14:textId="276230CA" w:rsidR="000463A6" w:rsidRPr="0063116A" w:rsidRDefault="000463A6" w:rsidP="00091B42">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63116A">
        <w:rPr>
          <w:rFonts w:ascii="Times New Roman" w:eastAsia="Times New Roman" w:hAnsi="Times New Roman" w:cs="Times New Roman"/>
          <w:i/>
          <w:color w:val="000000"/>
          <w:sz w:val="24"/>
          <w:szCs w:val="24"/>
        </w:rPr>
        <w:t xml:space="preserve">    c) </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connettività</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 l</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insieme dei servizi di trasporto di dati e di interoperabilità di base;</w:t>
      </w:r>
    </w:p>
    <w:p w14:paraId="68D92AB9" w14:textId="4B2FD6D0" w:rsidR="000463A6" w:rsidRPr="0063116A" w:rsidRDefault="000463A6" w:rsidP="00091B42">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63116A">
        <w:rPr>
          <w:rFonts w:ascii="Times New Roman" w:eastAsia="Times New Roman" w:hAnsi="Times New Roman" w:cs="Times New Roman"/>
          <w:i/>
          <w:color w:val="000000"/>
          <w:sz w:val="24"/>
          <w:szCs w:val="24"/>
        </w:rPr>
        <w:t xml:space="preserve">    d) </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interoperabilità evoluta</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 i servizi idonei a favorire la circolazione, lo scambio di dati e informazioni, e l</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erogazione fra le pubbliche amministrazioni e tra queste e i cittadini;</w:t>
      </w:r>
    </w:p>
    <w:p w14:paraId="6E48D7BE" w14:textId="6A7BE601" w:rsidR="000463A6" w:rsidRPr="002315B9" w:rsidRDefault="000463A6" w:rsidP="00091B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3116A">
        <w:rPr>
          <w:rFonts w:ascii="Times New Roman" w:eastAsia="Times New Roman" w:hAnsi="Times New Roman" w:cs="Times New Roman"/>
          <w:i/>
          <w:color w:val="000000"/>
          <w:sz w:val="24"/>
          <w:szCs w:val="24"/>
        </w:rPr>
        <w:t xml:space="preserve">    e) </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cooperazione applicativa</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 la parte del sistema pubblico di connettività finalizzata all</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interazione tra i sistemi informatici delle pubbliche amministrazioni per garantire l</w:t>
      </w:r>
      <w:r>
        <w:rPr>
          <w:rFonts w:ascii="Times New Roman" w:eastAsia="Times New Roman" w:hAnsi="Times New Roman" w:cs="Times New Roman"/>
          <w:i/>
          <w:color w:val="000000"/>
          <w:sz w:val="24"/>
          <w:szCs w:val="24"/>
        </w:rPr>
        <w:t>’</w:t>
      </w:r>
      <w:r w:rsidRPr="0063116A">
        <w:rPr>
          <w:rFonts w:ascii="Times New Roman" w:eastAsia="Times New Roman" w:hAnsi="Times New Roman" w:cs="Times New Roman"/>
          <w:i/>
          <w:color w:val="000000"/>
          <w:sz w:val="24"/>
          <w:szCs w:val="24"/>
        </w:rPr>
        <w:t>integrazione dei metadati, delle informazioni e dei procedimenti amministrativi</w:t>
      </w:r>
      <w:r w:rsidRPr="0063116A">
        <w:rPr>
          <w:rFonts w:ascii="Times New Roman" w:eastAsia="Times New Roman" w:hAnsi="Times New Roman" w:cs="Times New Roman"/>
          <w:color w:val="000000"/>
          <w:sz w:val="24"/>
          <w:szCs w:val="24"/>
        </w:rPr>
        <w:t>.”</w:t>
      </w:r>
    </w:p>
  </w:footnote>
  <w:footnote w:id="279">
    <w:p w14:paraId="7B897A5F" w14:textId="2975DE8E" w:rsidR="000463A6" w:rsidRPr="0063116A" w:rsidRDefault="000463A6" w:rsidP="00D02B4E">
      <w:pPr>
        <w:spacing w:after="0" w:line="240" w:lineRule="auto"/>
        <w:jc w:val="both"/>
        <w:rPr>
          <w:rFonts w:ascii="Times New Roman" w:hAnsi="Times New Roman" w:cs="Times New Roman"/>
          <w:sz w:val="24"/>
          <w:szCs w:val="24"/>
        </w:rPr>
      </w:pPr>
      <w:r w:rsidRPr="0063116A">
        <w:rPr>
          <w:rFonts w:ascii="Times New Roman" w:hAnsi="Times New Roman" w:cs="Times New Roman"/>
          <w:sz w:val="24"/>
          <w:szCs w:val="24"/>
          <w:vertAlign w:val="superscript"/>
        </w:rPr>
        <w:footnoteRef/>
      </w:r>
      <w:r w:rsidRPr="0063116A">
        <w:rPr>
          <w:rFonts w:ascii="Times New Roman" w:hAnsi="Times New Roman" w:cs="Times New Roman"/>
          <w:sz w:val="24"/>
          <w:szCs w:val="24"/>
        </w:rPr>
        <w:t xml:space="preserve"> </w:t>
      </w:r>
      <w:r w:rsidRPr="0063116A">
        <w:rPr>
          <w:rFonts w:ascii="Times New Roman" w:eastAsia="Times New Roman" w:hAnsi="Times New Roman" w:cs="Times New Roman"/>
          <w:sz w:val="24"/>
          <w:szCs w:val="24"/>
        </w:rPr>
        <w:t>Il Sistema Pubblico di Connettività e Cooperazione, istituito con D.Lgs. 28 febbraio 2005, n. 42 quale evoluzione della RUPA (Rete Unitaria della Pubblica Amministrazione)</w:t>
      </w:r>
      <w:r>
        <w:rPr>
          <w:rFonts w:ascii="Times New Roman" w:eastAsia="Times New Roman" w:hAnsi="Times New Roman" w:cs="Times New Roman"/>
          <w:sz w:val="24"/>
          <w:szCs w:val="24"/>
        </w:rPr>
        <w:t>,</w:t>
      </w:r>
      <w:r w:rsidRPr="0063116A">
        <w:rPr>
          <w:rFonts w:ascii="Times New Roman" w:eastAsia="Times New Roman" w:hAnsi="Times New Roman" w:cs="Times New Roman"/>
          <w:sz w:val="24"/>
          <w:szCs w:val="24"/>
        </w:rPr>
        <w:t xml:space="preserve"> è confluito grazie al D.Lgs. 159/2006 (che ha abrogato il D.Lgs. 42/2005) negli artt. 72 ss. del D.Lgs. 82/2005, modificato dal D</w:t>
      </w:r>
      <w:r>
        <w:rPr>
          <w:rFonts w:ascii="Times New Roman" w:eastAsia="Times New Roman" w:hAnsi="Times New Roman" w:cs="Times New Roman"/>
          <w:sz w:val="24"/>
          <w:szCs w:val="24"/>
        </w:rPr>
        <w:t>.</w:t>
      </w:r>
      <w:r w:rsidRPr="0063116A">
        <w:rPr>
          <w:rFonts w:ascii="Times New Roman" w:eastAsia="Times New Roman" w:hAnsi="Times New Roman" w:cs="Times New Roman"/>
          <w:sz w:val="24"/>
          <w:szCs w:val="24"/>
        </w:rPr>
        <w:t>lgs</w:t>
      </w:r>
      <w:r>
        <w:rPr>
          <w:rFonts w:ascii="Times New Roman" w:eastAsia="Times New Roman" w:hAnsi="Times New Roman" w:cs="Times New Roman"/>
          <w:sz w:val="24"/>
          <w:szCs w:val="24"/>
        </w:rPr>
        <w:t>.</w:t>
      </w:r>
      <w:r w:rsidRPr="0063116A">
        <w:rPr>
          <w:rFonts w:ascii="Times New Roman" w:eastAsia="Times New Roman" w:hAnsi="Times New Roman" w:cs="Times New Roman"/>
          <w:sz w:val="24"/>
          <w:szCs w:val="24"/>
        </w:rPr>
        <w:t xml:space="preserve"> 179/2016, poi dal correttivo </w:t>
      </w:r>
      <w:r>
        <w:rPr>
          <w:rFonts w:ascii="Times New Roman" w:eastAsia="Times New Roman" w:hAnsi="Times New Roman" w:cs="Times New Roman"/>
          <w:sz w:val="24"/>
          <w:szCs w:val="24"/>
        </w:rPr>
        <w:t>D.</w:t>
      </w:r>
      <w:r w:rsidRPr="0063116A">
        <w:rPr>
          <w:rFonts w:ascii="Times New Roman" w:eastAsia="Times New Roman" w:hAnsi="Times New Roman" w:cs="Times New Roman"/>
          <w:sz w:val="24"/>
          <w:szCs w:val="24"/>
        </w:rPr>
        <w:t>lgs</w:t>
      </w:r>
      <w:r>
        <w:rPr>
          <w:rFonts w:ascii="Times New Roman" w:eastAsia="Times New Roman" w:hAnsi="Times New Roman" w:cs="Times New Roman"/>
          <w:sz w:val="24"/>
          <w:szCs w:val="24"/>
        </w:rPr>
        <w:t>.</w:t>
      </w:r>
      <w:r w:rsidRPr="0063116A">
        <w:rPr>
          <w:rFonts w:ascii="Times New Roman" w:eastAsia="Times New Roman" w:hAnsi="Times New Roman" w:cs="Times New Roman"/>
          <w:sz w:val="24"/>
          <w:szCs w:val="24"/>
        </w:rPr>
        <w:t xml:space="preserve"> 217/17. Operativo dal 2007, un quadro consolidato si è avuto con il </w:t>
      </w:r>
      <w:proofErr w:type="spellStart"/>
      <w:r w:rsidRPr="0063116A">
        <w:rPr>
          <w:rFonts w:ascii="Times New Roman" w:eastAsia="Times New Roman" w:hAnsi="Times New Roman" w:cs="Times New Roman"/>
          <w:sz w:val="24"/>
          <w:szCs w:val="24"/>
        </w:rPr>
        <w:t>d.p.c.m</w:t>
      </w:r>
      <w:proofErr w:type="spellEnd"/>
      <w:r w:rsidRPr="0063116A">
        <w:rPr>
          <w:rFonts w:ascii="Times New Roman" w:eastAsia="Times New Roman" w:hAnsi="Times New Roman" w:cs="Times New Roman"/>
          <w:sz w:val="24"/>
          <w:szCs w:val="24"/>
        </w:rPr>
        <w:t>. 1° aprile 2008, recante regole tecniche e di sicurezza per il suo funzionamento.</w:t>
      </w:r>
    </w:p>
  </w:footnote>
  <w:footnote w:id="280">
    <w:p w14:paraId="64289382" w14:textId="023E6D91" w:rsidR="000463A6" w:rsidRPr="002315B9" w:rsidRDefault="000463A6" w:rsidP="00D02B4E">
      <w:pPr>
        <w:spacing w:after="0" w:line="240" w:lineRule="auto"/>
        <w:jc w:val="both"/>
        <w:rPr>
          <w:rFonts w:ascii="Times New Roman" w:hAnsi="Times New Roman" w:cs="Times New Roman"/>
          <w:sz w:val="20"/>
          <w:szCs w:val="20"/>
        </w:rPr>
      </w:pPr>
      <w:r w:rsidRPr="0063116A">
        <w:rPr>
          <w:rFonts w:ascii="Times New Roman" w:hAnsi="Times New Roman" w:cs="Times New Roman"/>
          <w:sz w:val="24"/>
          <w:szCs w:val="24"/>
          <w:vertAlign w:val="superscript"/>
        </w:rPr>
        <w:footnoteRef/>
      </w:r>
      <w:r w:rsidRPr="0063116A">
        <w:rPr>
          <w:rFonts w:ascii="Times New Roman" w:hAnsi="Times New Roman" w:cs="Times New Roman"/>
          <w:sz w:val="24"/>
          <w:szCs w:val="24"/>
        </w:rPr>
        <w:t xml:space="preserve"> </w:t>
      </w:r>
      <w:r w:rsidR="009E5726">
        <w:rPr>
          <w:rFonts w:ascii="Times New Roman" w:hAnsi="Times New Roman" w:cs="Times New Roman"/>
          <w:sz w:val="24"/>
          <w:szCs w:val="24"/>
        </w:rPr>
        <w:t xml:space="preserve">L. </w:t>
      </w:r>
      <w:proofErr w:type="spellStart"/>
      <w:r w:rsidRPr="0063116A">
        <w:rPr>
          <w:rFonts w:ascii="Times New Roman" w:eastAsia="Times New Roman" w:hAnsi="Times New Roman" w:cs="Times New Roman"/>
          <w:smallCaps/>
          <w:sz w:val="24"/>
          <w:szCs w:val="24"/>
        </w:rPr>
        <w:t>Amadei</w:t>
      </w:r>
      <w:proofErr w:type="spellEnd"/>
      <w:r w:rsidRPr="0063116A">
        <w:rPr>
          <w:rFonts w:ascii="Times New Roman" w:eastAsia="Times New Roman" w:hAnsi="Times New Roman" w:cs="Times New Roman"/>
          <w:sz w:val="24"/>
          <w:szCs w:val="24"/>
        </w:rPr>
        <w:t>, “</w:t>
      </w:r>
      <w:r w:rsidRPr="0063116A">
        <w:rPr>
          <w:rFonts w:ascii="Times New Roman" w:eastAsia="Times New Roman" w:hAnsi="Times New Roman" w:cs="Times New Roman"/>
          <w:i/>
          <w:sz w:val="24"/>
          <w:szCs w:val="24"/>
        </w:rPr>
        <w:t>Il codice dell’amministrazione digitale”</w:t>
      </w:r>
      <w:r w:rsidRPr="0063116A">
        <w:rPr>
          <w:rFonts w:ascii="Times New Roman" w:eastAsia="Times New Roman" w:hAnsi="Times New Roman" w:cs="Times New Roman"/>
          <w:sz w:val="24"/>
          <w:szCs w:val="24"/>
        </w:rPr>
        <w:t xml:space="preserve">, in </w:t>
      </w:r>
      <w:r w:rsidR="009E5726">
        <w:rPr>
          <w:rFonts w:ascii="Times New Roman" w:eastAsia="Times New Roman" w:hAnsi="Times New Roman" w:cs="Times New Roman"/>
          <w:sz w:val="24"/>
          <w:szCs w:val="24"/>
        </w:rPr>
        <w:t xml:space="preserve">L. </w:t>
      </w:r>
      <w:r w:rsidRPr="0063116A">
        <w:rPr>
          <w:rFonts w:ascii="Times New Roman" w:eastAsia="Times New Roman" w:hAnsi="Times New Roman" w:cs="Times New Roman"/>
          <w:smallCaps/>
          <w:sz w:val="24"/>
          <w:szCs w:val="24"/>
        </w:rPr>
        <w:t>De Pietro</w:t>
      </w:r>
      <w:r w:rsidRPr="0063116A">
        <w:rPr>
          <w:rFonts w:ascii="Times New Roman" w:eastAsia="Times New Roman" w:hAnsi="Times New Roman" w:cs="Times New Roman"/>
          <w:sz w:val="24"/>
          <w:szCs w:val="24"/>
        </w:rPr>
        <w:t xml:space="preserve"> (a cura di), “</w:t>
      </w:r>
      <w:r w:rsidRPr="0063116A">
        <w:rPr>
          <w:rFonts w:ascii="Times New Roman" w:eastAsia="Times New Roman" w:hAnsi="Times New Roman" w:cs="Times New Roman"/>
          <w:i/>
          <w:sz w:val="24"/>
          <w:szCs w:val="24"/>
        </w:rPr>
        <w:t xml:space="preserve">Dieci lezioni per capire e attuare </w:t>
      </w:r>
      <w:r w:rsidRPr="00A90F1C">
        <w:rPr>
          <w:rFonts w:ascii="Times New Roman" w:eastAsia="Times New Roman" w:hAnsi="Times New Roman" w:cs="Times New Roman"/>
          <w:i/>
          <w:sz w:val="24"/>
          <w:szCs w:val="24"/>
        </w:rPr>
        <w:t>l’e-</w:t>
      </w:r>
      <w:proofErr w:type="spellStart"/>
      <w:r w:rsidRPr="00A90F1C">
        <w:rPr>
          <w:rFonts w:ascii="Times New Roman" w:eastAsia="Times New Roman" w:hAnsi="Times New Roman" w:cs="Times New Roman"/>
          <w:i/>
          <w:sz w:val="24"/>
          <w:szCs w:val="24"/>
        </w:rPr>
        <w:t>government</w:t>
      </w:r>
      <w:proofErr w:type="spellEnd"/>
      <w:r w:rsidRPr="0063116A">
        <w:rPr>
          <w:rFonts w:ascii="Times New Roman" w:eastAsia="Times New Roman" w:hAnsi="Times New Roman" w:cs="Times New Roman"/>
          <w:sz w:val="24"/>
          <w:szCs w:val="24"/>
        </w:rPr>
        <w:t>”, definisce l’SPC una sorta di “</w:t>
      </w:r>
      <w:proofErr w:type="spellStart"/>
      <w:r w:rsidRPr="00D02B4E">
        <w:rPr>
          <w:rFonts w:ascii="Times New Roman" w:eastAsia="Times New Roman" w:hAnsi="Times New Roman" w:cs="Times New Roman"/>
          <w:i/>
          <w:iCs/>
          <w:sz w:val="24"/>
          <w:szCs w:val="24"/>
        </w:rPr>
        <w:t>framework</w:t>
      </w:r>
      <w:proofErr w:type="spellEnd"/>
      <w:r w:rsidRPr="0063116A">
        <w:rPr>
          <w:rFonts w:ascii="Times New Roman" w:eastAsia="Times New Roman" w:hAnsi="Times New Roman" w:cs="Times New Roman"/>
          <w:sz w:val="24"/>
          <w:szCs w:val="24"/>
        </w:rPr>
        <w:t xml:space="preserve">” nazionale di interoperabilità. Per </w:t>
      </w:r>
      <w:r w:rsidR="009E5726">
        <w:rPr>
          <w:rFonts w:ascii="Times New Roman" w:eastAsia="Times New Roman" w:hAnsi="Times New Roman" w:cs="Times New Roman"/>
          <w:sz w:val="24"/>
          <w:szCs w:val="24"/>
        </w:rPr>
        <w:t xml:space="preserve">M. </w:t>
      </w:r>
      <w:r w:rsidRPr="0063116A">
        <w:rPr>
          <w:rFonts w:ascii="Times New Roman" w:eastAsia="Times New Roman" w:hAnsi="Times New Roman" w:cs="Times New Roman"/>
          <w:smallCaps/>
          <w:sz w:val="24"/>
          <w:szCs w:val="24"/>
        </w:rPr>
        <w:t>Iaselli</w:t>
      </w:r>
      <w:r w:rsidRPr="0063116A">
        <w:rPr>
          <w:rFonts w:ascii="Times New Roman" w:eastAsia="Times New Roman" w:hAnsi="Times New Roman" w:cs="Times New Roman"/>
          <w:sz w:val="24"/>
          <w:szCs w:val="24"/>
        </w:rPr>
        <w:t>,</w:t>
      </w:r>
      <w:r w:rsidRPr="0063116A">
        <w:rPr>
          <w:rFonts w:ascii="Times New Roman" w:eastAsia="Times New Roman" w:hAnsi="Times New Roman" w:cs="Times New Roman"/>
          <w:i/>
          <w:iCs/>
          <w:sz w:val="24"/>
          <w:szCs w:val="24"/>
        </w:rPr>
        <w:t xml:space="preserve"> “La raccomandata on line: disciplina normativa ed aspetti operativi”</w:t>
      </w:r>
      <w:r w:rsidRPr="0063116A">
        <w:rPr>
          <w:rFonts w:ascii="Times New Roman" w:eastAsia="Times New Roman" w:hAnsi="Times New Roman" w:cs="Times New Roman"/>
          <w:sz w:val="24"/>
          <w:szCs w:val="24"/>
        </w:rPr>
        <w:t xml:space="preserve">, in </w:t>
      </w:r>
      <w:r w:rsidRPr="0063116A">
        <w:rPr>
          <w:rFonts w:ascii="Times New Roman" w:eastAsia="Times New Roman" w:hAnsi="Times New Roman" w:cs="Times New Roman"/>
          <w:i/>
          <w:iCs/>
          <w:sz w:val="24"/>
          <w:szCs w:val="24"/>
        </w:rPr>
        <w:t>Diritto dell’Internet</w:t>
      </w:r>
      <w:r w:rsidRPr="0063116A">
        <w:rPr>
          <w:rFonts w:ascii="Times New Roman" w:eastAsia="Times New Roman" w:hAnsi="Times New Roman" w:cs="Times New Roman"/>
          <w:sz w:val="24"/>
          <w:szCs w:val="24"/>
        </w:rPr>
        <w:t>, n. 6, 2006, l’SPC costituisce “</w:t>
      </w:r>
      <w:r w:rsidRPr="0063116A">
        <w:rPr>
          <w:rFonts w:ascii="Times New Roman" w:eastAsia="Times New Roman" w:hAnsi="Times New Roman" w:cs="Times New Roman"/>
          <w:i/>
          <w:iCs/>
          <w:sz w:val="24"/>
          <w:szCs w:val="24"/>
        </w:rPr>
        <w:t>l’asse portante per l’applicazione del codice dell’amministrazione digital</w:t>
      </w:r>
      <w:r w:rsidRPr="0063116A">
        <w:rPr>
          <w:rFonts w:ascii="Times New Roman" w:eastAsia="Times New Roman" w:hAnsi="Times New Roman" w:cs="Times New Roman"/>
          <w:sz w:val="24"/>
          <w:szCs w:val="24"/>
        </w:rPr>
        <w:t>e”.</w:t>
      </w:r>
    </w:p>
  </w:footnote>
  <w:footnote w:id="281">
    <w:p w14:paraId="03AFCBF4" w14:textId="4B283288" w:rsidR="000463A6" w:rsidRPr="0063116A" w:rsidRDefault="000463A6" w:rsidP="00D02B4E">
      <w:pPr>
        <w:spacing w:after="0" w:line="240" w:lineRule="auto"/>
        <w:jc w:val="both"/>
        <w:rPr>
          <w:rFonts w:ascii="Times New Roman" w:hAnsi="Times New Roman" w:cs="Times New Roman"/>
          <w:sz w:val="24"/>
          <w:szCs w:val="24"/>
        </w:rPr>
      </w:pPr>
      <w:r w:rsidRPr="0063116A">
        <w:rPr>
          <w:rFonts w:ascii="Times New Roman" w:hAnsi="Times New Roman" w:cs="Times New Roman"/>
          <w:sz w:val="24"/>
          <w:szCs w:val="24"/>
          <w:vertAlign w:val="superscript"/>
        </w:rPr>
        <w:footnoteRef/>
      </w:r>
      <w:r w:rsidRPr="0063116A">
        <w:rPr>
          <w:rFonts w:ascii="Times New Roman" w:hAnsi="Times New Roman" w:cs="Times New Roman"/>
          <w:sz w:val="24"/>
          <w:szCs w:val="24"/>
        </w:rPr>
        <w:t xml:space="preserve"> </w:t>
      </w:r>
      <w:r w:rsidRPr="0063116A">
        <w:rPr>
          <w:rFonts w:ascii="Times New Roman" w:eastAsia="Times New Roman" w:hAnsi="Times New Roman" w:cs="Times New Roman"/>
          <w:sz w:val="24"/>
          <w:szCs w:val="24"/>
        </w:rPr>
        <w:t>L’art. 72 del D.Lgs. 82/2005 abrogato forniva una serie di definizioni relative al sistema pubblico di connettività. In particolare, oltre alla cooperazione applicativa (</w:t>
      </w:r>
      <w:proofErr w:type="spellStart"/>
      <w:r w:rsidRPr="0063116A">
        <w:rPr>
          <w:rFonts w:ascii="Times New Roman" w:eastAsia="Times New Roman" w:hAnsi="Times New Roman" w:cs="Times New Roman"/>
          <w:sz w:val="24"/>
          <w:szCs w:val="24"/>
        </w:rPr>
        <w:t>lett</w:t>
      </w:r>
      <w:proofErr w:type="spellEnd"/>
      <w:r w:rsidRPr="0063116A">
        <w:rPr>
          <w:rFonts w:ascii="Times New Roman" w:eastAsia="Times New Roman" w:hAnsi="Times New Roman" w:cs="Times New Roman"/>
          <w:sz w:val="24"/>
          <w:szCs w:val="24"/>
        </w:rPr>
        <w:t>. e), l’interoperabilità evoluta (</w:t>
      </w:r>
      <w:proofErr w:type="spellStart"/>
      <w:r w:rsidRPr="0063116A">
        <w:rPr>
          <w:rFonts w:ascii="Times New Roman" w:eastAsia="Times New Roman" w:hAnsi="Times New Roman" w:cs="Times New Roman"/>
          <w:sz w:val="24"/>
          <w:szCs w:val="24"/>
        </w:rPr>
        <w:t>lett</w:t>
      </w:r>
      <w:proofErr w:type="spellEnd"/>
      <w:r w:rsidRPr="0063116A">
        <w:rPr>
          <w:rFonts w:ascii="Times New Roman" w:eastAsia="Times New Roman" w:hAnsi="Times New Roman" w:cs="Times New Roman"/>
          <w:sz w:val="24"/>
          <w:szCs w:val="24"/>
        </w:rPr>
        <w:t>. d).</w:t>
      </w:r>
    </w:p>
  </w:footnote>
  <w:footnote w:id="282">
    <w:p w14:paraId="0A300E6F" w14:textId="60275E80" w:rsidR="000463A6" w:rsidRPr="002315B9" w:rsidRDefault="000463A6" w:rsidP="00D02B4E">
      <w:pPr>
        <w:spacing w:after="0" w:line="240" w:lineRule="auto"/>
        <w:jc w:val="both"/>
        <w:rPr>
          <w:rFonts w:ascii="Times New Roman" w:hAnsi="Times New Roman" w:cs="Times New Roman"/>
          <w:sz w:val="20"/>
          <w:szCs w:val="20"/>
        </w:rPr>
      </w:pPr>
      <w:r w:rsidRPr="0063116A">
        <w:rPr>
          <w:rFonts w:ascii="Times New Roman" w:hAnsi="Times New Roman" w:cs="Times New Roman"/>
          <w:sz w:val="24"/>
          <w:szCs w:val="24"/>
          <w:vertAlign w:val="superscript"/>
        </w:rPr>
        <w:footnoteRef/>
      </w:r>
      <w:r w:rsidRPr="0063116A">
        <w:rPr>
          <w:rFonts w:ascii="Times New Roman" w:hAnsi="Times New Roman" w:cs="Times New Roman"/>
          <w:sz w:val="24"/>
          <w:szCs w:val="24"/>
        </w:rPr>
        <w:t xml:space="preserve"> </w:t>
      </w:r>
      <w:r w:rsidRPr="0063116A">
        <w:rPr>
          <w:rFonts w:ascii="Times New Roman" w:eastAsia="Times New Roman" w:hAnsi="Times New Roman" w:cs="Times New Roman"/>
          <w:sz w:val="24"/>
          <w:szCs w:val="24"/>
        </w:rPr>
        <w:t>Art. 73, co. 2, D.Lgs. 82/2005.</w:t>
      </w:r>
    </w:p>
  </w:footnote>
  <w:footnote w:id="283">
    <w:p w14:paraId="70A6740A" w14:textId="77777777" w:rsidR="000463A6" w:rsidRPr="0063116A" w:rsidRDefault="000463A6" w:rsidP="00091B42">
      <w:pPr>
        <w:spacing w:after="0" w:line="240" w:lineRule="auto"/>
        <w:jc w:val="both"/>
        <w:rPr>
          <w:rFonts w:ascii="Times New Roman" w:eastAsia="Times New Roman" w:hAnsi="Times New Roman" w:cs="Times New Roman"/>
          <w:sz w:val="24"/>
          <w:szCs w:val="24"/>
        </w:rPr>
      </w:pPr>
      <w:r w:rsidRPr="0063116A">
        <w:rPr>
          <w:rFonts w:ascii="Times New Roman" w:hAnsi="Times New Roman" w:cs="Times New Roman"/>
          <w:sz w:val="24"/>
          <w:szCs w:val="24"/>
          <w:vertAlign w:val="superscript"/>
        </w:rPr>
        <w:footnoteRef/>
      </w:r>
      <w:r w:rsidRPr="0063116A">
        <w:rPr>
          <w:rFonts w:ascii="Times New Roman" w:hAnsi="Times New Roman" w:cs="Times New Roman"/>
          <w:sz w:val="24"/>
          <w:szCs w:val="24"/>
        </w:rPr>
        <w:t xml:space="preserve"> </w:t>
      </w:r>
      <w:r w:rsidRPr="0063116A">
        <w:rPr>
          <w:rFonts w:ascii="Times New Roman" w:eastAsia="Times New Roman" w:hAnsi="Times New Roman" w:cs="Times New Roman"/>
          <w:sz w:val="24"/>
          <w:szCs w:val="24"/>
        </w:rPr>
        <w:t>Il comma 3-bis è stato abrogato dal D.Lgs. 179/2016, il quale ha modificato gran parte dell’articolo, riportando nell’art. 57, “</w:t>
      </w:r>
      <w:r w:rsidRPr="0063116A">
        <w:rPr>
          <w:rFonts w:ascii="Times New Roman" w:eastAsia="Times New Roman" w:hAnsi="Times New Roman" w:cs="Times New Roman"/>
          <w:i/>
          <w:iCs/>
          <w:sz w:val="24"/>
          <w:szCs w:val="24"/>
        </w:rPr>
        <w:t>Modifiche all'articolo 73 del decreto legislativo n. 82 del 2005</w:t>
      </w:r>
      <w:r w:rsidRPr="0063116A">
        <w:rPr>
          <w:rFonts w:ascii="Times New Roman" w:eastAsia="Times New Roman" w:hAnsi="Times New Roman" w:cs="Times New Roman"/>
          <w:sz w:val="24"/>
          <w:szCs w:val="24"/>
        </w:rPr>
        <w:t>”.</w:t>
      </w:r>
    </w:p>
  </w:footnote>
  <w:footnote w:id="284">
    <w:p w14:paraId="3CBE9AEB" w14:textId="6C70BDC8" w:rsidR="000463A6" w:rsidRPr="002315B9" w:rsidRDefault="000463A6" w:rsidP="00091B42">
      <w:pPr>
        <w:spacing w:after="0" w:line="240" w:lineRule="auto"/>
        <w:jc w:val="both"/>
        <w:rPr>
          <w:rFonts w:ascii="Times New Roman" w:hAnsi="Times New Roman" w:cs="Times New Roman"/>
          <w:sz w:val="20"/>
          <w:szCs w:val="20"/>
        </w:rPr>
      </w:pPr>
      <w:r w:rsidRPr="0063116A">
        <w:rPr>
          <w:rFonts w:ascii="Times New Roman" w:hAnsi="Times New Roman" w:cs="Times New Roman"/>
          <w:sz w:val="24"/>
          <w:szCs w:val="24"/>
          <w:vertAlign w:val="superscript"/>
        </w:rPr>
        <w:footnoteRef/>
      </w:r>
      <w:r w:rsidRPr="0063116A">
        <w:rPr>
          <w:rFonts w:ascii="Times New Roman" w:hAnsi="Times New Roman" w:cs="Times New Roman"/>
          <w:sz w:val="24"/>
          <w:szCs w:val="24"/>
        </w:rPr>
        <w:t xml:space="preserve"> </w:t>
      </w:r>
      <w:r w:rsidRPr="0063116A">
        <w:rPr>
          <w:rFonts w:ascii="Times New Roman" w:eastAsia="Times New Roman" w:hAnsi="Times New Roman" w:cs="Times New Roman"/>
          <w:sz w:val="24"/>
          <w:szCs w:val="24"/>
        </w:rPr>
        <w:t xml:space="preserve">Appare la traduzione della nozione, elaborata da Sabino </w:t>
      </w:r>
      <w:proofErr w:type="spellStart"/>
      <w:r w:rsidRPr="0063116A">
        <w:rPr>
          <w:rFonts w:ascii="Times New Roman" w:eastAsia="Times New Roman" w:hAnsi="Times New Roman" w:cs="Times New Roman"/>
          <w:sz w:val="24"/>
          <w:szCs w:val="24"/>
        </w:rPr>
        <w:t>Cassese</w:t>
      </w:r>
      <w:proofErr w:type="spellEnd"/>
      <w:r w:rsidRPr="0063116A">
        <w:rPr>
          <w:rFonts w:ascii="Times New Roman" w:eastAsia="Times New Roman" w:hAnsi="Times New Roman" w:cs="Times New Roman"/>
          <w:sz w:val="24"/>
          <w:szCs w:val="24"/>
        </w:rPr>
        <w:t>, di “</w:t>
      </w:r>
      <w:r w:rsidRPr="0063116A">
        <w:rPr>
          <w:rFonts w:ascii="Times New Roman" w:eastAsia="Times New Roman" w:hAnsi="Times New Roman" w:cs="Times New Roman"/>
          <w:i/>
          <w:iCs/>
          <w:sz w:val="24"/>
          <w:szCs w:val="24"/>
        </w:rPr>
        <w:t>rete come figura organizzativa della collaborazione</w:t>
      </w:r>
      <w:r w:rsidRPr="0063116A">
        <w:rPr>
          <w:rFonts w:ascii="Times New Roman" w:eastAsia="Times New Roman" w:hAnsi="Times New Roman" w:cs="Times New Roman"/>
          <w:sz w:val="24"/>
          <w:szCs w:val="24"/>
        </w:rPr>
        <w:t>”. Così</w:t>
      </w:r>
      <w:r>
        <w:rPr>
          <w:rFonts w:ascii="Times New Roman" w:eastAsia="Times New Roman" w:hAnsi="Times New Roman" w:cs="Times New Roman"/>
          <w:sz w:val="24"/>
          <w:szCs w:val="24"/>
        </w:rPr>
        <w:t>,</w:t>
      </w:r>
      <w:r w:rsidRPr="0063116A">
        <w:rPr>
          <w:rFonts w:ascii="Times New Roman" w:eastAsia="Times New Roman" w:hAnsi="Times New Roman" w:cs="Times New Roman"/>
          <w:sz w:val="24"/>
          <w:szCs w:val="24"/>
        </w:rPr>
        <w:t xml:space="preserve"> </w:t>
      </w:r>
      <w:r w:rsidR="009E5726">
        <w:rPr>
          <w:rFonts w:ascii="Times New Roman" w:eastAsia="Times New Roman" w:hAnsi="Times New Roman" w:cs="Times New Roman"/>
          <w:sz w:val="24"/>
          <w:szCs w:val="24"/>
        </w:rPr>
        <w:t xml:space="preserve">C. </w:t>
      </w:r>
      <w:r w:rsidRPr="0063116A">
        <w:rPr>
          <w:rFonts w:ascii="Times New Roman" w:eastAsia="Times New Roman" w:hAnsi="Times New Roman" w:cs="Times New Roman"/>
          <w:smallCaps/>
          <w:sz w:val="24"/>
          <w:szCs w:val="24"/>
        </w:rPr>
        <w:t>D’Orta</w:t>
      </w:r>
      <w:r w:rsidRPr="0063116A">
        <w:rPr>
          <w:rFonts w:ascii="Times New Roman" w:eastAsia="Times New Roman" w:hAnsi="Times New Roman" w:cs="Times New Roman"/>
          <w:sz w:val="24"/>
          <w:szCs w:val="24"/>
        </w:rPr>
        <w:t>,</w:t>
      </w:r>
      <w:r w:rsidRPr="0063116A">
        <w:rPr>
          <w:rFonts w:ascii="Times New Roman" w:eastAsia="Times New Roman" w:hAnsi="Times New Roman" w:cs="Times New Roman"/>
          <w:i/>
          <w:iCs/>
          <w:sz w:val="24"/>
          <w:szCs w:val="24"/>
        </w:rPr>
        <w:t xml:space="preserve"> “Il sistema pubblico di connettività”</w:t>
      </w:r>
      <w:r w:rsidRPr="0063116A">
        <w:rPr>
          <w:rFonts w:ascii="Times New Roman" w:eastAsia="Times New Roman" w:hAnsi="Times New Roman" w:cs="Times New Roman"/>
          <w:sz w:val="24"/>
          <w:szCs w:val="24"/>
        </w:rPr>
        <w:t xml:space="preserve">, in </w:t>
      </w:r>
      <w:r w:rsidRPr="0063116A">
        <w:rPr>
          <w:rFonts w:ascii="Times New Roman" w:eastAsia="Times New Roman" w:hAnsi="Times New Roman" w:cs="Times New Roman"/>
          <w:i/>
          <w:iCs/>
          <w:sz w:val="24"/>
          <w:szCs w:val="24"/>
        </w:rPr>
        <w:t>Giornale di diritto amministrativo</w:t>
      </w:r>
      <w:r w:rsidRPr="0063116A">
        <w:rPr>
          <w:rFonts w:ascii="Times New Roman" w:eastAsia="Times New Roman" w:hAnsi="Times New Roman" w:cs="Times New Roman"/>
          <w:sz w:val="24"/>
          <w:szCs w:val="24"/>
        </w:rPr>
        <w:t xml:space="preserve">, 2005, n. 7, riferendosi a </w:t>
      </w:r>
      <w:r w:rsidR="009E5726">
        <w:rPr>
          <w:rFonts w:ascii="Times New Roman" w:eastAsia="Times New Roman" w:hAnsi="Times New Roman" w:cs="Times New Roman"/>
          <w:sz w:val="24"/>
          <w:szCs w:val="24"/>
        </w:rPr>
        <w:t xml:space="preserve">S. </w:t>
      </w:r>
      <w:proofErr w:type="spellStart"/>
      <w:r w:rsidRPr="0063116A">
        <w:rPr>
          <w:rFonts w:ascii="Times New Roman" w:eastAsia="Times New Roman" w:hAnsi="Times New Roman" w:cs="Times New Roman"/>
          <w:smallCaps/>
          <w:sz w:val="24"/>
          <w:szCs w:val="24"/>
        </w:rPr>
        <w:t>Cassese</w:t>
      </w:r>
      <w:proofErr w:type="spellEnd"/>
      <w:r w:rsidRPr="0063116A">
        <w:rPr>
          <w:rFonts w:ascii="Times New Roman" w:eastAsia="Times New Roman" w:hAnsi="Times New Roman" w:cs="Times New Roman"/>
          <w:sz w:val="24"/>
          <w:szCs w:val="24"/>
        </w:rPr>
        <w:t>, “</w:t>
      </w:r>
      <w:r w:rsidRPr="0063116A">
        <w:rPr>
          <w:rFonts w:ascii="Times New Roman" w:eastAsia="Times New Roman" w:hAnsi="Times New Roman" w:cs="Times New Roman"/>
          <w:i/>
          <w:iCs/>
          <w:sz w:val="24"/>
          <w:szCs w:val="24"/>
        </w:rPr>
        <w:t>le reti come figura organizzativa della collaborazion</w:t>
      </w:r>
      <w:r w:rsidRPr="0063116A">
        <w:rPr>
          <w:rFonts w:ascii="Times New Roman" w:eastAsia="Times New Roman" w:hAnsi="Times New Roman" w:cs="Times New Roman"/>
          <w:sz w:val="24"/>
          <w:szCs w:val="24"/>
        </w:rPr>
        <w:t>e”, in ID., “</w:t>
      </w:r>
      <w:r w:rsidRPr="0063116A">
        <w:rPr>
          <w:rFonts w:ascii="Times New Roman" w:eastAsia="Times New Roman" w:hAnsi="Times New Roman" w:cs="Times New Roman"/>
          <w:i/>
          <w:iCs/>
          <w:sz w:val="24"/>
          <w:szCs w:val="24"/>
        </w:rPr>
        <w:t>Lo spazio giuridico globale”</w:t>
      </w:r>
      <w:r w:rsidRPr="0063116A">
        <w:rPr>
          <w:rFonts w:ascii="Times New Roman" w:eastAsia="Times New Roman" w:hAnsi="Times New Roman" w:cs="Times New Roman"/>
          <w:sz w:val="24"/>
          <w:szCs w:val="24"/>
        </w:rPr>
        <w:t>, Roma-Bari, 2003.</w:t>
      </w:r>
    </w:p>
  </w:footnote>
  <w:footnote w:id="285">
    <w:p w14:paraId="774A09CD" w14:textId="31CF0543" w:rsidR="000463A6" w:rsidRPr="0063116A" w:rsidRDefault="000463A6" w:rsidP="00091B42">
      <w:pPr>
        <w:spacing w:after="0" w:line="240" w:lineRule="auto"/>
        <w:jc w:val="both"/>
        <w:rPr>
          <w:rFonts w:ascii="Times New Roman" w:eastAsia="Times New Roman" w:hAnsi="Times New Roman" w:cs="Times New Roman"/>
          <w:sz w:val="24"/>
          <w:szCs w:val="24"/>
        </w:rPr>
      </w:pPr>
      <w:r w:rsidRPr="0063116A">
        <w:rPr>
          <w:rFonts w:ascii="Times New Roman" w:hAnsi="Times New Roman" w:cs="Times New Roman"/>
          <w:sz w:val="24"/>
          <w:szCs w:val="24"/>
          <w:vertAlign w:val="superscript"/>
        </w:rPr>
        <w:footnoteRef/>
      </w:r>
      <w:r w:rsidRPr="0063116A">
        <w:rPr>
          <w:rFonts w:ascii="Times New Roman" w:eastAsia="Times New Roman" w:hAnsi="Times New Roman" w:cs="Times New Roman"/>
          <w:sz w:val="24"/>
          <w:szCs w:val="24"/>
        </w:rPr>
        <w:t xml:space="preserve"> La porta di dominio rappresenta un elemento concettuale che ha la funzione di </w:t>
      </w:r>
      <w:proofErr w:type="spellStart"/>
      <w:r w:rsidRPr="00D02B4E">
        <w:rPr>
          <w:rFonts w:ascii="Times New Roman" w:eastAsia="Times New Roman" w:hAnsi="Times New Roman" w:cs="Times New Roman"/>
          <w:i/>
          <w:iCs/>
          <w:sz w:val="24"/>
          <w:szCs w:val="24"/>
        </w:rPr>
        <w:t>proxy</w:t>
      </w:r>
      <w:proofErr w:type="spellEnd"/>
      <w:r w:rsidRPr="0063116A">
        <w:rPr>
          <w:rFonts w:ascii="Times New Roman" w:eastAsia="Times New Roman" w:hAnsi="Times New Roman" w:cs="Times New Roman"/>
          <w:sz w:val="24"/>
          <w:szCs w:val="24"/>
        </w:rPr>
        <w:t xml:space="preserve"> per l’accesso alle risorse applicative del dominio. Fa parte del modello organizzativo di </w:t>
      </w:r>
      <w:proofErr w:type="spellStart"/>
      <w:r w:rsidRPr="0063116A">
        <w:rPr>
          <w:rFonts w:ascii="Times New Roman" w:eastAsia="Times New Roman" w:hAnsi="Times New Roman" w:cs="Times New Roman"/>
          <w:sz w:val="24"/>
          <w:szCs w:val="24"/>
        </w:rPr>
        <w:t>SPCoop</w:t>
      </w:r>
      <w:proofErr w:type="spellEnd"/>
      <w:r w:rsidRPr="0063116A">
        <w:rPr>
          <w:rFonts w:ascii="Times New Roman" w:eastAsia="Times New Roman" w:hAnsi="Times New Roman" w:cs="Times New Roman"/>
          <w:sz w:val="24"/>
          <w:szCs w:val="24"/>
        </w:rPr>
        <w:t xml:space="preserve"> e, come tale, trova naturalmente posto nella progettazione concettuale piuttosto che in quella logica o fisica. La PD può essere ricoprire due ruoli: </w:t>
      </w:r>
      <w:r w:rsidRPr="0063116A">
        <w:rPr>
          <w:rFonts w:ascii="Times New Roman" w:eastAsia="Times New Roman" w:hAnsi="Times New Roman" w:cs="Times New Roman"/>
          <w:i/>
          <w:sz w:val="24"/>
          <w:szCs w:val="24"/>
        </w:rPr>
        <w:t>Porta Applicativa</w:t>
      </w:r>
      <w:r>
        <w:rPr>
          <w:rFonts w:ascii="Times New Roman" w:eastAsia="Times New Roman" w:hAnsi="Times New Roman" w:cs="Times New Roman"/>
          <w:i/>
          <w:sz w:val="24"/>
          <w:szCs w:val="24"/>
        </w:rPr>
        <w:t xml:space="preserve"> – </w:t>
      </w:r>
      <w:r w:rsidRPr="0063116A">
        <w:rPr>
          <w:rFonts w:ascii="Times New Roman" w:eastAsia="Times New Roman" w:hAnsi="Times New Roman" w:cs="Times New Roman"/>
          <w:sz w:val="24"/>
          <w:szCs w:val="24"/>
        </w:rPr>
        <w:t xml:space="preserve">Ruolo assunto da una porta di dominio di </w:t>
      </w:r>
      <w:proofErr w:type="spellStart"/>
      <w:r w:rsidRPr="0063116A">
        <w:rPr>
          <w:rFonts w:ascii="Times New Roman" w:eastAsia="Times New Roman" w:hAnsi="Times New Roman" w:cs="Times New Roman"/>
          <w:sz w:val="24"/>
          <w:szCs w:val="24"/>
        </w:rPr>
        <w:t>SPCoop</w:t>
      </w:r>
      <w:proofErr w:type="spellEnd"/>
      <w:r w:rsidRPr="0063116A">
        <w:rPr>
          <w:rFonts w:ascii="Times New Roman" w:eastAsia="Times New Roman" w:hAnsi="Times New Roman" w:cs="Times New Roman"/>
          <w:sz w:val="24"/>
          <w:szCs w:val="24"/>
        </w:rPr>
        <w:t xml:space="preserve"> nell’ambito di un episodio di collaborazione applicativa. Assume tale ruolo la porta di dominio che, a seguito della ricezione di un messaggio di richiesta proveniente da un’altra porta di dominio (porta delegata) invia al mittente un messaggio di risposta; </w:t>
      </w:r>
      <w:r w:rsidRPr="0063116A">
        <w:rPr>
          <w:rFonts w:ascii="Times New Roman" w:eastAsia="Times New Roman" w:hAnsi="Times New Roman" w:cs="Times New Roman"/>
          <w:i/>
          <w:sz w:val="24"/>
          <w:szCs w:val="24"/>
        </w:rPr>
        <w:t>Porta Delegata</w:t>
      </w:r>
      <w:r>
        <w:rPr>
          <w:rFonts w:ascii="Times New Roman" w:eastAsia="Times New Roman" w:hAnsi="Times New Roman" w:cs="Times New Roman"/>
          <w:i/>
          <w:sz w:val="24"/>
          <w:szCs w:val="24"/>
        </w:rPr>
        <w:t xml:space="preserve"> – </w:t>
      </w:r>
      <w:r w:rsidRPr="0063116A">
        <w:rPr>
          <w:rFonts w:ascii="Times New Roman" w:eastAsia="Times New Roman" w:hAnsi="Times New Roman" w:cs="Times New Roman"/>
          <w:sz w:val="24"/>
          <w:szCs w:val="24"/>
        </w:rPr>
        <w:t xml:space="preserve">Ruolo assunto da una porta di dominio di </w:t>
      </w:r>
      <w:proofErr w:type="spellStart"/>
      <w:r w:rsidRPr="0063116A">
        <w:rPr>
          <w:rFonts w:ascii="Times New Roman" w:eastAsia="Times New Roman" w:hAnsi="Times New Roman" w:cs="Times New Roman"/>
          <w:sz w:val="24"/>
          <w:szCs w:val="24"/>
        </w:rPr>
        <w:t>SPCoop</w:t>
      </w:r>
      <w:proofErr w:type="spellEnd"/>
      <w:r w:rsidRPr="0063116A">
        <w:rPr>
          <w:rFonts w:ascii="Times New Roman" w:eastAsia="Times New Roman" w:hAnsi="Times New Roman" w:cs="Times New Roman"/>
          <w:sz w:val="24"/>
          <w:szCs w:val="24"/>
        </w:rPr>
        <w:t xml:space="preserve"> nell’ambito di un episodio di collaborazione applicativa. Assume tale ruolo la porta di dominio che origina un messaggio di richiesta (di servizio) destinato ad un’altra porta di dominio (porta applicativa).</w:t>
      </w:r>
    </w:p>
  </w:footnote>
  <w:footnote w:id="286">
    <w:p w14:paraId="6E66F4E8" w14:textId="18897BC5" w:rsidR="000463A6" w:rsidRPr="00B27169" w:rsidRDefault="000463A6" w:rsidP="00B27169">
      <w:pPr>
        <w:spacing w:after="0" w:line="240" w:lineRule="auto"/>
        <w:jc w:val="both"/>
        <w:rPr>
          <w:rFonts w:ascii="Times New Roman" w:hAnsi="Times New Roman" w:cs="Times New Roman"/>
          <w:sz w:val="24"/>
          <w:szCs w:val="24"/>
        </w:rPr>
      </w:pPr>
      <w:r w:rsidRPr="00B27169">
        <w:rPr>
          <w:rFonts w:ascii="Times New Roman" w:hAnsi="Times New Roman" w:cs="Times New Roman"/>
          <w:sz w:val="24"/>
          <w:szCs w:val="24"/>
          <w:vertAlign w:val="superscript"/>
        </w:rPr>
        <w:footnoteRef/>
      </w:r>
      <w:r w:rsidRPr="00B27169">
        <w:rPr>
          <w:rFonts w:ascii="Times New Roman" w:hAnsi="Times New Roman" w:cs="Times New Roman"/>
          <w:sz w:val="24"/>
          <w:szCs w:val="24"/>
        </w:rPr>
        <w:t xml:space="preserve"> </w:t>
      </w:r>
      <w:r w:rsidRPr="00B27169">
        <w:rPr>
          <w:rFonts w:ascii="Times New Roman" w:eastAsia="Times New Roman" w:hAnsi="Times New Roman" w:cs="Times New Roman"/>
          <w:sz w:val="24"/>
          <w:szCs w:val="24"/>
        </w:rPr>
        <w:t xml:space="preserve">In tal senso </w:t>
      </w:r>
      <w:r w:rsidR="009E5726">
        <w:rPr>
          <w:rFonts w:ascii="Times New Roman" w:eastAsia="Times New Roman" w:hAnsi="Times New Roman" w:cs="Times New Roman"/>
          <w:sz w:val="24"/>
          <w:szCs w:val="24"/>
        </w:rPr>
        <w:t xml:space="preserve">F. </w:t>
      </w:r>
      <w:r w:rsidRPr="00B27169">
        <w:rPr>
          <w:rFonts w:ascii="Times New Roman" w:eastAsia="Times New Roman" w:hAnsi="Times New Roman" w:cs="Times New Roman"/>
          <w:smallCaps/>
          <w:sz w:val="24"/>
          <w:szCs w:val="24"/>
        </w:rPr>
        <w:t>Martini</w:t>
      </w:r>
      <w:r w:rsidRPr="00B27169">
        <w:rPr>
          <w:rFonts w:ascii="Times New Roman" w:eastAsia="Times New Roman" w:hAnsi="Times New Roman" w:cs="Times New Roman"/>
          <w:sz w:val="24"/>
          <w:szCs w:val="24"/>
        </w:rPr>
        <w:t>, “</w:t>
      </w:r>
      <w:r w:rsidRPr="00B27169">
        <w:rPr>
          <w:rFonts w:ascii="Times New Roman" w:eastAsia="Times New Roman" w:hAnsi="Times New Roman" w:cs="Times New Roman"/>
          <w:i/>
          <w:iCs/>
          <w:sz w:val="24"/>
          <w:szCs w:val="24"/>
        </w:rPr>
        <w:t>Il sistema informativo pubblico”,</w:t>
      </w:r>
      <w:r w:rsidRPr="00B27169">
        <w:rPr>
          <w:rFonts w:ascii="Times New Roman" w:eastAsia="Times New Roman" w:hAnsi="Times New Roman" w:cs="Times New Roman"/>
          <w:sz w:val="24"/>
          <w:szCs w:val="24"/>
        </w:rPr>
        <w:t xml:space="preserve"> in “</w:t>
      </w:r>
      <w:r w:rsidRPr="00B27169">
        <w:rPr>
          <w:rFonts w:ascii="Times New Roman" w:eastAsia="Times New Roman" w:hAnsi="Times New Roman" w:cs="Times New Roman"/>
          <w:i/>
          <w:iCs/>
          <w:sz w:val="24"/>
          <w:szCs w:val="24"/>
        </w:rPr>
        <w:t>Quaderni del Dipartimento Pubblico”</w:t>
      </w:r>
      <w:r w:rsidRPr="00B27169">
        <w:rPr>
          <w:rFonts w:ascii="Times New Roman" w:eastAsia="Times New Roman" w:hAnsi="Times New Roman" w:cs="Times New Roman"/>
          <w:sz w:val="24"/>
          <w:szCs w:val="24"/>
        </w:rPr>
        <w:t>, Università di Pisa, Torino, 2006.</w:t>
      </w:r>
    </w:p>
  </w:footnote>
  <w:footnote w:id="287">
    <w:p w14:paraId="7ECE56CC" w14:textId="3E2BB57D" w:rsidR="000463A6" w:rsidRPr="00B27169" w:rsidRDefault="000463A6" w:rsidP="00B27169">
      <w:pPr>
        <w:spacing w:after="0" w:line="240" w:lineRule="auto"/>
        <w:jc w:val="both"/>
        <w:rPr>
          <w:rFonts w:ascii="Times New Roman" w:hAnsi="Times New Roman" w:cs="Times New Roman"/>
          <w:sz w:val="24"/>
          <w:szCs w:val="24"/>
        </w:rPr>
      </w:pPr>
      <w:r w:rsidRPr="00B27169">
        <w:rPr>
          <w:rFonts w:ascii="Times New Roman" w:hAnsi="Times New Roman" w:cs="Times New Roman"/>
          <w:sz w:val="24"/>
          <w:szCs w:val="24"/>
          <w:vertAlign w:val="superscript"/>
        </w:rPr>
        <w:footnoteRef/>
      </w:r>
      <w:r w:rsidRPr="00B27169">
        <w:rPr>
          <w:rFonts w:ascii="Times New Roman" w:hAnsi="Times New Roman" w:cs="Times New Roman"/>
          <w:sz w:val="24"/>
          <w:szCs w:val="24"/>
        </w:rPr>
        <w:t xml:space="preserve"> </w:t>
      </w:r>
      <w:r w:rsidRPr="00B27169">
        <w:rPr>
          <w:rFonts w:ascii="Times New Roman" w:eastAsia="Times New Roman" w:hAnsi="Times New Roman" w:cs="Times New Roman"/>
          <w:sz w:val="24"/>
          <w:szCs w:val="24"/>
        </w:rPr>
        <w:t xml:space="preserve">Come rileva </w:t>
      </w:r>
      <w:r w:rsidR="009E5726">
        <w:rPr>
          <w:rFonts w:ascii="Times New Roman" w:eastAsia="Times New Roman" w:hAnsi="Times New Roman" w:cs="Times New Roman"/>
          <w:sz w:val="24"/>
          <w:szCs w:val="24"/>
        </w:rPr>
        <w:t xml:space="preserve">F. </w:t>
      </w:r>
      <w:r w:rsidRPr="00B27169">
        <w:rPr>
          <w:rFonts w:ascii="Times New Roman" w:eastAsia="Times New Roman" w:hAnsi="Times New Roman" w:cs="Times New Roman"/>
          <w:smallCaps/>
          <w:sz w:val="24"/>
          <w:szCs w:val="24"/>
        </w:rPr>
        <w:t>Martini</w:t>
      </w:r>
      <w:r w:rsidRPr="00B27169">
        <w:rPr>
          <w:rFonts w:ascii="Times New Roman" w:eastAsia="Times New Roman" w:hAnsi="Times New Roman" w:cs="Times New Roman"/>
          <w:sz w:val="24"/>
          <w:szCs w:val="24"/>
        </w:rPr>
        <w:t xml:space="preserve">, op. cit., la cooperazione applicativa prospetta di dissolvere i confini di competenza fra amministrazione permettendo ad un’amministrazione di accedere con pieno valore giuridico ai servizi di un’altra. I concetti di interoperabilità e cooperazione applicativa sono considerati fattori chiave e ricevono impulso dalla normativa e dalle politiche dell’Unione europea, anche dall’attuale Agenda Digitale europea. Su interoperabilità e cooperazione applicativa </w:t>
      </w:r>
      <w:r w:rsidRPr="00B27169">
        <w:rPr>
          <w:rFonts w:ascii="Times New Roman" w:eastAsia="Times New Roman" w:hAnsi="Times New Roman" w:cs="Times New Roman"/>
          <w:i/>
          <w:iCs/>
          <w:sz w:val="24"/>
          <w:szCs w:val="24"/>
        </w:rPr>
        <w:t>cfr</w:t>
      </w:r>
      <w:r w:rsidRPr="00B27169">
        <w:rPr>
          <w:rFonts w:ascii="Times New Roman" w:eastAsia="Times New Roman" w:hAnsi="Times New Roman" w:cs="Times New Roman"/>
          <w:sz w:val="24"/>
          <w:szCs w:val="24"/>
        </w:rPr>
        <w:t xml:space="preserve">. </w:t>
      </w:r>
      <w:r w:rsidR="003E5075">
        <w:rPr>
          <w:rFonts w:ascii="Times New Roman" w:eastAsia="Times New Roman" w:hAnsi="Times New Roman" w:cs="Times New Roman"/>
          <w:sz w:val="24"/>
          <w:szCs w:val="24"/>
        </w:rPr>
        <w:t xml:space="preserve">B. </w:t>
      </w:r>
      <w:r w:rsidRPr="00B27169">
        <w:rPr>
          <w:rFonts w:ascii="Times New Roman" w:eastAsia="Times New Roman" w:hAnsi="Times New Roman" w:cs="Times New Roman"/>
          <w:smallCaps/>
          <w:sz w:val="24"/>
          <w:szCs w:val="24"/>
        </w:rPr>
        <w:t xml:space="preserve">Da </w:t>
      </w:r>
      <w:proofErr w:type="spellStart"/>
      <w:r w:rsidRPr="00B27169">
        <w:rPr>
          <w:rFonts w:ascii="Times New Roman" w:eastAsia="Times New Roman" w:hAnsi="Times New Roman" w:cs="Times New Roman"/>
          <w:smallCaps/>
          <w:sz w:val="24"/>
          <w:szCs w:val="24"/>
        </w:rPr>
        <w:t>Ronch</w:t>
      </w:r>
      <w:proofErr w:type="spellEnd"/>
      <w:r w:rsidRPr="00B27169">
        <w:rPr>
          <w:rFonts w:ascii="Times New Roman" w:eastAsia="Times New Roman" w:hAnsi="Times New Roman" w:cs="Times New Roman"/>
          <w:smallCaps/>
          <w:sz w:val="24"/>
          <w:szCs w:val="24"/>
        </w:rPr>
        <w:t xml:space="preserve"> – </w:t>
      </w:r>
      <w:r w:rsidR="003E5075">
        <w:rPr>
          <w:rFonts w:ascii="Times New Roman" w:eastAsia="Times New Roman" w:hAnsi="Times New Roman" w:cs="Times New Roman"/>
          <w:smallCaps/>
          <w:sz w:val="24"/>
          <w:szCs w:val="24"/>
        </w:rPr>
        <w:t xml:space="preserve">L. </w:t>
      </w:r>
      <w:r w:rsidRPr="00B27169">
        <w:rPr>
          <w:rFonts w:ascii="Times New Roman" w:eastAsia="Times New Roman" w:hAnsi="Times New Roman" w:cs="Times New Roman"/>
          <w:smallCaps/>
          <w:sz w:val="24"/>
          <w:szCs w:val="24"/>
        </w:rPr>
        <w:t>De Pietro</w:t>
      </w:r>
      <w:r w:rsidRPr="00B27169">
        <w:rPr>
          <w:rFonts w:ascii="Times New Roman" w:eastAsia="Times New Roman" w:hAnsi="Times New Roman" w:cs="Times New Roman"/>
          <w:sz w:val="24"/>
          <w:szCs w:val="24"/>
        </w:rPr>
        <w:t>, “</w:t>
      </w:r>
      <w:r w:rsidRPr="00B27169">
        <w:rPr>
          <w:rFonts w:ascii="Times New Roman" w:eastAsia="Times New Roman" w:hAnsi="Times New Roman" w:cs="Times New Roman"/>
          <w:i/>
          <w:iCs/>
          <w:sz w:val="24"/>
          <w:szCs w:val="24"/>
        </w:rPr>
        <w:t>Interoperabilità e cooperazione applicativa”</w:t>
      </w:r>
      <w:r w:rsidRPr="00B27169">
        <w:rPr>
          <w:rFonts w:ascii="Times New Roman" w:eastAsia="Times New Roman" w:hAnsi="Times New Roman" w:cs="Times New Roman"/>
          <w:sz w:val="24"/>
          <w:szCs w:val="24"/>
        </w:rPr>
        <w:t xml:space="preserve">, in </w:t>
      </w:r>
      <w:r w:rsidR="003E5075">
        <w:rPr>
          <w:rFonts w:ascii="Times New Roman" w:eastAsia="Times New Roman" w:hAnsi="Times New Roman" w:cs="Times New Roman"/>
          <w:sz w:val="24"/>
          <w:szCs w:val="24"/>
        </w:rPr>
        <w:t xml:space="preserve">L. </w:t>
      </w:r>
      <w:r w:rsidRPr="00B27169">
        <w:rPr>
          <w:rFonts w:ascii="Times New Roman" w:eastAsia="Times New Roman" w:hAnsi="Times New Roman" w:cs="Times New Roman"/>
          <w:smallCaps/>
          <w:sz w:val="24"/>
          <w:szCs w:val="24"/>
        </w:rPr>
        <w:t>De Pietro</w:t>
      </w:r>
      <w:r w:rsidRPr="00B27169">
        <w:rPr>
          <w:rFonts w:ascii="Times New Roman" w:eastAsia="Times New Roman" w:hAnsi="Times New Roman" w:cs="Times New Roman"/>
          <w:sz w:val="24"/>
          <w:szCs w:val="24"/>
        </w:rPr>
        <w:t xml:space="preserve"> (a cura di), “</w:t>
      </w:r>
      <w:r w:rsidRPr="00B27169">
        <w:rPr>
          <w:rFonts w:ascii="Times New Roman" w:eastAsia="Times New Roman" w:hAnsi="Times New Roman" w:cs="Times New Roman"/>
          <w:i/>
          <w:iCs/>
          <w:sz w:val="24"/>
          <w:szCs w:val="24"/>
        </w:rPr>
        <w:t>Dieci lezioni per capire e attuare l’e-</w:t>
      </w:r>
      <w:proofErr w:type="spellStart"/>
      <w:r w:rsidRPr="00B27169">
        <w:rPr>
          <w:rFonts w:ascii="Times New Roman" w:eastAsia="Times New Roman" w:hAnsi="Times New Roman" w:cs="Times New Roman"/>
          <w:i/>
          <w:iCs/>
          <w:sz w:val="24"/>
          <w:szCs w:val="24"/>
        </w:rPr>
        <w:t>government</w:t>
      </w:r>
      <w:proofErr w:type="spellEnd"/>
      <w:r w:rsidRPr="00B27169">
        <w:rPr>
          <w:rFonts w:ascii="Times New Roman" w:eastAsia="Times New Roman" w:hAnsi="Times New Roman" w:cs="Times New Roman"/>
          <w:sz w:val="24"/>
          <w:szCs w:val="24"/>
        </w:rPr>
        <w:t xml:space="preserve">”, cit. Sulla cooperazione applicativa e i suoi modelli, </w:t>
      </w:r>
      <w:r w:rsidRPr="00B27169">
        <w:rPr>
          <w:rFonts w:ascii="Times New Roman" w:eastAsia="Times New Roman" w:hAnsi="Times New Roman" w:cs="Times New Roman"/>
          <w:i/>
          <w:iCs/>
          <w:sz w:val="24"/>
          <w:szCs w:val="24"/>
        </w:rPr>
        <w:t>cfr</w:t>
      </w:r>
      <w:r w:rsidRPr="00B27169">
        <w:rPr>
          <w:rFonts w:ascii="Times New Roman" w:eastAsia="Times New Roman" w:hAnsi="Times New Roman" w:cs="Times New Roman"/>
          <w:sz w:val="24"/>
          <w:szCs w:val="24"/>
        </w:rPr>
        <w:t xml:space="preserve">. </w:t>
      </w:r>
      <w:r w:rsidR="003E5075">
        <w:rPr>
          <w:rFonts w:ascii="Times New Roman" w:eastAsia="Times New Roman" w:hAnsi="Times New Roman" w:cs="Times New Roman"/>
          <w:sz w:val="24"/>
          <w:szCs w:val="24"/>
        </w:rPr>
        <w:t xml:space="preserve">A. </w:t>
      </w:r>
      <w:proofErr w:type="spellStart"/>
      <w:r w:rsidRPr="00B27169">
        <w:rPr>
          <w:rFonts w:ascii="Times New Roman" w:eastAsia="Times New Roman" w:hAnsi="Times New Roman" w:cs="Times New Roman"/>
          <w:smallCaps/>
          <w:sz w:val="24"/>
          <w:szCs w:val="24"/>
        </w:rPr>
        <w:t>Maggipinto</w:t>
      </w:r>
      <w:proofErr w:type="spellEnd"/>
      <w:r w:rsidRPr="00B27169">
        <w:rPr>
          <w:rFonts w:ascii="Times New Roman" w:eastAsia="Times New Roman" w:hAnsi="Times New Roman" w:cs="Times New Roman"/>
          <w:smallCaps/>
          <w:sz w:val="24"/>
          <w:szCs w:val="24"/>
        </w:rPr>
        <w:t>.</w:t>
      </w:r>
    </w:p>
  </w:footnote>
  <w:footnote w:id="288">
    <w:p w14:paraId="72251F30" w14:textId="10FD4FF8" w:rsidR="000463A6" w:rsidRPr="00B27169" w:rsidRDefault="000463A6" w:rsidP="00B27169">
      <w:pPr>
        <w:pStyle w:val="Testonotaapidipagina"/>
        <w:jc w:val="both"/>
        <w:rPr>
          <w:rFonts w:ascii="Times New Roman" w:hAnsi="Times New Roman" w:cs="Times New Roman"/>
          <w:sz w:val="24"/>
          <w:szCs w:val="24"/>
        </w:rPr>
      </w:pPr>
      <w:r w:rsidRPr="00B27169">
        <w:rPr>
          <w:rStyle w:val="Rimandonotaapidipagina"/>
          <w:rFonts w:ascii="Times New Roman" w:hAnsi="Times New Roman" w:cs="Times New Roman"/>
          <w:sz w:val="24"/>
          <w:szCs w:val="24"/>
        </w:rPr>
        <w:footnoteRef/>
      </w:r>
      <w:r w:rsidRPr="00B27169">
        <w:rPr>
          <w:rFonts w:ascii="Times New Roman" w:hAnsi="Times New Roman" w:cs="Times New Roman"/>
          <w:sz w:val="24"/>
          <w:szCs w:val="24"/>
        </w:rPr>
        <w:t xml:space="preserve"> Proprio il 1° gennaio 2022 sono entrate in vigore le </w:t>
      </w:r>
      <w:r>
        <w:rPr>
          <w:rFonts w:ascii="Times New Roman" w:hAnsi="Times New Roman" w:cs="Times New Roman"/>
          <w:sz w:val="24"/>
          <w:szCs w:val="24"/>
        </w:rPr>
        <w:t>L</w:t>
      </w:r>
      <w:r w:rsidRPr="00B27169">
        <w:rPr>
          <w:rFonts w:ascii="Times New Roman" w:hAnsi="Times New Roman" w:cs="Times New Roman"/>
          <w:sz w:val="24"/>
          <w:szCs w:val="24"/>
        </w:rPr>
        <w:t>inee guida dell’</w:t>
      </w:r>
      <w:proofErr w:type="spellStart"/>
      <w:r w:rsidRPr="00B27169">
        <w:rPr>
          <w:rFonts w:ascii="Times New Roman" w:hAnsi="Times New Roman" w:cs="Times New Roman"/>
          <w:sz w:val="24"/>
          <w:szCs w:val="24"/>
        </w:rPr>
        <w:t>AgID</w:t>
      </w:r>
      <w:proofErr w:type="spellEnd"/>
      <w:r w:rsidRPr="00B27169">
        <w:rPr>
          <w:rFonts w:ascii="Times New Roman" w:hAnsi="Times New Roman" w:cs="Times New Roman"/>
          <w:sz w:val="24"/>
          <w:szCs w:val="24"/>
        </w:rPr>
        <w:t xml:space="preserve"> sulla formazione, gestione e conservazione dei documenti informatici</w:t>
      </w:r>
      <w:r>
        <w:rPr>
          <w:rFonts w:ascii="Times New Roman" w:hAnsi="Times New Roman" w:cs="Times New Roman"/>
          <w:sz w:val="24"/>
          <w:szCs w:val="24"/>
        </w:rPr>
        <w:t xml:space="preserve"> – </w:t>
      </w:r>
      <w:r w:rsidRPr="00B27169">
        <w:rPr>
          <w:rFonts w:ascii="Times New Roman" w:hAnsi="Times New Roman" w:cs="Times New Roman"/>
          <w:sz w:val="24"/>
          <w:szCs w:val="24"/>
        </w:rPr>
        <w:t>come disposto dalla proroga inserita nella determinazione n. 371/2021 del 17 maggio 2021</w:t>
      </w:r>
      <w:r>
        <w:rPr>
          <w:rFonts w:ascii="Times New Roman" w:hAnsi="Times New Roman" w:cs="Times New Roman"/>
          <w:sz w:val="24"/>
          <w:szCs w:val="24"/>
        </w:rPr>
        <w:t xml:space="preserve"> – che </w:t>
      </w:r>
      <w:r w:rsidRPr="00B27169">
        <w:rPr>
          <w:rFonts w:ascii="Times New Roman" w:hAnsi="Times New Roman" w:cs="Times New Roman"/>
          <w:sz w:val="24"/>
          <w:szCs w:val="24"/>
        </w:rPr>
        <w:t>segneranno</w:t>
      </w:r>
      <w:r>
        <w:rPr>
          <w:rFonts w:ascii="Times New Roman" w:hAnsi="Times New Roman" w:cs="Times New Roman"/>
          <w:sz w:val="24"/>
          <w:szCs w:val="24"/>
        </w:rPr>
        <w:t xml:space="preserve"> </w:t>
      </w:r>
      <w:r w:rsidRPr="00B27169">
        <w:rPr>
          <w:rFonts w:ascii="Times New Roman" w:hAnsi="Times New Roman" w:cs="Times New Roman"/>
          <w:sz w:val="24"/>
          <w:szCs w:val="24"/>
        </w:rPr>
        <w:t>il salto quantico evolutivo dalla informatizzazione alla vera e propria digitalizzazione e porteranno l’azione amministrativa ad un altro livello digitale. Finalmente si attua, dunque, il processo di trasformazione digitale delineato nel CAD</w:t>
      </w:r>
      <w:r>
        <w:rPr>
          <w:rFonts w:ascii="Times New Roman" w:hAnsi="Times New Roman" w:cs="Times New Roman"/>
          <w:sz w:val="24"/>
          <w:szCs w:val="24"/>
        </w:rPr>
        <w:t xml:space="preserve"> </w:t>
      </w:r>
      <w:r w:rsidRPr="00B27169">
        <w:rPr>
          <w:rFonts w:ascii="Times New Roman" w:hAnsi="Times New Roman" w:cs="Times New Roman"/>
          <w:sz w:val="24"/>
          <w:szCs w:val="24"/>
        </w:rPr>
        <w:t xml:space="preserve">e nel TUDA (DPR 445/2000) che si attendeva da tempo. Erano state, infatti, già pubblicate con la determinazione n. 407/2020 del 9 settembre 2020, ma è stato dopo la correzione avvenuta con la determinazione del 17 maggio 2021 che sono iniziati i lavori finali per portare a compimento il documento: il gruppo di lavoro coordinato da </w:t>
      </w:r>
      <w:proofErr w:type="spellStart"/>
      <w:r w:rsidRPr="00B27169">
        <w:rPr>
          <w:rFonts w:ascii="Times New Roman" w:hAnsi="Times New Roman" w:cs="Times New Roman"/>
          <w:sz w:val="24"/>
          <w:szCs w:val="24"/>
        </w:rPr>
        <w:t>AgID</w:t>
      </w:r>
      <w:proofErr w:type="spellEnd"/>
      <w:r w:rsidRPr="00B27169">
        <w:rPr>
          <w:rFonts w:ascii="Times New Roman" w:hAnsi="Times New Roman" w:cs="Times New Roman"/>
          <w:sz w:val="24"/>
          <w:szCs w:val="24"/>
        </w:rPr>
        <w:t xml:space="preserve"> e costituito da Agenzia delle Entrate, Consiglio Nazionale dei dottori commercialisti, </w:t>
      </w:r>
      <w:proofErr w:type="spellStart"/>
      <w:r w:rsidRPr="00B27169">
        <w:rPr>
          <w:rFonts w:ascii="Times New Roman" w:hAnsi="Times New Roman" w:cs="Times New Roman"/>
          <w:sz w:val="24"/>
          <w:szCs w:val="24"/>
        </w:rPr>
        <w:t>Assosoftware</w:t>
      </w:r>
      <w:proofErr w:type="spellEnd"/>
      <w:r w:rsidRPr="00B27169">
        <w:rPr>
          <w:rFonts w:ascii="Times New Roman" w:hAnsi="Times New Roman" w:cs="Times New Roman"/>
          <w:sz w:val="24"/>
          <w:szCs w:val="24"/>
        </w:rPr>
        <w:t xml:space="preserve">, ANORC e </w:t>
      </w:r>
      <w:proofErr w:type="spellStart"/>
      <w:r w:rsidRPr="00B27169">
        <w:rPr>
          <w:rFonts w:ascii="Times New Roman" w:hAnsi="Times New Roman" w:cs="Times New Roman"/>
          <w:sz w:val="24"/>
          <w:szCs w:val="24"/>
        </w:rPr>
        <w:t>Assoconservatori</w:t>
      </w:r>
      <w:proofErr w:type="spellEnd"/>
      <w:r w:rsidRPr="00B27169">
        <w:rPr>
          <w:rFonts w:ascii="Times New Roman" w:hAnsi="Times New Roman" w:cs="Times New Roman"/>
          <w:sz w:val="24"/>
          <w:szCs w:val="24"/>
        </w:rPr>
        <w:t xml:space="preserve"> – con il supporto del Politecnico di Milano e di </w:t>
      </w:r>
      <w:proofErr w:type="spellStart"/>
      <w:r w:rsidRPr="00B27169">
        <w:rPr>
          <w:rFonts w:ascii="Times New Roman" w:hAnsi="Times New Roman" w:cs="Times New Roman"/>
          <w:sz w:val="24"/>
          <w:szCs w:val="24"/>
        </w:rPr>
        <w:t>Sogei</w:t>
      </w:r>
      <w:proofErr w:type="spellEnd"/>
      <w:r w:rsidRPr="00B27169">
        <w:rPr>
          <w:rFonts w:ascii="Times New Roman" w:hAnsi="Times New Roman" w:cs="Times New Roman"/>
          <w:sz w:val="24"/>
          <w:szCs w:val="24"/>
        </w:rPr>
        <w:t xml:space="preserve"> – ha concluso i lavori a dicembre 2021. Inoltre, con la determinazione n. 629/2021 l’</w:t>
      </w:r>
      <w:proofErr w:type="spellStart"/>
      <w:r w:rsidRPr="00B27169">
        <w:rPr>
          <w:rFonts w:ascii="Times New Roman" w:hAnsi="Times New Roman" w:cs="Times New Roman"/>
          <w:sz w:val="24"/>
          <w:szCs w:val="24"/>
        </w:rPr>
        <w:t>AgID</w:t>
      </w:r>
      <w:proofErr w:type="spellEnd"/>
      <w:r w:rsidRPr="00B27169">
        <w:rPr>
          <w:rFonts w:ascii="Times New Roman" w:hAnsi="Times New Roman" w:cs="Times New Roman"/>
          <w:sz w:val="24"/>
          <w:szCs w:val="24"/>
        </w:rPr>
        <w:t xml:space="preserve"> ha modificato il Regolamento sui criteri per la fornitura dei servizi di conservazione dei documenti informatici relativo alla fornitura del servizio in favore delle PA, adottato con </w:t>
      </w:r>
      <w:r>
        <w:rPr>
          <w:rFonts w:ascii="Times New Roman" w:hAnsi="Times New Roman" w:cs="Times New Roman"/>
          <w:sz w:val="24"/>
          <w:szCs w:val="24"/>
        </w:rPr>
        <w:t>la d</w:t>
      </w:r>
      <w:r w:rsidRPr="00B27169">
        <w:rPr>
          <w:rFonts w:ascii="Times New Roman" w:hAnsi="Times New Roman" w:cs="Times New Roman"/>
          <w:sz w:val="24"/>
          <w:szCs w:val="24"/>
        </w:rPr>
        <w:t>eterminazione n. 455/2021. La nuova disciplina abroga, con delle eccezioni espresse, le regole tecniche precedentemente in vigore</w:t>
      </w:r>
      <w:r>
        <w:rPr>
          <w:rFonts w:ascii="Times New Roman" w:hAnsi="Times New Roman" w:cs="Times New Roman"/>
          <w:sz w:val="24"/>
          <w:szCs w:val="24"/>
        </w:rPr>
        <w:t xml:space="preserve">. </w:t>
      </w:r>
      <w:r w:rsidRPr="00B27169">
        <w:rPr>
          <w:rFonts w:ascii="Times New Roman" w:hAnsi="Times New Roman" w:cs="Times New Roman"/>
          <w:sz w:val="24"/>
          <w:szCs w:val="24"/>
        </w:rPr>
        <w:t>Le Linee guida sono fondamentali per garantire il passaggio dall’informatizzazione, che costituisce la “mera” riproduzione sul supporto informatico, alla vera e propria digitalizzazione, che è la nascita del documento digitale, con tutte le regole tecniche necessarie per la forma scritta digitale, per la corretta fascicolazione informatica</w:t>
      </w:r>
      <w:r>
        <w:rPr>
          <w:rFonts w:ascii="Times New Roman" w:hAnsi="Times New Roman" w:cs="Times New Roman"/>
          <w:sz w:val="24"/>
          <w:szCs w:val="24"/>
        </w:rPr>
        <w:t xml:space="preserve">. </w:t>
      </w:r>
      <w:r w:rsidRPr="00B27169">
        <w:rPr>
          <w:rFonts w:ascii="Times New Roman" w:hAnsi="Times New Roman" w:cs="Times New Roman"/>
          <w:sz w:val="24"/>
          <w:szCs w:val="24"/>
        </w:rPr>
        <w:t xml:space="preserve">Nonostante il lavoro sia stato portato a termine correttamente, Mariella Guercio, in un intervento del 29 dicembre 2021 nel Gruppo </w:t>
      </w:r>
      <w:proofErr w:type="spellStart"/>
      <w:r w:rsidRPr="00B27169">
        <w:rPr>
          <w:rFonts w:ascii="Times New Roman" w:hAnsi="Times New Roman" w:cs="Times New Roman"/>
          <w:sz w:val="24"/>
          <w:szCs w:val="24"/>
        </w:rPr>
        <w:t>Facebook</w:t>
      </w:r>
      <w:proofErr w:type="spellEnd"/>
      <w:r w:rsidRPr="00B27169">
        <w:rPr>
          <w:rFonts w:ascii="Times New Roman" w:hAnsi="Times New Roman" w:cs="Times New Roman"/>
          <w:sz w:val="24"/>
          <w:szCs w:val="24"/>
        </w:rPr>
        <w:t xml:space="preserve"> “</w:t>
      </w:r>
      <w:proofErr w:type="spellStart"/>
      <w:r w:rsidRPr="00AC5F76">
        <w:rPr>
          <w:rFonts w:ascii="Times New Roman" w:hAnsi="Times New Roman" w:cs="Times New Roman"/>
          <w:i/>
          <w:iCs/>
          <w:sz w:val="24"/>
          <w:szCs w:val="24"/>
        </w:rPr>
        <w:t>Italian</w:t>
      </w:r>
      <w:proofErr w:type="spellEnd"/>
      <w:r w:rsidRPr="00AC5F76">
        <w:rPr>
          <w:rFonts w:ascii="Times New Roman" w:hAnsi="Times New Roman" w:cs="Times New Roman"/>
          <w:i/>
          <w:iCs/>
          <w:sz w:val="24"/>
          <w:szCs w:val="24"/>
        </w:rPr>
        <w:t xml:space="preserve"> Digital </w:t>
      </w:r>
      <w:proofErr w:type="spellStart"/>
      <w:r w:rsidRPr="00AC5F76">
        <w:rPr>
          <w:rFonts w:ascii="Times New Roman" w:hAnsi="Times New Roman" w:cs="Times New Roman"/>
          <w:i/>
          <w:iCs/>
          <w:sz w:val="24"/>
          <w:szCs w:val="24"/>
        </w:rPr>
        <w:t>Minions</w:t>
      </w:r>
      <w:proofErr w:type="spellEnd"/>
      <w:r w:rsidRPr="00B27169">
        <w:rPr>
          <w:rFonts w:ascii="Times New Roman" w:hAnsi="Times New Roman" w:cs="Times New Roman"/>
          <w:sz w:val="24"/>
          <w:szCs w:val="24"/>
        </w:rPr>
        <w:t>”, ha sostenuto che la parte relativa ai metadati contiene una «</w:t>
      </w:r>
      <w:r w:rsidRPr="00AC5F76">
        <w:rPr>
          <w:rFonts w:ascii="Times New Roman" w:hAnsi="Times New Roman" w:cs="Times New Roman"/>
          <w:i/>
          <w:iCs/>
          <w:sz w:val="24"/>
          <w:szCs w:val="24"/>
        </w:rPr>
        <w:t>somma di informazioni obbligatorie prive di contesto temporale e di finalità esplicite (non è chiaro chi, quando, come debba acquisire queste informazioni e gestirle sia all’interno del sistema documentale sia nelle successive – sottolineo successive – fasi di conservazione</w:t>
      </w:r>
      <w:r w:rsidRPr="00B27169">
        <w:rPr>
          <w:rFonts w:ascii="Times New Roman" w:hAnsi="Times New Roman" w:cs="Times New Roman"/>
          <w:sz w:val="24"/>
          <w:szCs w:val="24"/>
        </w:rPr>
        <w:t xml:space="preserve">». È stato osservato che l’ambito della </w:t>
      </w:r>
      <w:proofErr w:type="spellStart"/>
      <w:r w:rsidRPr="00B27169">
        <w:rPr>
          <w:rFonts w:ascii="Times New Roman" w:hAnsi="Times New Roman" w:cs="Times New Roman"/>
          <w:sz w:val="24"/>
          <w:szCs w:val="24"/>
        </w:rPr>
        <w:t>metadatazione</w:t>
      </w:r>
      <w:proofErr w:type="spellEnd"/>
      <w:r w:rsidRPr="00B27169">
        <w:rPr>
          <w:rFonts w:ascii="Times New Roman" w:hAnsi="Times New Roman" w:cs="Times New Roman"/>
          <w:sz w:val="24"/>
          <w:szCs w:val="24"/>
        </w:rPr>
        <w:t xml:space="preserve"> andrebbe riportata nell’alveo originario della gestione documentale e non della formazione del documento, «</w:t>
      </w:r>
      <w:r w:rsidRPr="003D7996">
        <w:rPr>
          <w:rFonts w:ascii="Times New Roman" w:hAnsi="Times New Roman" w:cs="Times New Roman"/>
          <w:i/>
          <w:iCs/>
          <w:sz w:val="24"/>
          <w:szCs w:val="24"/>
        </w:rPr>
        <w:t>infatti, se per una pubblica amministrazione l’utilizzo dei metadati resta assolutamente indispensabile per gestire le operazioni di registrazione e di segnatura, quindi di classificazione (e di corretta formazione dell’archivio digitale), in ambito privato, al contrario, non vi è alcun obbligo di gestione documentale e l’utilizzo dei metadati, specie nell’attuale configurazione, rischia di rimanere solo un inutile e periglioso esercizio di stile</w:t>
      </w:r>
      <w:r w:rsidRPr="00B27169">
        <w:rPr>
          <w:rFonts w:ascii="Times New Roman" w:hAnsi="Times New Roman" w:cs="Times New Roman"/>
          <w:sz w:val="24"/>
          <w:szCs w:val="24"/>
        </w:rPr>
        <w:t xml:space="preserve">», v. </w:t>
      </w:r>
      <w:r w:rsidRPr="003D7996">
        <w:rPr>
          <w:rFonts w:ascii="Times New Roman" w:hAnsi="Times New Roman" w:cs="Times New Roman"/>
          <w:smallCaps/>
          <w:sz w:val="24"/>
          <w:szCs w:val="24"/>
        </w:rPr>
        <w:t>A. Lisi</w:t>
      </w:r>
      <w:r w:rsidRPr="00B27169">
        <w:rPr>
          <w:rFonts w:ascii="Times New Roman" w:hAnsi="Times New Roman" w:cs="Times New Roman"/>
          <w:sz w:val="24"/>
          <w:szCs w:val="24"/>
        </w:rPr>
        <w:t>, “</w:t>
      </w:r>
      <w:r w:rsidRPr="003D7996">
        <w:rPr>
          <w:rFonts w:ascii="Times New Roman" w:hAnsi="Times New Roman" w:cs="Times New Roman"/>
          <w:i/>
          <w:iCs/>
          <w:sz w:val="24"/>
          <w:szCs w:val="24"/>
        </w:rPr>
        <w:t>Come sarà il 2022 dei documenti informatici: nuove regole digitali e qualche polemica</w:t>
      </w:r>
      <w:r w:rsidRPr="00B27169">
        <w:rPr>
          <w:rFonts w:ascii="Times New Roman" w:hAnsi="Times New Roman" w:cs="Times New Roman"/>
          <w:sz w:val="24"/>
          <w:szCs w:val="24"/>
        </w:rPr>
        <w:t xml:space="preserve">”, su </w:t>
      </w:r>
      <w:r w:rsidRPr="003D7996">
        <w:rPr>
          <w:rFonts w:ascii="Times New Roman" w:hAnsi="Times New Roman" w:cs="Times New Roman"/>
          <w:i/>
          <w:iCs/>
          <w:sz w:val="24"/>
          <w:szCs w:val="24"/>
        </w:rPr>
        <w:t>agendadigitale.eu</w:t>
      </w:r>
      <w:r w:rsidRPr="00B27169">
        <w:rPr>
          <w:rFonts w:ascii="Times New Roman" w:hAnsi="Times New Roman" w:cs="Times New Roman"/>
          <w:sz w:val="24"/>
          <w:szCs w:val="24"/>
        </w:rPr>
        <w:t>. Le nuove Linee guida, comunque, garantiscono un buon collegamento con il sistema delineato dal GDPR, soprattutto per quanto riguarda il ruolo dei conservatori dei documenti informatici. Infine,</w:t>
      </w:r>
      <w:r>
        <w:rPr>
          <w:rFonts w:ascii="Times New Roman" w:hAnsi="Times New Roman" w:cs="Times New Roman"/>
          <w:sz w:val="24"/>
          <w:szCs w:val="24"/>
        </w:rPr>
        <w:t xml:space="preserve"> </w:t>
      </w:r>
      <w:r w:rsidRPr="00B27169">
        <w:rPr>
          <w:rFonts w:ascii="Times New Roman" w:hAnsi="Times New Roman" w:cs="Times New Roman"/>
          <w:sz w:val="24"/>
          <w:szCs w:val="24"/>
        </w:rPr>
        <w:t>la legge n. 108 del 2021, che modifica il CAD, all’art. 18-bis prevede in capo all’</w:t>
      </w:r>
      <w:proofErr w:type="spellStart"/>
      <w:r w:rsidRPr="00B27169">
        <w:rPr>
          <w:rFonts w:ascii="Times New Roman" w:hAnsi="Times New Roman" w:cs="Times New Roman"/>
          <w:sz w:val="24"/>
          <w:szCs w:val="24"/>
        </w:rPr>
        <w:t>Ag</w:t>
      </w:r>
      <w:r>
        <w:rPr>
          <w:rFonts w:ascii="Times New Roman" w:hAnsi="Times New Roman" w:cs="Times New Roman"/>
          <w:sz w:val="24"/>
          <w:szCs w:val="24"/>
        </w:rPr>
        <w:t>ID</w:t>
      </w:r>
      <w:proofErr w:type="spellEnd"/>
      <w:r w:rsidRPr="00B27169">
        <w:rPr>
          <w:rFonts w:ascii="Times New Roman" w:hAnsi="Times New Roman" w:cs="Times New Roman"/>
          <w:sz w:val="24"/>
          <w:szCs w:val="24"/>
        </w:rPr>
        <w:t xml:space="preserve"> poteri di vigilanza, verifica, controllo e monitoraggio simili a quelli </w:t>
      </w:r>
      <w:proofErr w:type="spellStart"/>
      <w:r w:rsidRPr="00B27169">
        <w:rPr>
          <w:rFonts w:ascii="Times New Roman" w:hAnsi="Times New Roman" w:cs="Times New Roman"/>
          <w:sz w:val="24"/>
          <w:szCs w:val="24"/>
        </w:rPr>
        <w:t>dell’Anac</w:t>
      </w:r>
      <w:proofErr w:type="spellEnd"/>
      <w:r w:rsidRPr="00B27169">
        <w:rPr>
          <w:rFonts w:ascii="Times New Roman" w:hAnsi="Times New Roman" w:cs="Times New Roman"/>
          <w:sz w:val="24"/>
          <w:szCs w:val="24"/>
        </w:rPr>
        <w:t>, nell’esercizio dei quali l’A</w:t>
      </w:r>
      <w:r>
        <w:rPr>
          <w:rFonts w:ascii="Times New Roman" w:hAnsi="Times New Roman" w:cs="Times New Roman"/>
          <w:sz w:val="24"/>
          <w:szCs w:val="24"/>
        </w:rPr>
        <w:t>genzia</w:t>
      </w:r>
      <w:r w:rsidRPr="00B27169">
        <w:rPr>
          <w:rFonts w:ascii="Times New Roman" w:hAnsi="Times New Roman" w:cs="Times New Roman"/>
          <w:sz w:val="24"/>
          <w:szCs w:val="24"/>
        </w:rPr>
        <w:t xml:space="preserve"> richiede e acquisisce presso tutti i soggetti pubblici, dati, documenti e </w:t>
      </w:r>
      <w:r>
        <w:rPr>
          <w:rFonts w:ascii="Times New Roman" w:hAnsi="Times New Roman" w:cs="Times New Roman"/>
          <w:sz w:val="24"/>
          <w:szCs w:val="24"/>
        </w:rPr>
        <w:t>altre</w:t>
      </w:r>
      <w:r w:rsidRPr="00B27169">
        <w:rPr>
          <w:rFonts w:ascii="Times New Roman" w:hAnsi="Times New Roman" w:cs="Times New Roman"/>
          <w:sz w:val="24"/>
          <w:szCs w:val="24"/>
        </w:rPr>
        <w:t xml:space="preserve"> informazion</w:t>
      </w:r>
      <w:r>
        <w:rPr>
          <w:rFonts w:ascii="Times New Roman" w:hAnsi="Times New Roman" w:cs="Times New Roman"/>
          <w:sz w:val="24"/>
          <w:szCs w:val="24"/>
        </w:rPr>
        <w:t>i</w:t>
      </w:r>
      <w:r w:rsidRPr="00B27169">
        <w:rPr>
          <w:rFonts w:ascii="Times New Roman" w:hAnsi="Times New Roman" w:cs="Times New Roman"/>
          <w:sz w:val="24"/>
          <w:szCs w:val="24"/>
        </w:rPr>
        <w:t xml:space="preserve"> strumental</w:t>
      </w:r>
      <w:r>
        <w:rPr>
          <w:rFonts w:ascii="Times New Roman" w:hAnsi="Times New Roman" w:cs="Times New Roman"/>
          <w:sz w:val="24"/>
          <w:szCs w:val="24"/>
        </w:rPr>
        <w:t>i</w:t>
      </w:r>
      <w:r w:rsidRPr="00B27169">
        <w:rPr>
          <w:rFonts w:ascii="Times New Roman" w:hAnsi="Times New Roman" w:cs="Times New Roman"/>
          <w:sz w:val="24"/>
          <w:szCs w:val="24"/>
        </w:rPr>
        <w:t xml:space="preserve"> e necessari</w:t>
      </w:r>
      <w:r>
        <w:rPr>
          <w:rFonts w:ascii="Times New Roman" w:hAnsi="Times New Roman" w:cs="Times New Roman"/>
          <w:sz w:val="24"/>
          <w:szCs w:val="24"/>
        </w:rPr>
        <w:t>e</w:t>
      </w:r>
      <w:r w:rsidRPr="00B27169">
        <w:rPr>
          <w:rFonts w:ascii="Times New Roman" w:hAnsi="Times New Roman" w:cs="Times New Roman"/>
          <w:sz w:val="24"/>
          <w:szCs w:val="24"/>
        </w:rPr>
        <w:t>. Se non si ottempera alla richiesta di dati, documenti o informazioni</w:t>
      </w:r>
      <w:r>
        <w:rPr>
          <w:rFonts w:ascii="Times New Roman" w:hAnsi="Times New Roman" w:cs="Times New Roman"/>
          <w:sz w:val="24"/>
          <w:szCs w:val="24"/>
        </w:rPr>
        <w:t>,</w:t>
      </w:r>
      <w:r w:rsidRPr="00B27169">
        <w:rPr>
          <w:rFonts w:ascii="Times New Roman" w:hAnsi="Times New Roman" w:cs="Times New Roman"/>
          <w:sz w:val="24"/>
          <w:szCs w:val="24"/>
        </w:rPr>
        <w:t xml:space="preserve"> ovvero si trasmettono dati o informazioni parziali o non veritieri, si incorre in sanzioni amministrative pecuniarie nel minimo di euro 10.000 e nel massimo di euro 100.000.</w:t>
      </w:r>
    </w:p>
  </w:footnote>
  <w:footnote w:id="289">
    <w:p w14:paraId="4CE4CD50" w14:textId="356E40E0" w:rsidR="000463A6" w:rsidRPr="0063116A" w:rsidRDefault="000463A6" w:rsidP="00B27169">
      <w:pPr>
        <w:spacing w:line="240" w:lineRule="auto"/>
        <w:jc w:val="both"/>
        <w:rPr>
          <w:rFonts w:ascii="Times New Roman" w:eastAsia="Times New Roman" w:hAnsi="Times New Roman" w:cs="Times New Roman"/>
          <w:sz w:val="24"/>
          <w:szCs w:val="24"/>
        </w:rPr>
      </w:pPr>
      <w:r w:rsidRPr="00B27169">
        <w:rPr>
          <w:rFonts w:ascii="Times New Roman" w:hAnsi="Times New Roman" w:cs="Times New Roman"/>
          <w:sz w:val="24"/>
          <w:szCs w:val="24"/>
          <w:vertAlign w:val="superscript"/>
        </w:rPr>
        <w:footnoteRef/>
      </w:r>
      <w:r w:rsidRPr="00B27169">
        <w:rPr>
          <w:rFonts w:ascii="Times New Roman" w:eastAsia="Times New Roman" w:hAnsi="Times New Roman" w:cs="Times New Roman"/>
          <w:sz w:val="24"/>
          <w:szCs w:val="24"/>
        </w:rPr>
        <w:t xml:space="preserve"> Vedasi </w:t>
      </w:r>
      <w:r w:rsidRPr="00B27169">
        <w:rPr>
          <w:rFonts w:ascii="Times New Roman" w:eastAsia="Times New Roman" w:hAnsi="Times New Roman" w:cs="Times New Roman"/>
          <w:i/>
          <w:iCs/>
          <w:sz w:val="24"/>
          <w:szCs w:val="24"/>
        </w:rPr>
        <w:t>parere n. 785 del 23 marzo 2016</w:t>
      </w:r>
      <w:r w:rsidRPr="00B27169">
        <w:rPr>
          <w:rFonts w:ascii="Times New Roman" w:eastAsia="Times New Roman" w:hAnsi="Times New Roman" w:cs="Times New Roman"/>
          <w:sz w:val="24"/>
          <w:szCs w:val="24"/>
        </w:rPr>
        <w:t xml:space="preserve">. Più di recente, si segnala il parere del </w:t>
      </w:r>
      <w:proofErr w:type="spellStart"/>
      <w:r w:rsidRPr="00B27169">
        <w:rPr>
          <w:rFonts w:ascii="Times New Roman" w:eastAsia="Times New Roman" w:hAnsi="Times New Roman" w:cs="Times New Roman"/>
          <w:sz w:val="24"/>
          <w:szCs w:val="24"/>
        </w:rPr>
        <w:t>CdS</w:t>
      </w:r>
      <w:proofErr w:type="spellEnd"/>
      <w:r w:rsidRPr="00B27169">
        <w:rPr>
          <w:rFonts w:ascii="Times New Roman" w:eastAsia="Times New Roman" w:hAnsi="Times New Roman" w:cs="Times New Roman"/>
          <w:sz w:val="24"/>
          <w:szCs w:val="24"/>
        </w:rPr>
        <w:t xml:space="preserve"> del 26 novembre 2020, n. 1940 sull’</w:t>
      </w:r>
      <w:r w:rsidRPr="00B27169">
        <w:rPr>
          <w:rFonts w:ascii="Times New Roman" w:eastAsia="Times New Roman" w:hAnsi="Times New Roman" w:cs="Times New Roman"/>
          <w:i/>
          <w:iCs/>
          <w:sz w:val="24"/>
          <w:szCs w:val="24"/>
        </w:rPr>
        <w:t>e-</w:t>
      </w:r>
      <w:proofErr w:type="spellStart"/>
      <w:r w:rsidRPr="00B27169">
        <w:rPr>
          <w:rFonts w:ascii="Times New Roman" w:eastAsia="Times New Roman" w:hAnsi="Times New Roman" w:cs="Times New Roman"/>
          <w:i/>
          <w:iCs/>
          <w:sz w:val="24"/>
          <w:szCs w:val="24"/>
        </w:rPr>
        <w:t>procurement</w:t>
      </w:r>
      <w:proofErr w:type="spellEnd"/>
      <w:r w:rsidRPr="00B27169">
        <w:rPr>
          <w:rFonts w:ascii="Times New Roman" w:eastAsia="Times New Roman" w:hAnsi="Times New Roman" w:cs="Times New Roman"/>
          <w:sz w:val="24"/>
          <w:szCs w:val="24"/>
        </w:rPr>
        <w:t>.</w:t>
      </w:r>
    </w:p>
  </w:footnote>
  <w:footnote w:id="290">
    <w:p w14:paraId="00A563FD" w14:textId="4981DEC5" w:rsidR="000463A6" w:rsidRPr="0063116A" w:rsidRDefault="000463A6" w:rsidP="0074307B">
      <w:pPr>
        <w:spacing w:after="0" w:line="240" w:lineRule="auto"/>
        <w:jc w:val="both"/>
        <w:rPr>
          <w:rFonts w:ascii="Times New Roman" w:hAnsi="Times New Roman" w:cs="Times New Roman"/>
          <w:sz w:val="24"/>
          <w:szCs w:val="24"/>
        </w:rPr>
      </w:pPr>
      <w:r w:rsidRPr="0063116A">
        <w:rPr>
          <w:rFonts w:ascii="Times New Roman" w:hAnsi="Times New Roman" w:cs="Times New Roman"/>
          <w:sz w:val="24"/>
          <w:szCs w:val="24"/>
          <w:vertAlign w:val="superscript"/>
        </w:rPr>
        <w:footnoteRef/>
      </w:r>
      <w:r w:rsidRPr="0063116A">
        <w:rPr>
          <w:rFonts w:ascii="Times New Roman" w:eastAsia="Times New Roman" w:hAnsi="Times New Roman" w:cs="Times New Roman"/>
          <w:sz w:val="24"/>
          <w:szCs w:val="24"/>
        </w:rPr>
        <w:t xml:space="preserve"> Per uno studio più approfondito</w:t>
      </w:r>
      <w:r>
        <w:rPr>
          <w:rFonts w:ascii="Times New Roman" w:eastAsia="Times New Roman" w:hAnsi="Times New Roman" w:cs="Times New Roman"/>
          <w:sz w:val="24"/>
          <w:szCs w:val="24"/>
        </w:rPr>
        <w:t>,</w:t>
      </w:r>
      <w:r w:rsidRPr="0063116A">
        <w:rPr>
          <w:rFonts w:ascii="Times New Roman" w:eastAsia="Times New Roman" w:hAnsi="Times New Roman" w:cs="Times New Roman"/>
          <w:sz w:val="24"/>
          <w:szCs w:val="24"/>
        </w:rPr>
        <w:t xml:space="preserve"> si consiglia di consultare il Piano Nazionale di Ripresa e Resilienza (PNRR) 2021, da pag. 119 a 129, che, in tema di dati e interoperabilità, si esprime nei seguenti termini: “</w:t>
      </w:r>
      <w:r w:rsidRPr="0063116A">
        <w:rPr>
          <w:rFonts w:ascii="Times New Roman" w:eastAsia="Times New Roman" w:hAnsi="Times New Roman" w:cs="Times New Roman"/>
          <w:i/>
          <w:sz w:val="24"/>
          <w:szCs w:val="24"/>
        </w:rPr>
        <w:t xml:space="preserve">Il </w:t>
      </w:r>
      <w:proofErr w:type="gramStart"/>
      <w:r w:rsidRPr="0063116A">
        <w:rPr>
          <w:rFonts w:ascii="Times New Roman" w:eastAsia="Times New Roman" w:hAnsi="Times New Roman" w:cs="Times New Roman"/>
          <w:i/>
          <w:sz w:val="24"/>
          <w:szCs w:val="24"/>
        </w:rPr>
        <w:t>gap</w:t>
      </w:r>
      <w:proofErr w:type="gramEnd"/>
      <w:r w:rsidRPr="0063116A">
        <w:rPr>
          <w:rFonts w:ascii="Times New Roman" w:eastAsia="Times New Roman" w:hAnsi="Times New Roman" w:cs="Times New Roman"/>
          <w:i/>
          <w:sz w:val="24"/>
          <w:szCs w:val="24"/>
        </w:rPr>
        <w:t xml:space="preserve"> digitale della PA italiana si traduce oggi in ridotta produttività e spesso in un peso non sopportabile per cittadini, residenti e imprese, che debbono accedere alle diverse amministrazioni come silos verticali, non interconnessi tra loro. La trasformazione digitale della PA si prefigge quindi di cambiare l’architettura e le modalità di interconnessione tra le basi dati delle amministrazioni affinché l’accesso ai servizi sia trasversalmente e universalmente basato sul principio “</w:t>
      </w:r>
      <w:r w:rsidRPr="0074307B">
        <w:rPr>
          <w:rFonts w:ascii="Times New Roman" w:eastAsia="Times New Roman" w:hAnsi="Times New Roman" w:cs="Times New Roman"/>
          <w:iCs/>
          <w:sz w:val="24"/>
          <w:szCs w:val="24"/>
        </w:rPr>
        <w:t xml:space="preserve">once </w:t>
      </w:r>
      <w:proofErr w:type="spellStart"/>
      <w:r w:rsidRPr="0074307B">
        <w:rPr>
          <w:rFonts w:ascii="Times New Roman" w:eastAsia="Times New Roman" w:hAnsi="Times New Roman" w:cs="Times New Roman"/>
          <w:iCs/>
          <w:sz w:val="24"/>
          <w:szCs w:val="24"/>
        </w:rPr>
        <w:t>only</w:t>
      </w:r>
      <w:proofErr w:type="spellEnd"/>
      <w:r w:rsidRPr="0063116A">
        <w:rPr>
          <w:rFonts w:ascii="Times New Roman" w:eastAsia="Times New Roman" w:hAnsi="Times New Roman" w:cs="Times New Roman"/>
          <w:i/>
          <w:sz w:val="24"/>
          <w:szCs w:val="24"/>
        </w:rPr>
        <w:t xml:space="preserve">”, facendo sì che le informazioni sui cittadini siano a disposizione “una volta per tutte” per le amministrazioni in modo immediato, semplice ed efficace, alleggerendo tempi e costi legati alle richieste di informazioni oggi frammentate tra molteplici enti. Investire sulla piena interoperabilità dei </w:t>
      </w:r>
      <w:proofErr w:type="spellStart"/>
      <w:r w:rsidRPr="00D634A8">
        <w:rPr>
          <w:rFonts w:ascii="Times New Roman" w:eastAsia="Times New Roman" w:hAnsi="Times New Roman" w:cs="Times New Roman"/>
          <w:iCs/>
          <w:sz w:val="24"/>
          <w:szCs w:val="24"/>
        </w:rPr>
        <w:t>dataset</w:t>
      </w:r>
      <w:proofErr w:type="spellEnd"/>
      <w:r w:rsidRPr="0063116A">
        <w:rPr>
          <w:rFonts w:ascii="Times New Roman" w:eastAsia="Times New Roman" w:hAnsi="Times New Roman" w:cs="Times New Roman"/>
          <w:i/>
          <w:sz w:val="24"/>
          <w:szCs w:val="24"/>
        </w:rPr>
        <w:t xml:space="preserve"> della PA significa introdurre un esteso utilizzo del domicilio digitale (scelto liberamente dai cittadini) e garantire un’esposizione automatica dei dati/attributi di cittadini/residenti e imprese da parte dei database sorgente (dati/attributi costantemente aggiornati nel tempo) a beneficio di ogni processo/servizio “richiedente”. Si verrà a creare una “Piattaforma Nazionale Dati” che offrirà alle amministrazioni un catalogo centrale di “connettori automatici” (le cosiddette “API” – Application Programming Interface) consultabili e accessibili tramite un servizio dedicato, in un contesto integralmente conforme alle leggi europee sulla privacy, evitando così al cittadino di dover fornire più volte la stessa informazione a diverse amministrazioni. La realizzazione della Piattaforma Nazionale Dati sarà accompagnata da un progetto finalizzato a garantire la piena partecipazione dell’Italia all’iniziativa Europea del Single Digital Gateway, che consentirà l’armonizzazione tra tutti gli Stati Membri e la completa digitalizzazione di un insieme di procedure/servizi di particolare rilevanza (ad es. richiesta del certificato di nascita, ecc.)</w:t>
      </w:r>
      <w:r w:rsidRPr="00D634A8">
        <w:rPr>
          <w:rFonts w:ascii="Times New Roman" w:eastAsia="Times New Roman" w:hAnsi="Times New Roman" w:cs="Times New Roman"/>
          <w:iCs/>
          <w:sz w:val="24"/>
          <w:szCs w:val="24"/>
        </w:rPr>
        <w:t>”.</w:t>
      </w:r>
    </w:p>
  </w:footnote>
  <w:footnote w:id="291">
    <w:p w14:paraId="63F97FEE" w14:textId="61BBADAF" w:rsidR="000463A6" w:rsidRPr="0063116A" w:rsidRDefault="000463A6" w:rsidP="0074307B">
      <w:pPr>
        <w:spacing w:after="0" w:line="240" w:lineRule="auto"/>
        <w:jc w:val="both"/>
        <w:rPr>
          <w:rFonts w:ascii="Times New Roman" w:eastAsia="Times New Roman" w:hAnsi="Times New Roman" w:cs="Times New Roman"/>
          <w:sz w:val="24"/>
          <w:szCs w:val="24"/>
        </w:rPr>
      </w:pPr>
      <w:r w:rsidRPr="0063116A">
        <w:rPr>
          <w:rFonts w:ascii="Times New Roman" w:hAnsi="Times New Roman" w:cs="Times New Roman"/>
          <w:sz w:val="24"/>
          <w:szCs w:val="24"/>
          <w:vertAlign w:val="superscript"/>
        </w:rPr>
        <w:footnoteRef/>
      </w:r>
      <w:r w:rsidRPr="0063116A">
        <w:rPr>
          <w:rFonts w:ascii="Times New Roman" w:eastAsia="Times New Roman" w:hAnsi="Times New Roman" w:cs="Times New Roman"/>
          <w:sz w:val="24"/>
          <w:szCs w:val="24"/>
        </w:rPr>
        <w:t xml:space="preserve"> D.L. n. 76 del 16 luglio 2020, convertito in legge n.</w:t>
      </w:r>
      <w:r>
        <w:rPr>
          <w:rFonts w:ascii="Times New Roman" w:eastAsia="Times New Roman" w:hAnsi="Times New Roman" w:cs="Times New Roman"/>
          <w:sz w:val="24"/>
          <w:szCs w:val="24"/>
        </w:rPr>
        <w:t xml:space="preserve"> </w:t>
      </w:r>
      <w:r w:rsidRPr="0063116A">
        <w:rPr>
          <w:rFonts w:ascii="Times New Roman" w:eastAsia="Times New Roman" w:hAnsi="Times New Roman" w:cs="Times New Roman"/>
          <w:sz w:val="24"/>
          <w:szCs w:val="24"/>
        </w:rPr>
        <w:t>120/20.</w:t>
      </w:r>
    </w:p>
  </w:footnote>
  <w:footnote w:id="292">
    <w:p w14:paraId="75ADAEF1" w14:textId="77777777" w:rsidR="000463A6" w:rsidRPr="00D634A8" w:rsidRDefault="000463A6" w:rsidP="0063116A">
      <w:pPr>
        <w:spacing w:after="0" w:line="240" w:lineRule="auto"/>
        <w:jc w:val="both"/>
        <w:rPr>
          <w:rFonts w:ascii="Times New Roman" w:eastAsia="Times New Roman" w:hAnsi="Times New Roman" w:cs="Times New Roman"/>
          <w:sz w:val="24"/>
          <w:szCs w:val="24"/>
        </w:rPr>
      </w:pPr>
      <w:r w:rsidRPr="00D634A8">
        <w:rPr>
          <w:rFonts w:ascii="Times New Roman" w:hAnsi="Times New Roman" w:cs="Times New Roman"/>
          <w:sz w:val="24"/>
          <w:szCs w:val="24"/>
          <w:vertAlign w:val="superscript"/>
        </w:rPr>
        <w:footnoteRef/>
      </w:r>
      <w:r w:rsidRPr="00D634A8">
        <w:rPr>
          <w:rFonts w:ascii="Times New Roman" w:eastAsia="Times New Roman" w:hAnsi="Times New Roman" w:cs="Times New Roman"/>
          <w:sz w:val="24"/>
          <w:szCs w:val="24"/>
        </w:rPr>
        <w:t xml:space="preserve"> La </w:t>
      </w:r>
      <w:proofErr w:type="spellStart"/>
      <w:r w:rsidRPr="00D634A8">
        <w:rPr>
          <w:rFonts w:ascii="Times New Roman" w:eastAsia="Times New Roman" w:hAnsi="Times New Roman" w:cs="Times New Roman"/>
          <w:i/>
          <w:sz w:val="24"/>
          <w:szCs w:val="24"/>
          <w:highlight w:val="white"/>
        </w:rPr>
        <w:t>blockchain</w:t>
      </w:r>
      <w:proofErr w:type="spellEnd"/>
      <w:r w:rsidRPr="00D634A8">
        <w:rPr>
          <w:rFonts w:ascii="Times New Roman" w:eastAsia="Times New Roman" w:hAnsi="Times New Roman" w:cs="Times New Roman"/>
          <w:sz w:val="24"/>
          <w:szCs w:val="24"/>
          <w:highlight w:val="white"/>
        </w:rPr>
        <w:t xml:space="preserve"> è una particolare tecnologia di registro distribuito (</w:t>
      </w:r>
      <w:hyperlink r:id="rId71">
        <w:r w:rsidRPr="00D634A8">
          <w:rPr>
            <w:rFonts w:ascii="Times New Roman" w:eastAsia="Times New Roman" w:hAnsi="Times New Roman" w:cs="Times New Roman"/>
            <w:sz w:val="24"/>
            <w:szCs w:val="24"/>
            <w:highlight w:val="white"/>
          </w:rPr>
          <w:t>DLT</w:t>
        </w:r>
      </w:hyperlink>
      <w:r w:rsidRPr="00D634A8">
        <w:rPr>
          <w:rFonts w:ascii="Times New Roman" w:eastAsia="Times New Roman" w:hAnsi="Times New Roman" w:cs="Times New Roman"/>
          <w:sz w:val="24"/>
          <w:szCs w:val="24"/>
          <w:highlight w:val="white"/>
        </w:rPr>
        <w:t>), in grado di registrare scambi e informazioni in modo sicuro e permanente, mediante la condivisione di un database che rimuove essenzialmente la necessità degli intermediari i quali, in precedenza, erano tenuti ad agire come terze parti di fiducia per verificare, registrare e coordinare i dati.</w:t>
      </w:r>
    </w:p>
  </w:footnote>
  <w:footnote w:id="293">
    <w:p w14:paraId="231D44EB" w14:textId="77777777" w:rsidR="000463A6" w:rsidRPr="00D634A8" w:rsidRDefault="000463A6" w:rsidP="0063116A">
      <w:pPr>
        <w:spacing w:after="0" w:line="240" w:lineRule="auto"/>
        <w:jc w:val="both"/>
        <w:rPr>
          <w:rFonts w:ascii="Times New Roman" w:eastAsia="Times New Roman" w:hAnsi="Times New Roman" w:cs="Times New Roman"/>
          <w:sz w:val="24"/>
          <w:szCs w:val="24"/>
        </w:rPr>
      </w:pPr>
      <w:r w:rsidRPr="00D634A8">
        <w:rPr>
          <w:rFonts w:ascii="Times New Roman" w:hAnsi="Times New Roman" w:cs="Times New Roman"/>
          <w:sz w:val="24"/>
          <w:szCs w:val="24"/>
          <w:vertAlign w:val="superscript"/>
        </w:rPr>
        <w:footnoteRef/>
      </w:r>
      <w:r w:rsidRPr="00D634A8">
        <w:rPr>
          <w:rFonts w:ascii="Times New Roman" w:eastAsia="Times New Roman" w:hAnsi="Times New Roman" w:cs="Times New Roman"/>
          <w:sz w:val="24"/>
          <w:szCs w:val="24"/>
        </w:rPr>
        <w:t xml:space="preserve"> </w:t>
      </w:r>
      <w:r w:rsidRPr="00D634A8">
        <w:rPr>
          <w:rFonts w:ascii="Times New Roman" w:eastAsia="Times New Roman" w:hAnsi="Times New Roman" w:cs="Times New Roman"/>
          <w:i/>
          <w:iCs/>
          <w:sz w:val="24"/>
          <w:szCs w:val="24"/>
        </w:rPr>
        <w:t xml:space="preserve">Regolamento CE del Parlamento europeo n. 679/2016 </w:t>
      </w:r>
      <w:r w:rsidRPr="00D634A8">
        <w:rPr>
          <w:rFonts w:ascii="Times New Roman" w:eastAsia="Times New Roman" w:hAnsi="Times New Roman" w:cs="Times New Roman"/>
          <w:sz w:val="24"/>
          <w:szCs w:val="24"/>
        </w:rPr>
        <w:t>(</w:t>
      </w:r>
      <w:r w:rsidRPr="00D634A8">
        <w:rPr>
          <w:rFonts w:ascii="Times New Roman" w:eastAsia="Times New Roman" w:hAnsi="Times New Roman" w:cs="Times New Roman"/>
          <w:i/>
          <w:iCs/>
          <w:sz w:val="24"/>
          <w:szCs w:val="24"/>
        </w:rPr>
        <w:t xml:space="preserve">General Data </w:t>
      </w:r>
      <w:proofErr w:type="spellStart"/>
      <w:r w:rsidRPr="00D634A8">
        <w:rPr>
          <w:rFonts w:ascii="Times New Roman" w:eastAsia="Times New Roman" w:hAnsi="Times New Roman" w:cs="Times New Roman"/>
          <w:i/>
          <w:iCs/>
          <w:sz w:val="24"/>
          <w:szCs w:val="24"/>
        </w:rPr>
        <w:t>Protection</w:t>
      </w:r>
      <w:proofErr w:type="spellEnd"/>
      <w:r w:rsidRPr="00D634A8">
        <w:rPr>
          <w:rFonts w:ascii="Times New Roman" w:eastAsia="Times New Roman" w:hAnsi="Times New Roman" w:cs="Times New Roman"/>
          <w:i/>
          <w:iCs/>
          <w:sz w:val="24"/>
          <w:szCs w:val="24"/>
        </w:rPr>
        <w:t xml:space="preserve"> </w:t>
      </w:r>
      <w:proofErr w:type="spellStart"/>
      <w:r w:rsidRPr="00D634A8">
        <w:rPr>
          <w:rFonts w:ascii="Times New Roman" w:eastAsia="Times New Roman" w:hAnsi="Times New Roman" w:cs="Times New Roman"/>
          <w:i/>
          <w:iCs/>
          <w:sz w:val="24"/>
          <w:szCs w:val="24"/>
        </w:rPr>
        <w:t>Regulation</w:t>
      </w:r>
      <w:proofErr w:type="spellEnd"/>
      <w:r w:rsidRPr="00D634A8">
        <w:rPr>
          <w:rFonts w:ascii="Times New Roman" w:eastAsia="Times New Roman" w:hAnsi="Times New Roman" w:cs="Times New Roman"/>
          <w:sz w:val="24"/>
          <w:szCs w:val="24"/>
        </w:rPr>
        <w:t>).</w:t>
      </w:r>
    </w:p>
  </w:footnote>
  <w:footnote w:id="294">
    <w:p w14:paraId="34E9BE78" w14:textId="5D553278" w:rsidR="000463A6" w:rsidRPr="0063116A" w:rsidRDefault="000463A6" w:rsidP="0063116A">
      <w:pPr>
        <w:spacing w:after="0" w:line="240" w:lineRule="auto"/>
        <w:jc w:val="both"/>
        <w:rPr>
          <w:rFonts w:ascii="Times New Roman" w:eastAsia="Times New Roman" w:hAnsi="Times New Roman" w:cs="Times New Roman"/>
          <w:sz w:val="24"/>
          <w:szCs w:val="24"/>
        </w:rPr>
      </w:pPr>
      <w:r w:rsidRPr="00D634A8">
        <w:rPr>
          <w:rFonts w:ascii="Times New Roman" w:hAnsi="Times New Roman" w:cs="Times New Roman"/>
          <w:sz w:val="24"/>
          <w:szCs w:val="24"/>
          <w:vertAlign w:val="superscript"/>
        </w:rPr>
        <w:footnoteRef/>
      </w:r>
      <w:r w:rsidRPr="00D634A8">
        <w:rPr>
          <w:rFonts w:ascii="Times New Roman" w:eastAsia="Times New Roman" w:hAnsi="Times New Roman" w:cs="Times New Roman"/>
          <w:sz w:val="24"/>
          <w:szCs w:val="24"/>
        </w:rPr>
        <w:t xml:space="preserve"> Una </w:t>
      </w:r>
      <w:r w:rsidRPr="00D634A8">
        <w:rPr>
          <w:rFonts w:ascii="Times New Roman" w:eastAsia="Times New Roman" w:hAnsi="Times New Roman" w:cs="Times New Roman"/>
          <w:i/>
          <w:sz w:val="24"/>
          <w:szCs w:val="24"/>
        </w:rPr>
        <w:t>fu</w:t>
      </w:r>
      <w:r w:rsidRPr="00D634A8">
        <w:rPr>
          <w:rFonts w:ascii="Times New Roman" w:eastAsia="Times New Roman" w:hAnsi="Times New Roman" w:cs="Times New Roman"/>
          <w:i/>
          <w:color w:val="222222"/>
          <w:sz w:val="24"/>
          <w:szCs w:val="24"/>
          <w:highlight w:val="white"/>
        </w:rPr>
        <w:t xml:space="preserve">nzione </w:t>
      </w:r>
      <w:proofErr w:type="spellStart"/>
      <w:r w:rsidRPr="00D634A8">
        <w:rPr>
          <w:rFonts w:ascii="Times New Roman" w:eastAsia="Times New Roman" w:hAnsi="Times New Roman" w:cs="Times New Roman"/>
          <w:i/>
          <w:color w:val="222222"/>
          <w:sz w:val="24"/>
          <w:szCs w:val="24"/>
          <w:highlight w:val="white"/>
        </w:rPr>
        <w:t>hash</w:t>
      </w:r>
      <w:proofErr w:type="spellEnd"/>
      <w:r w:rsidRPr="00D634A8">
        <w:rPr>
          <w:rFonts w:ascii="Times New Roman" w:eastAsia="Times New Roman" w:hAnsi="Times New Roman" w:cs="Times New Roman"/>
          <w:i/>
          <w:color w:val="222222"/>
          <w:sz w:val="24"/>
          <w:szCs w:val="24"/>
          <w:highlight w:val="white"/>
        </w:rPr>
        <w:t xml:space="preserve"> crittografica</w:t>
      </w:r>
      <w:r w:rsidRPr="00D634A8">
        <w:rPr>
          <w:rFonts w:ascii="Times New Roman" w:eastAsia="Times New Roman" w:hAnsi="Times New Roman" w:cs="Times New Roman"/>
          <w:color w:val="222222"/>
          <w:sz w:val="24"/>
          <w:szCs w:val="24"/>
          <w:highlight w:val="white"/>
        </w:rPr>
        <w:t xml:space="preserve"> fa parte di un gruppo di funzioni </w:t>
      </w:r>
      <w:proofErr w:type="spellStart"/>
      <w:r w:rsidRPr="00D634A8">
        <w:rPr>
          <w:rFonts w:ascii="Times New Roman" w:eastAsia="Times New Roman" w:hAnsi="Times New Roman" w:cs="Times New Roman"/>
          <w:i/>
          <w:iCs/>
          <w:color w:val="222222"/>
          <w:sz w:val="24"/>
          <w:szCs w:val="24"/>
          <w:highlight w:val="white"/>
        </w:rPr>
        <w:t>hash</w:t>
      </w:r>
      <w:proofErr w:type="spellEnd"/>
      <w:r w:rsidRPr="00D634A8">
        <w:rPr>
          <w:rFonts w:ascii="Times New Roman" w:eastAsia="Times New Roman" w:hAnsi="Times New Roman" w:cs="Times New Roman"/>
          <w:color w:val="222222"/>
          <w:sz w:val="24"/>
          <w:szCs w:val="24"/>
          <w:highlight w:val="white"/>
        </w:rPr>
        <w:t xml:space="preserve"> adatte per applicazioni crittografiche come SSL/TLS. Come altre funzioni </w:t>
      </w:r>
      <w:proofErr w:type="spellStart"/>
      <w:r w:rsidRPr="00D634A8">
        <w:rPr>
          <w:rFonts w:ascii="Times New Roman" w:eastAsia="Times New Roman" w:hAnsi="Times New Roman" w:cs="Times New Roman"/>
          <w:i/>
          <w:iCs/>
          <w:color w:val="222222"/>
          <w:sz w:val="24"/>
          <w:szCs w:val="24"/>
          <w:highlight w:val="white"/>
        </w:rPr>
        <w:t>hash</w:t>
      </w:r>
      <w:proofErr w:type="spellEnd"/>
      <w:r w:rsidRPr="00D634A8">
        <w:rPr>
          <w:rFonts w:ascii="Times New Roman" w:eastAsia="Times New Roman" w:hAnsi="Times New Roman" w:cs="Times New Roman"/>
          <w:color w:val="222222"/>
          <w:sz w:val="24"/>
          <w:szCs w:val="24"/>
          <w:highlight w:val="white"/>
        </w:rPr>
        <w:t xml:space="preserve">, le funzioni </w:t>
      </w:r>
      <w:proofErr w:type="spellStart"/>
      <w:r w:rsidRPr="00D634A8">
        <w:rPr>
          <w:rFonts w:ascii="Times New Roman" w:eastAsia="Times New Roman" w:hAnsi="Times New Roman" w:cs="Times New Roman"/>
          <w:i/>
          <w:iCs/>
          <w:color w:val="222222"/>
          <w:sz w:val="24"/>
          <w:szCs w:val="24"/>
          <w:highlight w:val="white"/>
        </w:rPr>
        <w:t>hash</w:t>
      </w:r>
      <w:proofErr w:type="spellEnd"/>
      <w:r w:rsidRPr="00D634A8">
        <w:rPr>
          <w:rFonts w:ascii="Times New Roman" w:eastAsia="Times New Roman" w:hAnsi="Times New Roman" w:cs="Times New Roman"/>
          <w:color w:val="222222"/>
          <w:sz w:val="24"/>
          <w:szCs w:val="24"/>
          <w:highlight w:val="white"/>
        </w:rPr>
        <w:t xml:space="preserve"> crittografiche sono algoritmi matematici unidirezionali utilizzati per mappare i dati di qualsiasi dimensione su una stringa di bit di una dimensione fissa. Le funzioni </w:t>
      </w:r>
      <w:proofErr w:type="spellStart"/>
      <w:r w:rsidRPr="00D634A8">
        <w:rPr>
          <w:rFonts w:ascii="Times New Roman" w:eastAsia="Times New Roman" w:hAnsi="Times New Roman" w:cs="Times New Roman"/>
          <w:i/>
          <w:iCs/>
          <w:color w:val="222222"/>
          <w:sz w:val="24"/>
          <w:szCs w:val="24"/>
          <w:highlight w:val="white"/>
        </w:rPr>
        <w:t>hash</w:t>
      </w:r>
      <w:proofErr w:type="spellEnd"/>
      <w:r w:rsidRPr="00D634A8">
        <w:rPr>
          <w:rFonts w:ascii="Times New Roman" w:eastAsia="Times New Roman" w:hAnsi="Times New Roman" w:cs="Times New Roman"/>
          <w:color w:val="222222"/>
          <w:sz w:val="24"/>
          <w:szCs w:val="24"/>
          <w:highlight w:val="white"/>
        </w:rPr>
        <w:t xml:space="preserve"> crittografiche sono ampiamente utilizzate nelle</w:t>
      </w:r>
      <w:r w:rsidRPr="0063116A">
        <w:rPr>
          <w:rFonts w:ascii="Times New Roman" w:eastAsia="Times New Roman" w:hAnsi="Times New Roman" w:cs="Times New Roman"/>
          <w:color w:val="222222"/>
          <w:sz w:val="24"/>
          <w:szCs w:val="24"/>
          <w:highlight w:val="white"/>
        </w:rPr>
        <w:t xml:space="preserve"> pratiche di sicurezza delle informazioni, quali firme digitali, codici di autenticazione dei messaggi e altre forme di autenticazione.</w:t>
      </w:r>
    </w:p>
  </w:footnote>
  <w:footnote w:id="295">
    <w:p w14:paraId="063CC5EF" w14:textId="1A5E1FB7" w:rsidR="000463A6" w:rsidRPr="002315B9" w:rsidRDefault="000463A6" w:rsidP="0063116A">
      <w:pPr>
        <w:spacing w:after="0" w:line="240" w:lineRule="auto"/>
        <w:jc w:val="both"/>
        <w:rPr>
          <w:rFonts w:ascii="Times New Roman" w:eastAsia="Times New Roman" w:hAnsi="Times New Roman" w:cs="Times New Roman"/>
          <w:sz w:val="24"/>
          <w:szCs w:val="24"/>
        </w:rPr>
      </w:pPr>
      <w:r w:rsidRPr="0063116A">
        <w:rPr>
          <w:rFonts w:ascii="Times New Roman" w:hAnsi="Times New Roman" w:cs="Times New Roman"/>
          <w:sz w:val="24"/>
          <w:szCs w:val="24"/>
          <w:vertAlign w:val="superscript"/>
        </w:rPr>
        <w:footnoteRef/>
      </w:r>
      <w:r w:rsidRPr="0063116A">
        <w:rPr>
          <w:rFonts w:ascii="Times New Roman" w:eastAsia="Times New Roman" w:hAnsi="Times New Roman" w:cs="Times New Roman"/>
          <w:sz w:val="24"/>
          <w:szCs w:val="24"/>
        </w:rPr>
        <w:t xml:space="preserve"> </w:t>
      </w:r>
      <w:r w:rsidRPr="0063116A">
        <w:rPr>
          <w:rFonts w:ascii="Times New Roman" w:eastAsia="Times New Roman" w:hAnsi="Times New Roman" w:cs="Times New Roman"/>
          <w:smallCaps/>
          <w:sz w:val="24"/>
          <w:szCs w:val="24"/>
        </w:rPr>
        <w:t>G. D’Acquisto</w:t>
      </w:r>
      <w:r w:rsidRPr="00631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Pr="0063116A">
        <w:rPr>
          <w:rFonts w:ascii="Times New Roman" w:eastAsia="Times New Roman" w:hAnsi="Times New Roman" w:cs="Times New Roman"/>
          <w:i/>
          <w:sz w:val="24"/>
          <w:szCs w:val="24"/>
        </w:rPr>
        <w:t>Blockchain</w:t>
      </w:r>
      <w:proofErr w:type="spellEnd"/>
      <w:r w:rsidRPr="0063116A">
        <w:rPr>
          <w:rFonts w:ascii="Times New Roman" w:eastAsia="Times New Roman" w:hAnsi="Times New Roman" w:cs="Times New Roman"/>
          <w:i/>
          <w:sz w:val="24"/>
          <w:szCs w:val="24"/>
        </w:rPr>
        <w:t xml:space="preserve"> e GDPR: verso un approccio basato sul rischio</w:t>
      </w:r>
      <w:r w:rsidRPr="00CA47B9">
        <w:rPr>
          <w:rFonts w:ascii="Times New Roman" w:eastAsia="Times New Roman" w:hAnsi="Times New Roman" w:cs="Times New Roman"/>
          <w:iCs/>
          <w:sz w:val="24"/>
          <w:szCs w:val="24"/>
        </w:rPr>
        <w:t>”,</w:t>
      </w:r>
      <w:r w:rsidRPr="0063116A">
        <w:rPr>
          <w:rFonts w:ascii="Times New Roman" w:eastAsia="Times New Roman" w:hAnsi="Times New Roman" w:cs="Times New Roman"/>
          <w:sz w:val="24"/>
          <w:szCs w:val="24"/>
        </w:rPr>
        <w:t xml:space="preserve"> in </w:t>
      </w:r>
      <w:r w:rsidRPr="0063116A">
        <w:rPr>
          <w:rFonts w:ascii="Times New Roman" w:eastAsia="Times New Roman" w:hAnsi="Times New Roman" w:cs="Times New Roman"/>
          <w:i/>
          <w:sz w:val="24"/>
          <w:szCs w:val="24"/>
        </w:rPr>
        <w:t>www.federalismi.it</w:t>
      </w:r>
      <w:r w:rsidRPr="0063116A">
        <w:rPr>
          <w:rFonts w:ascii="Times New Roman" w:eastAsia="Times New Roman" w:hAnsi="Times New Roman" w:cs="Times New Roman"/>
          <w:sz w:val="24"/>
          <w:szCs w:val="24"/>
        </w:rPr>
        <w:t>, 18 gennaio 2021.</w:t>
      </w:r>
    </w:p>
  </w:footnote>
  <w:footnote w:id="296">
    <w:p w14:paraId="6482081C" w14:textId="3D67A68E" w:rsidR="000463A6" w:rsidRPr="0063116A" w:rsidRDefault="000463A6" w:rsidP="0063116A">
      <w:pPr>
        <w:spacing w:after="0" w:line="240" w:lineRule="auto"/>
        <w:jc w:val="both"/>
        <w:rPr>
          <w:rFonts w:ascii="Times New Roman" w:hAnsi="Times New Roman" w:cs="Times New Roman"/>
          <w:sz w:val="24"/>
          <w:szCs w:val="24"/>
        </w:rPr>
      </w:pPr>
      <w:r w:rsidRPr="0063116A">
        <w:rPr>
          <w:rFonts w:ascii="Times New Roman" w:hAnsi="Times New Roman" w:cs="Times New Roman"/>
          <w:sz w:val="24"/>
          <w:szCs w:val="24"/>
          <w:vertAlign w:val="superscript"/>
        </w:rPr>
        <w:footnoteRef/>
      </w:r>
      <w:r w:rsidRPr="0063116A">
        <w:rPr>
          <w:rFonts w:ascii="Times New Roman" w:hAnsi="Times New Roman" w:cs="Times New Roman"/>
          <w:sz w:val="24"/>
          <w:szCs w:val="24"/>
        </w:rPr>
        <w:t xml:space="preserve"> </w:t>
      </w:r>
      <w:r w:rsidRPr="0063116A">
        <w:rPr>
          <w:rFonts w:ascii="Times New Roman" w:eastAsia="Times New Roman" w:hAnsi="Times New Roman" w:cs="Times New Roman"/>
          <w:smallCaps/>
          <w:sz w:val="24"/>
          <w:szCs w:val="24"/>
        </w:rPr>
        <w:t>C. Morelli</w:t>
      </w:r>
      <w:r w:rsidRPr="00631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3116A">
        <w:rPr>
          <w:rFonts w:ascii="Times New Roman" w:eastAsia="Times New Roman" w:hAnsi="Times New Roman" w:cs="Times New Roman"/>
          <w:i/>
          <w:sz w:val="24"/>
          <w:szCs w:val="24"/>
        </w:rPr>
        <w:t>Dallo spazio economico europeo allo spazio comune dei data UE</w:t>
      </w:r>
      <w:r w:rsidRPr="00CA47B9">
        <w:rPr>
          <w:rFonts w:ascii="Times New Roman" w:eastAsia="Times New Roman" w:hAnsi="Times New Roman" w:cs="Times New Roman"/>
          <w:iCs/>
          <w:sz w:val="24"/>
          <w:szCs w:val="24"/>
        </w:rPr>
        <w:t>”,</w:t>
      </w:r>
      <w:r w:rsidRPr="0063116A">
        <w:rPr>
          <w:rFonts w:ascii="Times New Roman" w:eastAsia="Times New Roman" w:hAnsi="Times New Roman" w:cs="Times New Roman"/>
          <w:sz w:val="24"/>
          <w:szCs w:val="24"/>
        </w:rPr>
        <w:t xml:space="preserve"> in </w:t>
      </w:r>
      <w:r w:rsidRPr="0063116A">
        <w:rPr>
          <w:rFonts w:ascii="Times New Roman" w:eastAsia="Times New Roman" w:hAnsi="Times New Roman" w:cs="Times New Roman"/>
          <w:i/>
          <w:sz w:val="24"/>
          <w:szCs w:val="24"/>
        </w:rPr>
        <w:t>www.altalex.com</w:t>
      </w:r>
      <w:r w:rsidRPr="0063116A">
        <w:rPr>
          <w:rFonts w:ascii="Times New Roman" w:eastAsia="Times New Roman" w:hAnsi="Times New Roman" w:cs="Times New Roman"/>
          <w:sz w:val="24"/>
          <w:szCs w:val="24"/>
        </w:rPr>
        <w:t>, 22 marzo 2021.</w:t>
      </w:r>
    </w:p>
  </w:footnote>
  <w:footnote w:id="297">
    <w:p w14:paraId="6B7E1367" w14:textId="5EDBBEAE" w:rsidR="000463A6" w:rsidRPr="0063116A" w:rsidRDefault="000463A6" w:rsidP="0063116A">
      <w:pPr>
        <w:spacing w:after="0" w:line="240" w:lineRule="auto"/>
        <w:jc w:val="both"/>
        <w:rPr>
          <w:rFonts w:ascii="Times New Roman" w:eastAsia="Times New Roman" w:hAnsi="Times New Roman" w:cs="Times New Roman"/>
          <w:sz w:val="24"/>
          <w:szCs w:val="24"/>
        </w:rPr>
      </w:pPr>
      <w:r w:rsidRPr="0063116A">
        <w:rPr>
          <w:rFonts w:ascii="Times New Roman" w:hAnsi="Times New Roman" w:cs="Times New Roman"/>
          <w:sz w:val="24"/>
          <w:szCs w:val="24"/>
          <w:vertAlign w:val="superscript"/>
        </w:rPr>
        <w:footnoteRef/>
      </w:r>
      <w:r w:rsidRPr="0063116A">
        <w:rPr>
          <w:rFonts w:ascii="Times New Roman" w:eastAsia="Times New Roman" w:hAnsi="Times New Roman" w:cs="Times New Roman"/>
          <w:sz w:val="24"/>
          <w:szCs w:val="24"/>
        </w:rPr>
        <w:t xml:space="preserve"> </w:t>
      </w:r>
      <w:r w:rsidRPr="0063116A">
        <w:rPr>
          <w:rFonts w:ascii="Times New Roman" w:eastAsia="Times New Roman" w:hAnsi="Times New Roman" w:cs="Times New Roman"/>
          <w:smallCaps/>
          <w:color w:val="0F1111"/>
          <w:sz w:val="24"/>
          <w:szCs w:val="24"/>
          <w:highlight w:val="white"/>
        </w:rPr>
        <w:t xml:space="preserve">R. D. </w:t>
      </w:r>
      <w:proofErr w:type="spellStart"/>
      <w:r w:rsidRPr="0063116A">
        <w:rPr>
          <w:rFonts w:ascii="Times New Roman" w:eastAsia="Times New Roman" w:hAnsi="Times New Roman" w:cs="Times New Roman"/>
          <w:smallCaps/>
          <w:color w:val="0F1111"/>
          <w:sz w:val="24"/>
          <w:szCs w:val="24"/>
          <w:highlight w:val="white"/>
        </w:rPr>
        <w:t>Cardenas</w:t>
      </w:r>
      <w:proofErr w:type="spellEnd"/>
      <w:r w:rsidRPr="0063116A">
        <w:rPr>
          <w:rFonts w:ascii="Times New Roman" w:eastAsia="Times New Roman" w:hAnsi="Times New Roman" w:cs="Times New Roman"/>
          <w:smallCaps/>
          <w:color w:val="0F1111"/>
          <w:sz w:val="24"/>
          <w:szCs w:val="24"/>
          <w:highlight w:val="white"/>
        </w:rPr>
        <w:t xml:space="preserve"> </w:t>
      </w:r>
      <w:proofErr w:type="spellStart"/>
      <w:r w:rsidRPr="0063116A">
        <w:rPr>
          <w:rFonts w:ascii="Times New Roman" w:eastAsia="Times New Roman" w:hAnsi="Times New Roman" w:cs="Times New Roman"/>
          <w:smallCaps/>
          <w:color w:val="0F1111"/>
          <w:sz w:val="24"/>
          <w:szCs w:val="24"/>
          <w:highlight w:val="white"/>
        </w:rPr>
        <w:t>Espinosa</w:t>
      </w:r>
      <w:proofErr w:type="spellEnd"/>
      <w:r w:rsidRPr="0063116A">
        <w:rPr>
          <w:rFonts w:ascii="Times New Roman" w:eastAsia="Times New Roman" w:hAnsi="Times New Roman" w:cs="Times New Roman"/>
          <w:color w:val="0F1111"/>
          <w:sz w:val="24"/>
          <w:szCs w:val="24"/>
          <w:highlight w:val="white"/>
        </w:rPr>
        <w:t xml:space="preserve"> e altri, “</w:t>
      </w:r>
      <w:r w:rsidRPr="0063116A">
        <w:rPr>
          <w:rFonts w:ascii="Times New Roman" w:eastAsia="Times New Roman" w:hAnsi="Times New Roman" w:cs="Times New Roman"/>
          <w:i/>
          <w:color w:val="0F1111"/>
          <w:sz w:val="24"/>
          <w:szCs w:val="24"/>
          <w:highlight w:val="white"/>
        </w:rPr>
        <w:t>Ecosistemi tecnologici per la ricerca formativa nel contesto</w:t>
      </w:r>
      <w:r w:rsidRPr="0063116A">
        <w:rPr>
          <w:rFonts w:ascii="Times New Roman" w:eastAsia="Times New Roman" w:hAnsi="Times New Roman" w:cs="Times New Roman"/>
          <w:color w:val="0F1111"/>
          <w:sz w:val="24"/>
          <w:szCs w:val="24"/>
          <w:highlight w:val="white"/>
        </w:rPr>
        <w:t xml:space="preserve">”, Ed. Sapienza, 2020. </w:t>
      </w:r>
    </w:p>
  </w:footnote>
  <w:footnote w:id="298">
    <w:p w14:paraId="5EBB5293" w14:textId="5969964F" w:rsidR="000463A6" w:rsidRPr="002315B9" w:rsidRDefault="000463A6" w:rsidP="0063116A">
      <w:pPr>
        <w:spacing w:after="0" w:line="240" w:lineRule="auto"/>
        <w:jc w:val="both"/>
        <w:rPr>
          <w:rFonts w:ascii="Times New Roman" w:hAnsi="Times New Roman" w:cs="Times New Roman"/>
          <w:sz w:val="20"/>
          <w:szCs w:val="20"/>
        </w:rPr>
      </w:pPr>
      <w:r w:rsidRPr="0063116A">
        <w:rPr>
          <w:rFonts w:ascii="Times New Roman" w:hAnsi="Times New Roman" w:cs="Times New Roman"/>
          <w:sz w:val="24"/>
          <w:szCs w:val="24"/>
          <w:vertAlign w:val="superscript"/>
        </w:rPr>
        <w:footnoteRef/>
      </w:r>
      <w:r w:rsidRPr="0063116A">
        <w:rPr>
          <w:rFonts w:ascii="Times New Roman" w:hAnsi="Times New Roman" w:cs="Times New Roman"/>
          <w:sz w:val="24"/>
          <w:szCs w:val="24"/>
        </w:rPr>
        <w:t xml:space="preserve"> </w:t>
      </w:r>
      <w:r w:rsidRPr="0063116A">
        <w:rPr>
          <w:rFonts w:ascii="Times New Roman" w:eastAsia="Times New Roman" w:hAnsi="Times New Roman" w:cs="Times New Roman"/>
          <w:smallCaps/>
          <w:sz w:val="24"/>
          <w:szCs w:val="24"/>
        </w:rPr>
        <w:t>W. Nonnis</w:t>
      </w:r>
      <w:r w:rsidRPr="00631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Pr="0063116A">
        <w:rPr>
          <w:rFonts w:ascii="Times New Roman" w:eastAsia="Times New Roman" w:hAnsi="Times New Roman" w:cs="Times New Roman"/>
          <w:i/>
          <w:sz w:val="24"/>
          <w:szCs w:val="24"/>
        </w:rPr>
        <w:t>Blockchain</w:t>
      </w:r>
      <w:proofErr w:type="spellEnd"/>
      <w:r w:rsidRPr="0063116A">
        <w:rPr>
          <w:rFonts w:ascii="Times New Roman" w:eastAsia="Times New Roman" w:hAnsi="Times New Roman" w:cs="Times New Roman"/>
          <w:i/>
          <w:sz w:val="24"/>
          <w:szCs w:val="24"/>
        </w:rPr>
        <w:t>, il suo contributo durante la pandemia</w:t>
      </w:r>
      <w:r>
        <w:rPr>
          <w:rFonts w:ascii="Times New Roman" w:eastAsia="Times New Roman" w:hAnsi="Times New Roman" w:cs="Times New Roman"/>
          <w:i/>
          <w:sz w:val="24"/>
          <w:szCs w:val="24"/>
        </w:rPr>
        <w:t>”</w:t>
      </w:r>
      <w:r w:rsidRPr="00631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cit.</w:t>
      </w:r>
    </w:p>
  </w:footnote>
  <w:footnote w:id="299">
    <w:p w14:paraId="535BAA7E" w14:textId="3322935F" w:rsidR="000463A6" w:rsidRPr="0063116A" w:rsidRDefault="000463A6" w:rsidP="0063116A">
      <w:pPr>
        <w:spacing w:after="0" w:line="240" w:lineRule="auto"/>
        <w:jc w:val="both"/>
        <w:rPr>
          <w:rFonts w:ascii="Times New Roman" w:eastAsia="Times New Roman" w:hAnsi="Times New Roman" w:cs="Times New Roman"/>
          <w:sz w:val="24"/>
          <w:szCs w:val="24"/>
        </w:rPr>
      </w:pPr>
      <w:r w:rsidRPr="0063116A">
        <w:rPr>
          <w:rFonts w:ascii="Times New Roman" w:hAnsi="Times New Roman" w:cs="Times New Roman"/>
          <w:sz w:val="24"/>
          <w:szCs w:val="24"/>
          <w:vertAlign w:val="superscript"/>
        </w:rPr>
        <w:footnoteRef/>
      </w:r>
      <w:r w:rsidRPr="0063116A">
        <w:rPr>
          <w:rFonts w:ascii="Times New Roman" w:eastAsia="Times New Roman" w:hAnsi="Times New Roman" w:cs="Times New Roman"/>
          <w:sz w:val="24"/>
          <w:szCs w:val="24"/>
        </w:rPr>
        <w:t xml:space="preserve"> </w:t>
      </w:r>
      <w:r w:rsidRPr="0063116A">
        <w:rPr>
          <w:rFonts w:ascii="Times New Roman" w:eastAsia="Times New Roman" w:hAnsi="Times New Roman" w:cs="Times New Roman"/>
          <w:smallCaps/>
          <w:sz w:val="24"/>
          <w:szCs w:val="24"/>
        </w:rPr>
        <w:t>A. Bello</w:t>
      </w:r>
      <w:r w:rsidRPr="0063116A">
        <w:rPr>
          <w:rFonts w:ascii="Times New Roman" w:eastAsia="Times New Roman" w:hAnsi="Times New Roman" w:cs="Times New Roman"/>
          <w:sz w:val="24"/>
          <w:szCs w:val="24"/>
        </w:rPr>
        <w:t>, “</w:t>
      </w:r>
      <w:proofErr w:type="spellStart"/>
      <w:r w:rsidRPr="0063116A">
        <w:rPr>
          <w:rFonts w:ascii="Times New Roman" w:eastAsia="Times New Roman" w:hAnsi="Times New Roman" w:cs="Times New Roman"/>
          <w:i/>
          <w:sz w:val="24"/>
          <w:szCs w:val="24"/>
        </w:rPr>
        <w:t>Blockchain</w:t>
      </w:r>
      <w:proofErr w:type="spellEnd"/>
      <w:r w:rsidRPr="0063116A">
        <w:rPr>
          <w:rFonts w:ascii="Times New Roman" w:eastAsia="Times New Roman" w:hAnsi="Times New Roman" w:cs="Times New Roman"/>
          <w:i/>
          <w:sz w:val="24"/>
          <w:szCs w:val="24"/>
        </w:rPr>
        <w:t xml:space="preserve"> e privacy: soluzioni per la </w:t>
      </w:r>
      <w:proofErr w:type="spellStart"/>
      <w:r w:rsidRPr="0063116A">
        <w:rPr>
          <w:rFonts w:ascii="Times New Roman" w:eastAsia="Times New Roman" w:hAnsi="Times New Roman" w:cs="Times New Roman"/>
          <w:i/>
          <w:sz w:val="24"/>
          <w:szCs w:val="24"/>
        </w:rPr>
        <w:t>compliance</w:t>
      </w:r>
      <w:proofErr w:type="spellEnd"/>
      <w:r w:rsidRPr="0063116A">
        <w:rPr>
          <w:rFonts w:ascii="Times New Roman" w:eastAsia="Times New Roman" w:hAnsi="Times New Roman" w:cs="Times New Roman"/>
          <w:i/>
          <w:sz w:val="24"/>
          <w:szCs w:val="24"/>
        </w:rPr>
        <w:t xml:space="preserve"> alle norme</w:t>
      </w:r>
      <w:r w:rsidRPr="00631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cit.</w:t>
      </w:r>
      <w:r w:rsidRPr="0063116A">
        <w:rPr>
          <w:rFonts w:ascii="Times New Roman" w:eastAsia="Times New Roman" w:hAnsi="Times New Roman" w:cs="Times New Roman"/>
          <w:sz w:val="24"/>
          <w:szCs w:val="24"/>
        </w:rPr>
        <w:t xml:space="preserve">; </w:t>
      </w:r>
      <w:r w:rsidRPr="0063116A">
        <w:rPr>
          <w:rFonts w:ascii="Times New Roman" w:eastAsia="Times New Roman" w:hAnsi="Times New Roman" w:cs="Times New Roman"/>
          <w:smallCaps/>
          <w:sz w:val="24"/>
          <w:szCs w:val="24"/>
        </w:rPr>
        <w:t>M. Iaselli</w:t>
      </w:r>
      <w:r w:rsidRPr="0063116A">
        <w:rPr>
          <w:rFonts w:ascii="Times New Roman" w:eastAsia="Times New Roman" w:hAnsi="Times New Roman" w:cs="Times New Roman"/>
          <w:sz w:val="24"/>
          <w:szCs w:val="24"/>
        </w:rPr>
        <w:t>, “</w:t>
      </w:r>
      <w:proofErr w:type="spellStart"/>
      <w:r w:rsidRPr="0063116A">
        <w:rPr>
          <w:rFonts w:ascii="Times New Roman" w:eastAsia="Times New Roman" w:hAnsi="Times New Roman" w:cs="Times New Roman"/>
          <w:i/>
          <w:sz w:val="24"/>
          <w:szCs w:val="24"/>
        </w:rPr>
        <w:t>Blockchain</w:t>
      </w:r>
      <w:proofErr w:type="spellEnd"/>
      <w:r w:rsidRPr="0063116A">
        <w:rPr>
          <w:rFonts w:ascii="Times New Roman" w:eastAsia="Times New Roman" w:hAnsi="Times New Roman" w:cs="Times New Roman"/>
          <w:i/>
          <w:sz w:val="24"/>
          <w:szCs w:val="24"/>
        </w:rPr>
        <w:t xml:space="preserve"> e privacy, bisogna lavorare ancora molto</w:t>
      </w:r>
      <w:r w:rsidRPr="00631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cit.</w:t>
      </w:r>
    </w:p>
  </w:footnote>
  <w:footnote w:id="300">
    <w:p w14:paraId="7EA87C7C" w14:textId="5C956E69" w:rsidR="000463A6" w:rsidRPr="00F3087F" w:rsidRDefault="000463A6" w:rsidP="00F3087F">
      <w:pPr>
        <w:spacing w:after="0" w:line="240" w:lineRule="auto"/>
        <w:jc w:val="both"/>
        <w:rPr>
          <w:rFonts w:ascii="Times New Roman" w:eastAsia="Times New Roman" w:hAnsi="Times New Roman" w:cs="Times New Roman"/>
          <w:sz w:val="24"/>
          <w:szCs w:val="24"/>
        </w:rPr>
      </w:pPr>
      <w:r w:rsidRPr="00F3087F">
        <w:rPr>
          <w:rFonts w:ascii="Times New Roman" w:hAnsi="Times New Roman" w:cs="Times New Roman"/>
          <w:sz w:val="24"/>
          <w:szCs w:val="24"/>
          <w:vertAlign w:val="superscript"/>
        </w:rPr>
        <w:footnoteRef/>
      </w:r>
      <w:r w:rsidRPr="00F3087F">
        <w:rPr>
          <w:rFonts w:ascii="Times New Roman" w:eastAsia="Times New Roman" w:hAnsi="Times New Roman" w:cs="Times New Roman"/>
          <w:smallCaps/>
          <w:sz w:val="24"/>
          <w:szCs w:val="24"/>
        </w:rPr>
        <w:t>A. Bello</w:t>
      </w:r>
      <w:r w:rsidRPr="00F3087F">
        <w:rPr>
          <w:rFonts w:ascii="Times New Roman" w:eastAsia="Times New Roman" w:hAnsi="Times New Roman" w:cs="Times New Roman"/>
          <w:sz w:val="24"/>
          <w:szCs w:val="24"/>
        </w:rPr>
        <w:t>, “</w:t>
      </w:r>
      <w:proofErr w:type="spellStart"/>
      <w:r w:rsidRPr="00F3087F">
        <w:rPr>
          <w:rFonts w:ascii="Times New Roman" w:eastAsia="Times New Roman" w:hAnsi="Times New Roman" w:cs="Times New Roman"/>
          <w:i/>
          <w:sz w:val="24"/>
          <w:szCs w:val="24"/>
        </w:rPr>
        <w:t>Blockchain</w:t>
      </w:r>
      <w:proofErr w:type="spellEnd"/>
      <w:r w:rsidRPr="00F3087F">
        <w:rPr>
          <w:rFonts w:ascii="Times New Roman" w:eastAsia="Times New Roman" w:hAnsi="Times New Roman" w:cs="Times New Roman"/>
          <w:i/>
          <w:sz w:val="24"/>
          <w:szCs w:val="24"/>
        </w:rPr>
        <w:t xml:space="preserve"> e privacy: soluzioni per la </w:t>
      </w:r>
      <w:proofErr w:type="spellStart"/>
      <w:r w:rsidRPr="00F3087F">
        <w:rPr>
          <w:rFonts w:ascii="Times New Roman" w:eastAsia="Times New Roman" w:hAnsi="Times New Roman" w:cs="Times New Roman"/>
          <w:i/>
          <w:sz w:val="24"/>
          <w:szCs w:val="24"/>
        </w:rPr>
        <w:t>compliance</w:t>
      </w:r>
      <w:proofErr w:type="spellEnd"/>
      <w:r w:rsidRPr="00F3087F">
        <w:rPr>
          <w:rFonts w:ascii="Times New Roman" w:eastAsia="Times New Roman" w:hAnsi="Times New Roman" w:cs="Times New Roman"/>
          <w:i/>
          <w:sz w:val="24"/>
          <w:szCs w:val="24"/>
        </w:rPr>
        <w:t xml:space="preserve"> alle norme</w:t>
      </w:r>
      <w:r w:rsidRPr="00F3087F">
        <w:rPr>
          <w:rFonts w:ascii="Times New Roman" w:eastAsia="Times New Roman" w:hAnsi="Times New Roman" w:cs="Times New Roman"/>
          <w:iCs/>
          <w:sz w:val="24"/>
          <w:szCs w:val="24"/>
        </w:rPr>
        <w:t>”,</w:t>
      </w:r>
      <w:r w:rsidRPr="00F308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cit.</w:t>
      </w:r>
    </w:p>
  </w:footnote>
  <w:footnote w:id="301">
    <w:p w14:paraId="20BCA3A6" w14:textId="4CC61DB8" w:rsidR="000463A6" w:rsidRPr="00F3087F" w:rsidRDefault="000463A6" w:rsidP="00F3087F">
      <w:pPr>
        <w:spacing w:after="0" w:line="240" w:lineRule="auto"/>
        <w:jc w:val="both"/>
        <w:rPr>
          <w:rFonts w:ascii="Times New Roman" w:hAnsi="Times New Roman" w:cs="Times New Roman"/>
          <w:sz w:val="24"/>
          <w:szCs w:val="24"/>
        </w:rPr>
      </w:pPr>
      <w:r w:rsidRPr="00F3087F">
        <w:rPr>
          <w:rFonts w:ascii="Times New Roman" w:hAnsi="Times New Roman" w:cs="Times New Roman"/>
          <w:sz w:val="24"/>
          <w:szCs w:val="24"/>
          <w:vertAlign w:val="superscript"/>
        </w:rPr>
        <w:footnoteRef/>
      </w:r>
      <w:r w:rsidRPr="00F3087F">
        <w:rPr>
          <w:rFonts w:ascii="Times New Roman" w:eastAsia="Times New Roman" w:hAnsi="Times New Roman" w:cs="Times New Roman"/>
          <w:sz w:val="24"/>
          <w:szCs w:val="24"/>
        </w:rPr>
        <w:t xml:space="preserve"> </w:t>
      </w:r>
      <w:r w:rsidRPr="00F3087F">
        <w:rPr>
          <w:rFonts w:ascii="Times New Roman" w:eastAsia="Times New Roman" w:hAnsi="Times New Roman" w:cs="Times New Roman"/>
          <w:smallCaps/>
          <w:sz w:val="24"/>
          <w:szCs w:val="24"/>
        </w:rPr>
        <w:t>N. Boldrini</w:t>
      </w:r>
      <w:r w:rsidRPr="00F3087F">
        <w:rPr>
          <w:rFonts w:ascii="Times New Roman" w:eastAsia="Times New Roman" w:hAnsi="Times New Roman" w:cs="Times New Roman"/>
          <w:sz w:val="24"/>
          <w:szCs w:val="24"/>
        </w:rPr>
        <w:t>, “</w:t>
      </w:r>
      <w:proofErr w:type="spellStart"/>
      <w:r w:rsidRPr="00F3087F">
        <w:rPr>
          <w:rFonts w:ascii="Times New Roman" w:eastAsia="Times New Roman" w:hAnsi="Times New Roman" w:cs="Times New Roman"/>
          <w:i/>
          <w:sz w:val="24"/>
          <w:szCs w:val="24"/>
        </w:rPr>
        <w:t>Blockchain</w:t>
      </w:r>
      <w:proofErr w:type="spellEnd"/>
      <w:r w:rsidRPr="00F3087F">
        <w:rPr>
          <w:rFonts w:ascii="Times New Roman" w:eastAsia="Times New Roman" w:hAnsi="Times New Roman" w:cs="Times New Roman"/>
          <w:i/>
          <w:sz w:val="24"/>
          <w:szCs w:val="24"/>
        </w:rPr>
        <w:t xml:space="preserve"> e GDPR: le sfide (e le opportunità) per la protezione dei dati</w:t>
      </w:r>
      <w:r w:rsidRPr="00F308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cit.</w:t>
      </w:r>
    </w:p>
  </w:footnote>
  <w:footnote w:id="302">
    <w:p w14:paraId="7FDEE1DB" w14:textId="26D5D668" w:rsidR="000463A6" w:rsidRPr="00F3087F" w:rsidRDefault="000463A6" w:rsidP="00F3087F">
      <w:pPr>
        <w:spacing w:after="0" w:line="240" w:lineRule="auto"/>
        <w:jc w:val="both"/>
        <w:rPr>
          <w:rFonts w:ascii="Times New Roman" w:eastAsia="Times New Roman" w:hAnsi="Times New Roman" w:cs="Times New Roman"/>
          <w:sz w:val="24"/>
          <w:szCs w:val="24"/>
        </w:rPr>
      </w:pPr>
      <w:r w:rsidRPr="00F3087F">
        <w:rPr>
          <w:rFonts w:ascii="Times New Roman" w:hAnsi="Times New Roman" w:cs="Times New Roman"/>
          <w:sz w:val="24"/>
          <w:szCs w:val="24"/>
          <w:vertAlign w:val="superscript"/>
        </w:rPr>
        <w:footnoteRef/>
      </w:r>
      <w:r w:rsidRPr="00F3087F">
        <w:rPr>
          <w:rFonts w:ascii="Times New Roman" w:eastAsia="Times New Roman" w:hAnsi="Times New Roman" w:cs="Times New Roman"/>
          <w:sz w:val="24"/>
          <w:szCs w:val="24"/>
        </w:rPr>
        <w:t xml:space="preserve"> </w:t>
      </w:r>
      <w:r w:rsidRPr="00F3087F">
        <w:rPr>
          <w:rFonts w:ascii="Times New Roman" w:eastAsia="Times New Roman" w:hAnsi="Times New Roman" w:cs="Times New Roman"/>
          <w:smallCaps/>
          <w:sz w:val="24"/>
          <w:szCs w:val="24"/>
        </w:rPr>
        <w:t>V. Portale</w:t>
      </w:r>
      <w:r w:rsidRPr="00F3087F">
        <w:rPr>
          <w:rFonts w:ascii="Times New Roman" w:eastAsia="Times New Roman" w:hAnsi="Times New Roman" w:cs="Times New Roman"/>
          <w:sz w:val="24"/>
          <w:szCs w:val="24"/>
        </w:rPr>
        <w:t>, “</w:t>
      </w:r>
      <w:r w:rsidRPr="00F3087F">
        <w:rPr>
          <w:rFonts w:ascii="Times New Roman" w:eastAsia="Times New Roman" w:hAnsi="Times New Roman" w:cs="Times New Roman"/>
          <w:i/>
          <w:sz w:val="24"/>
          <w:szCs w:val="24"/>
        </w:rPr>
        <w:t xml:space="preserve">Quanto è legale la </w:t>
      </w:r>
      <w:proofErr w:type="spellStart"/>
      <w:r w:rsidRPr="00F3087F">
        <w:rPr>
          <w:rFonts w:ascii="Times New Roman" w:eastAsia="Times New Roman" w:hAnsi="Times New Roman" w:cs="Times New Roman"/>
          <w:i/>
          <w:sz w:val="24"/>
          <w:szCs w:val="24"/>
        </w:rPr>
        <w:t>Blockchain</w:t>
      </w:r>
      <w:proofErr w:type="spellEnd"/>
      <w:r w:rsidRPr="00F3087F">
        <w:rPr>
          <w:rFonts w:ascii="Times New Roman" w:eastAsia="Times New Roman" w:hAnsi="Times New Roman" w:cs="Times New Roman"/>
          <w:i/>
          <w:sz w:val="24"/>
          <w:szCs w:val="24"/>
        </w:rPr>
        <w:t xml:space="preserve">? La compatibilità tra </w:t>
      </w:r>
      <w:proofErr w:type="spellStart"/>
      <w:r w:rsidRPr="00F3087F">
        <w:rPr>
          <w:rFonts w:ascii="Times New Roman" w:eastAsia="Times New Roman" w:hAnsi="Times New Roman" w:cs="Times New Roman"/>
          <w:i/>
          <w:sz w:val="24"/>
          <w:szCs w:val="24"/>
        </w:rPr>
        <w:t>Blockchain</w:t>
      </w:r>
      <w:proofErr w:type="spellEnd"/>
      <w:r w:rsidRPr="00F3087F">
        <w:rPr>
          <w:rFonts w:ascii="Times New Roman" w:eastAsia="Times New Roman" w:hAnsi="Times New Roman" w:cs="Times New Roman"/>
          <w:i/>
          <w:sz w:val="24"/>
          <w:szCs w:val="24"/>
        </w:rPr>
        <w:t xml:space="preserve"> e normativa GDPR”</w:t>
      </w:r>
      <w:r w:rsidRPr="00F308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cit.</w:t>
      </w:r>
    </w:p>
  </w:footnote>
  <w:footnote w:id="303">
    <w:p w14:paraId="248B847F" w14:textId="77777777" w:rsidR="000463A6" w:rsidRPr="0063116A" w:rsidRDefault="000463A6" w:rsidP="00F3087F">
      <w:pPr>
        <w:spacing w:after="0" w:line="240" w:lineRule="auto"/>
        <w:jc w:val="both"/>
        <w:rPr>
          <w:rFonts w:ascii="Times New Roman" w:eastAsia="Times New Roman" w:hAnsi="Times New Roman" w:cs="Times New Roman"/>
          <w:sz w:val="24"/>
          <w:szCs w:val="24"/>
        </w:rPr>
      </w:pPr>
      <w:r w:rsidRPr="00F3087F">
        <w:rPr>
          <w:rFonts w:ascii="Times New Roman" w:hAnsi="Times New Roman" w:cs="Times New Roman"/>
          <w:sz w:val="24"/>
          <w:szCs w:val="24"/>
          <w:vertAlign w:val="superscript"/>
        </w:rPr>
        <w:footnoteRef/>
      </w:r>
      <w:r w:rsidRPr="00F3087F">
        <w:rPr>
          <w:rFonts w:ascii="Times New Roman" w:eastAsia="Times New Roman" w:hAnsi="Times New Roman" w:cs="Times New Roman"/>
          <w:sz w:val="24"/>
          <w:szCs w:val="24"/>
        </w:rPr>
        <w:t xml:space="preserve"> Supporto di memorizzazione dei dati.</w:t>
      </w:r>
    </w:p>
  </w:footnote>
  <w:footnote w:id="304">
    <w:p w14:paraId="1766D262" w14:textId="77777777" w:rsidR="000463A6" w:rsidRPr="002315B9" w:rsidRDefault="000463A6" w:rsidP="0063116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3116A">
        <w:rPr>
          <w:rFonts w:ascii="Times New Roman" w:hAnsi="Times New Roman" w:cs="Times New Roman"/>
          <w:sz w:val="24"/>
          <w:szCs w:val="24"/>
          <w:vertAlign w:val="superscript"/>
        </w:rPr>
        <w:footnoteRef/>
      </w:r>
      <w:r w:rsidRPr="0063116A">
        <w:rPr>
          <w:rFonts w:ascii="Times New Roman" w:eastAsia="Times New Roman" w:hAnsi="Times New Roman" w:cs="Times New Roman"/>
          <w:color w:val="000000"/>
          <w:sz w:val="24"/>
          <w:szCs w:val="24"/>
        </w:rPr>
        <w:t xml:space="preserve"> Al più ai </w:t>
      </w:r>
      <w:proofErr w:type="spellStart"/>
      <w:r w:rsidRPr="0063116A">
        <w:rPr>
          <w:rFonts w:ascii="Times New Roman" w:eastAsia="Times New Roman" w:hAnsi="Times New Roman" w:cs="Times New Roman"/>
          <w:i/>
          <w:color w:val="000000"/>
          <w:sz w:val="24"/>
          <w:szCs w:val="24"/>
        </w:rPr>
        <w:t>miners</w:t>
      </w:r>
      <w:proofErr w:type="spellEnd"/>
      <w:r w:rsidRPr="0063116A">
        <w:rPr>
          <w:rFonts w:ascii="Times New Roman" w:eastAsia="Times New Roman" w:hAnsi="Times New Roman" w:cs="Times New Roman"/>
          <w:color w:val="000000"/>
          <w:sz w:val="24"/>
          <w:szCs w:val="24"/>
        </w:rPr>
        <w:t xml:space="preserve">, che comunque non possono essere considerati dei </w:t>
      </w:r>
      <w:r w:rsidRPr="00C5089A">
        <w:rPr>
          <w:rFonts w:ascii="Times New Roman" w:eastAsia="Times New Roman" w:hAnsi="Times New Roman" w:cs="Times New Roman"/>
          <w:i/>
          <w:iCs/>
          <w:color w:val="000000"/>
          <w:sz w:val="24"/>
          <w:szCs w:val="24"/>
        </w:rPr>
        <w:t xml:space="preserve">Data </w:t>
      </w:r>
      <w:proofErr w:type="spellStart"/>
      <w:r w:rsidRPr="00C5089A">
        <w:rPr>
          <w:rFonts w:ascii="Times New Roman" w:eastAsia="Times New Roman" w:hAnsi="Times New Roman" w:cs="Times New Roman"/>
          <w:i/>
          <w:iCs/>
          <w:color w:val="000000"/>
          <w:sz w:val="24"/>
          <w:szCs w:val="24"/>
        </w:rPr>
        <w:t>Protection</w:t>
      </w:r>
      <w:proofErr w:type="spellEnd"/>
      <w:r w:rsidRPr="00C5089A">
        <w:rPr>
          <w:rFonts w:ascii="Times New Roman" w:eastAsia="Times New Roman" w:hAnsi="Times New Roman" w:cs="Times New Roman"/>
          <w:i/>
          <w:iCs/>
          <w:color w:val="000000"/>
          <w:sz w:val="24"/>
          <w:szCs w:val="24"/>
        </w:rPr>
        <w:t xml:space="preserve"> </w:t>
      </w:r>
      <w:proofErr w:type="spellStart"/>
      <w:r w:rsidRPr="00C5089A">
        <w:rPr>
          <w:rFonts w:ascii="Times New Roman" w:eastAsia="Times New Roman" w:hAnsi="Times New Roman" w:cs="Times New Roman"/>
          <w:i/>
          <w:iCs/>
          <w:color w:val="000000"/>
          <w:sz w:val="24"/>
          <w:szCs w:val="24"/>
        </w:rPr>
        <w:t>Officer</w:t>
      </w:r>
      <w:proofErr w:type="spellEnd"/>
      <w:r w:rsidRPr="0063116A">
        <w:rPr>
          <w:rFonts w:ascii="Times New Roman" w:eastAsia="Times New Roman" w:hAnsi="Times New Roman" w:cs="Times New Roman"/>
          <w:color w:val="000000"/>
          <w:sz w:val="24"/>
          <w:szCs w:val="24"/>
        </w:rPr>
        <w:t xml:space="preserve"> come richiesto da GDPR.</w:t>
      </w:r>
    </w:p>
  </w:footnote>
  <w:footnote w:id="305">
    <w:p w14:paraId="5EA1AFB3" w14:textId="0B9D0C30" w:rsidR="000463A6" w:rsidRPr="0063116A" w:rsidRDefault="000463A6" w:rsidP="0063116A">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63116A">
        <w:rPr>
          <w:rFonts w:ascii="Times New Roman" w:hAnsi="Times New Roman" w:cs="Times New Roman"/>
          <w:sz w:val="24"/>
          <w:szCs w:val="24"/>
          <w:vertAlign w:val="superscript"/>
        </w:rPr>
        <w:footnoteRef/>
      </w:r>
      <w:r w:rsidRPr="0063116A">
        <w:rPr>
          <w:rFonts w:ascii="Times New Roman" w:eastAsia="Times New Roman" w:hAnsi="Times New Roman" w:cs="Times New Roman"/>
          <w:color w:val="000000"/>
          <w:sz w:val="24"/>
          <w:szCs w:val="24"/>
        </w:rPr>
        <w:t xml:space="preserve"> Vedi </w:t>
      </w:r>
      <w:r w:rsidRPr="0063116A">
        <w:rPr>
          <w:rFonts w:ascii="Times New Roman" w:eastAsia="Times New Roman" w:hAnsi="Times New Roman" w:cs="Times New Roman"/>
          <w:i/>
          <w:iCs/>
          <w:color w:val="000000"/>
          <w:sz w:val="24"/>
          <w:szCs w:val="24"/>
        </w:rPr>
        <w:t>parere Consiglio di Stato del 26 novembre 2020, n. 1940</w:t>
      </w:r>
      <w:r w:rsidRPr="0063116A">
        <w:rPr>
          <w:rFonts w:ascii="Times New Roman" w:eastAsia="Times New Roman" w:hAnsi="Times New Roman" w:cs="Times New Roman"/>
          <w:color w:val="000000"/>
          <w:sz w:val="24"/>
          <w:szCs w:val="24"/>
        </w:rPr>
        <w:t xml:space="preserve"> sullo Schema di regolamento recante le modalità di digitalizzazione delle procedure dei contratti pubblici (c</w:t>
      </w:r>
      <w:r>
        <w:rPr>
          <w:rFonts w:ascii="Times New Roman" w:eastAsia="Times New Roman" w:hAnsi="Times New Roman" w:cs="Times New Roman"/>
          <w:color w:val="000000"/>
          <w:sz w:val="24"/>
          <w:szCs w:val="24"/>
        </w:rPr>
        <w:t>.</w:t>
      </w:r>
      <w:r w:rsidRPr="0063116A">
        <w:rPr>
          <w:rFonts w:ascii="Times New Roman" w:eastAsia="Times New Roman" w:hAnsi="Times New Roman" w:cs="Times New Roman"/>
          <w:color w:val="000000"/>
          <w:sz w:val="24"/>
          <w:szCs w:val="24"/>
        </w:rPr>
        <w:t xml:space="preserve">d. </w:t>
      </w:r>
      <w:r w:rsidRPr="0063116A">
        <w:rPr>
          <w:rFonts w:ascii="Times New Roman" w:eastAsia="Times New Roman" w:hAnsi="Times New Roman" w:cs="Times New Roman"/>
          <w:i/>
          <w:color w:val="000000"/>
          <w:sz w:val="24"/>
          <w:szCs w:val="24"/>
        </w:rPr>
        <w:t>e-</w:t>
      </w:r>
      <w:proofErr w:type="spellStart"/>
      <w:r w:rsidRPr="0063116A">
        <w:rPr>
          <w:rFonts w:ascii="Times New Roman" w:eastAsia="Times New Roman" w:hAnsi="Times New Roman" w:cs="Times New Roman"/>
          <w:i/>
          <w:color w:val="000000"/>
          <w:sz w:val="24"/>
          <w:szCs w:val="24"/>
        </w:rPr>
        <w:t>procurement</w:t>
      </w:r>
      <w:proofErr w:type="spellEnd"/>
      <w:r w:rsidRPr="0063116A">
        <w:rPr>
          <w:rFonts w:ascii="Times New Roman" w:eastAsia="Times New Roman" w:hAnsi="Times New Roman" w:cs="Times New Roman"/>
          <w:i/>
          <w:color w:val="000000"/>
          <w:sz w:val="24"/>
          <w:szCs w:val="24"/>
        </w:rPr>
        <w:t>).</w:t>
      </w:r>
    </w:p>
  </w:footnote>
  <w:footnote w:id="306">
    <w:p w14:paraId="7BDE4568" w14:textId="523A420A" w:rsidR="000463A6" w:rsidRPr="0063116A" w:rsidRDefault="000463A6" w:rsidP="0063116A">
      <w:pPr>
        <w:spacing w:after="0" w:line="240" w:lineRule="auto"/>
        <w:jc w:val="both"/>
        <w:rPr>
          <w:rFonts w:ascii="Times New Roman" w:eastAsia="Times New Roman" w:hAnsi="Times New Roman" w:cs="Times New Roman"/>
          <w:sz w:val="24"/>
          <w:szCs w:val="24"/>
        </w:rPr>
      </w:pPr>
      <w:r w:rsidRPr="0063116A">
        <w:rPr>
          <w:rFonts w:ascii="Times New Roman" w:hAnsi="Times New Roman" w:cs="Times New Roman"/>
          <w:sz w:val="24"/>
          <w:szCs w:val="24"/>
          <w:vertAlign w:val="superscript"/>
        </w:rPr>
        <w:footnoteRef/>
      </w:r>
      <w:r w:rsidRPr="0063116A">
        <w:rPr>
          <w:rFonts w:ascii="Times New Roman" w:eastAsia="Times New Roman" w:hAnsi="Times New Roman" w:cs="Times New Roman"/>
          <w:smallCaps/>
          <w:sz w:val="24"/>
          <w:szCs w:val="24"/>
        </w:rPr>
        <w:t xml:space="preserve">A. Gambino, C. </w:t>
      </w:r>
      <w:proofErr w:type="spellStart"/>
      <w:r w:rsidRPr="0063116A">
        <w:rPr>
          <w:rFonts w:ascii="Times New Roman" w:eastAsia="Times New Roman" w:hAnsi="Times New Roman" w:cs="Times New Roman"/>
          <w:smallCaps/>
          <w:sz w:val="24"/>
          <w:szCs w:val="24"/>
        </w:rPr>
        <w:t>Bomprezzi</w:t>
      </w:r>
      <w:proofErr w:type="spellEnd"/>
      <w:r w:rsidRPr="00631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Pr="0063116A">
        <w:rPr>
          <w:rFonts w:ascii="Times New Roman" w:eastAsia="Times New Roman" w:hAnsi="Times New Roman" w:cs="Times New Roman"/>
          <w:i/>
          <w:sz w:val="24"/>
          <w:szCs w:val="24"/>
        </w:rPr>
        <w:t>Blockchain</w:t>
      </w:r>
      <w:proofErr w:type="spellEnd"/>
      <w:r w:rsidRPr="0063116A">
        <w:rPr>
          <w:rFonts w:ascii="Times New Roman" w:eastAsia="Times New Roman" w:hAnsi="Times New Roman" w:cs="Times New Roman"/>
          <w:i/>
          <w:sz w:val="24"/>
          <w:szCs w:val="24"/>
        </w:rPr>
        <w:t xml:space="preserve"> e titolare del trattamento dei dati personali: il nodo rimane irrisolto</w:t>
      </w:r>
      <w:r w:rsidRPr="003E3272">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cit.</w:t>
      </w:r>
    </w:p>
  </w:footnote>
  <w:footnote w:id="307">
    <w:p w14:paraId="1919AFC1" w14:textId="77777777" w:rsidR="000463A6" w:rsidRPr="0063116A" w:rsidRDefault="000463A6" w:rsidP="0063116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3116A">
        <w:rPr>
          <w:rFonts w:ascii="Times New Roman" w:hAnsi="Times New Roman" w:cs="Times New Roman"/>
          <w:sz w:val="24"/>
          <w:szCs w:val="24"/>
          <w:vertAlign w:val="superscript"/>
        </w:rPr>
        <w:footnoteRef/>
      </w:r>
      <w:r w:rsidRPr="0063116A">
        <w:rPr>
          <w:rFonts w:ascii="Times New Roman" w:eastAsia="Times New Roman" w:hAnsi="Times New Roman" w:cs="Times New Roman"/>
          <w:color w:val="000000"/>
          <w:sz w:val="24"/>
          <w:szCs w:val="24"/>
        </w:rPr>
        <w:t xml:space="preserve"> A garanzia e tutela dell’intero registro distribuito.</w:t>
      </w:r>
    </w:p>
  </w:footnote>
  <w:footnote w:id="308">
    <w:p w14:paraId="09783417" w14:textId="01D3B250" w:rsidR="000463A6" w:rsidRPr="002315B9" w:rsidRDefault="000463A6" w:rsidP="0063116A">
      <w:pPr>
        <w:spacing w:after="0" w:line="240" w:lineRule="auto"/>
        <w:jc w:val="both"/>
        <w:rPr>
          <w:rFonts w:ascii="Times New Roman" w:hAnsi="Times New Roman" w:cs="Times New Roman"/>
          <w:sz w:val="20"/>
          <w:szCs w:val="20"/>
        </w:rPr>
      </w:pPr>
      <w:r w:rsidRPr="0063116A">
        <w:rPr>
          <w:rFonts w:ascii="Times New Roman" w:hAnsi="Times New Roman" w:cs="Times New Roman"/>
          <w:sz w:val="24"/>
          <w:szCs w:val="24"/>
          <w:vertAlign w:val="superscript"/>
        </w:rPr>
        <w:footnoteRef/>
      </w:r>
      <w:r w:rsidRPr="0063116A">
        <w:rPr>
          <w:rFonts w:ascii="Times New Roman" w:hAnsi="Times New Roman" w:cs="Times New Roman"/>
          <w:sz w:val="24"/>
          <w:szCs w:val="24"/>
        </w:rPr>
        <w:t xml:space="preserve"> </w:t>
      </w:r>
      <w:r w:rsidRPr="0063116A">
        <w:rPr>
          <w:rFonts w:ascii="Times New Roman" w:eastAsia="Times New Roman" w:hAnsi="Times New Roman" w:cs="Times New Roman"/>
          <w:smallCaps/>
          <w:sz w:val="24"/>
          <w:szCs w:val="24"/>
        </w:rPr>
        <w:t xml:space="preserve">D. Marciano, G. </w:t>
      </w:r>
      <w:proofErr w:type="spellStart"/>
      <w:r w:rsidRPr="0063116A">
        <w:rPr>
          <w:rFonts w:ascii="Times New Roman" w:eastAsia="Times New Roman" w:hAnsi="Times New Roman" w:cs="Times New Roman"/>
          <w:smallCaps/>
          <w:sz w:val="24"/>
          <w:szCs w:val="24"/>
        </w:rPr>
        <w:t>Capaccioli</w:t>
      </w:r>
      <w:proofErr w:type="spellEnd"/>
      <w:r w:rsidRPr="00631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3116A">
        <w:rPr>
          <w:rFonts w:ascii="Times New Roman" w:eastAsia="Times New Roman" w:hAnsi="Times New Roman" w:cs="Times New Roman"/>
          <w:i/>
          <w:sz w:val="24"/>
          <w:szCs w:val="24"/>
        </w:rPr>
        <w:t xml:space="preserve">La </w:t>
      </w:r>
      <w:proofErr w:type="spellStart"/>
      <w:r w:rsidRPr="0063116A">
        <w:rPr>
          <w:rFonts w:ascii="Times New Roman" w:eastAsia="Times New Roman" w:hAnsi="Times New Roman" w:cs="Times New Roman"/>
          <w:i/>
          <w:sz w:val="24"/>
          <w:szCs w:val="24"/>
        </w:rPr>
        <w:t>blockchain</w:t>
      </w:r>
      <w:proofErr w:type="spellEnd"/>
      <w:r w:rsidRPr="0063116A">
        <w:rPr>
          <w:rFonts w:ascii="Times New Roman" w:eastAsia="Times New Roman" w:hAnsi="Times New Roman" w:cs="Times New Roman"/>
          <w:i/>
          <w:sz w:val="24"/>
          <w:szCs w:val="24"/>
        </w:rPr>
        <w:t xml:space="preserve"> ed il problema del trattamento dei dati personali</w:t>
      </w:r>
      <w:r w:rsidRPr="003E3272">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cit.</w:t>
      </w:r>
    </w:p>
  </w:footnote>
  <w:footnote w:id="309">
    <w:p w14:paraId="637319F0" w14:textId="77777777" w:rsidR="000463A6" w:rsidRPr="0063116A" w:rsidRDefault="000463A6" w:rsidP="0063116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3116A">
        <w:rPr>
          <w:rFonts w:ascii="Times New Roman" w:hAnsi="Times New Roman" w:cs="Times New Roman"/>
          <w:sz w:val="24"/>
          <w:szCs w:val="24"/>
          <w:vertAlign w:val="superscript"/>
        </w:rPr>
        <w:footnoteRef/>
      </w:r>
      <w:r w:rsidRPr="0063116A">
        <w:rPr>
          <w:rFonts w:ascii="Times New Roman" w:eastAsia="Times New Roman" w:hAnsi="Times New Roman" w:cs="Times New Roman"/>
          <w:color w:val="000000"/>
          <w:sz w:val="24"/>
          <w:szCs w:val="24"/>
        </w:rPr>
        <w:t xml:space="preserve"> In una </w:t>
      </w:r>
      <w:proofErr w:type="spellStart"/>
      <w:r w:rsidRPr="0063116A">
        <w:rPr>
          <w:rFonts w:ascii="Times New Roman" w:eastAsia="Times New Roman" w:hAnsi="Times New Roman" w:cs="Times New Roman"/>
          <w:i/>
          <w:iCs/>
          <w:color w:val="000000"/>
          <w:sz w:val="24"/>
          <w:szCs w:val="24"/>
        </w:rPr>
        <w:t>Blockchain</w:t>
      </w:r>
      <w:proofErr w:type="spellEnd"/>
      <w:r w:rsidRPr="0063116A">
        <w:rPr>
          <w:rFonts w:ascii="Times New Roman" w:eastAsia="Times New Roman" w:hAnsi="Times New Roman" w:cs="Times New Roman"/>
          <w:color w:val="000000"/>
          <w:sz w:val="24"/>
          <w:szCs w:val="24"/>
        </w:rPr>
        <w:t xml:space="preserve"> diremmo quindi l’identità.</w:t>
      </w:r>
    </w:p>
  </w:footnote>
  <w:footnote w:id="310">
    <w:p w14:paraId="51B7063F" w14:textId="77777777" w:rsidR="000463A6" w:rsidRPr="0063116A" w:rsidRDefault="000463A6" w:rsidP="0063116A">
      <w:pPr>
        <w:pBdr>
          <w:top w:val="nil"/>
          <w:left w:val="nil"/>
          <w:bottom w:val="nil"/>
          <w:right w:val="nil"/>
          <w:between w:val="nil"/>
        </w:pBdr>
        <w:spacing w:after="0" w:line="240" w:lineRule="auto"/>
        <w:jc w:val="both"/>
        <w:rPr>
          <w:rFonts w:ascii="Times New Roman" w:eastAsia="Times New Roman" w:hAnsi="Times New Roman" w:cs="Times New Roman"/>
          <w:i/>
          <w:iCs/>
          <w:color w:val="000000"/>
          <w:sz w:val="24"/>
          <w:szCs w:val="24"/>
        </w:rPr>
      </w:pPr>
      <w:r w:rsidRPr="0063116A">
        <w:rPr>
          <w:rFonts w:ascii="Times New Roman" w:hAnsi="Times New Roman" w:cs="Times New Roman"/>
          <w:sz w:val="24"/>
          <w:szCs w:val="24"/>
          <w:vertAlign w:val="superscript"/>
        </w:rPr>
        <w:footnoteRef/>
      </w:r>
      <w:r w:rsidRPr="0063116A">
        <w:rPr>
          <w:rFonts w:ascii="Times New Roman" w:eastAsia="Times New Roman" w:hAnsi="Times New Roman" w:cs="Times New Roman"/>
          <w:color w:val="000000"/>
          <w:sz w:val="24"/>
          <w:szCs w:val="24"/>
        </w:rPr>
        <w:t xml:space="preserve"> Come, ad esempio, la crittografia o i codici </w:t>
      </w:r>
      <w:proofErr w:type="spellStart"/>
      <w:r w:rsidRPr="0063116A">
        <w:rPr>
          <w:rFonts w:ascii="Times New Roman" w:eastAsia="Times New Roman" w:hAnsi="Times New Roman" w:cs="Times New Roman"/>
          <w:color w:val="000000"/>
          <w:sz w:val="24"/>
          <w:szCs w:val="24"/>
        </w:rPr>
        <w:t>Qr</w:t>
      </w:r>
      <w:proofErr w:type="spellEnd"/>
      <w:r w:rsidRPr="0063116A">
        <w:rPr>
          <w:rFonts w:ascii="Times New Roman" w:eastAsia="Times New Roman" w:hAnsi="Times New Roman" w:cs="Times New Roman"/>
          <w:color w:val="000000"/>
          <w:sz w:val="24"/>
          <w:szCs w:val="24"/>
        </w:rPr>
        <w:t xml:space="preserve">, protocolli informatici che prevedano </w:t>
      </w:r>
      <w:proofErr w:type="spellStart"/>
      <w:r w:rsidRPr="0063116A">
        <w:rPr>
          <w:rFonts w:ascii="Times New Roman" w:eastAsia="Times New Roman" w:hAnsi="Times New Roman" w:cs="Times New Roman"/>
          <w:i/>
          <w:iCs/>
          <w:color w:val="000000"/>
          <w:sz w:val="24"/>
          <w:szCs w:val="24"/>
        </w:rPr>
        <w:t>htpp</w:t>
      </w:r>
      <w:proofErr w:type="spellEnd"/>
      <w:r w:rsidRPr="0063116A">
        <w:rPr>
          <w:rFonts w:ascii="Times New Roman" w:eastAsia="Times New Roman" w:hAnsi="Times New Roman" w:cs="Times New Roman"/>
          <w:i/>
          <w:iCs/>
          <w:color w:val="000000"/>
          <w:sz w:val="24"/>
          <w:szCs w:val="24"/>
        </w:rPr>
        <w:t xml:space="preserve"> cache control.</w:t>
      </w:r>
    </w:p>
  </w:footnote>
  <w:footnote w:id="311">
    <w:p w14:paraId="7577749A" w14:textId="77777777" w:rsidR="000463A6" w:rsidRPr="00C5089A" w:rsidRDefault="000463A6" w:rsidP="0063116A">
      <w:pPr>
        <w:spacing w:after="0" w:line="240" w:lineRule="auto"/>
        <w:jc w:val="both"/>
        <w:rPr>
          <w:rFonts w:ascii="Times New Roman" w:eastAsia="Times New Roman" w:hAnsi="Times New Roman" w:cs="Times New Roman"/>
          <w:sz w:val="24"/>
          <w:szCs w:val="24"/>
          <w:lang w:val="en-GB"/>
        </w:rPr>
      </w:pPr>
      <w:r w:rsidRPr="00C5089A">
        <w:rPr>
          <w:rFonts w:ascii="Times New Roman" w:hAnsi="Times New Roman" w:cs="Times New Roman"/>
          <w:sz w:val="24"/>
          <w:szCs w:val="24"/>
          <w:vertAlign w:val="superscript"/>
        </w:rPr>
        <w:footnoteRef/>
      </w:r>
      <w:r w:rsidRPr="00C5089A">
        <w:rPr>
          <w:rFonts w:ascii="Times New Roman" w:eastAsia="Times New Roman" w:hAnsi="Times New Roman" w:cs="Times New Roman"/>
          <w:sz w:val="24"/>
          <w:szCs w:val="24"/>
          <w:lang w:val="en-GB"/>
        </w:rPr>
        <w:t xml:space="preserve"> </w:t>
      </w:r>
      <w:r w:rsidRPr="00C5089A">
        <w:rPr>
          <w:rFonts w:ascii="Times New Roman" w:eastAsia="Times New Roman" w:hAnsi="Times New Roman" w:cs="Times New Roman"/>
          <w:smallCaps/>
          <w:sz w:val="24"/>
          <w:szCs w:val="24"/>
          <w:highlight w:val="white"/>
          <w:lang w:val="en-GB"/>
        </w:rPr>
        <w:t xml:space="preserve">A. </w:t>
      </w:r>
      <w:proofErr w:type="spellStart"/>
      <w:r w:rsidRPr="00C5089A">
        <w:rPr>
          <w:rFonts w:ascii="Times New Roman" w:eastAsia="Times New Roman" w:hAnsi="Times New Roman" w:cs="Times New Roman"/>
          <w:smallCaps/>
          <w:sz w:val="24"/>
          <w:szCs w:val="24"/>
          <w:highlight w:val="white"/>
          <w:lang w:val="en-GB"/>
        </w:rPr>
        <w:t>Rutjes</w:t>
      </w:r>
      <w:proofErr w:type="spellEnd"/>
      <w:r w:rsidRPr="00C5089A">
        <w:rPr>
          <w:rFonts w:ascii="Times New Roman" w:eastAsia="Times New Roman" w:hAnsi="Times New Roman" w:cs="Times New Roman"/>
          <w:sz w:val="24"/>
          <w:szCs w:val="24"/>
          <w:highlight w:val="white"/>
          <w:lang w:val="en-GB"/>
        </w:rPr>
        <w:t>, “</w:t>
      </w:r>
      <w:r w:rsidRPr="00C5089A">
        <w:rPr>
          <w:rFonts w:ascii="Times New Roman" w:eastAsia="Times New Roman" w:hAnsi="Times New Roman" w:cs="Times New Roman"/>
          <w:i/>
          <w:sz w:val="24"/>
          <w:szCs w:val="24"/>
          <w:highlight w:val="white"/>
          <w:lang w:val="en-GB"/>
        </w:rPr>
        <w:t>Blockchain and GDPR: better safe than sorry</w:t>
      </w:r>
      <w:r w:rsidRPr="00C5089A">
        <w:rPr>
          <w:rFonts w:ascii="Times New Roman" w:eastAsia="Times New Roman" w:hAnsi="Times New Roman" w:cs="Times New Roman"/>
          <w:sz w:val="24"/>
          <w:szCs w:val="24"/>
          <w:highlight w:val="white"/>
          <w:lang w:val="en-GB"/>
        </w:rPr>
        <w:t>”, 2018.</w:t>
      </w:r>
    </w:p>
  </w:footnote>
  <w:footnote w:id="312">
    <w:p w14:paraId="02C1305C" w14:textId="602F7C9C" w:rsidR="000463A6" w:rsidRPr="00C5089A" w:rsidRDefault="000463A6" w:rsidP="00B459DA">
      <w:pPr>
        <w:spacing w:after="0" w:line="240" w:lineRule="auto"/>
        <w:jc w:val="both"/>
        <w:rPr>
          <w:rFonts w:ascii="Times New Roman" w:eastAsia="Times New Roman" w:hAnsi="Times New Roman" w:cs="Times New Roman"/>
          <w:sz w:val="24"/>
          <w:szCs w:val="24"/>
        </w:rPr>
      </w:pPr>
      <w:r w:rsidRPr="00C5089A">
        <w:rPr>
          <w:rFonts w:ascii="Times New Roman" w:hAnsi="Times New Roman" w:cs="Times New Roman"/>
          <w:sz w:val="24"/>
          <w:szCs w:val="24"/>
          <w:vertAlign w:val="superscript"/>
        </w:rPr>
        <w:footnoteRef/>
      </w:r>
      <w:r w:rsidRPr="00C5089A">
        <w:rPr>
          <w:rFonts w:ascii="Times New Roman" w:eastAsia="Times New Roman" w:hAnsi="Times New Roman" w:cs="Times New Roman"/>
          <w:sz w:val="24"/>
          <w:szCs w:val="24"/>
        </w:rPr>
        <w:t xml:space="preserve"> Protocolli informatici che facilitano, verificano o fanno rispettare la negoziazione o l</w:t>
      </w:r>
      <w:r>
        <w:rPr>
          <w:rFonts w:ascii="Times New Roman" w:eastAsia="Times New Roman" w:hAnsi="Times New Roman" w:cs="Times New Roman"/>
          <w:sz w:val="24"/>
          <w:szCs w:val="24"/>
        </w:rPr>
        <w:t>’</w:t>
      </w:r>
      <w:r w:rsidRPr="00C5089A">
        <w:rPr>
          <w:rFonts w:ascii="Times New Roman" w:eastAsia="Times New Roman" w:hAnsi="Times New Roman" w:cs="Times New Roman"/>
          <w:sz w:val="24"/>
          <w:szCs w:val="24"/>
        </w:rPr>
        <w:t xml:space="preserve">esecuzione di un </w:t>
      </w:r>
      <w:hyperlink r:id="rId72">
        <w:r w:rsidRPr="00C5089A">
          <w:rPr>
            <w:rFonts w:ascii="Times New Roman" w:eastAsia="Times New Roman" w:hAnsi="Times New Roman" w:cs="Times New Roman"/>
            <w:sz w:val="24"/>
            <w:szCs w:val="24"/>
          </w:rPr>
          <w:t>contratto</w:t>
        </w:r>
      </w:hyperlink>
      <w:r w:rsidRPr="00C5089A">
        <w:rPr>
          <w:rFonts w:ascii="Times New Roman" w:eastAsia="Times New Roman" w:hAnsi="Times New Roman" w:cs="Times New Roman"/>
          <w:sz w:val="24"/>
          <w:szCs w:val="24"/>
        </w:rPr>
        <w:t xml:space="preserve">, permettendo talvolta la parziale o la totale esclusione di una </w:t>
      </w:r>
      <w:hyperlink r:id="rId73">
        <w:r w:rsidRPr="00C5089A">
          <w:rPr>
            <w:rFonts w:ascii="Times New Roman" w:eastAsia="Times New Roman" w:hAnsi="Times New Roman" w:cs="Times New Roman"/>
            <w:sz w:val="24"/>
            <w:szCs w:val="24"/>
          </w:rPr>
          <w:t>clausola contrattuale</w:t>
        </w:r>
      </w:hyperlink>
      <w:r w:rsidRPr="00C5089A">
        <w:rPr>
          <w:rFonts w:ascii="Times New Roman" w:eastAsia="Times New Roman" w:hAnsi="Times New Roman" w:cs="Times New Roman"/>
          <w:sz w:val="24"/>
          <w:szCs w:val="24"/>
        </w:rPr>
        <w:t xml:space="preserve">. Gli </w:t>
      </w:r>
      <w:proofErr w:type="spellStart"/>
      <w:r w:rsidRPr="00A90F1C">
        <w:rPr>
          <w:rFonts w:ascii="Times New Roman" w:eastAsia="Times New Roman" w:hAnsi="Times New Roman" w:cs="Times New Roman"/>
          <w:i/>
          <w:iCs/>
          <w:sz w:val="24"/>
          <w:szCs w:val="24"/>
        </w:rPr>
        <w:t>smart</w:t>
      </w:r>
      <w:proofErr w:type="spellEnd"/>
      <w:r w:rsidRPr="00A90F1C">
        <w:rPr>
          <w:rFonts w:ascii="Times New Roman" w:eastAsia="Times New Roman" w:hAnsi="Times New Roman" w:cs="Times New Roman"/>
          <w:i/>
          <w:iCs/>
          <w:sz w:val="24"/>
          <w:szCs w:val="24"/>
        </w:rPr>
        <w:t xml:space="preserve"> </w:t>
      </w:r>
      <w:proofErr w:type="spellStart"/>
      <w:r w:rsidRPr="00A90F1C">
        <w:rPr>
          <w:rFonts w:ascii="Times New Roman" w:eastAsia="Times New Roman" w:hAnsi="Times New Roman" w:cs="Times New Roman"/>
          <w:i/>
          <w:iCs/>
          <w:sz w:val="24"/>
          <w:szCs w:val="24"/>
        </w:rPr>
        <w:t>contract</w:t>
      </w:r>
      <w:proofErr w:type="spellEnd"/>
      <w:r w:rsidRPr="00C5089A">
        <w:rPr>
          <w:rFonts w:ascii="Times New Roman" w:eastAsia="Times New Roman" w:hAnsi="Times New Roman" w:cs="Times New Roman"/>
          <w:sz w:val="24"/>
          <w:szCs w:val="24"/>
        </w:rPr>
        <w:t>, di solito, hanno anche una interfaccia</w:t>
      </w:r>
      <w:hyperlink r:id="rId74">
        <w:r w:rsidRPr="00C5089A">
          <w:rPr>
            <w:rFonts w:ascii="Times New Roman" w:eastAsia="Times New Roman" w:hAnsi="Times New Roman" w:cs="Times New Roman"/>
            <w:sz w:val="24"/>
            <w:szCs w:val="24"/>
          </w:rPr>
          <w:t xml:space="preserve"> utente</w:t>
        </w:r>
      </w:hyperlink>
      <w:r w:rsidRPr="00C5089A">
        <w:rPr>
          <w:rFonts w:ascii="Times New Roman" w:eastAsia="Times New Roman" w:hAnsi="Times New Roman" w:cs="Times New Roman"/>
          <w:sz w:val="24"/>
          <w:szCs w:val="24"/>
        </w:rPr>
        <w:t xml:space="preserve"> e spesso simulano la logica delle clausole contrattuali.</w:t>
      </w:r>
    </w:p>
  </w:footnote>
  <w:footnote w:id="313">
    <w:p w14:paraId="4868E900" w14:textId="77777777" w:rsidR="000463A6" w:rsidRPr="002315B9" w:rsidRDefault="000463A6" w:rsidP="00B459DA">
      <w:pPr>
        <w:spacing w:after="0" w:line="240" w:lineRule="auto"/>
        <w:jc w:val="both"/>
        <w:rPr>
          <w:rFonts w:ascii="Times New Roman" w:eastAsia="Times New Roman" w:hAnsi="Times New Roman" w:cs="Times New Roman"/>
          <w:sz w:val="24"/>
          <w:szCs w:val="24"/>
        </w:rPr>
      </w:pPr>
      <w:r w:rsidRPr="00C5089A">
        <w:rPr>
          <w:rFonts w:ascii="Times New Roman" w:hAnsi="Times New Roman" w:cs="Times New Roman"/>
          <w:sz w:val="24"/>
          <w:szCs w:val="24"/>
          <w:vertAlign w:val="superscript"/>
        </w:rPr>
        <w:footnoteRef/>
      </w:r>
      <w:r w:rsidRPr="00C5089A">
        <w:rPr>
          <w:rFonts w:ascii="Times New Roman" w:eastAsia="Times New Roman" w:hAnsi="Times New Roman" w:cs="Times New Roman"/>
          <w:sz w:val="24"/>
          <w:szCs w:val="24"/>
        </w:rPr>
        <w:t xml:space="preserve"> </w:t>
      </w:r>
      <w:r w:rsidRPr="00C5089A">
        <w:rPr>
          <w:rFonts w:ascii="Times New Roman" w:eastAsia="Times New Roman" w:hAnsi="Times New Roman" w:cs="Times New Roman"/>
          <w:sz w:val="24"/>
          <w:szCs w:val="24"/>
          <w:highlight w:val="white"/>
        </w:rPr>
        <w:t xml:space="preserve">Alla base dell’avvio del progetto EBSI </w:t>
      </w:r>
      <w:hyperlink r:id="rId75">
        <w:r w:rsidRPr="00C5089A">
          <w:rPr>
            <w:rFonts w:ascii="Times New Roman" w:eastAsia="Times New Roman" w:hAnsi="Times New Roman" w:cs="Times New Roman"/>
            <w:sz w:val="24"/>
            <w:szCs w:val="24"/>
            <w:highlight w:val="white"/>
          </w:rPr>
          <w:t>c’è l’</w:t>
        </w:r>
        <w:proofErr w:type="spellStart"/>
      </w:hyperlink>
      <w:hyperlink r:id="rId76">
        <w:r w:rsidRPr="00C5089A">
          <w:rPr>
            <w:rFonts w:ascii="Times New Roman" w:eastAsia="Times New Roman" w:hAnsi="Times New Roman" w:cs="Times New Roman"/>
            <w:i/>
            <w:sz w:val="24"/>
            <w:szCs w:val="24"/>
            <w:highlight w:val="white"/>
          </w:rPr>
          <w:t>European</w:t>
        </w:r>
        <w:proofErr w:type="spellEnd"/>
        <w:r w:rsidRPr="00C5089A">
          <w:rPr>
            <w:rFonts w:ascii="Times New Roman" w:eastAsia="Times New Roman" w:hAnsi="Times New Roman" w:cs="Times New Roman"/>
            <w:i/>
            <w:sz w:val="24"/>
            <w:szCs w:val="24"/>
            <w:highlight w:val="white"/>
          </w:rPr>
          <w:t xml:space="preserve"> </w:t>
        </w:r>
        <w:proofErr w:type="spellStart"/>
        <w:r w:rsidRPr="00C5089A">
          <w:rPr>
            <w:rFonts w:ascii="Times New Roman" w:eastAsia="Times New Roman" w:hAnsi="Times New Roman" w:cs="Times New Roman"/>
            <w:i/>
            <w:sz w:val="24"/>
            <w:szCs w:val="24"/>
            <w:highlight w:val="white"/>
          </w:rPr>
          <w:t>Blockchain</w:t>
        </w:r>
        <w:proofErr w:type="spellEnd"/>
        <w:r w:rsidRPr="00C5089A">
          <w:rPr>
            <w:rFonts w:ascii="Times New Roman" w:eastAsia="Times New Roman" w:hAnsi="Times New Roman" w:cs="Times New Roman"/>
            <w:i/>
            <w:sz w:val="24"/>
            <w:szCs w:val="24"/>
            <w:highlight w:val="white"/>
          </w:rPr>
          <w:t xml:space="preserve"> Partnershi</w:t>
        </w:r>
      </w:hyperlink>
      <w:hyperlink r:id="rId77">
        <w:r w:rsidRPr="00C5089A">
          <w:rPr>
            <w:rFonts w:ascii="Times New Roman" w:eastAsia="Times New Roman" w:hAnsi="Times New Roman" w:cs="Times New Roman"/>
            <w:sz w:val="24"/>
            <w:szCs w:val="24"/>
            <w:highlight w:val="white"/>
          </w:rPr>
          <w:t>p</w:t>
        </w:r>
      </w:hyperlink>
      <w:r w:rsidRPr="00C5089A">
        <w:rPr>
          <w:rFonts w:ascii="Times New Roman" w:eastAsia="Times New Roman" w:hAnsi="Times New Roman" w:cs="Times New Roman"/>
          <w:sz w:val="24"/>
          <w:szCs w:val="24"/>
          <w:highlight w:val="white"/>
        </w:rPr>
        <w:t xml:space="preserve"> (promossa nel 2018), ossia un’iniziativa voluta dall’Unione europea che punta a favorire la collaborazione tra gli Stati membri per lo scambio di esperienze e di </w:t>
      </w:r>
      <w:r w:rsidRPr="00C5089A">
        <w:rPr>
          <w:rFonts w:ascii="Times New Roman" w:eastAsia="Times New Roman" w:hAnsi="Times New Roman" w:cs="Times New Roman"/>
          <w:i/>
          <w:sz w:val="24"/>
          <w:szCs w:val="24"/>
          <w:highlight w:val="white"/>
        </w:rPr>
        <w:t>expertise</w:t>
      </w:r>
      <w:r w:rsidRPr="00C5089A">
        <w:rPr>
          <w:rFonts w:ascii="Times New Roman" w:eastAsia="Times New Roman" w:hAnsi="Times New Roman" w:cs="Times New Roman"/>
          <w:sz w:val="24"/>
          <w:szCs w:val="24"/>
          <w:highlight w:val="white"/>
        </w:rPr>
        <w:t>, sia sul piano tecnico sia su quello della regolamentazione. L’Italia è entrata a far parte del partenariato il 27 settembre 2018. Secondo gli obiettivi del partenariato, lo sviluppo dell’infrastruttura permetterà di condividere in maniera sicura informazioni come, ad esempio, dati doganali e fiscali dell’Ue, documenti di audit di progetti finanziati, certificazioni transfrontaliere di diplomi e sulle qualifiche professionali e le identità digitali (</w:t>
      </w:r>
      <w:proofErr w:type="spellStart"/>
      <w:r w:rsidRPr="00C5089A">
        <w:rPr>
          <w:rFonts w:ascii="Times New Roman" w:eastAsia="Times New Roman" w:hAnsi="Times New Roman" w:cs="Times New Roman"/>
          <w:sz w:val="24"/>
          <w:szCs w:val="24"/>
          <w:highlight w:val="white"/>
        </w:rPr>
        <w:t>eIDAS</w:t>
      </w:r>
      <w:proofErr w:type="spellEnd"/>
      <w:r w:rsidRPr="00C5089A">
        <w:rPr>
          <w:rFonts w:ascii="Times New Roman" w:eastAsia="Times New Roman" w:hAnsi="Times New Roman" w:cs="Times New Roman"/>
          <w:sz w:val="24"/>
          <w:szCs w:val="24"/>
          <w:highlight w:val="white"/>
        </w:rPr>
        <w:t>).</w:t>
      </w:r>
    </w:p>
  </w:footnote>
  <w:footnote w:id="314">
    <w:p w14:paraId="7BBF8BF3" w14:textId="471FF871" w:rsidR="000463A6" w:rsidRPr="005D0E63" w:rsidRDefault="000463A6" w:rsidP="005D0E63">
      <w:pPr>
        <w:spacing w:after="0" w:line="240" w:lineRule="auto"/>
        <w:jc w:val="both"/>
        <w:rPr>
          <w:rFonts w:ascii="Times New Roman" w:hAnsi="Times New Roman" w:cs="Times New Roman"/>
          <w:sz w:val="24"/>
          <w:szCs w:val="24"/>
        </w:rPr>
      </w:pPr>
      <w:r w:rsidRPr="005D0E63">
        <w:rPr>
          <w:rFonts w:ascii="Times New Roman" w:hAnsi="Times New Roman" w:cs="Times New Roman"/>
          <w:sz w:val="24"/>
          <w:szCs w:val="24"/>
          <w:vertAlign w:val="superscript"/>
        </w:rPr>
        <w:footnoteRef/>
      </w:r>
      <w:r w:rsidRPr="005D0E63">
        <w:rPr>
          <w:rFonts w:ascii="Times New Roman" w:hAnsi="Times New Roman" w:cs="Times New Roman"/>
          <w:sz w:val="24"/>
          <w:szCs w:val="24"/>
        </w:rPr>
        <w:t xml:space="preserve"> </w:t>
      </w:r>
      <w:r w:rsidRPr="005D0E63">
        <w:rPr>
          <w:rFonts w:ascii="Times New Roman" w:eastAsia="Times New Roman" w:hAnsi="Times New Roman" w:cs="Times New Roman"/>
          <w:smallCaps/>
          <w:sz w:val="24"/>
          <w:szCs w:val="24"/>
        </w:rPr>
        <w:t>P. Ghezzi</w:t>
      </w:r>
      <w:r w:rsidRPr="005D0E63">
        <w:rPr>
          <w:rFonts w:ascii="Times New Roman" w:eastAsia="Times New Roman" w:hAnsi="Times New Roman" w:cs="Times New Roman"/>
          <w:sz w:val="24"/>
          <w:szCs w:val="24"/>
        </w:rPr>
        <w:t>, “</w:t>
      </w:r>
      <w:proofErr w:type="spellStart"/>
      <w:r w:rsidRPr="005D0E63">
        <w:rPr>
          <w:rFonts w:ascii="Times New Roman" w:eastAsia="Times New Roman" w:hAnsi="Times New Roman" w:cs="Times New Roman"/>
          <w:i/>
          <w:sz w:val="24"/>
          <w:szCs w:val="24"/>
        </w:rPr>
        <w:t>Blockchain</w:t>
      </w:r>
      <w:proofErr w:type="spellEnd"/>
      <w:r w:rsidRPr="005D0E63">
        <w:rPr>
          <w:rFonts w:ascii="Times New Roman" w:eastAsia="Times New Roman" w:hAnsi="Times New Roman" w:cs="Times New Roman"/>
          <w:i/>
          <w:sz w:val="24"/>
          <w:szCs w:val="24"/>
        </w:rPr>
        <w:t>, quali prospettive per le politiche pubbliche</w:t>
      </w:r>
      <w:r w:rsidRPr="005D0E63">
        <w:rPr>
          <w:rFonts w:ascii="Times New Roman" w:eastAsia="Times New Roman" w:hAnsi="Times New Roman" w:cs="Times New Roman"/>
          <w:iCs/>
          <w:sz w:val="24"/>
          <w:szCs w:val="24"/>
        </w:rPr>
        <w:t>”,</w:t>
      </w:r>
      <w:r w:rsidRPr="005D0E63">
        <w:rPr>
          <w:rFonts w:ascii="Times New Roman" w:eastAsia="Times New Roman" w:hAnsi="Times New Roman" w:cs="Times New Roman"/>
          <w:sz w:val="24"/>
          <w:szCs w:val="24"/>
        </w:rPr>
        <w:t xml:space="preserve"> in </w:t>
      </w:r>
      <w:r w:rsidRPr="005D0E63">
        <w:rPr>
          <w:rFonts w:ascii="Times New Roman" w:eastAsia="Times New Roman" w:hAnsi="Times New Roman" w:cs="Times New Roman"/>
          <w:i/>
          <w:sz w:val="24"/>
          <w:szCs w:val="24"/>
        </w:rPr>
        <w:t xml:space="preserve">www.blockchain4innovation.it, </w:t>
      </w:r>
      <w:r w:rsidRPr="005D0E63">
        <w:rPr>
          <w:rFonts w:ascii="Times New Roman" w:eastAsia="Times New Roman" w:hAnsi="Times New Roman" w:cs="Times New Roman"/>
          <w:iCs/>
          <w:sz w:val="24"/>
          <w:szCs w:val="24"/>
        </w:rPr>
        <w:t>14 aprile 2021.</w:t>
      </w:r>
    </w:p>
  </w:footnote>
  <w:footnote w:id="315">
    <w:p w14:paraId="0A14AB09" w14:textId="19795208" w:rsidR="000463A6" w:rsidRDefault="000463A6" w:rsidP="005D0E63">
      <w:pPr>
        <w:pStyle w:val="Testonotaapidipagina"/>
        <w:jc w:val="both"/>
      </w:pPr>
      <w:r w:rsidRPr="005D0E63">
        <w:rPr>
          <w:rStyle w:val="Rimandonotaapidipagina"/>
          <w:rFonts w:ascii="Times New Roman" w:hAnsi="Times New Roman" w:cs="Times New Roman"/>
          <w:sz w:val="24"/>
          <w:szCs w:val="24"/>
        </w:rPr>
        <w:footnoteRef/>
      </w:r>
      <w:r w:rsidRPr="005D0E63">
        <w:rPr>
          <w:rFonts w:ascii="Times New Roman" w:hAnsi="Times New Roman" w:cs="Times New Roman"/>
          <w:sz w:val="24"/>
          <w:szCs w:val="24"/>
        </w:rPr>
        <w:t xml:space="preserve"> La memoria del Ministro </w:t>
      </w:r>
      <w:r>
        <w:rPr>
          <w:rFonts w:ascii="Times New Roman" w:hAnsi="Times New Roman" w:cs="Times New Roman"/>
          <w:sz w:val="24"/>
          <w:szCs w:val="24"/>
        </w:rPr>
        <w:t xml:space="preserve">Vittorio </w:t>
      </w:r>
      <w:proofErr w:type="spellStart"/>
      <w:r w:rsidRPr="005D0E63">
        <w:rPr>
          <w:rFonts w:ascii="Times New Roman" w:hAnsi="Times New Roman" w:cs="Times New Roman"/>
          <w:sz w:val="24"/>
          <w:szCs w:val="24"/>
        </w:rPr>
        <w:t>Colao</w:t>
      </w:r>
      <w:proofErr w:type="spellEnd"/>
      <w:r>
        <w:rPr>
          <w:rFonts w:ascii="Times New Roman" w:hAnsi="Times New Roman" w:cs="Times New Roman"/>
          <w:sz w:val="24"/>
          <w:szCs w:val="24"/>
        </w:rPr>
        <w:t xml:space="preserve"> del 24 novembre 2021 </w:t>
      </w:r>
      <w:r w:rsidRPr="005D0E63">
        <w:rPr>
          <w:rFonts w:ascii="Times New Roman" w:hAnsi="Times New Roman" w:cs="Times New Roman"/>
          <w:sz w:val="24"/>
          <w:szCs w:val="24"/>
        </w:rPr>
        <w:t xml:space="preserve">è reperibile al seguente link </w:t>
      </w:r>
      <w:hyperlink r:id="rId78" w:history="1">
        <w:r w:rsidRPr="005D0E63">
          <w:rPr>
            <w:rStyle w:val="Collegamentoipertestuale"/>
            <w:rFonts w:ascii="Times New Roman" w:hAnsi="Times New Roman" w:cs="Times New Roman"/>
            <w:sz w:val="24"/>
            <w:szCs w:val="24"/>
          </w:rPr>
          <w:t>https://www.camera.it/application/xmanager/projects/leg18/attachments/upload_file_doc_acquisiti/pdfs/000/006/683/Memoria_Ministro_Colao_prot.pdf</w:t>
        </w:r>
      </w:hyperlink>
      <w:r w:rsidRPr="005D0E63">
        <w:rPr>
          <w:rFonts w:ascii="Times New Roman" w:hAnsi="Times New Roman" w:cs="Times New Roman"/>
          <w:sz w:val="24"/>
          <w:szCs w:val="24"/>
        </w:rPr>
        <w:t xml:space="preserve">; Per gli atti dell’indagine conoscitiva si rinvia al sito della Camera </w:t>
      </w:r>
      <w:hyperlink r:id="rId79" w:history="1">
        <w:r w:rsidRPr="005D0E63">
          <w:rPr>
            <w:rStyle w:val="Collegamentoipertestuale"/>
            <w:rFonts w:ascii="Times New Roman" w:hAnsi="Times New Roman" w:cs="Times New Roman"/>
            <w:sz w:val="24"/>
            <w:szCs w:val="24"/>
          </w:rPr>
          <w:t>https://www.camera.it/leg18/1101?idLegislatura=18&amp;idCommissione=&amp;tipoElenco=indaginiConoscitiveCronologico&amp;annoMese=&amp;breve=c31_banche_dati&amp;calendario=false&amp;soloSten=false&amp;foglia=true&amp;shadow_organo_parlamentare=3074</w:t>
        </w:r>
      </w:hyperlink>
      <w:r w:rsidRPr="005D0E63">
        <w:rPr>
          <w:rFonts w:ascii="Times New Roman" w:hAnsi="Times New Roman" w:cs="Times New Roman"/>
          <w:sz w:val="24"/>
          <w:szCs w:val="24"/>
        </w:rPr>
        <w:t>.</w:t>
      </w:r>
    </w:p>
  </w:footnote>
  <w:footnote w:id="316">
    <w:p w14:paraId="3A9BD437" w14:textId="1EEC7FC6" w:rsidR="000463A6" w:rsidRPr="006F7E78" w:rsidRDefault="000463A6" w:rsidP="006F7E78">
      <w:pPr>
        <w:pStyle w:val="Testonotaapidipagina"/>
        <w:jc w:val="both"/>
        <w:rPr>
          <w:rFonts w:ascii="Times New Roman" w:hAnsi="Times New Roman" w:cs="Times New Roman"/>
          <w:sz w:val="24"/>
          <w:szCs w:val="24"/>
        </w:rPr>
      </w:pPr>
      <w:r w:rsidRPr="006F7E78">
        <w:rPr>
          <w:rStyle w:val="Rimandonotaapidipagina"/>
          <w:rFonts w:ascii="Times New Roman" w:hAnsi="Times New Roman" w:cs="Times New Roman"/>
          <w:sz w:val="24"/>
          <w:szCs w:val="24"/>
        </w:rPr>
        <w:footnoteRef/>
      </w:r>
      <w:r w:rsidRPr="006F7E78">
        <w:rPr>
          <w:rFonts w:ascii="Times New Roman" w:hAnsi="Times New Roman" w:cs="Times New Roman"/>
          <w:sz w:val="24"/>
          <w:szCs w:val="24"/>
        </w:rPr>
        <w:t xml:space="preserve"> </w:t>
      </w:r>
      <w:r w:rsidRPr="006F7E78">
        <w:rPr>
          <w:rFonts w:ascii="Times New Roman" w:hAnsi="Times New Roman" w:cs="Times New Roman"/>
          <w:smallCaps/>
          <w:sz w:val="24"/>
          <w:szCs w:val="24"/>
        </w:rPr>
        <w:t>K. Crawford</w:t>
      </w:r>
      <w:r w:rsidRPr="006F7E78">
        <w:rPr>
          <w:rFonts w:ascii="Times New Roman" w:hAnsi="Times New Roman" w:cs="Times New Roman"/>
          <w:sz w:val="24"/>
          <w:szCs w:val="24"/>
        </w:rPr>
        <w:t>, “</w:t>
      </w:r>
      <w:r w:rsidRPr="006F7E78">
        <w:rPr>
          <w:rFonts w:ascii="Times New Roman" w:hAnsi="Times New Roman" w:cs="Times New Roman"/>
          <w:i/>
          <w:iCs/>
          <w:sz w:val="24"/>
          <w:szCs w:val="24"/>
        </w:rPr>
        <w:t>Né intelligente né artificiale. Il lato oscuro dell’IA</w:t>
      </w:r>
      <w:r w:rsidRPr="006F7E78">
        <w:rPr>
          <w:rFonts w:ascii="Times New Roman" w:hAnsi="Times New Roman" w:cs="Times New Roman"/>
          <w:sz w:val="24"/>
          <w:szCs w:val="24"/>
        </w:rPr>
        <w:t>”, il Mulino, 2021. L’autrice ci spinge a riflettere, bisogna porsi l</w:t>
      </w:r>
      <w:r w:rsidR="006F7E78" w:rsidRPr="006F7E78">
        <w:rPr>
          <w:rFonts w:ascii="Times New Roman" w:hAnsi="Times New Roman" w:cs="Times New Roman"/>
          <w:sz w:val="24"/>
          <w:szCs w:val="24"/>
        </w:rPr>
        <w:t>e</w:t>
      </w:r>
      <w:r w:rsidRPr="006F7E78">
        <w:rPr>
          <w:rFonts w:ascii="Times New Roman" w:hAnsi="Times New Roman" w:cs="Times New Roman"/>
          <w:sz w:val="24"/>
          <w:szCs w:val="24"/>
        </w:rPr>
        <w:t xml:space="preserve"> seguenti domande: “</w:t>
      </w:r>
      <w:r w:rsidRPr="006F7E78">
        <w:rPr>
          <w:rFonts w:ascii="Times New Roman" w:hAnsi="Times New Roman" w:cs="Times New Roman"/>
          <w:i/>
          <w:iCs/>
          <w:sz w:val="24"/>
          <w:szCs w:val="24"/>
        </w:rPr>
        <w:t>cos’è l’IA?</w:t>
      </w:r>
      <w:r w:rsidRPr="006F7E78">
        <w:rPr>
          <w:rFonts w:ascii="Times New Roman" w:hAnsi="Times New Roman" w:cs="Times New Roman"/>
          <w:sz w:val="24"/>
          <w:szCs w:val="24"/>
        </w:rPr>
        <w:t>”, “</w:t>
      </w:r>
      <w:r w:rsidRPr="006F7E78">
        <w:rPr>
          <w:rFonts w:ascii="Times New Roman" w:hAnsi="Times New Roman" w:cs="Times New Roman"/>
          <w:i/>
          <w:iCs/>
          <w:sz w:val="24"/>
          <w:szCs w:val="24"/>
        </w:rPr>
        <w:t>quali forme di politica propaga?</w:t>
      </w:r>
      <w:r w:rsidRPr="006F7E78">
        <w:rPr>
          <w:rFonts w:ascii="Times New Roman" w:hAnsi="Times New Roman" w:cs="Times New Roman"/>
          <w:sz w:val="24"/>
          <w:szCs w:val="24"/>
        </w:rPr>
        <w:t>” “</w:t>
      </w:r>
      <w:r w:rsidRPr="006F7E78">
        <w:rPr>
          <w:rFonts w:ascii="Times New Roman" w:hAnsi="Times New Roman" w:cs="Times New Roman"/>
          <w:i/>
          <w:iCs/>
          <w:sz w:val="24"/>
          <w:szCs w:val="24"/>
        </w:rPr>
        <w:t>quali interessi promuove e chi rischia il maggiore danno?</w:t>
      </w:r>
      <w:r w:rsidRPr="006F7E78">
        <w:rPr>
          <w:rFonts w:ascii="Times New Roman" w:hAnsi="Times New Roman" w:cs="Times New Roman"/>
          <w:sz w:val="24"/>
          <w:szCs w:val="24"/>
        </w:rPr>
        <w:t>” e “</w:t>
      </w:r>
      <w:r w:rsidRPr="006F7E78">
        <w:rPr>
          <w:rFonts w:ascii="Times New Roman" w:hAnsi="Times New Roman" w:cs="Times New Roman"/>
          <w:i/>
          <w:iCs/>
          <w:sz w:val="24"/>
          <w:szCs w:val="24"/>
        </w:rPr>
        <w:t>dove dovremmo limitare l’uso dell’IA?</w:t>
      </w:r>
      <w:r w:rsidRPr="006F7E78">
        <w:rPr>
          <w:rFonts w:ascii="Times New Roman" w:hAnsi="Times New Roman" w:cs="Times New Roman"/>
          <w:sz w:val="24"/>
          <w:szCs w:val="24"/>
        </w:rPr>
        <w:t>”.</w:t>
      </w:r>
    </w:p>
  </w:footnote>
  <w:footnote w:id="317">
    <w:p w14:paraId="0E95C1D7" w14:textId="6AFB99CF" w:rsidR="006F7E78" w:rsidRPr="006F7E78" w:rsidRDefault="006F7E78" w:rsidP="006F7E78">
      <w:pPr>
        <w:pStyle w:val="Testonotaapidipagina"/>
        <w:jc w:val="both"/>
        <w:rPr>
          <w:rFonts w:ascii="Times New Roman" w:hAnsi="Times New Roman" w:cs="Times New Roman"/>
          <w:sz w:val="24"/>
          <w:szCs w:val="24"/>
          <w:lang w:val="en-US"/>
        </w:rPr>
      </w:pPr>
      <w:r w:rsidRPr="006F7E78">
        <w:rPr>
          <w:rStyle w:val="Rimandonotaapidipagina"/>
          <w:rFonts w:ascii="Times New Roman" w:hAnsi="Times New Roman" w:cs="Times New Roman"/>
          <w:sz w:val="24"/>
          <w:szCs w:val="24"/>
        </w:rPr>
        <w:footnoteRef/>
      </w:r>
      <w:r w:rsidRPr="006F7E78">
        <w:rPr>
          <w:rFonts w:ascii="Times New Roman" w:hAnsi="Times New Roman" w:cs="Times New Roman"/>
          <w:sz w:val="24"/>
          <w:szCs w:val="24"/>
          <w:lang w:val="en-US"/>
        </w:rPr>
        <w:t xml:space="preserve"> </w:t>
      </w:r>
      <w:r w:rsidRPr="006F7E78">
        <w:rPr>
          <w:rFonts w:ascii="Times New Roman" w:hAnsi="Times New Roman" w:cs="Times New Roman"/>
          <w:smallCaps/>
          <w:sz w:val="24"/>
          <w:szCs w:val="24"/>
          <w:lang w:val="en-US"/>
        </w:rPr>
        <w:t xml:space="preserve">A. Nelson, T. L. Nguyen Tu </w:t>
      </w:r>
      <w:r w:rsidRPr="006F7E78">
        <w:rPr>
          <w:rFonts w:ascii="Times New Roman" w:hAnsi="Times New Roman" w:cs="Times New Roman"/>
          <w:sz w:val="24"/>
          <w:szCs w:val="24"/>
          <w:lang w:val="en-US"/>
        </w:rPr>
        <w:t xml:space="preserve">e </w:t>
      </w:r>
      <w:r w:rsidRPr="006F7E78">
        <w:rPr>
          <w:rFonts w:ascii="Times New Roman" w:hAnsi="Times New Roman" w:cs="Times New Roman"/>
          <w:smallCaps/>
          <w:sz w:val="24"/>
          <w:szCs w:val="24"/>
          <w:lang w:val="en-US"/>
        </w:rPr>
        <w:t xml:space="preserve">A. </w:t>
      </w:r>
      <w:proofErr w:type="spellStart"/>
      <w:r w:rsidRPr="006F7E78">
        <w:rPr>
          <w:rFonts w:ascii="Times New Roman" w:hAnsi="Times New Roman" w:cs="Times New Roman"/>
          <w:smallCaps/>
          <w:sz w:val="24"/>
          <w:szCs w:val="24"/>
          <w:lang w:val="en-US"/>
        </w:rPr>
        <w:t>Headlam</w:t>
      </w:r>
      <w:proofErr w:type="spellEnd"/>
      <w:r w:rsidRPr="006F7E78">
        <w:rPr>
          <w:rFonts w:ascii="Times New Roman" w:hAnsi="Times New Roman" w:cs="Times New Roman"/>
          <w:smallCaps/>
          <w:sz w:val="24"/>
          <w:szCs w:val="24"/>
          <w:lang w:val="en-US"/>
        </w:rPr>
        <w:t xml:space="preserve"> Hines, </w:t>
      </w:r>
      <w:r w:rsidRPr="006F7E78">
        <w:rPr>
          <w:rFonts w:ascii="Times New Roman" w:hAnsi="Times New Roman" w:cs="Times New Roman"/>
          <w:sz w:val="24"/>
          <w:szCs w:val="24"/>
          <w:lang w:val="en-US"/>
        </w:rPr>
        <w:t>“</w:t>
      </w:r>
      <w:r w:rsidRPr="006F7E78">
        <w:rPr>
          <w:rFonts w:ascii="Times New Roman" w:hAnsi="Times New Roman" w:cs="Times New Roman"/>
          <w:i/>
          <w:iCs/>
          <w:sz w:val="24"/>
          <w:szCs w:val="24"/>
          <w:lang w:val="en-US"/>
        </w:rPr>
        <w:t>Technicolor. Race, Technology, and Everyday Life</w:t>
      </w:r>
      <w:r w:rsidRPr="006F7E78">
        <w:rPr>
          <w:rFonts w:ascii="Times New Roman" w:hAnsi="Times New Roman" w:cs="Times New Roman"/>
          <w:sz w:val="24"/>
          <w:szCs w:val="24"/>
          <w:lang w:val="en-US"/>
        </w:rPr>
        <w:t>”, 2001.</w:t>
      </w:r>
    </w:p>
  </w:footnote>
  <w:footnote w:id="318">
    <w:p w14:paraId="4E6B9CF8" w14:textId="57247B48" w:rsidR="006F7E78" w:rsidRPr="006F7E78" w:rsidRDefault="006F7E78" w:rsidP="006F7E78">
      <w:pPr>
        <w:pStyle w:val="Testonotaapidipagina"/>
        <w:jc w:val="both"/>
        <w:rPr>
          <w:lang w:val="en-US"/>
        </w:rPr>
      </w:pPr>
      <w:r w:rsidRPr="006F7E78">
        <w:rPr>
          <w:rStyle w:val="Rimandonotaapidipagina"/>
          <w:rFonts w:ascii="Times New Roman" w:hAnsi="Times New Roman" w:cs="Times New Roman"/>
          <w:sz w:val="24"/>
          <w:szCs w:val="24"/>
        </w:rPr>
        <w:footnoteRef/>
      </w:r>
      <w:r w:rsidRPr="006F7E78">
        <w:rPr>
          <w:rFonts w:ascii="Times New Roman" w:hAnsi="Times New Roman" w:cs="Times New Roman"/>
          <w:sz w:val="24"/>
          <w:szCs w:val="24"/>
          <w:lang w:val="en-US"/>
        </w:rPr>
        <w:t xml:space="preserve"> </w:t>
      </w:r>
      <w:r w:rsidRPr="006F7E78">
        <w:rPr>
          <w:rFonts w:ascii="Times New Roman" w:hAnsi="Times New Roman" w:cs="Times New Roman"/>
          <w:smallCaps/>
          <w:sz w:val="24"/>
          <w:szCs w:val="24"/>
          <w:lang w:val="en-US"/>
        </w:rPr>
        <w:t>U. M. Franklin</w:t>
      </w:r>
      <w:r w:rsidRPr="006F7E78">
        <w:rPr>
          <w:rFonts w:ascii="Times New Roman" w:hAnsi="Times New Roman" w:cs="Times New Roman"/>
          <w:sz w:val="24"/>
          <w:szCs w:val="24"/>
          <w:lang w:val="en-US"/>
        </w:rPr>
        <w:t>, “</w:t>
      </w:r>
      <w:r w:rsidRPr="006F7E78">
        <w:rPr>
          <w:rFonts w:ascii="Times New Roman" w:hAnsi="Times New Roman" w:cs="Times New Roman"/>
          <w:i/>
          <w:iCs/>
          <w:sz w:val="24"/>
          <w:szCs w:val="24"/>
          <w:lang w:val="en-US"/>
        </w:rPr>
        <w:t>The Real World of Technology</w:t>
      </w:r>
      <w:r w:rsidRPr="006F7E78">
        <w:rPr>
          <w:rFonts w:ascii="Times New Roman" w:hAnsi="Times New Roman" w:cs="Times New Roman"/>
          <w:sz w:val="24"/>
          <w:szCs w:val="24"/>
          <w:lang w:val="en-US"/>
        </w:rPr>
        <w:t>”, 1999.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C5795"/>
    <w:multiLevelType w:val="hybridMultilevel"/>
    <w:tmpl w:val="32066E1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AD67D9"/>
    <w:multiLevelType w:val="hybridMultilevel"/>
    <w:tmpl w:val="3CB8BEEA"/>
    <w:lvl w:ilvl="0" w:tplc="9028FB1E">
      <w:start w:val="1"/>
      <w:numFmt w:val="decimal"/>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9E1E0D"/>
    <w:multiLevelType w:val="hybridMultilevel"/>
    <w:tmpl w:val="0DD2A3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B32F0E"/>
    <w:multiLevelType w:val="hybridMultilevel"/>
    <w:tmpl w:val="5C7804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707009"/>
    <w:multiLevelType w:val="hybridMultilevel"/>
    <w:tmpl w:val="9CB200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565B4E"/>
    <w:multiLevelType w:val="hybridMultilevel"/>
    <w:tmpl w:val="6A500A7A"/>
    <w:lvl w:ilvl="0" w:tplc="13C49FE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566000"/>
    <w:multiLevelType w:val="hybridMultilevel"/>
    <w:tmpl w:val="AA08625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663918"/>
    <w:multiLevelType w:val="hybridMultilevel"/>
    <w:tmpl w:val="62F24D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4400BB"/>
    <w:multiLevelType w:val="hybridMultilevel"/>
    <w:tmpl w:val="965E2818"/>
    <w:lvl w:ilvl="0" w:tplc="92E4BFC0">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560ACD"/>
    <w:multiLevelType w:val="hybridMultilevel"/>
    <w:tmpl w:val="877E63B8"/>
    <w:lvl w:ilvl="0" w:tplc="1ABE464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3195D0C"/>
    <w:multiLevelType w:val="hybridMultilevel"/>
    <w:tmpl w:val="CFA2F47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262E24"/>
    <w:multiLevelType w:val="hybridMultilevel"/>
    <w:tmpl w:val="7BD2C6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A05134"/>
    <w:multiLevelType w:val="hybridMultilevel"/>
    <w:tmpl w:val="2B3E709C"/>
    <w:lvl w:ilvl="0" w:tplc="8F8EBCD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8"/>
  </w:num>
  <w:num w:numId="5">
    <w:abstractNumId w:val="12"/>
  </w:num>
  <w:num w:numId="6">
    <w:abstractNumId w:val="4"/>
  </w:num>
  <w:num w:numId="7">
    <w:abstractNumId w:val="3"/>
  </w:num>
  <w:num w:numId="8">
    <w:abstractNumId w:val="1"/>
  </w:num>
  <w:num w:numId="9">
    <w:abstractNumId w:val="5"/>
  </w:num>
  <w:num w:numId="10">
    <w:abstractNumId w:val="9"/>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CB"/>
    <w:rsid w:val="00001732"/>
    <w:rsid w:val="000021BF"/>
    <w:rsid w:val="000026D9"/>
    <w:rsid w:val="00003004"/>
    <w:rsid w:val="000032CB"/>
    <w:rsid w:val="00004B1F"/>
    <w:rsid w:val="000066F3"/>
    <w:rsid w:val="00006CC0"/>
    <w:rsid w:val="00007B54"/>
    <w:rsid w:val="00007F15"/>
    <w:rsid w:val="000137DB"/>
    <w:rsid w:val="00013A16"/>
    <w:rsid w:val="00013F02"/>
    <w:rsid w:val="00014DFD"/>
    <w:rsid w:val="0001617D"/>
    <w:rsid w:val="000167D1"/>
    <w:rsid w:val="00023EF8"/>
    <w:rsid w:val="00024FF4"/>
    <w:rsid w:val="00025687"/>
    <w:rsid w:val="00026263"/>
    <w:rsid w:val="000271DB"/>
    <w:rsid w:val="00027400"/>
    <w:rsid w:val="000278A4"/>
    <w:rsid w:val="00030371"/>
    <w:rsid w:val="000309FE"/>
    <w:rsid w:val="00030A9F"/>
    <w:rsid w:val="00033EFD"/>
    <w:rsid w:val="0003453E"/>
    <w:rsid w:val="00034924"/>
    <w:rsid w:val="000350DD"/>
    <w:rsid w:val="000361B1"/>
    <w:rsid w:val="00041E46"/>
    <w:rsid w:val="000420B2"/>
    <w:rsid w:val="0004212E"/>
    <w:rsid w:val="00043B64"/>
    <w:rsid w:val="000463A6"/>
    <w:rsid w:val="0004696C"/>
    <w:rsid w:val="000471D1"/>
    <w:rsid w:val="00050E59"/>
    <w:rsid w:val="00051138"/>
    <w:rsid w:val="00054551"/>
    <w:rsid w:val="000551DE"/>
    <w:rsid w:val="00062584"/>
    <w:rsid w:val="00062D0E"/>
    <w:rsid w:val="00063B40"/>
    <w:rsid w:val="000646AD"/>
    <w:rsid w:val="00064DBD"/>
    <w:rsid w:val="0006510D"/>
    <w:rsid w:val="00066100"/>
    <w:rsid w:val="00066484"/>
    <w:rsid w:val="00067609"/>
    <w:rsid w:val="00067752"/>
    <w:rsid w:val="000677B0"/>
    <w:rsid w:val="0007026C"/>
    <w:rsid w:val="00071118"/>
    <w:rsid w:val="0007179C"/>
    <w:rsid w:val="000719A7"/>
    <w:rsid w:val="000720C9"/>
    <w:rsid w:val="00072A80"/>
    <w:rsid w:val="0007513F"/>
    <w:rsid w:val="000751F7"/>
    <w:rsid w:val="000764B6"/>
    <w:rsid w:val="0007667A"/>
    <w:rsid w:val="000779B0"/>
    <w:rsid w:val="00081A13"/>
    <w:rsid w:val="00083159"/>
    <w:rsid w:val="00084035"/>
    <w:rsid w:val="00084048"/>
    <w:rsid w:val="0008700E"/>
    <w:rsid w:val="00087513"/>
    <w:rsid w:val="00087F50"/>
    <w:rsid w:val="00090004"/>
    <w:rsid w:val="0009170E"/>
    <w:rsid w:val="00091B42"/>
    <w:rsid w:val="00091C61"/>
    <w:rsid w:val="000940FC"/>
    <w:rsid w:val="00095D19"/>
    <w:rsid w:val="00097DE0"/>
    <w:rsid w:val="000A002B"/>
    <w:rsid w:val="000A1788"/>
    <w:rsid w:val="000A5022"/>
    <w:rsid w:val="000A55B8"/>
    <w:rsid w:val="000B0001"/>
    <w:rsid w:val="000B1ED4"/>
    <w:rsid w:val="000B1F0A"/>
    <w:rsid w:val="000B410F"/>
    <w:rsid w:val="000B47C0"/>
    <w:rsid w:val="000B4BA0"/>
    <w:rsid w:val="000B541F"/>
    <w:rsid w:val="000B5B2A"/>
    <w:rsid w:val="000C2875"/>
    <w:rsid w:val="000C4621"/>
    <w:rsid w:val="000C5A32"/>
    <w:rsid w:val="000C70BC"/>
    <w:rsid w:val="000D0E21"/>
    <w:rsid w:val="000D195D"/>
    <w:rsid w:val="000D268B"/>
    <w:rsid w:val="000D2DEB"/>
    <w:rsid w:val="000D3A5C"/>
    <w:rsid w:val="000D3EFF"/>
    <w:rsid w:val="000D6008"/>
    <w:rsid w:val="000E2974"/>
    <w:rsid w:val="000E3BF5"/>
    <w:rsid w:val="000E6D75"/>
    <w:rsid w:val="000F0F58"/>
    <w:rsid w:val="000F12BC"/>
    <w:rsid w:val="000F198B"/>
    <w:rsid w:val="000F24BE"/>
    <w:rsid w:val="000F4289"/>
    <w:rsid w:val="000F4BE5"/>
    <w:rsid w:val="000F56D5"/>
    <w:rsid w:val="000F5EEF"/>
    <w:rsid w:val="000F5FB3"/>
    <w:rsid w:val="000F68F2"/>
    <w:rsid w:val="000F7605"/>
    <w:rsid w:val="0010087D"/>
    <w:rsid w:val="001019F6"/>
    <w:rsid w:val="001028FD"/>
    <w:rsid w:val="0010336F"/>
    <w:rsid w:val="00104895"/>
    <w:rsid w:val="00105CDC"/>
    <w:rsid w:val="0010691C"/>
    <w:rsid w:val="00106A33"/>
    <w:rsid w:val="00106A37"/>
    <w:rsid w:val="001070E3"/>
    <w:rsid w:val="00107BD5"/>
    <w:rsid w:val="0011004D"/>
    <w:rsid w:val="00110350"/>
    <w:rsid w:val="00110495"/>
    <w:rsid w:val="00111208"/>
    <w:rsid w:val="0011169E"/>
    <w:rsid w:val="00112F9D"/>
    <w:rsid w:val="001134DB"/>
    <w:rsid w:val="001146DF"/>
    <w:rsid w:val="0011476F"/>
    <w:rsid w:val="001149DA"/>
    <w:rsid w:val="00114BC2"/>
    <w:rsid w:val="0011753A"/>
    <w:rsid w:val="00117862"/>
    <w:rsid w:val="00117DDD"/>
    <w:rsid w:val="00122186"/>
    <w:rsid w:val="001233D8"/>
    <w:rsid w:val="00123B76"/>
    <w:rsid w:val="00125826"/>
    <w:rsid w:val="00125AE2"/>
    <w:rsid w:val="0012683C"/>
    <w:rsid w:val="00126D1D"/>
    <w:rsid w:val="00127127"/>
    <w:rsid w:val="001275DF"/>
    <w:rsid w:val="0012767D"/>
    <w:rsid w:val="00127A34"/>
    <w:rsid w:val="00127EE4"/>
    <w:rsid w:val="00130C2B"/>
    <w:rsid w:val="00130E61"/>
    <w:rsid w:val="00130F6D"/>
    <w:rsid w:val="001356DD"/>
    <w:rsid w:val="001409DC"/>
    <w:rsid w:val="00140A03"/>
    <w:rsid w:val="00141AF8"/>
    <w:rsid w:val="00142260"/>
    <w:rsid w:val="00142345"/>
    <w:rsid w:val="001435F2"/>
    <w:rsid w:val="00146A08"/>
    <w:rsid w:val="001474BC"/>
    <w:rsid w:val="00147B51"/>
    <w:rsid w:val="00147CFD"/>
    <w:rsid w:val="00150822"/>
    <w:rsid w:val="00151405"/>
    <w:rsid w:val="00151A9E"/>
    <w:rsid w:val="00154777"/>
    <w:rsid w:val="00155068"/>
    <w:rsid w:val="00156EB1"/>
    <w:rsid w:val="0015715D"/>
    <w:rsid w:val="00160D30"/>
    <w:rsid w:val="00161ADA"/>
    <w:rsid w:val="001620AE"/>
    <w:rsid w:val="001631F8"/>
    <w:rsid w:val="00163B9D"/>
    <w:rsid w:val="00163C1F"/>
    <w:rsid w:val="00165204"/>
    <w:rsid w:val="00165CC0"/>
    <w:rsid w:val="00166305"/>
    <w:rsid w:val="001670EF"/>
    <w:rsid w:val="001678B6"/>
    <w:rsid w:val="00167A84"/>
    <w:rsid w:val="001716B6"/>
    <w:rsid w:val="00172427"/>
    <w:rsid w:val="0017321F"/>
    <w:rsid w:val="00173239"/>
    <w:rsid w:val="00175D2C"/>
    <w:rsid w:val="001777A6"/>
    <w:rsid w:val="0018101E"/>
    <w:rsid w:val="00181BEF"/>
    <w:rsid w:val="00182A21"/>
    <w:rsid w:val="001830AA"/>
    <w:rsid w:val="00183A1F"/>
    <w:rsid w:val="00185035"/>
    <w:rsid w:val="00186D1E"/>
    <w:rsid w:val="00186FBD"/>
    <w:rsid w:val="00187D26"/>
    <w:rsid w:val="00190B97"/>
    <w:rsid w:val="001945CB"/>
    <w:rsid w:val="001951CE"/>
    <w:rsid w:val="0019767E"/>
    <w:rsid w:val="001977BB"/>
    <w:rsid w:val="001978F4"/>
    <w:rsid w:val="001A0472"/>
    <w:rsid w:val="001A070F"/>
    <w:rsid w:val="001A55B0"/>
    <w:rsid w:val="001A690D"/>
    <w:rsid w:val="001A7CA4"/>
    <w:rsid w:val="001B1A0A"/>
    <w:rsid w:val="001B209F"/>
    <w:rsid w:val="001B253D"/>
    <w:rsid w:val="001B28C6"/>
    <w:rsid w:val="001B3C12"/>
    <w:rsid w:val="001B5B4B"/>
    <w:rsid w:val="001B5E24"/>
    <w:rsid w:val="001B60F4"/>
    <w:rsid w:val="001B6771"/>
    <w:rsid w:val="001B73DA"/>
    <w:rsid w:val="001C2097"/>
    <w:rsid w:val="001C366D"/>
    <w:rsid w:val="001C6F9A"/>
    <w:rsid w:val="001C77E1"/>
    <w:rsid w:val="001D01C1"/>
    <w:rsid w:val="001D08DF"/>
    <w:rsid w:val="001D131B"/>
    <w:rsid w:val="001D1A00"/>
    <w:rsid w:val="001D244F"/>
    <w:rsid w:val="001D3229"/>
    <w:rsid w:val="001D5C48"/>
    <w:rsid w:val="001D624D"/>
    <w:rsid w:val="001D6879"/>
    <w:rsid w:val="001D6926"/>
    <w:rsid w:val="001D79F7"/>
    <w:rsid w:val="001E031A"/>
    <w:rsid w:val="001E1F75"/>
    <w:rsid w:val="001E200C"/>
    <w:rsid w:val="001E28F3"/>
    <w:rsid w:val="001E2DC7"/>
    <w:rsid w:val="001E5540"/>
    <w:rsid w:val="001F0D56"/>
    <w:rsid w:val="001F25F6"/>
    <w:rsid w:val="001F333F"/>
    <w:rsid w:val="001F3C2A"/>
    <w:rsid w:val="001F3CB2"/>
    <w:rsid w:val="001F427C"/>
    <w:rsid w:val="001F6D7A"/>
    <w:rsid w:val="001F780A"/>
    <w:rsid w:val="001F7A63"/>
    <w:rsid w:val="00201418"/>
    <w:rsid w:val="00201AE3"/>
    <w:rsid w:val="00203DAE"/>
    <w:rsid w:val="002041DC"/>
    <w:rsid w:val="00204FEE"/>
    <w:rsid w:val="00205E5D"/>
    <w:rsid w:val="00205FDB"/>
    <w:rsid w:val="002126BE"/>
    <w:rsid w:val="00212D99"/>
    <w:rsid w:val="002158FD"/>
    <w:rsid w:val="00216E66"/>
    <w:rsid w:val="0022076B"/>
    <w:rsid w:val="00220ABC"/>
    <w:rsid w:val="00221A8E"/>
    <w:rsid w:val="00221DF5"/>
    <w:rsid w:val="00222772"/>
    <w:rsid w:val="002248A0"/>
    <w:rsid w:val="00224A81"/>
    <w:rsid w:val="00224D00"/>
    <w:rsid w:val="002252CC"/>
    <w:rsid w:val="00225EF9"/>
    <w:rsid w:val="00227FC2"/>
    <w:rsid w:val="002315B9"/>
    <w:rsid w:val="00231609"/>
    <w:rsid w:val="00231AC6"/>
    <w:rsid w:val="00233513"/>
    <w:rsid w:val="00233EE6"/>
    <w:rsid w:val="00235475"/>
    <w:rsid w:val="00235491"/>
    <w:rsid w:val="0023551F"/>
    <w:rsid w:val="002361D5"/>
    <w:rsid w:val="002376CD"/>
    <w:rsid w:val="00241C46"/>
    <w:rsid w:val="002434DB"/>
    <w:rsid w:val="00245DEE"/>
    <w:rsid w:val="00246C56"/>
    <w:rsid w:val="00247176"/>
    <w:rsid w:val="00251365"/>
    <w:rsid w:val="00251EA4"/>
    <w:rsid w:val="00251F80"/>
    <w:rsid w:val="00251FE1"/>
    <w:rsid w:val="00253DF3"/>
    <w:rsid w:val="002542DE"/>
    <w:rsid w:val="00256F0E"/>
    <w:rsid w:val="00256FC2"/>
    <w:rsid w:val="00257E7C"/>
    <w:rsid w:val="002606DB"/>
    <w:rsid w:val="0026078B"/>
    <w:rsid w:val="00260F93"/>
    <w:rsid w:val="00264B20"/>
    <w:rsid w:val="00265539"/>
    <w:rsid w:val="00265619"/>
    <w:rsid w:val="0026570E"/>
    <w:rsid w:val="002659DB"/>
    <w:rsid w:val="002660E6"/>
    <w:rsid w:val="0027013E"/>
    <w:rsid w:val="002710AF"/>
    <w:rsid w:val="0027152F"/>
    <w:rsid w:val="002716E8"/>
    <w:rsid w:val="00271AE6"/>
    <w:rsid w:val="0027378F"/>
    <w:rsid w:val="00273B8E"/>
    <w:rsid w:val="002746D6"/>
    <w:rsid w:val="00276FCB"/>
    <w:rsid w:val="00277165"/>
    <w:rsid w:val="002809D7"/>
    <w:rsid w:val="00281B59"/>
    <w:rsid w:val="002842F2"/>
    <w:rsid w:val="00285054"/>
    <w:rsid w:val="00285DCE"/>
    <w:rsid w:val="00285F3C"/>
    <w:rsid w:val="00286854"/>
    <w:rsid w:val="002879F9"/>
    <w:rsid w:val="00290B0D"/>
    <w:rsid w:val="00294272"/>
    <w:rsid w:val="00295270"/>
    <w:rsid w:val="00296BFE"/>
    <w:rsid w:val="002A33E8"/>
    <w:rsid w:val="002A44A7"/>
    <w:rsid w:val="002A49BC"/>
    <w:rsid w:val="002A4A96"/>
    <w:rsid w:val="002A5EBB"/>
    <w:rsid w:val="002A6E65"/>
    <w:rsid w:val="002A7A3B"/>
    <w:rsid w:val="002B0B83"/>
    <w:rsid w:val="002B23AB"/>
    <w:rsid w:val="002B260F"/>
    <w:rsid w:val="002B3A3B"/>
    <w:rsid w:val="002B4945"/>
    <w:rsid w:val="002C11C8"/>
    <w:rsid w:val="002C1BE2"/>
    <w:rsid w:val="002C1F17"/>
    <w:rsid w:val="002C2009"/>
    <w:rsid w:val="002C2AB3"/>
    <w:rsid w:val="002C3F9B"/>
    <w:rsid w:val="002C4403"/>
    <w:rsid w:val="002C4768"/>
    <w:rsid w:val="002C5623"/>
    <w:rsid w:val="002C65A6"/>
    <w:rsid w:val="002C69B6"/>
    <w:rsid w:val="002D266D"/>
    <w:rsid w:val="002D29DD"/>
    <w:rsid w:val="002D4ADA"/>
    <w:rsid w:val="002D4C58"/>
    <w:rsid w:val="002D58B1"/>
    <w:rsid w:val="002D5B0C"/>
    <w:rsid w:val="002D5D2F"/>
    <w:rsid w:val="002D7286"/>
    <w:rsid w:val="002D77C0"/>
    <w:rsid w:val="002E0966"/>
    <w:rsid w:val="002E12E3"/>
    <w:rsid w:val="002E1EA7"/>
    <w:rsid w:val="002E2ABE"/>
    <w:rsid w:val="002E3664"/>
    <w:rsid w:val="002E3E82"/>
    <w:rsid w:val="002E6337"/>
    <w:rsid w:val="002E7451"/>
    <w:rsid w:val="002F3560"/>
    <w:rsid w:val="002F556F"/>
    <w:rsid w:val="002F5EFF"/>
    <w:rsid w:val="003024C3"/>
    <w:rsid w:val="00302986"/>
    <w:rsid w:val="00302D35"/>
    <w:rsid w:val="00303AD1"/>
    <w:rsid w:val="0030752A"/>
    <w:rsid w:val="003075D2"/>
    <w:rsid w:val="003103DA"/>
    <w:rsid w:val="003118E8"/>
    <w:rsid w:val="00313890"/>
    <w:rsid w:val="00313A41"/>
    <w:rsid w:val="00313A58"/>
    <w:rsid w:val="0031445D"/>
    <w:rsid w:val="0031677E"/>
    <w:rsid w:val="00317E75"/>
    <w:rsid w:val="003208A2"/>
    <w:rsid w:val="00320F10"/>
    <w:rsid w:val="0032230A"/>
    <w:rsid w:val="003237CC"/>
    <w:rsid w:val="00323816"/>
    <w:rsid w:val="00323B73"/>
    <w:rsid w:val="003264F0"/>
    <w:rsid w:val="00326A88"/>
    <w:rsid w:val="0032745D"/>
    <w:rsid w:val="00330771"/>
    <w:rsid w:val="00330EC8"/>
    <w:rsid w:val="00331645"/>
    <w:rsid w:val="00331DD0"/>
    <w:rsid w:val="003340D7"/>
    <w:rsid w:val="003341CF"/>
    <w:rsid w:val="003349C0"/>
    <w:rsid w:val="00337E29"/>
    <w:rsid w:val="003400F1"/>
    <w:rsid w:val="0034376B"/>
    <w:rsid w:val="00343862"/>
    <w:rsid w:val="003438CE"/>
    <w:rsid w:val="0034715F"/>
    <w:rsid w:val="00347F56"/>
    <w:rsid w:val="00351783"/>
    <w:rsid w:val="00352E3B"/>
    <w:rsid w:val="00355895"/>
    <w:rsid w:val="003569C6"/>
    <w:rsid w:val="0035715F"/>
    <w:rsid w:val="00360BC2"/>
    <w:rsid w:val="00360D88"/>
    <w:rsid w:val="003611C9"/>
    <w:rsid w:val="00366FFE"/>
    <w:rsid w:val="00367B9F"/>
    <w:rsid w:val="00370FF4"/>
    <w:rsid w:val="00371309"/>
    <w:rsid w:val="00371C87"/>
    <w:rsid w:val="0037358D"/>
    <w:rsid w:val="0037397E"/>
    <w:rsid w:val="00374944"/>
    <w:rsid w:val="003749BF"/>
    <w:rsid w:val="003765F6"/>
    <w:rsid w:val="00377DB4"/>
    <w:rsid w:val="00380BE0"/>
    <w:rsid w:val="00382D32"/>
    <w:rsid w:val="0038364E"/>
    <w:rsid w:val="003846B8"/>
    <w:rsid w:val="00384A3B"/>
    <w:rsid w:val="00384BB4"/>
    <w:rsid w:val="00387855"/>
    <w:rsid w:val="00387CE8"/>
    <w:rsid w:val="00390F14"/>
    <w:rsid w:val="003918DB"/>
    <w:rsid w:val="003920C6"/>
    <w:rsid w:val="00393997"/>
    <w:rsid w:val="0039416D"/>
    <w:rsid w:val="00394C8D"/>
    <w:rsid w:val="00396B95"/>
    <w:rsid w:val="0039780D"/>
    <w:rsid w:val="00397BBB"/>
    <w:rsid w:val="003A0A96"/>
    <w:rsid w:val="003A3D07"/>
    <w:rsid w:val="003A4318"/>
    <w:rsid w:val="003A4A3A"/>
    <w:rsid w:val="003A4BEB"/>
    <w:rsid w:val="003A6C0E"/>
    <w:rsid w:val="003A7766"/>
    <w:rsid w:val="003B06A7"/>
    <w:rsid w:val="003B1048"/>
    <w:rsid w:val="003B11F4"/>
    <w:rsid w:val="003B3D6F"/>
    <w:rsid w:val="003B42AB"/>
    <w:rsid w:val="003B469B"/>
    <w:rsid w:val="003B7241"/>
    <w:rsid w:val="003B7EB7"/>
    <w:rsid w:val="003C0638"/>
    <w:rsid w:val="003C1345"/>
    <w:rsid w:val="003C2113"/>
    <w:rsid w:val="003C40E7"/>
    <w:rsid w:val="003C41D2"/>
    <w:rsid w:val="003C6789"/>
    <w:rsid w:val="003C7C85"/>
    <w:rsid w:val="003D07F0"/>
    <w:rsid w:val="003D0959"/>
    <w:rsid w:val="003D0F3F"/>
    <w:rsid w:val="003D30F8"/>
    <w:rsid w:val="003D3B3B"/>
    <w:rsid w:val="003D3D55"/>
    <w:rsid w:val="003D3FD6"/>
    <w:rsid w:val="003D4619"/>
    <w:rsid w:val="003D55F1"/>
    <w:rsid w:val="003D63D1"/>
    <w:rsid w:val="003D7996"/>
    <w:rsid w:val="003D7A3A"/>
    <w:rsid w:val="003D7C2D"/>
    <w:rsid w:val="003E0177"/>
    <w:rsid w:val="003E27E1"/>
    <w:rsid w:val="003E3272"/>
    <w:rsid w:val="003E5075"/>
    <w:rsid w:val="003E7E7B"/>
    <w:rsid w:val="003F1073"/>
    <w:rsid w:val="003F11FE"/>
    <w:rsid w:val="003F135B"/>
    <w:rsid w:val="003F3348"/>
    <w:rsid w:val="003F37A0"/>
    <w:rsid w:val="003F37CD"/>
    <w:rsid w:val="003F3D1B"/>
    <w:rsid w:val="003F3E47"/>
    <w:rsid w:val="003F4783"/>
    <w:rsid w:val="003F5980"/>
    <w:rsid w:val="003F5EAA"/>
    <w:rsid w:val="003F6E0B"/>
    <w:rsid w:val="003F7D10"/>
    <w:rsid w:val="0040111C"/>
    <w:rsid w:val="00404A31"/>
    <w:rsid w:val="0040569F"/>
    <w:rsid w:val="00405AAA"/>
    <w:rsid w:val="00405BCC"/>
    <w:rsid w:val="004069FB"/>
    <w:rsid w:val="00406A78"/>
    <w:rsid w:val="00411DE8"/>
    <w:rsid w:val="00412561"/>
    <w:rsid w:val="00414A7C"/>
    <w:rsid w:val="00416CF5"/>
    <w:rsid w:val="0041738B"/>
    <w:rsid w:val="00420227"/>
    <w:rsid w:val="00420D29"/>
    <w:rsid w:val="00420F30"/>
    <w:rsid w:val="00423A21"/>
    <w:rsid w:val="004241DF"/>
    <w:rsid w:val="0042552E"/>
    <w:rsid w:val="00427961"/>
    <w:rsid w:val="00430254"/>
    <w:rsid w:val="00431306"/>
    <w:rsid w:val="00431639"/>
    <w:rsid w:val="00433E02"/>
    <w:rsid w:val="00434422"/>
    <w:rsid w:val="00434B6E"/>
    <w:rsid w:val="004351EE"/>
    <w:rsid w:val="004355C1"/>
    <w:rsid w:val="00435D69"/>
    <w:rsid w:val="00435EE1"/>
    <w:rsid w:val="00437093"/>
    <w:rsid w:val="00437D03"/>
    <w:rsid w:val="0044072B"/>
    <w:rsid w:val="00440D07"/>
    <w:rsid w:val="004410B6"/>
    <w:rsid w:val="0044372C"/>
    <w:rsid w:val="00444B38"/>
    <w:rsid w:val="00447388"/>
    <w:rsid w:val="004500B8"/>
    <w:rsid w:val="0045058B"/>
    <w:rsid w:val="00452E6E"/>
    <w:rsid w:val="0045344E"/>
    <w:rsid w:val="004552BB"/>
    <w:rsid w:val="00455DD5"/>
    <w:rsid w:val="00456493"/>
    <w:rsid w:val="00457F2E"/>
    <w:rsid w:val="004618F6"/>
    <w:rsid w:val="004620A9"/>
    <w:rsid w:val="00463235"/>
    <w:rsid w:val="004638C0"/>
    <w:rsid w:val="004647F4"/>
    <w:rsid w:val="00465411"/>
    <w:rsid w:val="00466557"/>
    <w:rsid w:val="004667AC"/>
    <w:rsid w:val="00467D6D"/>
    <w:rsid w:val="00470F11"/>
    <w:rsid w:val="00471CA5"/>
    <w:rsid w:val="0047291E"/>
    <w:rsid w:val="00473786"/>
    <w:rsid w:val="00474087"/>
    <w:rsid w:val="0047458E"/>
    <w:rsid w:val="0047532B"/>
    <w:rsid w:val="00475941"/>
    <w:rsid w:val="00483B13"/>
    <w:rsid w:val="00484B4C"/>
    <w:rsid w:val="00484E04"/>
    <w:rsid w:val="004851D5"/>
    <w:rsid w:val="0048549C"/>
    <w:rsid w:val="004922D7"/>
    <w:rsid w:val="00492B3C"/>
    <w:rsid w:val="004934BE"/>
    <w:rsid w:val="00494115"/>
    <w:rsid w:val="00494233"/>
    <w:rsid w:val="0049466F"/>
    <w:rsid w:val="004950AF"/>
    <w:rsid w:val="00495FB2"/>
    <w:rsid w:val="0049603D"/>
    <w:rsid w:val="00496992"/>
    <w:rsid w:val="004A1B60"/>
    <w:rsid w:val="004A3F96"/>
    <w:rsid w:val="004A433E"/>
    <w:rsid w:val="004A4F51"/>
    <w:rsid w:val="004A60E2"/>
    <w:rsid w:val="004B00E5"/>
    <w:rsid w:val="004B287D"/>
    <w:rsid w:val="004B42F2"/>
    <w:rsid w:val="004B498E"/>
    <w:rsid w:val="004B586B"/>
    <w:rsid w:val="004B6F2B"/>
    <w:rsid w:val="004B7469"/>
    <w:rsid w:val="004B7764"/>
    <w:rsid w:val="004C0C56"/>
    <w:rsid w:val="004C0D96"/>
    <w:rsid w:val="004C1A3B"/>
    <w:rsid w:val="004C3E3A"/>
    <w:rsid w:val="004C55B1"/>
    <w:rsid w:val="004C6646"/>
    <w:rsid w:val="004D03FD"/>
    <w:rsid w:val="004D22DB"/>
    <w:rsid w:val="004D445D"/>
    <w:rsid w:val="004D4BCD"/>
    <w:rsid w:val="004D6535"/>
    <w:rsid w:val="004D69D0"/>
    <w:rsid w:val="004D7393"/>
    <w:rsid w:val="004D7EB2"/>
    <w:rsid w:val="004E0BEF"/>
    <w:rsid w:val="004E1825"/>
    <w:rsid w:val="004E1E4C"/>
    <w:rsid w:val="004E208C"/>
    <w:rsid w:val="004E283C"/>
    <w:rsid w:val="004E2883"/>
    <w:rsid w:val="004E3583"/>
    <w:rsid w:val="004E38E8"/>
    <w:rsid w:val="004E4128"/>
    <w:rsid w:val="004F179D"/>
    <w:rsid w:val="004F1F1B"/>
    <w:rsid w:val="004F23C6"/>
    <w:rsid w:val="004F23C9"/>
    <w:rsid w:val="004F2A26"/>
    <w:rsid w:val="004F2AE8"/>
    <w:rsid w:val="004F3F55"/>
    <w:rsid w:val="004F4556"/>
    <w:rsid w:val="004F6B26"/>
    <w:rsid w:val="004F7812"/>
    <w:rsid w:val="004F78AA"/>
    <w:rsid w:val="004F7C74"/>
    <w:rsid w:val="005008A8"/>
    <w:rsid w:val="00502704"/>
    <w:rsid w:val="00502D2F"/>
    <w:rsid w:val="005040DA"/>
    <w:rsid w:val="005046D4"/>
    <w:rsid w:val="0050540A"/>
    <w:rsid w:val="0050609A"/>
    <w:rsid w:val="005065B8"/>
    <w:rsid w:val="00507460"/>
    <w:rsid w:val="00507CD8"/>
    <w:rsid w:val="00511AF3"/>
    <w:rsid w:val="00512B68"/>
    <w:rsid w:val="00512CA7"/>
    <w:rsid w:val="0051336C"/>
    <w:rsid w:val="00513F7F"/>
    <w:rsid w:val="00514307"/>
    <w:rsid w:val="0051559F"/>
    <w:rsid w:val="005164D5"/>
    <w:rsid w:val="00521B00"/>
    <w:rsid w:val="00522649"/>
    <w:rsid w:val="00522D16"/>
    <w:rsid w:val="00525BC1"/>
    <w:rsid w:val="0053058C"/>
    <w:rsid w:val="0053175F"/>
    <w:rsid w:val="00531C69"/>
    <w:rsid w:val="00534DD8"/>
    <w:rsid w:val="00534F15"/>
    <w:rsid w:val="005361C8"/>
    <w:rsid w:val="005372B9"/>
    <w:rsid w:val="005401A8"/>
    <w:rsid w:val="005403FB"/>
    <w:rsid w:val="00540F6C"/>
    <w:rsid w:val="005415B5"/>
    <w:rsid w:val="00541A44"/>
    <w:rsid w:val="005424AE"/>
    <w:rsid w:val="00543DC0"/>
    <w:rsid w:val="00544BAD"/>
    <w:rsid w:val="00544BD5"/>
    <w:rsid w:val="00544EAC"/>
    <w:rsid w:val="005473EE"/>
    <w:rsid w:val="00547B29"/>
    <w:rsid w:val="00550880"/>
    <w:rsid w:val="00551136"/>
    <w:rsid w:val="0055411F"/>
    <w:rsid w:val="00561349"/>
    <w:rsid w:val="005617D9"/>
    <w:rsid w:val="00562122"/>
    <w:rsid w:val="0056230A"/>
    <w:rsid w:val="005625A0"/>
    <w:rsid w:val="00562B82"/>
    <w:rsid w:val="00565D41"/>
    <w:rsid w:val="005660A5"/>
    <w:rsid w:val="00571780"/>
    <w:rsid w:val="0057252C"/>
    <w:rsid w:val="00572740"/>
    <w:rsid w:val="00572CC6"/>
    <w:rsid w:val="00573D39"/>
    <w:rsid w:val="00574596"/>
    <w:rsid w:val="00577490"/>
    <w:rsid w:val="00577A0B"/>
    <w:rsid w:val="0058039C"/>
    <w:rsid w:val="005811C1"/>
    <w:rsid w:val="00584B1D"/>
    <w:rsid w:val="00584FB8"/>
    <w:rsid w:val="00585326"/>
    <w:rsid w:val="00585404"/>
    <w:rsid w:val="00585C03"/>
    <w:rsid w:val="0058772B"/>
    <w:rsid w:val="00593112"/>
    <w:rsid w:val="00597407"/>
    <w:rsid w:val="005975EC"/>
    <w:rsid w:val="00597630"/>
    <w:rsid w:val="005A0DD3"/>
    <w:rsid w:val="005A0E9F"/>
    <w:rsid w:val="005A15F8"/>
    <w:rsid w:val="005A1F38"/>
    <w:rsid w:val="005A49E8"/>
    <w:rsid w:val="005A56CD"/>
    <w:rsid w:val="005A65A4"/>
    <w:rsid w:val="005A65BF"/>
    <w:rsid w:val="005A69EA"/>
    <w:rsid w:val="005B03A6"/>
    <w:rsid w:val="005B08F8"/>
    <w:rsid w:val="005B140D"/>
    <w:rsid w:val="005B243A"/>
    <w:rsid w:val="005B3DF8"/>
    <w:rsid w:val="005B4075"/>
    <w:rsid w:val="005B5388"/>
    <w:rsid w:val="005B5F17"/>
    <w:rsid w:val="005B64A6"/>
    <w:rsid w:val="005C0D7B"/>
    <w:rsid w:val="005C5207"/>
    <w:rsid w:val="005D0E63"/>
    <w:rsid w:val="005D10F9"/>
    <w:rsid w:val="005D7126"/>
    <w:rsid w:val="005D71D8"/>
    <w:rsid w:val="005E5936"/>
    <w:rsid w:val="005E5AB5"/>
    <w:rsid w:val="005E7730"/>
    <w:rsid w:val="005F6629"/>
    <w:rsid w:val="005F6F79"/>
    <w:rsid w:val="005F7C1F"/>
    <w:rsid w:val="00600C0F"/>
    <w:rsid w:val="0060123B"/>
    <w:rsid w:val="00603F76"/>
    <w:rsid w:val="00604098"/>
    <w:rsid w:val="006071B4"/>
    <w:rsid w:val="00610A88"/>
    <w:rsid w:val="006117F6"/>
    <w:rsid w:val="0061198A"/>
    <w:rsid w:val="00613CE0"/>
    <w:rsid w:val="00616A50"/>
    <w:rsid w:val="00616E83"/>
    <w:rsid w:val="00617630"/>
    <w:rsid w:val="00621FFF"/>
    <w:rsid w:val="00622D05"/>
    <w:rsid w:val="00623E5C"/>
    <w:rsid w:val="00624B8E"/>
    <w:rsid w:val="00624F18"/>
    <w:rsid w:val="00625E7E"/>
    <w:rsid w:val="00626659"/>
    <w:rsid w:val="00626A1B"/>
    <w:rsid w:val="00626A48"/>
    <w:rsid w:val="00626C60"/>
    <w:rsid w:val="00627019"/>
    <w:rsid w:val="00627119"/>
    <w:rsid w:val="00627C51"/>
    <w:rsid w:val="00627CD5"/>
    <w:rsid w:val="0063116A"/>
    <w:rsid w:val="00631506"/>
    <w:rsid w:val="00632819"/>
    <w:rsid w:val="00633231"/>
    <w:rsid w:val="006364D4"/>
    <w:rsid w:val="0063659E"/>
    <w:rsid w:val="006365A7"/>
    <w:rsid w:val="00636694"/>
    <w:rsid w:val="00637B13"/>
    <w:rsid w:val="00637CF1"/>
    <w:rsid w:val="00640552"/>
    <w:rsid w:val="006420CD"/>
    <w:rsid w:val="00642141"/>
    <w:rsid w:val="00643390"/>
    <w:rsid w:val="0064371F"/>
    <w:rsid w:val="00643866"/>
    <w:rsid w:val="00644EF1"/>
    <w:rsid w:val="00646BC9"/>
    <w:rsid w:val="00647F64"/>
    <w:rsid w:val="00651811"/>
    <w:rsid w:val="0065235A"/>
    <w:rsid w:val="006527A2"/>
    <w:rsid w:val="00654BFC"/>
    <w:rsid w:val="00657639"/>
    <w:rsid w:val="00657E09"/>
    <w:rsid w:val="00660EF6"/>
    <w:rsid w:val="006622C2"/>
    <w:rsid w:val="00663936"/>
    <w:rsid w:val="0066501A"/>
    <w:rsid w:val="00665E46"/>
    <w:rsid w:val="0066635A"/>
    <w:rsid w:val="006671C7"/>
    <w:rsid w:val="006673EB"/>
    <w:rsid w:val="006675F7"/>
    <w:rsid w:val="006700E5"/>
    <w:rsid w:val="00670505"/>
    <w:rsid w:val="00671525"/>
    <w:rsid w:val="006728FE"/>
    <w:rsid w:val="006733D4"/>
    <w:rsid w:val="00674223"/>
    <w:rsid w:val="00674452"/>
    <w:rsid w:val="00674AE6"/>
    <w:rsid w:val="00675943"/>
    <w:rsid w:val="00675956"/>
    <w:rsid w:val="00677972"/>
    <w:rsid w:val="00677B0A"/>
    <w:rsid w:val="00677E92"/>
    <w:rsid w:val="00681768"/>
    <w:rsid w:val="00682ABD"/>
    <w:rsid w:val="00683364"/>
    <w:rsid w:val="006833DE"/>
    <w:rsid w:val="00683E64"/>
    <w:rsid w:val="00685EE2"/>
    <w:rsid w:val="006941CF"/>
    <w:rsid w:val="00694D81"/>
    <w:rsid w:val="006955AE"/>
    <w:rsid w:val="006960D2"/>
    <w:rsid w:val="00696406"/>
    <w:rsid w:val="006968A1"/>
    <w:rsid w:val="006A0C77"/>
    <w:rsid w:val="006A0F62"/>
    <w:rsid w:val="006A3193"/>
    <w:rsid w:val="006A4DFC"/>
    <w:rsid w:val="006A71BB"/>
    <w:rsid w:val="006B2A6A"/>
    <w:rsid w:val="006B3913"/>
    <w:rsid w:val="006B41B4"/>
    <w:rsid w:val="006B4230"/>
    <w:rsid w:val="006B52A5"/>
    <w:rsid w:val="006C1284"/>
    <w:rsid w:val="006C1713"/>
    <w:rsid w:val="006C24D7"/>
    <w:rsid w:val="006C4215"/>
    <w:rsid w:val="006C6B44"/>
    <w:rsid w:val="006C76B4"/>
    <w:rsid w:val="006D0473"/>
    <w:rsid w:val="006D0627"/>
    <w:rsid w:val="006D16BF"/>
    <w:rsid w:val="006D1832"/>
    <w:rsid w:val="006D197F"/>
    <w:rsid w:val="006D4E2C"/>
    <w:rsid w:val="006D4F00"/>
    <w:rsid w:val="006D6086"/>
    <w:rsid w:val="006D6709"/>
    <w:rsid w:val="006D6804"/>
    <w:rsid w:val="006D75A7"/>
    <w:rsid w:val="006E1EE0"/>
    <w:rsid w:val="006E2698"/>
    <w:rsid w:val="006E458A"/>
    <w:rsid w:val="006E5CA4"/>
    <w:rsid w:val="006E616C"/>
    <w:rsid w:val="006E7EF0"/>
    <w:rsid w:val="006F0AA8"/>
    <w:rsid w:val="006F174D"/>
    <w:rsid w:val="006F1873"/>
    <w:rsid w:val="006F438C"/>
    <w:rsid w:val="006F4FAB"/>
    <w:rsid w:val="006F5320"/>
    <w:rsid w:val="006F6B65"/>
    <w:rsid w:val="006F7940"/>
    <w:rsid w:val="006F7E78"/>
    <w:rsid w:val="00701C21"/>
    <w:rsid w:val="00702388"/>
    <w:rsid w:val="007028C4"/>
    <w:rsid w:val="00703118"/>
    <w:rsid w:val="0071118C"/>
    <w:rsid w:val="007122B6"/>
    <w:rsid w:val="00712B5A"/>
    <w:rsid w:val="00716753"/>
    <w:rsid w:val="00716A11"/>
    <w:rsid w:val="00717A65"/>
    <w:rsid w:val="00721A27"/>
    <w:rsid w:val="00722156"/>
    <w:rsid w:val="007227C9"/>
    <w:rsid w:val="00723BD7"/>
    <w:rsid w:val="00723F25"/>
    <w:rsid w:val="00724A7F"/>
    <w:rsid w:val="007269D6"/>
    <w:rsid w:val="00730810"/>
    <w:rsid w:val="00731B4D"/>
    <w:rsid w:val="00734A97"/>
    <w:rsid w:val="00735DE9"/>
    <w:rsid w:val="007401F0"/>
    <w:rsid w:val="00741057"/>
    <w:rsid w:val="00742629"/>
    <w:rsid w:val="00742AFE"/>
    <w:rsid w:val="0074307B"/>
    <w:rsid w:val="007431EC"/>
    <w:rsid w:val="00743EF6"/>
    <w:rsid w:val="007443BF"/>
    <w:rsid w:val="0074496A"/>
    <w:rsid w:val="00744F70"/>
    <w:rsid w:val="00744FA2"/>
    <w:rsid w:val="007457E1"/>
    <w:rsid w:val="0074630A"/>
    <w:rsid w:val="00746388"/>
    <w:rsid w:val="007476BD"/>
    <w:rsid w:val="00747EA5"/>
    <w:rsid w:val="00752CAE"/>
    <w:rsid w:val="0075340E"/>
    <w:rsid w:val="007536A4"/>
    <w:rsid w:val="0075468C"/>
    <w:rsid w:val="00754D68"/>
    <w:rsid w:val="0075590C"/>
    <w:rsid w:val="00756B6A"/>
    <w:rsid w:val="00757CB4"/>
    <w:rsid w:val="00760733"/>
    <w:rsid w:val="00761C4E"/>
    <w:rsid w:val="00762A9F"/>
    <w:rsid w:val="00763FAF"/>
    <w:rsid w:val="00763FBA"/>
    <w:rsid w:val="00764161"/>
    <w:rsid w:val="00764B83"/>
    <w:rsid w:val="0076543A"/>
    <w:rsid w:val="00765F6B"/>
    <w:rsid w:val="0076633C"/>
    <w:rsid w:val="00772F74"/>
    <w:rsid w:val="00773B85"/>
    <w:rsid w:val="00774481"/>
    <w:rsid w:val="0077501F"/>
    <w:rsid w:val="00775C69"/>
    <w:rsid w:val="00776047"/>
    <w:rsid w:val="00776064"/>
    <w:rsid w:val="00776457"/>
    <w:rsid w:val="00776EF1"/>
    <w:rsid w:val="007770C9"/>
    <w:rsid w:val="00780F13"/>
    <w:rsid w:val="007810CF"/>
    <w:rsid w:val="0078151E"/>
    <w:rsid w:val="00781E68"/>
    <w:rsid w:val="00782B2E"/>
    <w:rsid w:val="007847F2"/>
    <w:rsid w:val="007852E6"/>
    <w:rsid w:val="0078547A"/>
    <w:rsid w:val="0078644D"/>
    <w:rsid w:val="00786499"/>
    <w:rsid w:val="00787DF6"/>
    <w:rsid w:val="007908B1"/>
    <w:rsid w:val="0079196A"/>
    <w:rsid w:val="007919C4"/>
    <w:rsid w:val="00791AF6"/>
    <w:rsid w:val="00793A59"/>
    <w:rsid w:val="00794E7F"/>
    <w:rsid w:val="00796345"/>
    <w:rsid w:val="007A1926"/>
    <w:rsid w:val="007A3CB3"/>
    <w:rsid w:val="007A4C8C"/>
    <w:rsid w:val="007A5971"/>
    <w:rsid w:val="007A6977"/>
    <w:rsid w:val="007A7E37"/>
    <w:rsid w:val="007B1B8C"/>
    <w:rsid w:val="007B1B90"/>
    <w:rsid w:val="007B2B2E"/>
    <w:rsid w:val="007B659E"/>
    <w:rsid w:val="007C15F5"/>
    <w:rsid w:val="007C16AB"/>
    <w:rsid w:val="007C2129"/>
    <w:rsid w:val="007C239D"/>
    <w:rsid w:val="007C3748"/>
    <w:rsid w:val="007C3F4A"/>
    <w:rsid w:val="007C6572"/>
    <w:rsid w:val="007C734C"/>
    <w:rsid w:val="007C7A04"/>
    <w:rsid w:val="007D0045"/>
    <w:rsid w:val="007D1819"/>
    <w:rsid w:val="007D5FA1"/>
    <w:rsid w:val="007D7E7F"/>
    <w:rsid w:val="007E250B"/>
    <w:rsid w:val="007E2AF6"/>
    <w:rsid w:val="007E2E0C"/>
    <w:rsid w:val="007E2ED5"/>
    <w:rsid w:val="007E2F79"/>
    <w:rsid w:val="007E3A08"/>
    <w:rsid w:val="007E64D8"/>
    <w:rsid w:val="007E687A"/>
    <w:rsid w:val="007E6DB2"/>
    <w:rsid w:val="007E7C61"/>
    <w:rsid w:val="007F00A9"/>
    <w:rsid w:val="007F168A"/>
    <w:rsid w:val="007F3D2C"/>
    <w:rsid w:val="007F6838"/>
    <w:rsid w:val="007F7508"/>
    <w:rsid w:val="007F7ADF"/>
    <w:rsid w:val="0080054E"/>
    <w:rsid w:val="00800FF0"/>
    <w:rsid w:val="00801E42"/>
    <w:rsid w:val="00802CB7"/>
    <w:rsid w:val="00803CEA"/>
    <w:rsid w:val="00804B9F"/>
    <w:rsid w:val="00806478"/>
    <w:rsid w:val="00806B97"/>
    <w:rsid w:val="008147CD"/>
    <w:rsid w:val="0081668B"/>
    <w:rsid w:val="00816F84"/>
    <w:rsid w:val="0081715A"/>
    <w:rsid w:val="00817919"/>
    <w:rsid w:val="00820347"/>
    <w:rsid w:val="00821577"/>
    <w:rsid w:val="0082172A"/>
    <w:rsid w:val="00821B81"/>
    <w:rsid w:val="008244ED"/>
    <w:rsid w:val="008304CF"/>
    <w:rsid w:val="008308BB"/>
    <w:rsid w:val="00832C54"/>
    <w:rsid w:val="00832CE0"/>
    <w:rsid w:val="00833D6B"/>
    <w:rsid w:val="008354FD"/>
    <w:rsid w:val="00835628"/>
    <w:rsid w:val="0083586E"/>
    <w:rsid w:val="00837547"/>
    <w:rsid w:val="00840275"/>
    <w:rsid w:val="008416D3"/>
    <w:rsid w:val="00841761"/>
    <w:rsid w:val="00842F65"/>
    <w:rsid w:val="00846987"/>
    <w:rsid w:val="00847411"/>
    <w:rsid w:val="00847D6C"/>
    <w:rsid w:val="00850BFF"/>
    <w:rsid w:val="00851367"/>
    <w:rsid w:val="00852797"/>
    <w:rsid w:val="0085296A"/>
    <w:rsid w:val="00853723"/>
    <w:rsid w:val="00856CB3"/>
    <w:rsid w:val="00857498"/>
    <w:rsid w:val="00863E2E"/>
    <w:rsid w:val="008649BE"/>
    <w:rsid w:val="00864CB8"/>
    <w:rsid w:val="0086725B"/>
    <w:rsid w:val="00867A02"/>
    <w:rsid w:val="00867E58"/>
    <w:rsid w:val="0087032D"/>
    <w:rsid w:val="0087064A"/>
    <w:rsid w:val="00871650"/>
    <w:rsid w:val="00871ECB"/>
    <w:rsid w:val="008722BF"/>
    <w:rsid w:val="00873D29"/>
    <w:rsid w:val="00873F0D"/>
    <w:rsid w:val="0087419F"/>
    <w:rsid w:val="008765A8"/>
    <w:rsid w:val="0088008F"/>
    <w:rsid w:val="00880703"/>
    <w:rsid w:val="0088090E"/>
    <w:rsid w:val="00880B0F"/>
    <w:rsid w:val="00882245"/>
    <w:rsid w:val="00882A6B"/>
    <w:rsid w:val="008835F6"/>
    <w:rsid w:val="0088413A"/>
    <w:rsid w:val="00885462"/>
    <w:rsid w:val="008868DA"/>
    <w:rsid w:val="00886975"/>
    <w:rsid w:val="008874F6"/>
    <w:rsid w:val="00887A3D"/>
    <w:rsid w:val="00890F1A"/>
    <w:rsid w:val="00891147"/>
    <w:rsid w:val="008912BC"/>
    <w:rsid w:val="00891862"/>
    <w:rsid w:val="00892503"/>
    <w:rsid w:val="00893BBD"/>
    <w:rsid w:val="00894795"/>
    <w:rsid w:val="0089587F"/>
    <w:rsid w:val="00896C07"/>
    <w:rsid w:val="00896FA2"/>
    <w:rsid w:val="00897680"/>
    <w:rsid w:val="008A1E58"/>
    <w:rsid w:val="008A2C1F"/>
    <w:rsid w:val="008A2F3C"/>
    <w:rsid w:val="008A332C"/>
    <w:rsid w:val="008A5FFF"/>
    <w:rsid w:val="008A6955"/>
    <w:rsid w:val="008A6DC9"/>
    <w:rsid w:val="008A7240"/>
    <w:rsid w:val="008A7BD4"/>
    <w:rsid w:val="008B1EF2"/>
    <w:rsid w:val="008B20FC"/>
    <w:rsid w:val="008B2C8E"/>
    <w:rsid w:val="008B46E6"/>
    <w:rsid w:val="008B4B80"/>
    <w:rsid w:val="008B52EC"/>
    <w:rsid w:val="008C01EE"/>
    <w:rsid w:val="008C03CF"/>
    <w:rsid w:val="008C173A"/>
    <w:rsid w:val="008C1E15"/>
    <w:rsid w:val="008C2A68"/>
    <w:rsid w:val="008C5F33"/>
    <w:rsid w:val="008C700D"/>
    <w:rsid w:val="008C744B"/>
    <w:rsid w:val="008D05F5"/>
    <w:rsid w:val="008D24E3"/>
    <w:rsid w:val="008D2C43"/>
    <w:rsid w:val="008D2C52"/>
    <w:rsid w:val="008D435B"/>
    <w:rsid w:val="008D44E4"/>
    <w:rsid w:val="008D470E"/>
    <w:rsid w:val="008D4F17"/>
    <w:rsid w:val="008D69B3"/>
    <w:rsid w:val="008E24A5"/>
    <w:rsid w:val="008E2937"/>
    <w:rsid w:val="008E332A"/>
    <w:rsid w:val="008E3A3F"/>
    <w:rsid w:val="008E400A"/>
    <w:rsid w:val="008E4746"/>
    <w:rsid w:val="008E4C0C"/>
    <w:rsid w:val="008E4EC1"/>
    <w:rsid w:val="008E5577"/>
    <w:rsid w:val="008E5B22"/>
    <w:rsid w:val="008E6544"/>
    <w:rsid w:val="008E6858"/>
    <w:rsid w:val="008E6E1C"/>
    <w:rsid w:val="008F1FF2"/>
    <w:rsid w:val="008F2662"/>
    <w:rsid w:val="008F2C70"/>
    <w:rsid w:val="008F4198"/>
    <w:rsid w:val="008F5544"/>
    <w:rsid w:val="008F6576"/>
    <w:rsid w:val="008F7ADC"/>
    <w:rsid w:val="008F7CCF"/>
    <w:rsid w:val="00901447"/>
    <w:rsid w:val="00901515"/>
    <w:rsid w:val="00901AD4"/>
    <w:rsid w:val="009025F0"/>
    <w:rsid w:val="00902836"/>
    <w:rsid w:val="00905035"/>
    <w:rsid w:val="009058D7"/>
    <w:rsid w:val="00905F89"/>
    <w:rsid w:val="00906288"/>
    <w:rsid w:val="00912D31"/>
    <w:rsid w:val="00913B02"/>
    <w:rsid w:val="00913F5A"/>
    <w:rsid w:val="009144D5"/>
    <w:rsid w:val="009153E8"/>
    <w:rsid w:val="00915D67"/>
    <w:rsid w:val="00916B08"/>
    <w:rsid w:val="00920215"/>
    <w:rsid w:val="00920436"/>
    <w:rsid w:val="009211B4"/>
    <w:rsid w:val="0092292E"/>
    <w:rsid w:val="0092315C"/>
    <w:rsid w:val="00923548"/>
    <w:rsid w:val="00923D3F"/>
    <w:rsid w:val="00923EEB"/>
    <w:rsid w:val="00925061"/>
    <w:rsid w:val="00925F7B"/>
    <w:rsid w:val="0092641A"/>
    <w:rsid w:val="00926BEE"/>
    <w:rsid w:val="00926F88"/>
    <w:rsid w:val="009278ED"/>
    <w:rsid w:val="00931F9E"/>
    <w:rsid w:val="00935AE7"/>
    <w:rsid w:val="009415FA"/>
    <w:rsid w:val="00943B79"/>
    <w:rsid w:val="0094468B"/>
    <w:rsid w:val="009461DE"/>
    <w:rsid w:val="00946227"/>
    <w:rsid w:val="00947478"/>
    <w:rsid w:val="00950114"/>
    <w:rsid w:val="00950147"/>
    <w:rsid w:val="0095064C"/>
    <w:rsid w:val="00951FB2"/>
    <w:rsid w:val="00952CBA"/>
    <w:rsid w:val="00952F99"/>
    <w:rsid w:val="009535D2"/>
    <w:rsid w:val="00953B50"/>
    <w:rsid w:val="00954B8C"/>
    <w:rsid w:val="0095713B"/>
    <w:rsid w:val="00960172"/>
    <w:rsid w:val="00962ABF"/>
    <w:rsid w:val="00963D86"/>
    <w:rsid w:val="0096644C"/>
    <w:rsid w:val="0096701A"/>
    <w:rsid w:val="00967E59"/>
    <w:rsid w:val="009762F0"/>
    <w:rsid w:val="00976EE8"/>
    <w:rsid w:val="009770B5"/>
    <w:rsid w:val="00980183"/>
    <w:rsid w:val="009821BA"/>
    <w:rsid w:val="0098307A"/>
    <w:rsid w:val="00983E0F"/>
    <w:rsid w:val="0098510E"/>
    <w:rsid w:val="00985244"/>
    <w:rsid w:val="0098573A"/>
    <w:rsid w:val="00985859"/>
    <w:rsid w:val="009859CF"/>
    <w:rsid w:val="009864F0"/>
    <w:rsid w:val="009917FA"/>
    <w:rsid w:val="0099248B"/>
    <w:rsid w:val="009952D0"/>
    <w:rsid w:val="0099593A"/>
    <w:rsid w:val="00995D4B"/>
    <w:rsid w:val="0099730D"/>
    <w:rsid w:val="00997B3B"/>
    <w:rsid w:val="009A2576"/>
    <w:rsid w:val="009A3C67"/>
    <w:rsid w:val="009A4E14"/>
    <w:rsid w:val="009A5169"/>
    <w:rsid w:val="009A7A02"/>
    <w:rsid w:val="009A7FCA"/>
    <w:rsid w:val="009B1D53"/>
    <w:rsid w:val="009B1D66"/>
    <w:rsid w:val="009B407E"/>
    <w:rsid w:val="009B74C2"/>
    <w:rsid w:val="009C0039"/>
    <w:rsid w:val="009C0DA1"/>
    <w:rsid w:val="009C1D01"/>
    <w:rsid w:val="009C2669"/>
    <w:rsid w:val="009C29F1"/>
    <w:rsid w:val="009C2B27"/>
    <w:rsid w:val="009C2C30"/>
    <w:rsid w:val="009C2CAD"/>
    <w:rsid w:val="009C44AD"/>
    <w:rsid w:val="009C4AC2"/>
    <w:rsid w:val="009C648E"/>
    <w:rsid w:val="009C6AB8"/>
    <w:rsid w:val="009D2100"/>
    <w:rsid w:val="009D2402"/>
    <w:rsid w:val="009D2B44"/>
    <w:rsid w:val="009D36BF"/>
    <w:rsid w:val="009D7180"/>
    <w:rsid w:val="009D774A"/>
    <w:rsid w:val="009D7D29"/>
    <w:rsid w:val="009E08D1"/>
    <w:rsid w:val="009E0F0E"/>
    <w:rsid w:val="009E105D"/>
    <w:rsid w:val="009E197D"/>
    <w:rsid w:val="009E1F20"/>
    <w:rsid w:val="009E4199"/>
    <w:rsid w:val="009E50B9"/>
    <w:rsid w:val="009E514E"/>
    <w:rsid w:val="009E5235"/>
    <w:rsid w:val="009E5726"/>
    <w:rsid w:val="009E7609"/>
    <w:rsid w:val="009E793A"/>
    <w:rsid w:val="009F0FFF"/>
    <w:rsid w:val="009F128C"/>
    <w:rsid w:val="009F290A"/>
    <w:rsid w:val="009F39C7"/>
    <w:rsid w:val="009F3B87"/>
    <w:rsid w:val="009F3C9B"/>
    <w:rsid w:val="009F449A"/>
    <w:rsid w:val="009F5C72"/>
    <w:rsid w:val="009F6423"/>
    <w:rsid w:val="009F6580"/>
    <w:rsid w:val="009F7769"/>
    <w:rsid w:val="009F7B38"/>
    <w:rsid w:val="00A013E1"/>
    <w:rsid w:val="00A01CCB"/>
    <w:rsid w:val="00A05EAF"/>
    <w:rsid w:val="00A10560"/>
    <w:rsid w:val="00A12445"/>
    <w:rsid w:val="00A144B0"/>
    <w:rsid w:val="00A16B9A"/>
    <w:rsid w:val="00A171E1"/>
    <w:rsid w:val="00A20357"/>
    <w:rsid w:val="00A20519"/>
    <w:rsid w:val="00A20A19"/>
    <w:rsid w:val="00A21734"/>
    <w:rsid w:val="00A22988"/>
    <w:rsid w:val="00A22ED4"/>
    <w:rsid w:val="00A271F3"/>
    <w:rsid w:val="00A27247"/>
    <w:rsid w:val="00A2749B"/>
    <w:rsid w:val="00A279F9"/>
    <w:rsid w:val="00A30211"/>
    <w:rsid w:val="00A306F8"/>
    <w:rsid w:val="00A309C5"/>
    <w:rsid w:val="00A3137A"/>
    <w:rsid w:val="00A3141C"/>
    <w:rsid w:val="00A329BA"/>
    <w:rsid w:val="00A33881"/>
    <w:rsid w:val="00A34789"/>
    <w:rsid w:val="00A363EF"/>
    <w:rsid w:val="00A40A29"/>
    <w:rsid w:val="00A4222C"/>
    <w:rsid w:val="00A42A55"/>
    <w:rsid w:val="00A4328B"/>
    <w:rsid w:val="00A44820"/>
    <w:rsid w:val="00A4497C"/>
    <w:rsid w:val="00A46E23"/>
    <w:rsid w:val="00A4708F"/>
    <w:rsid w:val="00A52291"/>
    <w:rsid w:val="00A525A7"/>
    <w:rsid w:val="00A527B3"/>
    <w:rsid w:val="00A52E1F"/>
    <w:rsid w:val="00A52ED8"/>
    <w:rsid w:val="00A5355E"/>
    <w:rsid w:val="00A535D5"/>
    <w:rsid w:val="00A53C89"/>
    <w:rsid w:val="00A54EA2"/>
    <w:rsid w:val="00A5514E"/>
    <w:rsid w:val="00A56B80"/>
    <w:rsid w:val="00A56D99"/>
    <w:rsid w:val="00A57239"/>
    <w:rsid w:val="00A57D74"/>
    <w:rsid w:val="00A600DD"/>
    <w:rsid w:val="00A606F1"/>
    <w:rsid w:val="00A61192"/>
    <w:rsid w:val="00A61898"/>
    <w:rsid w:val="00A62470"/>
    <w:rsid w:val="00A629FD"/>
    <w:rsid w:val="00A633C2"/>
    <w:rsid w:val="00A6441A"/>
    <w:rsid w:val="00A649D8"/>
    <w:rsid w:val="00A6777F"/>
    <w:rsid w:val="00A71E2A"/>
    <w:rsid w:val="00A732D1"/>
    <w:rsid w:val="00A73A74"/>
    <w:rsid w:val="00A749C4"/>
    <w:rsid w:val="00A754F6"/>
    <w:rsid w:val="00A75A26"/>
    <w:rsid w:val="00A761F6"/>
    <w:rsid w:val="00A76A72"/>
    <w:rsid w:val="00A81548"/>
    <w:rsid w:val="00A81B02"/>
    <w:rsid w:val="00A81B67"/>
    <w:rsid w:val="00A829AE"/>
    <w:rsid w:val="00A8385D"/>
    <w:rsid w:val="00A84320"/>
    <w:rsid w:val="00A84B05"/>
    <w:rsid w:val="00A84CF1"/>
    <w:rsid w:val="00A8563D"/>
    <w:rsid w:val="00A87F93"/>
    <w:rsid w:val="00A90F1C"/>
    <w:rsid w:val="00A92512"/>
    <w:rsid w:val="00A92F97"/>
    <w:rsid w:val="00A93CE4"/>
    <w:rsid w:val="00A94353"/>
    <w:rsid w:val="00A95C9C"/>
    <w:rsid w:val="00A9713D"/>
    <w:rsid w:val="00AA0935"/>
    <w:rsid w:val="00AA0FDF"/>
    <w:rsid w:val="00AA1499"/>
    <w:rsid w:val="00AA154B"/>
    <w:rsid w:val="00AA178E"/>
    <w:rsid w:val="00AA2581"/>
    <w:rsid w:val="00AA2A17"/>
    <w:rsid w:val="00AA31AC"/>
    <w:rsid w:val="00AA3D03"/>
    <w:rsid w:val="00AA4B14"/>
    <w:rsid w:val="00AA5985"/>
    <w:rsid w:val="00AA67CB"/>
    <w:rsid w:val="00AA6BA3"/>
    <w:rsid w:val="00AA6C13"/>
    <w:rsid w:val="00AB0B7C"/>
    <w:rsid w:val="00AB2092"/>
    <w:rsid w:val="00AB337B"/>
    <w:rsid w:val="00AB39B5"/>
    <w:rsid w:val="00AB3CB3"/>
    <w:rsid w:val="00AB5E39"/>
    <w:rsid w:val="00AB60A7"/>
    <w:rsid w:val="00AC0967"/>
    <w:rsid w:val="00AC1650"/>
    <w:rsid w:val="00AC28FF"/>
    <w:rsid w:val="00AC2DB9"/>
    <w:rsid w:val="00AC42E8"/>
    <w:rsid w:val="00AC53A0"/>
    <w:rsid w:val="00AC54C4"/>
    <w:rsid w:val="00AC5B4B"/>
    <w:rsid w:val="00AC5F76"/>
    <w:rsid w:val="00AC6050"/>
    <w:rsid w:val="00AC6686"/>
    <w:rsid w:val="00AC6E9D"/>
    <w:rsid w:val="00AD0D74"/>
    <w:rsid w:val="00AD3A72"/>
    <w:rsid w:val="00AD41A0"/>
    <w:rsid w:val="00AD4439"/>
    <w:rsid w:val="00AD4580"/>
    <w:rsid w:val="00AD5B5D"/>
    <w:rsid w:val="00AD66BF"/>
    <w:rsid w:val="00AD7125"/>
    <w:rsid w:val="00AD7476"/>
    <w:rsid w:val="00AE057D"/>
    <w:rsid w:val="00AE0677"/>
    <w:rsid w:val="00AE0DE1"/>
    <w:rsid w:val="00AE1216"/>
    <w:rsid w:val="00AE153C"/>
    <w:rsid w:val="00AE1B47"/>
    <w:rsid w:val="00AE2685"/>
    <w:rsid w:val="00AE28D9"/>
    <w:rsid w:val="00AE2EA3"/>
    <w:rsid w:val="00AE3857"/>
    <w:rsid w:val="00AE48B5"/>
    <w:rsid w:val="00AE517F"/>
    <w:rsid w:val="00AE5C00"/>
    <w:rsid w:val="00AE5DE0"/>
    <w:rsid w:val="00AE6410"/>
    <w:rsid w:val="00AE6493"/>
    <w:rsid w:val="00AE686A"/>
    <w:rsid w:val="00AE70CB"/>
    <w:rsid w:val="00AE7393"/>
    <w:rsid w:val="00AE7A85"/>
    <w:rsid w:val="00AF09A1"/>
    <w:rsid w:val="00AF17F1"/>
    <w:rsid w:val="00AF310A"/>
    <w:rsid w:val="00AF58B3"/>
    <w:rsid w:val="00AF7665"/>
    <w:rsid w:val="00B001FE"/>
    <w:rsid w:val="00B006D7"/>
    <w:rsid w:val="00B00C17"/>
    <w:rsid w:val="00B01739"/>
    <w:rsid w:val="00B031C2"/>
    <w:rsid w:val="00B04781"/>
    <w:rsid w:val="00B065DC"/>
    <w:rsid w:val="00B0728C"/>
    <w:rsid w:val="00B07E0E"/>
    <w:rsid w:val="00B1012D"/>
    <w:rsid w:val="00B10643"/>
    <w:rsid w:val="00B12E39"/>
    <w:rsid w:val="00B1376A"/>
    <w:rsid w:val="00B1413C"/>
    <w:rsid w:val="00B14603"/>
    <w:rsid w:val="00B1783D"/>
    <w:rsid w:val="00B20566"/>
    <w:rsid w:val="00B207E8"/>
    <w:rsid w:val="00B20807"/>
    <w:rsid w:val="00B213A8"/>
    <w:rsid w:val="00B22532"/>
    <w:rsid w:val="00B2494D"/>
    <w:rsid w:val="00B2565B"/>
    <w:rsid w:val="00B25B81"/>
    <w:rsid w:val="00B25EA7"/>
    <w:rsid w:val="00B27169"/>
    <w:rsid w:val="00B278EF"/>
    <w:rsid w:val="00B30D75"/>
    <w:rsid w:val="00B330F0"/>
    <w:rsid w:val="00B33AE4"/>
    <w:rsid w:val="00B33B9D"/>
    <w:rsid w:val="00B34626"/>
    <w:rsid w:val="00B352E3"/>
    <w:rsid w:val="00B357FF"/>
    <w:rsid w:val="00B3603B"/>
    <w:rsid w:val="00B36A21"/>
    <w:rsid w:val="00B37C34"/>
    <w:rsid w:val="00B37EEC"/>
    <w:rsid w:val="00B40441"/>
    <w:rsid w:val="00B41031"/>
    <w:rsid w:val="00B43622"/>
    <w:rsid w:val="00B44128"/>
    <w:rsid w:val="00B4442B"/>
    <w:rsid w:val="00B44752"/>
    <w:rsid w:val="00B44B4D"/>
    <w:rsid w:val="00B44C1A"/>
    <w:rsid w:val="00B459DA"/>
    <w:rsid w:val="00B46291"/>
    <w:rsid w:val="00B478EC"/>
    <w:rsid w:val="00B47CBA"/>
    <w:rsid w:val="00B51387"/>
    <w:rsid w:val="00B51B91"/>
    <w:rsid w:val="00B53035"/>
    <w:rsid w:val="00B53F7B"/>
    <w:rsid w:val="00B5439D"/>
    <w:rsid w:val="00B5487A"/>
    <w:rsid w:val="00B55CBF"/>
    <w:rsid w:val="00B56DE9"/>
    <w:rsid w:val="00B56F93"/>
    <w:rsid w:val="00B57511"/>
    <w:rsid w:val="00B60651"/>
    <w:rsid w:val="00B611EC"/>
    <w:rsid w:val="00B62C20"/>
    <w:rsid w:val="00B63838"/>
    <w:rsid w:val="00B6419B"/>
    <w:rsid w:val="00B64E06"/>
    <w:rsid w:val="00B6786B"/>
    <w:rsid w:val="00B6794A"/>
    <w:rsid w:val="00B7458A"/>
    <w:rsid w:val="00B74B0A"/>
    <w:rsid w:val="00B74D89"/>
    <w:rsid w:val="00B74FFC"/>
    <w:rsid w:val="00B75CAF"/>
    <w:rsid w:val="00B75F96"/>
    <w:rsid w:val="00B76595"/>
    <w:rsid w:val="00B76764"/>
    <w:rsid w:val="00B7700F"/>
    <w:rsid w:val="00B7769D"/>
    <w:rsid w:val="00B80237"/>
    <w:rsid w:val="00B80C44"/>
    <w:rsid w:val="00B81441"/>
    <w:rsid w:val="00B818F9"/>
    <w:rsid w:val="00B8295B"/>
    <w:rsid w:val="00B85A6F"/>
    <w:rsid w:val="00B914B7"/>
    <w:rsid w:val="00B93369"/>
    <w:rsid w:val="00B934E9"/>
    <w:rsid w:val="00B957B4"/>
    <w:rsid w:val="00BA27B5"/>
    <w:rsid w:val="00BA3406"/>
    <w:rsid w:val="00BA3679"/>
    <w:rsid w:val="00BA4439"/>
    <w:rsid w:val="00BA7DE3"/>
    <w:rsid w:val="00BB03D3"/>
    <w:rsid w:val="00BB0923"/>
    <w:rsid w:val="00BB2F7D"/>
    <w:rsid w:val="00BB37C5"/>
    <w:rsid w:val="00BB3F25"/>
    <w:rsid w:val="00BB5EC4"/>
    <w:rsid w:val="00BC1319"/>
    <w:rsid w:val="00BC135C"/>
    <w:rsid w:val="00BC3B0F"/>
    <w:rsid w:val="00BC3F4F"/>
    <w:rsid w:val="00BC4802"/>
    <w:rsid w:val="00BC510B"/>
    <w:rsid w:val="00BC58EB"/>
    <w:rsid w:val="00BC633A"/>
    <w:rsid w:val="00BC654D"/>
    <w:rsid w:val="00BC6690"/>
    <w:rsid w:val="00BC7B21"/>
    <w:rsid w:val="00BD05AE"/>
    <w:rsid w:val="00BD128F"/>
    <w:rsid w:val="00BD189A"/>
    <w:rsid w:val="00BD23F1"/>
    <w:rsid w:val="00BD3A65"/>
    <w:rsid w:val="00BD5C2B"/>
    <w:rsid w:val="00BD79F6"/>
    <w:rsid w:val="00BD7BD7"/>
    <w:rsid w:val="00BE1FEE"/>
    <w:rsid w:val="00BE27B0"/>
    <w:rsid w:val="00BE399E"/>
    <w:rsid w:val="00BE41D9"/>
    <w:rsid w:val="00BE6D42"/>
    <w:rsid w:val="00BF038C"/>
    <w:rsid w:val="00BF0831"/>
    <w:rsid w:val="00BF0E9E"/>
    <w:rsid w:val="00BF1A2F"/>
    <w:rsid w:val="00BF1C65"/>
    <w:rsid w:val="00BF2CDE"/>
    <w:rsid w:val="00BF3C46"/>
    <w:rsid w:val="00BF50C0"/>
    <w:rsid w:val="00BF51B9"/>
    <w:rsid w:val="00BF5F88"/>
    <w:rsid w:val="00BF617A"/>
    <w:rsid w:val="00C004A6"/>
    <w:rsid w:val="00C00E93"/>
    <w:rsid w:val="00C00F45"/>
    <w:rsid w:val="00C00FC1"/>
    <w:rsid w:val="00C011A3"/>
    <w:rsid w:val="00C0262E"/>
    <w:rsid w:val="00C03916"/>
    <w:rsid w:val="00C044D9"/>
    <w:rsid w:val="00C04B56"/>
    <w:rsid w:val="00C04B71"/>
    <w:rsid w:val="00C07A30"/>
    <w:rsid w:val="00C10293"/>
    <w:rsid w:val="00C1263B"/>
    <w:rsid w:val="00C12BF2"/>
    <w:rsid w:val="00C1339B"/>
    <w:rsid w:val="00C14038"/>
    <w:rsid w:val="00C14844"/>
    <w:rsid w:val="00C171F4"/>
    <w:rsid w:val="00C20501"/>
    <w:rsid w:val="00C23904"/>
    <w:rsid w:val="00C25749"/>
    <w:rsid w:val="00C308E1"/>
    <w:rsid w:val="00C30C3A"/>
    <w:rsid w:val="00C30F05"/>
    <w:rsid w:val="00C31AE7"/>
    <w:rsid w:val="00C32353"/>
    <w:rsid w:val="00C32369"/>
    <w:rsid w:val="00C330D5"/>
    <w:rsid w:val="00C33E44"/>
    <w:rsid w:val="00C34E6F"/>
    <w:rsid w:val="00C36114"/>
    <w:rsid w:val="00C36D09"/>
    <w:rsid w:val="00C36EFE"/>
    <w:rsid w:val="00C378E9"/>
    <w:rsid w:val="00C41E30"/>
    <w:rsid w:val="00C43662"/>
    <w:rsid w:val="00C45E3D"/>
    <w:rsid w:val="00C5023F"/>
    <w:rsid w:val="00C5089A"/>
    <w:rsid w:val="00C522A8"/>
    <w:rsid w:val="00C54F2E"/>
    <w:rsid w:val="00C55AF3"/>
    <w:rsid w:val="00C56B2A"/>
    <w:rsid w:val="00C61666"/>
    <w:rsid w:val="00C62618"/>
    <w:rsid w:val="00C63E24"/>
    <w:rsid w:val="00C63EF1"/>
    <w:rsid w:val="00C643CE"/>
    <w:rsid w:val="00C65B74"/>
    <w:rsid w:val="00C662F8"/>
    <w:rsid w:val="00C6657A"/>
    <w:rsid w:val="00C747C6"/>
    <w:rsid w:val="00C75505"/>
    <w:rsid w:val="00C75508"/>
    <w:rsid w:val="00C7552C"/>
    <w:rsid w:val="00C75B90"/>
    <w:rsid w:val="00C75DE1"/>
    <w:rsid w:val="00C7656B"/>
    <w:rsid w:val="00C773FF"/>
    <w:rsid w:val="00C7799C"/>
    <w:rsid w:val="00C81A4B"/>
    <w:rsid w:val="00C81C5F"/>
    <w:rsid w:val="00C81D0C"/>
    <w:rsid w:val="00C81EA0"/>
    <w:rsid w:val="00C821EF"/>
    <w:rsid w:val="00C82E19"/>
    <w:rsid w:val="00C830DC"/>
    <w:rsid w:val="00C83995"/>
    <w:rsid w:val="00C83A8B"/>
    <w:rsid w:val="00C84C09"/>
    <w:rsid w:val="00C85AFB"/>
    <w:rsid w:val="00C85E9D"/>
    <w:rsid w:val="00C86A02"/>
    <w:rsid w:val="00C86AEC"/>
    <w:rsid w:val="00C877DF"/>
    <w:rsid w:val="00C90604"/>
    <w:rsid w:val="00C90EF6"/>
    <w:rsid w:val="00C91D07"/>
    <w:rsid w:val="00C9421D"/>
    <w:rsid w:val="00CA0993"/>
    <w:rsid w:val="00CA1BFF"/>
    <w:rsid w:val="00CA47B9"/>
    <w:rsid w:val="00CA4AAF"/>
    <w:rsid w:val="00CA4B02"/>
    <w:rsid w:val="00CA5757"/>
    <w:rsid w:val="00CA65C9"/>
    <w:rsid w:val="00CA66AC"/>
    <w:rsid w:val="00CB2797"/>
    <w:rsid w:val="00CB4276"/>
    <w:rsid w:val="00CB4B54"/>
    <w:rsid w:val="00CB6ADE"/>
    <w:rsid w:val="00CB7F24"/>
    <w:rsid w:val="00CC0677"/>
    <w:rsid w:val="00CC1957"/>
    <w:rsid w:val="00CC1B9A"/>
    <w:rsid w:val="00CC1C45"/>
    <w:rsid w:val="00CC378E"/>
    <w:rsid w:val="00CC396D"/>
    <w:rsid w:val="00CC3D95"/>
    <w:rsid w:val="00CC4E5C"/>
    <w:rsid w:val="00CC5875"/>
    <w:rsid w:val="00CC5C45"/>
    <w:rsid w:val="00CC7157"/>
    <w:rsid w:val="00CD1276"/>
    <w:rsid w:val="00CD172E"/>
    <w:rsid w:val="00CD2CEF"/>
    <w:rsid w:val="00CD67C7"/>
    <w:rsid w:val="00CD70E1"/>
    <w:rsid w:val="00CD73CD"/>
    <w:rsid w:val="00CD7B63"/>
    <w:rsid w:val="00CE09D2"/>
    <w:rsid w:val="00CE2C1E"/>
    <w:rsid w:val="00CE3D2D"/>
    <w:rsid w:val="00CE41A8"/>
    <w:rsid w:val="00CE57F5"/>
    <w:rsid w:val="00CE6DA5"/>
    <w:rsid w:val="00CE7173"/>
    <w:rsid w:val="00CE72E6"/>
    <w:rsid w:val="00CE7580"/>
    <w:rsid w:val="00CE792C"/>
    <w:rsid w:val="00CE7D3B"/>
    <w:rsid w:val="00CF039B"/>
    <w:rsid w:val="00CF116A"/>
    <w:rsid w:val="00CF12C4"/>
    <w:rsid w:val="00CF3019"/>
    <w:rsid w:val="00CF5652"/>
    <w:rsid w:val="00CF5C1B"/>
    <w:rsid w:val="00CF5D1C"/>
    <w:rsid w:val="00CF77D9"/>
    <w:rsid w:val="00D001D4"/>
    <w:rsid w:val="00D0160E"/>
    <w:rsid w:val="00D02508"/>
    <w:rsid w:val="00D027E5"/>
    <w:rsid w:val="00D02B4E"/>
    <w:rsid w:val="00D0329C"/>
    <w:rsid w:val="00D03BF1"/>
    <w:rsid w:val="00D0534B"/>
    <w:rsid w:val="00D10167"/>
    <w:rsid w:val="00D11514"/>
    <w:rsid w:val="00D12FF4"/>
    <w:rsid w:val="00D1328B"/>
    <w:rsid w:val="00D13EBD"/>
    <w:rsid w:val="00D14DA1"/>
    <w:rsid w:val="00D14F5B"/>
    <w:rsid w:val="00D15A6D"/>
    <w:rsid w:val="00D16FE1"/>
    <w:rsid w:val="00D175CA"/>
    <w:rsid w:val="00D179F8"/>
    <w:rsid w:val="00D2051A"/>
    <w:rsid w:val="00D2097E"/>
    <w:rsid w:val="00D20A2E"/>
    <w:rsid w:val="00D20E87"/>
    <w:rsid w:val="00D21253"/>
    <w:rsid w:val="00D213AE"/>
    <w:rsid w:val="00D21563"/>
    <w:rsid w:val="00D2272E"/>
    <w:rsid w:val="00D244FC"/>
    <w:rsid w:val="00D25806"/>
    <w:rsid w:val="00D2627A"/>
    <w:rsid w:val="00D275B5"/>
    <w:rsid w:val="00D302DA"/>
    <w:rsid w:val="00D309AA"/>
    <w:rsid w:val="00D30B80"/>
    <w:rsid w:val="00D321DA"/>
    <w:rsid w:val="00D33E79"/>
    <w:rsid w:val="00D358CA"/>
    <w:rsid w:val="00D36351"/>
    <w:rsid w:val="00D40BF5"/>
    <w:rsid w:val="00D41AF3"/>
    <w:rsid w:val="00D41CBB"/>
    <w:rsid w:val="00D41F37"/>
    <w:rsid w:val="00D42B1D"/>
    <w:rsid w:val="00D43569"/>
    <w:rsid w:val="00D45375"/>
    <w:rsid w:val="00D462D8"/>
    <w:rsid w:val="00D465F3"/>
    <w:rsid w:val="00D5079F"/>
    <w:rsid w:val="00D510C0"/>
    <w:rsid w:val="00D5355C"/>
    <w:rsid w:val="00D53C63"/>
    <w:rsid w:val="00D554FC"/>
    <w:rsid w:val="00D6086D"/>
    <w:rsid w:val="00D60A41"/>
    <w:rsid w:val="00D61F79"/>
    <w:rsid w:val="00D61FAE"/>
    <w:rsid w:val="00D634A8"/>
    <w:rsid w:val="00D6395B"/>
    <w:rsid w:val="00D63E64"/>
    <w:rsid w:val="00D642F0"/>
    <w:rsid w:val="00D64DDD"/>
    <w:rsid w:val="00D677C1"/>
    <w:rsid w:val="00D67C97"/>
    <w:rsid w:val="00D71106"/>
    <w:rsid w:val="00D724EF"/>
    <w:rsid w:val="00D736B1"/>
    <w:rsid w:val="00D74125"/>
    <w:rsid w:val="00D74425"/>
    <w:rsid w:val="00D74901"/>
    <w:rsid w:val="00D77F69"/>
    <w:rsid w:val="00D82472"/>
    <w:rsid w:val="00D82587"/>
    <w:rsid w:val="00D84254"/>
    <w:rsid w:val="00D867EB"/>
    <w:rsid w:val="00D903D5"/>
    <w:rsid w:val="00D912C0"/>
    <w:rsid w:val="00D91CDF"/>
    <w:rsid w:val="00D9249A"/>
    <w:rsid w:val="00D92BB3"/>
    <w:rsid w:val="00D92C7E"/>
    <w:rsid w:val="00D93C62"/>
    <w:rsid w:val="00D95542"/>
    <w:rsid w:val="00D95884"/>
    <w:rsid w:val="00D96878"/>
    <w:rsid w:val="00D96C9A"/>
    <w:rsid w:val="00DA0BDB"/>
    <w:rsid w:val="00DA15B2"/>
    <w:rsid w:val="00DA21E9"/>
    <w:rsid w:val="00DA22B6"/>
    <w:rsid w:val="00DA2E4E"/>
    <w:rsid w:val="00DA3399"/>
    <w:rsid w:val="00DA3681"/>
    <w:rsid w:val="00DA47FC"/>
    <w:rsid w:val="00DA4AC6"/>
    <w:rsid w:val="00DA55CA"/>
    <w:rsid w:val="00DA754B"/>
    <w:rsid w:val="00DA7868"/>
    <w:rsid w:val="00DA7BFA"/>
    <w:rsid w:val="00DB0386"/>
    <w:rsid w:val="00DB05C2"/>
    <w:rsid w:val="00DB0DDD"/>
    <w:rsid w:val="00DB19B5"/>
    <w:rsid w:val="00DB48C7"/>
    <w:rsid w:val="00DB60C4"/>
    <w:rsid w:val="00DB756C"/>
    <w:rsid w:val="00DB7971"/>
    <w:rsid w:val="00DB7A63"/>
    <w:rsid w:val="00DB7F3A"/>
    <w:rsid w:val="00DC036A"/>
    <w:rsid w:val="00DC056E"/>
    <w:rsid w:val="00DC2DF9"/>
    <w:rsid w:val="00DC2EFF"/>
    <w:rsid w:val="00DC31BE"/>
    <w:rsid w:val="00DC4778"/>
    <w:rsid w:val="00DC61CD"/>
    <w:rsid w:val="00DC65CD"/>
    <w:rsid w:val="00DC6B5F"/>
    <w:rsid w:val="00DD13B6"/>
    <w:rsid w:val="00DD196F"/>
    <w:rsid w:val="00DD1CED"/>
    <w:rsid w:val="00DD2358"/>
    <w:rsid w:val="00DD3B60"/>
    <w:rsid w:val="00DD4030"/>
    <w:rsid w:val="00DD4305"/>
    <w:rsid w:val="00DD5474"/>
    <w:rsid w:val="00DD7B81"/>
    <w:rsid w:val="00DE0A0D"/>
    <w:rsid w:val="00DE1C45"/>
    <w:rsid w:val="00DE1DC5"/>
    <w:rsid w:val="00DE4493"/>
    <w:rsid w:val="00DE7686"/>
    <w:rsid w:val="00DE7967"/>
    <w:rsid w:val="00DF23A1"/>
    <w:rsid w:val="00DF2D3A"/>
    <w:rsid w:val="00DF2D62"/>
    <w:rsid w:val="00DF30C9"/>
    <w:rsid w:val="00DF4B07"/>
    <w:rsid w:val="00DF4B1B"/>
    <w:rsid w:val="00DF6F14"/>
    <w:rsid w:val="00DF77E2"/>
    <w:rsid w:val="00DF7E8D"/>
    <w:rsid w:val="00E00049"/>
    <w:rsid w:val="00E01DF0"/>
    <w:rsid w:val="00E01F2B"/>
    <w:rsid w:val="00E03AED"/>
    <w:rsid w:val="00E042D1"/>
    <w:rsid w:val="00E05AE8"/>
    <w:rsid w:val="00E06450"/>
    <w:rsid w:val="00E065CB"/>
    <w:rsid w:val="00E07F4A"/>
    <w:rsid w:val="00E13EA8"/>
    <w:rsid w:val="00E152DF"/>
    <w:rsid w:val="00E16875"/>
    <w:rsid w:val="00E211A3"/>
    <w:rsid w:val="00E22961"/>
    <w:rsid w:val="00E22E85"/>
    <w:rsid w:val="00E238E7"/>
    <w:rsid w:val="00E23FD5"/>
    <w:rsid w:val="00E24249"/>
    <w:rsid w:val="00E245FF"/>
    <w:rsid w:val="00E27334"/>
    <w:rsid w:val="00E27805"/>
    <w:rsid w:val="00E2797C"/>
    <w:rsid w:val="00E30256"/>
    <w:rsid w:val="00E30364"/>
    <w:rsid w:val="00E3161A"/>
    <w:rsid w:val="00E31C79"/>
    <w:rsid w:val="00E3451C"/>
    <w:rsid w:val="00E35AA6"/>
    <w:rsid w:val="00E36D08"/>
    <w:rsid w:val="00E37FAC"/>
    <w:rsid w:val="00E403F1"/>
    <w:rsid w:val="00E4064D"/>
    <w:rsid w:val="00E4381B"/>
    <w:rsid w:val="00E4621C"/>
    <w:rsid w:val="00E46CA2"/>
    <w:rsid w:val="00E4738D"/>
    <w:rsid w:val="00E47AE5"/>
    <w:rsid w:val="00E52495"/>
    <w:rsid w:val="00E528D2"/>
    <w:rsid w:val="00E5511F"/>
    <w:rsid w:val="00E55A99"/>
    <w:rsid w:val="00E56E19"/>
    <w:rsid w:val="00E57282"/>
    <w:rsid w:val="00E57425"/>
    <w:rsid w:val="00E57B01"/>
    <w:rsid w:val="00E60B3E"/>
    <w:rsid w:val="00E61019"/>
    <w:rsid w:val="00E62329"/>
    <w:rsid w:val="00E64824"/>
    <w:rsid w:val="00E67CF1"/>
    <w:rsid w:val="00E70843"/>
    <w:rsid w:val="00E722E2"/>
    <w:rsid w:val="00E728EB"/>
    <w:rsid w:val="00E729D6"/>
    <w:rsid w:val="00E74A66"/>
    <w:rsid w:val="00E74FCE"/>
    <w:rsid w:val="00E7511E"/>
    <w:rsid w:val="00E7709C"/>
    <w:rsid w:val="00E77158"/>
    <w:rsid w:val="00E771FC"/>
    <w:rsid w:val="00E77CD7"/>
    <w:rsid w:val="00E807FF"/>
    <w:rsid w:val="00E81510"/>
    <w:rsid w:val="00E85DB8"/>
    <w:rsid w:val="00E876D5"/>
    <w:rsid w:val="00E91FC3"/>
    <w:rsid w:val="00E92D02"/>
    <w:rsid w:val="00E937F4"/>
    <w:rsid w:val="00E94021"/>
    <w:rsid w:val="00E94B3A"/>
    <w:rsid w:val="00E9619B"/>
    <w:rsid w:val="00E9630E"/>
    <w:rsid w:val="00E964BA"/>
    <w:rsid w:val="00E96841"/>
    <w:rsid w:val="00E97126"/>
    <w:rsid w:val="00EA014E"/>
    <w:rsid w:val="00EA2AAB"/>
    <w:rsid w:val="00EA3179"/>
    <w:rsid w:val="00EA6845"/>
    <w:rsid w:val="00EA68A9"/>
    <w:rsid w:val="00EA6B5E"/>
    <w:rsid w:val="00EB0D90"/>
    <w:rsid w:val="00EB0DE5"/>
    <w:rsid w:val="00EB1B5B"/>
    <w:rsid w:val="00EB267E"/>
    <w:rsid w:val="00EB4A1B"/>
    <w:rsid w:val="00EB5A71"/>
    <w:rsid w:val="00EB5B14"/>
    <w:rsid w:val="00EB75E5"/>
    <w:rsid w:val="00EC0057"/>
    <w:rsid w:val="00EC12BD"/>
    <w:rsid w:val="00EC192A"/>
    <w:rsid w:val="00EC19F9"/>
    <w:rsid w:val="00EC3039"/>
    <w:rsid w:val="00EC30FD"/>
    <w:rsid w:val="00EC5317"/>
    <w:rsid w:val="00EC59CF"/>
    <w:rsid w:val="00EC67AB"/>
    <w:rsid w:val="00ED17C7"/>
    <w:rsid w:val="00ED2866"/>
    <w:rsid w:val="00ED2A5E"/>
    <w:rsid w:val="00EE12B7"/>
    <w:rsid w:val="00EE1900"/>
    <w:rsid w:val="00EE1A43"/>
    <w:rsid w:val="00EE2A5C"/>
    <w:rsid w:val="00EE3CF2"/>
    <w:rsid w:val="00EE4695"/>
    <w:rsid w:val="00EE48FF"/>
    <w:rsid w:val="00EE5D4C"/>
    <w:rsid w:val="00EE6300"/>
    <w:rsid w:val="00EE6329"/>
    <w:rsid w:val="00EE67D4"/>
    <w:rsid w:val="00EE7A56"/>
    <w:rsid w:val="00EF07E4"/>
    <w:rsid w:val="00EF0F56"/>
    <w:rsid w:val="00EF1013"/>
    <w:rsid w:val="00EF1D04"/>
    <w:rsid w:val="00EF1E58"/>
    <w:rsid w:val="00EF2914"/>
    <w:rsid w:val="00EF2A2C"/>
    <w:rsid w:val="00EF357F"/>
    <w:rsid w:val="00EF4915"/>
    <w:rsid w:val="00EF6E19"/>
    <w:rsid w:val="00EF701F"/>
    <w:rsid w:val="00F0001A"/>
    <w:rsid w:val="00F0042D"/>
    <w:rsid w:val="00F01656"/>
    <w:rsid w:val="00F024E4"/>
    <w:rsid w:val="00F03674"/>
    <w:rsid w:val="00F05445"/>
    <w:rsid w:val="00F063E1"/>
    <w:rsid w:val="00F0692D"/>
    <w:rsid w:val="00F0743D"/>
    <w:rsid w:val="00F1257F"/>
    <w:rsid w:val="00F1407A"/>
    <w:rsid w:val="00F1446E"/>
    <w:rsid w:val="00F167E8"/>
    <w:rsid w:val="00F16D69"/>
    <w:rsid w:val="00F2103A"/>
    <w:rsid w:val="00F2256A"/>
    <w:rsid w:val="00F23E15"/>
    <w:rsid w:val="00F260E7"/>
    <w:rsid w:val="00F26550"/>
    <w:rsid w:val="00F2781E"/>
    <w:rsid w:val="00F3087F"/>
    <w:rsid w:val="00F30E8B"/>
    <w:rsid w:val="00F33AFD"/>
    <w:rsid w:val="00F33BDF"/>
    <w:rsid w:val="00F3531B"/>
    <w:rsid w:val="00F3537E"/>
    <w:rsid w:val="00F367AA"/>
    <w:rsid w:val="00F36993"/>
    <w:rsid w:val="00F37931"/>
    <w:rsid w:val="00F37B17"/>
    <w:rsid w:val="00F37B25"/>
    <w:rsid w:val="00F37C31"/>
    <w:rsid w:val="00F42D3A"/>
    <w:rsid w:val="00F43E98"/>
    <w:rsid w:val="00F44EBD"/>
    <w:rsid w:val="00F45A74"/>
    <w:rsid w:val="00F46A6E"/>
    <w:rsid w:val="00F503D5"/>
    <w:rsid w:val="00F51693"/>
    <w:rsid w:val="00F52981"/>
    <w:rsid w:val="00F52F9F"/>
    <w:rsid w:val="00F53820"/>
    <w:rsid w:val="00F5453A"/>
    <w:rsid w:val="00F54F36"/>
    <w:rsid w:val="00F566DC"/>
    <w:rsid w:val="00F56D06"/>
    <w:rsid w:val="00F60758"/>
    <w:rsid w:val="00F60E91"/>
    <w:rsid w:val="00F61F2D"/>
    <w:rsid w:val="00F62557"/>
    <w:rsid w:val="00F627C8"/>
    <w:rsid w:val="00F63766"/>
    <w:rsid w:val="00F638FB"/>
    <w:rsid w:val="00F63BEE"/>
    <w:rsid w:val="00F65892"/>
    <w:rsid w:val="00F66CD3"/>
    <w:rsid w:val="00F71334"/>
    <w:rsid w:val="00F71717"/>
    <w:rsid w:val="00F73973"/>
    <w:rsid w:val="00F7605E"/>
    <w:rsid w:val="00F76934"/>
    <w:rsid w:val="00F76B0C"/>
    <w:rsid w:val="00F76FC7"/>
    <w:rsid w:val="00F772D6"/>
    <w:rsid w:val="00F77F8B"/>
    <w:rsid w:val="00F805F6"/>
    <w:rsid w:val="00F80D76"/>
    <w:rsid w:val="00F82496"/>
    <w:rsid w:val="00F83A59"/>
    <w:rsid w:val="00F84715"/>
    <w:rsid w:val="00F8489A"/>
    <w:rsid w:val="00F85838"/>
    <w:rsid w:val="00F86AD2"/>
    <w:rsid w:val="00F92656"/>
    <w:rsid w:val="00F936D2"/>
    <w:rsid w:val="00F95E51"/>
    <w:rsid w:val="00F96716"/>
    <w:rsid w:val="00F96C9B"/>
    <w:rsid w:val="00FA0A4E"/>
    <w:rsid w:val="00FA1644"/>
    <w:rsid w:val="00FA3158"/>
    <w:rsid w:val="00FA3599"/>
    <w:rsid w:val="00FA3C29"/>
    <w:rsid w:val="00FA4D2B"/>
    <w:rsid w:val="00FA625D"/>
    <w:rsid w:val="00FA6CAB"/>
    <w:rsid w:val="00FB0507"/>
    <w:rsid w:val="00FB19CA"/>
    <w:rsid w:val="00FB3611"/>
    <w:rsid w:val="00FB3B31"/>
    <w:rsid w:val="00FB4BBC"/>
    <w:rsid w:val="00FB4D44"/>
    <w:rsid w:val="00FB6764"/>
    <w:rsid w:val="00FC1818"/>
    <w:rsid w:val="00FC2677"/>
    <w:rsid w:val="00FC2F66"/>
    <w:rsid w:val="00FC324A"/>
    <w:rsid w:val="00FC4093"/>
    <w:rsid w:val="00FC50BA"/>
    <w:rsid w:val="00FC52F3"/>
    <w:rsid w:val="00FC7AC7"/>
    <w:rsid w:val="00FD059B"/>
    <w:rsid w:val="00FD1ADC"/>
    <w:rsid w:val="00FD2176"/>
    <w:rsid w:val="00FD3F15"/>
    <w:rsid w:val="00FD4FFE"/>
    <w:rsid w:val="00FD52C0"/>
    <w:rsid w:val="00FD5974"/>
    <w:rsid w:val="00FD5C55"/>
    <w:rsid w:val="00FD5D1D"/>
    <w:rsid w:val="00FD7D9F"/>
    <w:rsid w:val="00FE0397"/>
    <w:rsid w:val="00FE12D4"/>
    <w:rsid w:val="00FE21B5"/>
    <w:rsid w:val="00FE6367"/>
    <w:rsid w:val="00FE6947"/>
    <w:rsid w:val="00FE70C2"/>
    <w:rsid w:val="00FE7BC4"/>
    <w:rsid w:val="00FF0D93"/>
    <w:rsid w:val="00FF0DB9"/>
    <w:rsid w:val="00FF0E52"/>
    <w:rsid w:val="00FF15F3"/>
    <w:rsid w:val="00FF1DD1"/>
    <w:rsid w:val="00FF1E0F"/>
    <w:rsid w:val="00FF26C2"/>
    <w:rsid w:val="00FF27F5"/>
    <w:rsid w:val="00FF3019"/>
    <w:rsid w:val="00FF356F"/>
    <w:rsid w:val="00FF4745"/>
    <w:rsid w:val="00FF48FB"/>
    <w:rsid w:val="00FF4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E438A"/>
  <w15:chartTrackingRefBased/>
  <w15:docId w15:val="{E7EFD0A8-2129-4DD6-B732-13E7C489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A8E"/>
    <w:pPr>
      <w:ind w:left="720"/>
      <w:contextualSpacing/>
    </w:pPr>
  </w:style>
  <w:style w:type="paragraph" w:styleId="Intestazione">
    <w:name w:val="header"/>
    <w:basedOn w:val="Normale"/>
    <w:link w:val="IntestazioneCarattere"/>
    <w:uiPriority w:val="99"/>
    <w:unhideWhenUsed/>
    <w:rsid w:val="00832C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2C54"/>
  </w:style>
  <w:style w:type="paragraph" w:styleId="Pidipagina">
    <w:name w:val="footer"/>
    <w:basedOn w:val="Normale"/>
    <w:link w:val="PidipaginaCarattere"/>
    <w:uiPriority w:val="99"/>
    <w:unhideWhenUsed/>
    <w:rsid w:val="00832C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2C54"/>
  </w:style>
  <w:style w:type="paragraph" w:styleId="NormaleWeb">
    <w:name w:val="Normal (Web)"/>
    <w:basedOn w:val="Normale"/>
    <w:uiPriority w:val="99"/>
    <w:unhideWhenUsed/>
    <w:rsid w:val="0092043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B330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B330F0"/>
    <w:rPr>
      <w:sz w:val="20"/>
      <w:szCs w:val="20"/>
    </w:rPr>
  </w:style>
  <w:style w:type="character" w:styleId="Rimandonotaapidipagina">
    <w:name w:val="footnote reference"/>
    <w:basedOn w:val="Carpredefinitoparagrafo"/>
    <w:uiPriority w:val="99"/>
    <w:semiHidden/>
    <w:unhideWhenUsed/>
    <w:rsid w:val="00B330F0"/>
    <w:rPr>
      <w:vertAlign w:val="superscript"/>
    </w:rPr>
  </w:style>
  <w:style w:type="character" w:styleId="Collegamentoipertestuale">
    <w:name w:val="Hyperlink"/>
    <w:basedOn w:val="Carpredefinitoparagrafo"/>
    <w:uiPriority w:val="99"/>
    <w:unhideWhenUsed/>
    <w:rsid w:val="00B330F0"/>
    <w:rPr>
      <w:color w:val="0563C1" w:themeColor="hyperlink"/>
      <w:u w:val="single"/>
    </w:rPr>
  </w:style>
  <w:style w:type="character" w:styleId="Menzionenonrisolta">
    <w:name w:val="Unresolved Mention"/>
    <w:basedOn w:val="Carpredefinitoparagrafo"/>
    <w:uiPriority w:val="99"/>
    <w:semiHidden/>
    <w:unhideWhenUsed/>
    <w:rsid w:val="00B330F0"/>
    <w:rPr>
      <w:color w:val="605E5C"/>
      <w:shd w:val="clear" w:color="auto" w:fill="E1DFDD"/>
    </w:rPr>
  </w:style>
  <w:style w:type="character" w:styleId="Collegamentovisitato">
    <w:name w:val="FollowedHyperlink"/>
    <w:basedOn w:val="Carpredefinitoparagrafo"/>
    <w:uiPriority w:val="99"/>
    <w:semiHidden/>
    <w:unhideWhenUsed/>
    <w:rsid w:val="002D29DD"/>
    <w:rPr>
      <w:color w:val="954F72" w:themeColor="followedHyperlink"/>
      <w:u w:val="single"/>
    </w:rPr>
  </w:style>
  <w:style w:type="numbering" w:customStyle="1" w:styleId="Nessunelenco1">
    <w:name w:val="Nessun elenco1"/>
    <w:next w:val="Nessunelenco"/>
    <w:uiPriority w:val="99"/>
    <w:semiHidden/>
    <w:unhideWhenUsed/>
    <w:rsid w:val="00265619"/>
  </w:style>
  <w:style w:type="character" w:customStyle="1" w:styleId="apple-converted-space">
    <w:name w:val="apple-converted-space"/>
    <w:basedOn w:val="Carpredefinitoparagrafo"/>
    <w:rsid w:val="00151A9E"/>
  </w:style>
  <w:style w:type="character" w:styleId="Enfasicorsivo">
    <w:name w:val="Emphasis"/>
    <w:basedOn w:val="Carpredefinitoparagrafo"/>
    <w:uiPriority w:val="20"/>
    <w:qFormat/>
    <w:rsid w:val="00151A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61">
      <w:bodyDiv w:val="1"/>
      <w:marLeft w:val="0"/>
      <w:marRight w:val="0"/>
      <w:marTop w:val="0"/>
      <w:marBottom w:val="0"/>
      <w:divBdr>
        <w:top w:val="none" w:sz="0" w:space="0" w:color="auto"/>
        <w:left w:val="none" w:sz="0" w:space="0" w:color="auto"/>
        <w:bottom w:val="none" w:sz="0" w:space="0" w:color="auto"/>
        <w:right w:val="none" w:sz="0" w:space="0" w:color="auto"/>
      </w:divBdr>
    </w:div>
    <w:div w:id="4601007">
      <w:bodyDiv w:val="1"/>
      <w:marLeft w:val="0"/>
      <w:marRight w:val="0"/>
      <w:marTop w:val="0"/>
      <w:marBottom w:val="0"/>
      <w:divBdr>
        <w:top w:val="none" w:sz="0" w:space="0" w:color="auto"/>
        <w:left w:val="none" w:sz="0" w:space="0" w:color="auto"/>
        <w:bottom w:val="none" w:sz="0" w:space="0" w:color="auto"/>
        <w:right w:val="none" w:sz="0" w:space="0" w:color="auto"/>
      </w:divBdr>
    </w:div>
    <w:div w:id="25912355">
      <w:bodyDiv w:val="1"/>
      <w:marLeft w:val="0"/>
      <w:marRight w:val="0"/>
      <w:marTop w:val="0"/>
      <w:marBottom w:val="0"/>
      <w:divBdr>
        <w:top w:val="none" w:sz="0" w:space="0" w:color="auto"/>
        <w:left w:val="none" w:sz="0" w:space="0" w:color="auto"/>
        <w:bottom w:val="none" w:sz="0" w:space="0" w:color="auto"/>
        <w:right w:val="none" w:sz="0" w:space="0" w:color="auto"/>
      </w:divBdr>
    </w:div>
    <w:div w:id="28845658">
      <w:bodyDiv w:val="1"/>
      <w:marLeft w:val="0"/>
      <w:marRight w:val="0"/>
      <w:marTop w:val="0"/>
      <w:marBottom w:val="0"/>
      <w:divBdr>
        <w:top w:val="none" w:sz="0" w:space="0" w:color="auto"/>
        <w:left w:val="none" w:sz="0" w:space="0" w:color="auto"/>
        <w:bottom w:val="none" w:sz="0" w:space="0" w:color="auto"/>
        <w:right w:val="none" w:sz="0" w:space="0" w:color="auto"/>
      </w:divBdr>
    </w:div>
    <w:div w:id="35157393">
      <w:bodyDiv w:val="1"/>
      <w:marLeft w:val="0"/>
      <w:marRight w:val="0"/>
      <w:marTop w:val="0"/>
      <w:marBottom w:val="0"/>
      <w:divBdr>
        <w:top w:val="none" w:sz="0" w:space="0" w:color="auto"/>
        <w:left w:val="none" w:sz="0" w:space="0" w:color="auto"/>
        <w:bottom w:val="none" w:sz="0" w:space="0" w:color="auto"/>
        <w:right w:val="none" w:sz="0" w:space="0" w:color="auto"/>
      </w:divBdr>
      <w:divsChild>
        <w:div w:id="1860584252">
          <w:marLeft w:val="0"/>
          <w:marRight w:val="0"/>
          <w:marTop w:val="0"/>
          <w:marBottom w:val="0"/>
          <w:divBdr>
            <w:top w:val="none" w:sz="0" w:space="0" w:color="auto"/>
            <w:left w:val="none" w:sz="0" w:space="0" w:color="auto"/>
            <w:bottom w:val="none" w:sz="0" w:space="0" w:color="auto"/>
            <w:right w:val="none" w:sz="0" w:space="0" w:color="auto"/>
          </w:divBdr>
          <w:divsChild>
            <w:div w:id="918565644">
              <w:marLeft w:val="0"/>
              <w:marRight w:val="0"/>
              <w:marTop w:val="0"/>
              <w:marBottom w:val="0"/>
              <w:divBdr>
                <w:top w:val="none" w:sz="0" w:space="0" w:color="auto"/>
                <w:left w:val="none" w:sz="0" w:space="0" w:color="auto"/>
                <w:bottom w:val="none" w:sz="0" w:space="0" w:color="auto"/>
                <w:right w:val="none" w:sz="0" w:space="0" w:color="auto"/>
              </w:divBdr>
              <w:divsChild>
                <w:div w:id="20109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5951">
      <w:bodyDiv w:val="1"/>
      <w:marLeft w:val="0"/>
      <w:marRight w:val="0"/>
      <w:marTop w:val="0"/>
      <w:marBottom w:val="0"/>
      <w:divBdr>
        <w:top w:val="none" w:sz="0" w:space="0" w:color="auto"/>
        <w:left w:val="none" w:sz="0" w:space="0" w:color="auto"/>
        <w:bottom w:val="none" w:sz="0" w:space="0" w:color="auto"/>
        <w:right w:val="none" w:sz="0" w:space="0" w:color="auto"/>
      </w:divBdr>
      <w:divsChild>
        <w:div w:id="2010712425">
          <w:marLeft w:val="0"/>
          <w:marRight w:val="0"/>
          <w:marTop w:val="0"/>
          <w:marBottom w:val="0"/>
          <w:divBdr>
            <w:top w:val="none" w:sz="0" w:space="0" w:color="auto"/>
            <w:left w:val="none" w:sz="0" w:space="0" w:color="auto"/>
            <w:bottom w:val="none" w:sz="0" w:space="0" w:color="auto"/>
            <w:right w:val="none" w:sz="0" w:space="0" w:color="auto"/>
          </w:divBdr>
          <w:divsChild>
            <w:div w:id="6831491">
              <w:marLeft w:val="0"/>
              <w:marRight w:val="0"/>
              <w:marTop w:val="0"/>
              <w:marBottom w:val="0"/>
              <w:divBdr>
                <w:top w:val="none" w:sz="0" w:space="0" w:color="auto"/>
                <w:left w:val="none" w:sz="0" w:space="0" w:color="auto"/>
                <w:bottom w:val="none" w:sz="0" w:space="0" w:color="auto"/>
                <w:right w:val="none" w:sz="0" w:space="0" w:color="auto"/>
              </w:divBdr>
              <w:divsChild>
                <w:div w:id="203452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6177">
      <w:bodyDiv w:val="1"/>
      <w:marLeft w:val="0"/>
      <w:marRight w:val="0"/>
      <w:marTop w:val="0"/>
      <w:marBottom w:val="0"/>
      <w:divBdr>
        <w:top w:val="none" w:sz="0" w:space="0" w:color="auto"/>
        <w:left w:val="none" w:sz="0" w:space="0" w:color="auto"/>
        <w:bottom w:val="none" w:sz="0" w:space="0" w:color="auto"/>
        <w:right w:val="none" w:sz="0" w:space="0" w:color="auto"/>
      </w:divBdr>
    </w:div>
    <w:div w:id="64228942">
      <w:bodyDiv w:val="1"/>
      <w:marLeft w:val="0"/>
      <w:marRight w:val="0"/>
      <w:marTop w:val="0"/>
      <w:marBottom w:val="0"/>
      <w:divBdr>
        <w:top w:val="none" w:sz="0" w:space="0" w:color="auto"/>
        <w:left w:val="none" w:sz="0" w:space="0" w:color="auto"/>
        <w:bottom w:val="none" w:sz="0" w:space="0" w:color="auto"/>
        <w:right w:val="none" w:sz="0" w:space="0" w:color="auto"/>
      </w:divBdr>
      <w:divsChild>
        <w:div w:id="1101991106">
          <w:marLeft w:val="0"/>
          <w:marRight w:val="0"/>
          <w:marTop w:val="60"/>
          <w:marBottom w:val="60"/>
          <w:divBdr>
            <w:top w:val="none" w:sz="0" w:space="0" w:color="auto"/>
            <w:left w:val="none" w:sz="0" w:space="0" w:color="auto"/>
            <w:bottom w:val="none" w:sz="0" w:space="0" w:color="auto"/>
            <w:right w:val="none" w:sz="0" w:space="0" w:color="auto"/>
          </w:divBdr>
        </w:div>
      </w:divsChild>
    </w:div>
    <w:div w:id="96946660">
      <w:bodyDiv w:val="1"/>
      <w:marLeft w:val="0"/>
      <w:marRight w:val="0"/>
      <w:marTop w:val="0"/>
      <w:marBottom w:val="0"/>
      <w:divBdr>
        <w:top w:val="none" w:sz="0" w:space="0" w:color="auto"/>
        <w:left w:val="none" w:sz="0" w:space="0" w:color="auto"/>
        <w:bottom w:val="none" w:sz="0" w:space="0" w:color="auto"/>
        <w:right w:val="none" w:sz="0" w:space="0" w:color="auto"/>
      </w:divBdr>
    </w:div>
    <w:div w:id="98456288">
      <w:bodyDiv w:val="1"/>
      <w:marLeft w:val="0"/>
      <w:marRight w:val="0"/>
      <w:marTop w:val="0"/>
      <w:marBottom w:val="0"/>
      <w:divBdr>
        <w:top w:val="none" w:sz="0" w:space="0" w:color="auto"/>
        <w:left w:val="none" w:sz="0" w:space="0" w:color="auto"/>
        <w:bottom w:val="none" w:sz="0" w:space="0" w:color="auto"/>
        <w:right w:val="none" w:sz="0" w:space="0" w:color="auto"/>
      </w:divBdr>
      <w:divsChild>
        <w:div w:id="1677686699">
          <w:marLeft w:val="0"/>
          <w:marRight w:val="0"/>
          <w:marTop w:val="0"/>
          <w:marBottom w:val="0"/>
          <w:divBdr>
            <w:top w:val="none" w:sz="0" w:space="0" w:color="auto"/>
            <w:left w:val="none" w:sz="0" w:space="0" w:color="auto"/>
            <w:bottom w:val="none" w:sz="0" w:space="0" w:color="auto"/>
            <w:right w:val="none" w:sz="0" w:space="0" w:color="auto"/>
          </w:divBdr>
        </w:div>
        <w:div w:id="2025931685">
          <w:marLeft w:val="0"/>
          <w:marRight w:val="0"/>
          <w:marTop w:val="0"/>
          <w:marBottom w:val="0"/>
          <w:divBdr>
            <w:top w:val="none" w:sz="0" w:space="0" w:color="auto"/>
            <w:left w:val="none" w:sz="0" w:space="0" w:color="auto"/>
            <w:bottom w:val="none" w:sz="0" w:space="0" w:color="auto"/>
            <w:right w:val="none" w:sz="0" w:space="0" w:color="auto"/>
          </w:divBdr>
        </w:div>
        <w:div w:id="554196869">
          <w:marLeft w:val="0"/>
          <w:marRight w:val="0"/>
          <w:marTop w:val="0"/>
          <w:marBottom w:val="0"/>
          <w:divBdr>
            <w:top w:val="none" w:sz="0" w:space="0" w:color="auto"/>
            <w:left w:val="none" w:sz="0" w:space="0" w:color="auto"/>
            <w:bottom w:val="none" w:sz="0" w:space="0" w:color="auto"/>
            <w:right w:val="none" w:sz="0" w:space="0" w:color="auto"/>
          </w:divBdr>
        </w:div>
      </w:divsChild>
    </w:div>
    <w:div w:id="108935222">
      <w:bodyDiv w:val="1"/>
      <w:marLeft w:val="0"/>
      <w:marRight w:val="0"/>
      <w:marTop w:val="0"/>
      <w:marBottom w:val="0"/>
      <w:divBdr>
        <w:top w:val="none" w:sz="0" w:space="0" w:color="auto"/>
        <w:left w:val="none" w:sz="0" w:space="0" w:color="auto"/>
        <w:bottom w:val="none" w:sz="0" w:space="0" w:color="auto"/>
        <w:right w:val="none" w:sz="0" w:space="0" w:color="auto"/>
      </w:divBdr>
      <w:divsChild>
        <w:div w:id="1011495956">
          <w:marLeft w:val="0"/>
          <w:marRight w:val="0"/>
          <w:marTop w:val="0"/>
          <w:marBottom w:val="0"/>
          <w:divBdr>
            <w:top w:val="none" w:sz="0" w:space="0" w:color="auto"/>
            <w:left w:val="none" w:sz="0" w:space="0" w:color="auto"/>
            <w:bottom w:val="none" w:sz="0" w:space="0" w:color="auto"/>
            <w:right w:val="none" w:sz="0" w:space="0" w:color="auto"/>
          </w:divBdr>
          <w:divsChild>
            <w:div w:id="1367944503">
              <w:marLeft w:val="0"/>
              <w:marRight w:val="0"/>
              <w:marTop w:val="0"/>
              <w:marBottom w:val="0"/>
              <w:divBdr>
                <w:top w:val="none" w:sz="0" w:space="0" w:color="auto"/>
                <w:left w:val="none" w:sz="0" w:space="0" w:color="auto"/>
                <w:bottom w:val="none" w:sz="0" w:space="0" w:color="auto"/>
                <w:right w:val="none" w:sz="0" w:space="0" w:color="auto"/>
              </w:divBdr>
              <w:divsChild>
                <w:div w:id="10144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7137">
      <w:bodyDiv w:val="1"/>
      <w:marLeft w:val="0"/>
      <w:marRight w:val="0"/>
      <w:marTop w:val="0"/>
      <w:marBottom w:val="0"/>
      <w:divBdr>
        <w:top w:val="none" w:sz="0" w:space="0" w:color="auto"/>
        <w:left w:val="none" w:sz="0" w:space="0" w:color="auto"/>
        <w:bottom w:val="none" w:sz="0" w:space="0" w:color="auto"/>
        <w:right w:val="none" w:sz="0" w:space="0" w:color="auto"/>
      </w:divBdr>
    </w:div>
    <w:div w:id="125053001">
      <w:bodyDiv w:val="1"/>
      <w:marLeft w:val="0"/>
      <w:marRight w:val="0"/>
      <w:marTop w:val="0"/>
      <w:marBottom w:val="0"/>
      <w:divBdr>
        <w:top w:val="none" w:sz="0" w:space="0" w:color="auto"/>
        <w:left w:val="none" w:sz="0" w:space="0" w:color="auto"/>
        <w:bottom w:val="none" w:sz="0" w:space="0" w:color="auto"/>
        <w:right w:val="none" w:sz="0" w:space="0" w:color="auto"/>
      </w:divBdr>
    </w:div>
    <w:div w:id="134689305">
      <w:bodyDiv w:val="1"/>
      <w:marLeft w:val="0"/>
      <w:marRight w:val="0"/>
      <w:marTop w:val="0"/>
      <w:marBottom w:val="0"/>
      <w:divBdr>
        <w:top w:val="none" w:sz="0" w:space="0" w:color="auto"/>
        <w:left w:val="none" w:sz="0" w:space="0" w:color="auto"/>
        <w:bottom w:val="none" w:sz="0" w:space="0" w:color="auto"/>
        <w:right w:val="none" w:sz="0" w:space="0" w:color="auto"/>
      </w:divBdr>
      <w:divsChild>
        <w:div w:id="180976005">
          <w:marLeft w:val="0"/>
          <w:marRight w:val="0"/>
          <w:marTop w:val="0"/>
          <w:marBottom w:val="0"/>
          <w:divBdr>
            <w:top w:val="none" w:sz="0" w:space="0" w:color="auto"/>
            <w:left w:val="none" w:sz="0" w:space="0" w:color="auto"/>
            <w:bottom w:val="none" w:sz="0" w:space="0" w:color="auto"/>
            <w:right w:val="none" w:sz="0" w:space="0" w:color="auto"/>
          </w:divBdr>
          <w:divsChild>
            <w:div w:id="669217176">
              <w:marLeft w:val="0"/>
              <w:marRight w:val="0"/>
              <w:marTop w:val="0"/>
              <w:marBottom w:val="0"/>
              <w:divBdr>
                <w:top w:val="none" w:sz="0" w:space="0" w:color="auto"/>
                <w:left w:val="none" w:sz="0" w:space="0" w:color="auto"/>
                <w:bottom w:val="none" w:sz="0" w:space="0" w:color="auto"/>
                <w:right w:val="none" w:sz="0" w:space="0" w:color="auto"/>
              </w:divBdr>
              <w:divsChild>
                <w:div w:id="820268302">
                  <w:marLeft w:val="0"/>
                  <w:marRight w:val="0"/>
                  <w:marTop w:val="0"/>
                  <w:marBottom w:val="0"/>
                  <w:divBdr>
                    <w:top w:val="none" w:sz="0" w:space="0" w:color="auto"/>
                    <w:left w:val="none" w:sz="0" w:space="0" w:color="auto"/>
                    <w:bottom w:val="none" w:sz="0" w:space="0" w:color="auto"/>
                    <w:right w:val="none" w:sz="0" w:space="0" w:color="auto"/>
                  </w:divBdr>
                  <w:divsChild>
                    <w:div w:id="1546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4817">
      <w:bodyDiv w:val="1"/>
      <w:marLeft w:val="0"/>
      <w:marRight w:val="0"/>
      <w:marTop w:val="0"/>
      <w:marBottom w:val="0"/>
      <w:divBdr>
        <w:top w:val="none" w:sz="0" w:space="0" w:color="auto"/>
        <w:left w:val="none" w:sz="0" w:space="0" w:color="auto"/>
        <w:bottom w:val="none" w:sz="0" w:space="0" w:color="auto"/>
        <w:right w:val="none" w:sz="0" w:space="0" w:color="auto"/>
      </w:divBdr>
      <w:divsChild>
        <w:div w:id="1351760226">
          <w:marLeft w:val="0"/>
          <w:marRight w:val="0"/>
          <w:marTop w:val="0"/>
          <w:marBottom w:val="0"/>
          <w:divBdr>
            <w:top w:val="none" w:sz="0" w:space="0" w:color="auto"/>
            <w:left w:val="none" w:sz="0" w:space="0" w:color="auto"/>
            <w:bottom w:val="none" w:sz="0" w:space="0" w:color="auto"/>
            <w:right w:val="none" w:sz="0" w:space="0" w:color="auto"/>
          </w:divBdr>
          <w:divsChild>
            <w:div w:id="490296535">
              <w:marLeft w:val="0"/>
              <w:marRight w:val="0"/>
              <w:marTop w:val="0"/>
              <w:marBottom w:val="0"/>
              <w:divBdr>
                <w:top w:val="none" w:sz="0" w:space="0" w:color="auto"/>
                <w:left w:val="none" w:sz="0" w:space="0" w:color="auto"/>
                <w:bottom w:val="none" w:sz="0" w:space="0" w:color="auto"/>
                <w:right w:val="none" w:sz="0" w:space="0" w:color="auto"/>
              </w:divBdr>
              <w:divsChild>
                <w:div w:id="15772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6355">
      <w:bodyDiv w:val="1"/>
      <w:marLeft w:val="0"/>
      <w:marRight w:val="0"/>
      <w:marTop w:val="0"/>
      <w:marBottom w:val="0"/>
      <w:divBdr>
        <w:top w:val="none" w:sz="0" w:space="0" w:color="auto"/>
        <w:left w:val="none" w:sz="0" w:space="0" w:color="auto"/>
        <w:bottom w:val="none" w:sz="0" w:space="0" w:color="auto"/>
        <w:right w:val="none" w:sz="0" w:space="0" w:color="auto"/>
      </w:divBdr>
    </w:div>
    <w:div w:id="168835036">
      <w:bodyDiv w:val="1"/>
      <w:marLeft w:val="0"/>
      <w:marRight w:val="0"/>
      <w:marTop w:val="0"/>
      <w:marBottom w:val="0"/>
      <w:divBdr>
        <w:top w:val="none" w:sz="0" w:space="0" w:color="auto"/>
        <w:left w:val="none" w:sz="0" w:space="0" w:color="auto"/>
        <w:bottom w:val="none" w:sz="0" w:space="0" w:color="auto"/>
        <w:right w:val="none" w:sz="0" w:space="0" w:color="auto"/>
      </w:divBdr>
      <w:divsChild>
        <w:div w:id="1321227922">
          <w:marLeft w:val="-315"/>
          <w:marRight w:val="-330"/>
          <w:marTop w:val="0"/>
          <w:marBottom w:val="0"/>
          <w:divBdr>
            <w:top w:val="none" w:sz="0" w:space="0" w:color="auto"/>
            <w:left w:val="none" w:sz="0" w:space="0" w:color="auto"/>
            <w:bottom w:val="none" w:sz="0" w:space="0" w:color="auto"/>
            <w:right w:val="none" w:sz="0" w:space="0" w:color="auto"/>
          </w:divBdr>
          <w:divsChild>
            <w:div w:id="1836992219">
              <w:marLeft w:val="0"/>
              <w:marRight w:val="0"/>
              <w:marTop w:val="0"/>
              <w:marBottom w:val="0"/>
              <w:divBdr>
                <w:top w:val="none" w:sz="0" w:space="0" w:color="auto"/>
                <w:left w:val="none" w:sz="0" w:space="0" w:color="auto"/>
                <w:bottom w:val="none" w:sz="0" w:space="0" w:color="auto"/>
                <w:right w:val="none" w:sz="0" w:space="0" w:color="auto"/>
              </w:divBdr>
              <w:divsChild>
                <w:div w:id="1774982205">
                  <w:marLeft w:val="0"/>
                  <w:marRight w:val="0"/>
                  <w:marTop w:val="0"/>
                  <w:marBottom w:val="0"/>
                  <w:divBdr>
                    <w:top w:val="none" w:sz="0" w:space="0" w:color="auto"/>
                    <w:left w:val="none" w:sz="0" w:space="0" w:color="auto"/>
                    <w:bottom w:val="none" w:sz="0" w:space="0" w:color="auto"/>
                    <w:right w:val="none" w:sz="0" w:space="0" w:color="auto"/>
                  </w:divBdr>
                  <w:divsChild>
                    <w:div w:id="178274353">
                      <w:marLeft w:val="0"/>
                      <w:marRight w:val="0"/>
                      <w:marTop w:val="0"/>
                      <w:marBottom w:val="0"/>
                      <w:divBdr>
                        <w:top w:val="none" w:sz="0" w:space="0" w:color="auto"/>
                        <w:left w:val="none" w:sz="0" w:space="0" w:color="auto"/>
                        <w:bottom w:val="none" w:sz="0" w:space="0" w:color="auto"/>
                        <w:right w:val="none" w:sz="0" w:space="0" w:color="auto"/>
                      </w:divBdr>
                    </w:div>
                    <w:div w:id="1063718183">
                      <w:marLeft w:val="0"/>
                      <w:marRight w:val="0"/>
                      <w:marTop w:val="0"/>
                      <w:marBottom w:val="0"/>
                      <w:divBdr>
                        <w:top w:val="none" w:sz="0" w:space="0" w:color="auto"/>
                        <w:left w:val="none" w:sz="0" w:space="0" w:color="auto"/>
                        <w:bottom w:val="none" w:sz="0" w:space="0" w:color="auto"/>
                        <w:right w:val="none" w:sz="0" w:space="0" w:color="auto"/>
                      </w:divBdr>
                    </w:div>
                    <w:div w:id="7833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8019">
          <w:marLeft w:val="0"/>
          <w:marRight w:val="0"/>
          <w:marTop w:val="0"/>
          <w:marBottom w:val="0"/>
          <w:divBdr>
            <w:top w:val="none" w:sz="0" w:space="0" w:color="auto"/>
            <w:left w:val="none" w:sz="0" w:space="0" w:color="auto"/>
            <w:bottom w:val="none" w:sz="0" w:space="0" w:color="auto"/>
            <w:right w:val="none" w:sz="0" w:space="0" w:color="auto"/>
          </w:divBdr>
          <w:divsChild>
            <w:div w:id="926769852">
              <w:marLeft w:val="0"/>
              <w:marRight w:val="0"/>
              <w:marTop w:val="0"/>
              <w:marBottom w:val="0"/>
              <w:divBdr>
                <w:top w:val="none" w:sz="0" w:space="0" w:color="auto"/>
                <w:left w:val="none" w:sz="0" w:space="0" w:color="auto"/>
                <w:bottom w:val="none" w:sz="0" w:space="0" w:color="auto"/>
                <w:right w:val="none" w:sz="0" w:space="0" w:color="auto"/>
              </w:divBdr>
              <w:divsChild>
                <w:div w:id="8492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3478">
      <w:bodyDiv w:val="1"/>
      <w:marLeft w:val="0"/>
      <w:marRight w:val="0"/>
      <w:marTop w:val="0"/>
      <w:marBottom w:val="0"/>
      <w:divBdr>
        <w:top w:val="none" w:sz="0" w:space="0" w:color="auto"/>
        <w:left w:val="none" w:sz="0" w:space="0" w:color="auto"/>
        <w:bottom w:val="none" w:sz="0" w:space="0" w:color="auto"/>
        <w:right w:val="none" w:sz="0" w:space="0" w:color="auto"/>
      </w:divBdr>
    </w:div>
    <w:div w:id="170611044">
      <w:bodyDiv w:val="1"/>
      <w:marLeft w:val="0"/>
      <w:marRight w:val="0"/>
      <w:marTop w:val="0"/>
      <w:marBottom w:val="0"/>
      <w:divBdr>
        <w:top w:val="none" w:sz="0" w:space="0" w:color="auto"/>
        <w:left w:val="none" w:sz="0" w:space="0" w:color="auto"/>
        <w:bottom w:val="none" w:sz="0" w:space="0" w:color="auto"/>
        <w:right w:val="none" w:sz="0" w:space="0" w:color="auto"/>
      </w:divBdr>
    </w:div>
    <w:div w:id="183054438">
      <w:bodyDiv w:val="1"/>
      <w:marLeft w:val="0"/>
      <w:marRight w:val="0"/>
      <w:marTop w:val="0"/>
      <w:marBottom w:val="0"/>
      <w:divBdr>
        <w:top w:val="none" w:sz="0" w:space="0" w:color="auto"/>
        <w:left w:val="none" w:sz="0" w:space="0" w:color="auto"/>
        <w:bottom w:val="none" w:sz="0" w:space="0" w:color="auto"/>
        <w:right w:val="none" w:sz="0" w:space="0" w:color="auto"/>
      </w:divBdr>
    </w:div>
    <w:div w:id="201403844">
      <w:bodyDiv w:val="1"/>
      <w:marLeft w:val="0"/>
      <w:marRight w:val="0"/>
      <w:marTop w:val="0"/>
      <w:marBottom w:val="0"/>
      <w:divBdr>
        <w:top w:val="none" w:sz="0" w:space="0" w:color="auto"/>
        <w:left w:val="none" w:sz="0" w:space="0" w:color="auto"/>
        <w:bottom w:val="none" w:sz="0" w:space="0" w:color="auto"/>
        <w:right w:val="none" w:sz="0" w:space="0" w:color="auto"/>
      </w:divBdr>
      <w:divsChild>
        <w:div w:id="1132090191">
          <w:marLeft w:val="0"/>
          <w:marRight w:val="0"/>
          <w:marTop w:val="0"/>
          <w:marBottom w:val="0"/>
          <w:divBdr>
            <w:top w:val="none" w:sz="0" w:space="0" w:color="auto"/>
            <w:left w:val="none" w:sz="0" w:space="0" w:color="auto"/>
            <w:bottom w:val="none" w:sz="0" w:space="0" w:color="auto"/>
            <w:right w:val="none" w:sz="0" w:space="0" w:color="auto"/>
          </w:divBdr>
          <w:divsChild>
            <w:div w:id="325205568">
              <w:marLeft w:val="0"/>
              <w:marRight w:val="0"/>
              <w:marTop w:val="0"/>
              <w:marBottom w:val="0"/>
              <w:divBdr>
                <w:top w:val="none" w:sz="0" w:space="0" w:color="auto"/>
                <w:left w:val="none" w:sz="0" w:space="0" w:color="auto"/>
                <w:bottom w:val="none" w:sz="0" w:space="0" w:color="auto"/>
                <w:right w:val="none" w:sz="0" w:space="0" w:color="auto"/>
              </w:divBdr>
              <w:divsChild>
                <w:div w:id="7910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3719">
          <w:marLeft w:val="0"/>
          <w:marRight w:val="0"/>
          <w:marTop w:val="0"/>
          <w:marBottom w:val="0"/>
          <w:divBdr>
            <w:top w:val="none" w:sz="0" w:space="0" w:color="auto"/>
            <w:left w:val="none" w:sz="0" w:space="0" w:color="auto"/>
            <w:bottom w:val="none" w:sz="0" w:space="0" w:color="auto"/>
            <w:right w:val="none" w:sz="0" w:space="0" w:color="auto"/>
          </w:divBdr>
        </w:div>
      </w:divsChild>
    </w:div>
    <w:div w:id="214243909">
      <w:bodyDiv w:val="1"/>
      <w:marLeft w:val="0"/>
      <w:marRight w:val="0"/>
      <w:marTop w:val="0"/>
      <w:marBottom w:val="0"/>
      <w:divBdr>
        <w:top w:val="none" w:sz="0" w:space="0" w:color="auto"/>
        <w:left w:val="none" w:sz="0" w:space="0" w:color="auto"/>
        <w:bottom w:val="none" w:sz="0" w:space="0" w:color="auto"/>
        <w:right w:val="none" w:sz="0" w:space="0" w:color="auto"/>
      </w:divBdr>
    </w:div>
    <w:div w:id="224725317">
      <w:bodyDiv w:val="1"/>
      <w:marLeft w:val="0"/>
      <w:marRight w:val="0"/>
      <w:marTop w:val="0"/>
      <w:marBottom w:val="0"/>
      <w:divBdr>
        <w:top w:val="none" w:sz="0" w:space="0" w:color="auto"/>
        <w:left w:val="none" w:sz="0" w:space="0" w:color="auto"/>
        <w:bottom w:val="none" w:sz="0" w:space="0" w:color="auto"/>
        <w:right w:val="none" w:sz="0" w:space="0" w:color="auto"/>
      </w:divBdr>
      <w:divsChild>
        <w:div w:id="2144275150">
          <w:marLeft w:val="0"/>
          <w:marRight w:val="0"/>
          <w:marTop w:val="0"/>
          <w:marBottom w:val="0"/>
          <w:divBdr>
            <w:top w:val="none" w:sz="0" w:space="0" w:color="auto"/>
            <w:left w:val="none" w:sz="0" w:space="0" w:color="auto"/>
            <w:bottom w:val="none" w:sz="0" w:space="0" w:color="auto"/>
            <w:right w:val="none" w:sz="0" w:space="0" w:color="auto"/>
          </w:divBdr>
          <w:divsChild>
            <w:div w:id="979074700">
              <w:marLeft w:val="0"/>
              <w:marRight w:val="0"/>
              <w:marTop w:val="0"/>
              <w:marBottom w:val="0"/>
              <w:divBdr>
                <w:top w:val="none" w:sz="0" w:space="0" w:color="auto"/>
                <w:left w:val="none" w:sz="0" w:space="0" w:color="auto"/>
                <w:bottom w:val="none" w:sz="0" w:space="0" w:color="auto"/>
                <w:right w:val="none" w:sz="0" w:space="0" w:color="auto"/>
              </w:divBdr>
              <w:divsChild>
                <w:div w:id="19634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7094">
      <w:bodyDiv w:val="1"/>
      <w:marLeft w:val="0"/>
      <w:marRight w:val="0"/>
      <w:marTop w:val="0"/>
      <w:marBottom w:val="0"/>
      <w:divBdr>
        <w:top w:val="none" w:sz="0" w:space="0" w:color="auto"/>
        <w:left w:val="none" w:sz="0" w:space="0" w:color="auto"/>
        <w:bottom w:val="none" w:sz="0" w:space="0" w:color="auto"/>
        <w:right w:val="none" w:sz="0" w:space="0" w:color="auto"/>
      </w:divBdr>
    </w:div>
    <w:div w:id="239873458">
      <w:bodyDiv w:val="1"/>
      <w:marLeft w:val="0"/>
      <w:marRight w:val="0"/>
      <w:marTop w:val="0"/>
      <w:marBottom w:val="0"/>
      <w:divBdr>
        <w:top w:val="none" w:sz="0" w:space="0" w:color="auto"/>
        <w:left w:val="none" w:sz="0" w:space="0" w:color="auto"/>
        <w:bottom w:val="none" w:sz="0" w:space="0" w:color="auto"/>
        <w:right w:val="none" w:sz="0" w:space="0" w:color="auto"/>
      </w:divBdr>
    </w:div>
    <w:div w:id="244414393">
      <w:bodyDiv w:val="1"/>
      <w:marLeft w:val="0"/>
      <w:marRight w:val="0"/>
      <w:marTop w:val="0"/>
      <w:marBottom w:val="0"/>
      <w:divBdr>
        <w:top w:val="none" w:sz="0" w:space="0" w:color="auto"/>
        <w:left w:val="none" w:sz="0" w:space="0" w:color="auto"/>
        <w:bottom w:val="none" w:sz="0" w:space="0" w:color="auto"/>
        <w:right w:val="none" w:sz="0" w:space="0" w:color="auto"/>
      </w:divBdr>
      <w:divsChild>
        <w:div w:id="986664402">
          <w:marLeft w:val="0"/>
          <w:marRight w:val="0"/>
          <w:marTop w:val="0"/>
          <w:marBottom w:val="0"/>
          <w:divBdr>
            <w:top w:val="none" w:sz="0" w:space="0" w:color="auto"/>
            <w:left w:val="none" w:sz="0" w:space="0" w:color="auto"/>
            <w:bottom w:val="none" w:sz="0" w:space="0" w:color="auto"/>
            <w:right w:val="none" w:sz="0" w:space="0" w:color="auto"/>
          </w:divBdr>
          <w:divsChild>
            <w:div w:id="1929733078">
              <w:marLeft w:val="0"/>
              <w:marRight w:val="0"/>
              <w:marTop w:val="0"/>
              <w:marBottom w:val="0"/>
              <w:divBdr>
                <w:top w:val="none" w:sz="0" w:space="0" w:color="auto"/>
                <w:left w:val="none" w:sz="0" w:space="0" w:color="auto"/>
                <w:bottom w:val="none" w:sz="0" w:space="0" w:color="auto"/>
                <w:right w:val="none" w:sz="0" w:space="0" w:color="auto"/>
              </w:divBdr>
              <w:divsChild>
                <w:div w:id="972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39158">
      <w:bodyDiv w:val="1"/>
      <w:marLeft w:val="0"/>
      <w:marRight w:val="0"/>
      <w:marTop w:val="0"/>
      <w:marBottom w:val="0"/>
      <w:divBdr>
        <w:top w:val="none" w:sz="0" w:space="0" w:color="auto"/>
        <w:left w:val="none" w:sz="0" w:space="0" w:color="auto"/>
        <w:bottom w:val="none" w:sz="0" w:space="0" w:color="auto"/>
        <w:right w:val="none" w:sz="0" w:space="0" w:color="auto"/>
      </w:divBdr>
      <w:divsChild>
        <w:div w:id="1503231936">
          <w:marLeft w:val="0"/>
          <w:marRight w:val="0"/>
          <w:marTop w:val="0"/>
          <w:marBottom w:val="0"/>
          <w:divBdr>
            <w:top w:val="none" w:sz="0" w:space="0" w:color="auto"/>
            <w:left w:val="none" w:sz="0" w:space="0" w:color="auto"/>
            <w:bottom w:val="none" w:sz="0" w:space="0" w:color="auto"/>
            <w:right w:val="none" w:sz="0" w:space="0" w:color="auto"/>
          </w:divBdr>
          <w:divsChild>
            <w:div w:id="1662730227">
              <w:marLeft w:val="0"/>
              <w:marRight w:val="0"/>
              <w:marTop w:val="0"/>
              <w:marBottom w:val="0"/>
              <w:divBdr>
                <w:top w:val="none" w:sz="0" w:space="0" w:color="auto"/>
                <w:left w:val="none" w:sz="0" w:space="0" w:color="auto"/>
                <w:bottom w:val="none" w:sz="0" w:space="0" w:color="auto"/>
                <w:right w:val="none" w:sz="0" w:space="0" w:color="auto"/>
              </w:divBdr>
              <w:divsChild>
                <w:div w:id="20975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14867">
      <w:bodyDiv w:val="1"/>
      <w:marLeft w:val="0"/>
      <w:marRight w:val="0"/>
      <w:marTop w:val="0"/>
      <w:marBottom w:val="0"/>
      <w:divBdr>
        <w:top w:val="none" w:sz="0" w:space="0" w:color="auto"/>
        <w:left w:val="none" w:sz="0" w:space="0" w:color="auto"/>
        <w:bottom w:val="none" w:sz="0" w:space="0" w:color="auto"/>
        <w:right w:val="none" w:sz="0" w:space="0" w:color="auto"/>
      </w:divBdr>
    </w:div>
    <w:div w:id="276837478">
      <w:bodyDiv w:val="1"/>
      <w:marLeft w:val="0"/>
      <w:marRight w:val="0"/>
      <w:marTop w:val="0"/>
      <w:marBottom w:val="0"/>
      <w:divBdr>
        <w:top w:val="none" w:sz="0" w:space="0" w:color="auto"/>
        <w:left w:val="none" w:sz="0" w:space="0" w:color="auto"/>
        <w:bottom w:val="none" w:sz="0" w:space="0" w:color="auto"/>
        <w:right w:val="none" w:sz="0" w:space="0" w:color="auto"/>
      </w:divBdr>
    </w:div>
    <w:div w:id="283274864">
      <w:bodyDiv w:val="1"/>
      <w:marLeft w:val="0"/>
      <w:marRight w:val="0"/>
      <w:marTop w:val="0"/>
      <w:marBottom w:val="0"/>
      <w:divBdr>
        <w:top w:val="none" w:sz="0" w:space="0" w:color="auto"/>
        <w:left w:val="none" w:sz="0" w:space="0" w:color="auto"/>
        <w:bottom w:val="none" w:sz="0" w:space="0" w:color="auto"/>
        <w:right w:val="none" w:sz="0" w:space="0" w:color="auto"/>
      </w:divBdr>
    </w:div>
    <w:div w:id="293341069">
      <w:bodyDiv w:val="1"/>
      <w:marLeft w:val="0"/>
      <w:marRight w:val="0"/>
      <w:marTop w:val="0"/>
      <w:marBottom w:val="0"/>
      <w:divBdr>
        <w:top w:val="none" w:sz="0" w:space="0" w:color="auto"/>
        <w:left w:val="none" w:sz="0" w:space="0" w:color="auto"/>
        <w:bottom w:val="none" w:sz="0" w:space="0" w:color="auto"/>
        <w:right w:val="none" w:sz="0" w:space="0" w:color="auto"/>
      </w:divBdr>
    </w:div>
    <w:div w:id="304511267">
      <w:bodyDiv w:val="1"/>
      <w:marLeft w:val="0"/>
      <w:marRight w:val="0"/>
      <w:marTop w:val="0"/>
      <w:marBottom w:val="0"/>
      <w:divBdr>
        <w:top w:val="none" w:sz="0" w:space="0" w:color="auto"/>
        <w:left w:val="none" w:sz="0" w:space="0" w:color="auto"/>
        <w:bottom w:val="none" w:sz="0" w:space="0" w:color="auto"/>
        <w:right w:val="none" w:sz="0" w:space="0" w:color="auto"/>
      </w:divBdr>
    </w:div>
    <w:div w:id="311061697">
      <w:bodyDiv w:val="1"/>
      <w:marLeft w:val="0"/>
      <w:marRight w:val="0"/>
      <w:marTop w:val="0"/>
      <w:marBottom w:val="0"/>
      <w:divBdr>
        <w:top w:val="none" w:sz="0" w:space="0" w:color="auto"/>
        <w:left w:val="none" w:sz="0" w:space="0" w:color="auto"/>
        <w:bottom w:val="none" w:sz="0" w:space="0" w:color="auto"/>
        <w:right w:val="none" w:sz="0" w:space="0" w:color="auto"/>
      </w:divBdr>
    </w:div>
    <w:div w:id="317468258">
      <w:bodyDiv w:val="1"/>
      <w:marLeft w:val="0"/>
      <w:marRight w:val="0"/>
      <w:marTop w:val="0"/>
      <w:marBottom w:val="0"/>
      <w:divBdr>
        <w:top w:val="none" w:sz="0" w:space="0" w:color="auto"/>
        <w:left w:val="none" w:sz="0" w:space="0" w:color="auto"/>
        <w:bottom w:val="none" w:sz="0" w:space="0" w:color="auto"/>
        <w:right w:val="none" w:sz="0" w:space="0" w:color="auto"/>
      </w:divBdr>
    </w:div>
    <w:div w:id="330567685">
      <w:bodyDiv w:val="1"/>
      <w:marLeft w:val="0"/>
      <w:marRight w:val="0"/>
      <w:marTop w:val="0"/>
      <w:marBottom w:val="0"/>
      <w:divBdr>
        <w:top w:val="none" w:sz="0" w:space="0" w:color="auto"/>
        <w:left w:val="none" w:sz="0" w:space="0" w:color="auto"/>
        <w:bottom w:val="none" w:sz="0" w:space="0" w:color="auto"/>
        <w:right w:val="none" w:sz="0" w:space="0" w:color="auto"/>
      </w:divBdr>
    </w:div>
    <w:div w:id="334188751">
      <w:bodyDiv w:val="1"/>
      <w:marLeft w:val="0"/>
      <w:marRight w:val="0"/>
      <w:marTop w:val="0"/>
      <w:marBottom w:val="0"/>
      <w:divBdr>
        <w:top w:val="none" w:sz="0" w:space="0" w:color="auto"/>
        <w:left w:val="none" w:sz="0" w:space="0" w:color="auto"/>
        <w:bottom w:val="none" w:sz="0" w:space="0" w:color="auto"/>
        <w:right w:val="none" w:sz="0" w:space="0" w:color="auto"/>
      </w:divBdr>
      <w:divsChild>
        <w:div w:id="1011879080">
          <w:marLeft w:val="0"/>
          <w:marRight w:val="0"/>
          <w:marTop w:val="0"/>
          <w:marBottom w:val="0"/>
          <w:divBdr>
            <w:top w:val="none" w:sz="0" w:space="0" w:color="auto"/>
            <w:left w:val="none" w:sz="0" w:space="0" w:color="auto"/>
            <w:bottom w:val="none" w:sz="0" w:space="0" w:color="auto"/>
            <w:right w:val="none" w:sz="0" w:space="0" w:color="auto"/>
          </w:divBdr>
          <w:divsChild>
            <w:div w:id="1392118910">
              <w:marLeft w:val="0"/>
              <w:marRight w:val="0"/>
              <w:marTop w:val="0"/>
              <w:marBottom w:val="0"/>
              <w:divBdr>
                <w:top w:val="none" w:sz="0" w:space="0" w:color="auto"/>
                <w:left w:val="none" w:sz="0" w:space="0" w:color="auto"/>
                <w:bottom w:val="none" w:sz="0" w:space="0" w:color="auto"/>
                <w:right w:val="none" w:sz="0" w:space="0" w:color="auto"/>
              </w:divBdr>
              <w:divsChild>
                <w:div w:id="13035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01327">
      <w:bodyDiv w:val="1"/>
      <w:marLeft w:val="0"/>
      <w:marRight w:val="0"/>
      <w:marTop w:val="0"/>
      <w:marBottom w:val="0"/>
      <w:divBdr>
        <w:top w:val="none" w:sz="0" w:space="0" w:color="auto"/>
        <w:left w:val="none" w:sz="0" w:space="0" w:color="auto"/>
        <w:bottom w:val="none" w:sz="0" w:space="0" w:color="auto"/>
        <w:right w:val="none" w:sz="0" w:space="0" w:color="auto"/>
      </w:divBdr>
    </w:div>
    <w:div w:id="383793073">
      <w:bodyDiv w:val="1"/>
      <w:marLeft w:val="0"/>
      <w:marRight w:val="0"/>
      <w:marTop w:val="0"/>
      <w:marBottom w:val="0"/>
      <w:divBdr>
        <w:top w:val="none" w:sz="0" w:space="0" w:color="auto"/>
        <w:left w:val="none" w:sz="0" w:space="0" w:color="auto"/>
        <w:bottom w:val="none" w:sz="0" w:space="0" w:color="auto"/>
        <w:right w:val="none" w:sz="0" w:space="0" w:color="auto"/>
      </w:divBdr>
    </w:div>
    <w:div w:id="397677174">
      <w:bodyDiv w:val="1"/>
      <w:marLeft w:val="0"/>
      <w:marRight w:val="0"/>
      <w:marTop w:val="0"/>
      <w:marBottom w:val="0"/>
      <w:divBdr>
        <w:top w:val="none" w:sz="0" w:space="0" w:color="auto"/>
        <w:left w:val="none" w:sz="0" w:space="0" w:color="auto"/>
        <w:bottom w:val="none" w:sz="0" w:space="0" w:color="auto"/>
        <w:right w:val="none" w:sz="0" w:space="0" w:color="auto"/>
      </w:divBdr>
    </w:div>
    <w:div w:id="410129129">
      <w:bodyDiv w:val="1"/>
      <w:marLeft w:val="0"/>
      <w:marRight w:val="0"/>
      <w:marTop w:val="0"/>
      <w:marBottom w:val="0"/>
      <w:divBdr>
        <w:top w:val="none" w:sz="0" w:space="0" w:color="auto"/>
        <w:left w:val="none" w:sz="0" w:space="0" w:color="auto"/>
        <w:bottom w:val="none" w:sz="0" w:space="0" w:color="auto"/>
        <w:right w:val="none" w:sz="0" w:space="0" w:color="auto"/>
      </w:divBdr>
    </w:div>
    <w:div w:id="435953626">
      <w:bodyDiv w:val="1"/>
      <w:marLeft w:val="0"/>
      <w:marRight w:val="0"/>
      <w:marTop w:val="0"/>
      <w:marBottom w:val="0"/>
      <w:divBdr>
        <w:top w:val="none" w:sz="0" w:space="0" w:color="auto"/>
        <w:left w:val="none" w:sz="0" w:space="0" w:color="auto"/>
        <w:bottom w:val="none" w:sz="0" w:space="0" w:color="auto"/>
        <w:right w:val="none" w:sz="0" w:space="0" w:color="auto"/>
      </w:divBdr>
    </w:div>
    <w:div w:id="437144650">
      <w:bodyDiv w:val="1"/>
      <w:marLeft w:val="0"/>
      <w:marRight w:val="0"/>
      <w:marTop w:val="0"/>
      <w:marBottom w:val="0"/>
      <w:divBdr>
        <w:top w:val="none" w:sz="0" w:space="0" w:color="auto"/>
        <w:left w:val="none" w:sz="0" w:space="0" w:color="auto"/>
        <w:bottom w:val="none" w:sz="0" w:space="0" w:color="auto"/>
        <w:right w:val="none" w:sz="0" w:space="0" w:color="auto"/>
      </w:divBdr>
      <w:divsChild>
        <w:div w:id="787235648">
          <w:marLeft w:val="0"/>
          <w:marRight w:val="0"/>
          <w:marTop w:val="0"/>
          <w:marBottom w:val="0"/>
          <w:divBdr>
            <w:top w:val="none" w:sz="0" w:space="0" w:color="auto"/>
            <w:left w:val="none" w:sz="0" w:space="0" w:color="auto"/>
            <w:bottom w:val="none" w:sz="0" w:space="0" w:color="auto"/>
            <w:right w:val="none" w:sz="0" w:space="0" w:color="auto"/>
          </w:divBdr>
          <w:divsChild>
            <w:div w:id="2076466274">
              <w:marLeft w:val="0"/>
              <w:marRight w:val="0"/>
              <w:marTop w:val="0"/>
              <w:marBottom w:val="0"/>
              <w:divBdr>
                <w:top w:val="none" w:sz="0" w:space="0" w:color="auto"/>
                <w:left w:val="none" w:sz="0" w:space="0" w:color="auto"/>
                <w:bottom w:val="none" w:sz="0" w:space="0" w:color="auto"/>
                <w:right w:val="none" w:sz="0" w:space="0" w:color="auto"/>
              </w:divBdr>
              <w:divsChild>
                <w:div w:id="1883516798">
                  <w:marLeft w:val="0"/>
                  <w:marRight w:val="0"/>
                  <w:marTop w:val="0"/>
                  <w:marBottom w:val="0"/>
                  <w:divBdr>
                    <w:top w:val="none" w:sz="0" w:space="0" w:color="auto"/>
                    <w:left w:val="none" w:sz="0" w:space="0" w:color="auto"/>
                    <w:bottom w:val="none" w:sz="0" w:space="0" w:color="auto"/>
                    <w:right w:val="none" w:sz="0" w:space="0" w:color="auto"/>
                  </w:divBdr>
                  <w:divsChild>
                    <w:div w:id="20912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87622">
      <w:bodyDiv w:val="1"/>
      <w:marLeft w:val="0"/>
      <w:marRight w:val="0"/>
      <w:marTop w:val="0"/>
      <w:marBottom w:val="0"/>
      <w:divBdr>
        <w:top w:val="none" w:sz="0" w:space="0" w:color="auto"/>
        <w:left w:val="none" w:sz="0" w:space="0" w:color="auto"/>
        <w:bottom w:val="none" w:sz="0" w:space="0" w:color="auto"/>
        <w:right w:val="none" w:sz="0" w:space="0" w:color="auto"/>
      </w:divBdr>
      <w:divsChild>
        <w:div w:id="2146700928">
          <w:marLeft w:val="-315"/>
          <w:marRight w:val="-330"/>
          <w:marTop w:val="0"/>
          <w:marBottom w:val="0"/>
          <w:divBdr>
            <w:top w:val="none" w:sz="0" w:space="0" w:color="auto"/>
            <w:left w:val="none" w:sz="0" w:space="0" w:color="auto"/>
            <w:bottom w:val="none" w:sz="0" w:space="0" w:color="auto"/>
            <w:right w:val="none" w:sz="0" w:space="0" w:color="auto"/>
          </w:divBdr>
          <w:divsChild>
            <w:div w:id="1445147521">
              <w:marLeft w:val="0"/>
              <w:marRight w:val="0"/>
              <w:marTop w:val="0"/>
              <w:marBottom w:val="0"/>
              <w:divBdr>
                <w:top w:val="none" w:sz="0" w:space="0" w:color="auto"/>
                <w:left w:val="none" w:sz="0" w:space="0" w:color="auto"/>
                <w:bottom w:val="none" w:sz="0" w:space="0" w:color="auto"/>
                <w:right w:val="none" w:sz="0" w:space="0" w:color="auto"/>
              </w:divBdr>
              <w:divsChild>
                <w:div w:id="544561914">
                  <w:marLeft w:val="0"/>
                  <w:marRight w:val="0"/>
                  <w:marTop w:val="0"/>
                  <w:marBottom w:val="0"/>
                  <w:divBdr>
                    <w:top w:val="none" w:sz="0" w:space="0" w:color="auto"/>
                    <w:left w:val="none" w:sz="0" w:space="0" w:color="auto"/>
                    <w:bottom w:val="none" w:sz="0" w:space="0" w:color="auto"/>
                    <w:right w:val="none" w:sz="0" w:space="0" w:color="auto"/>
                  </w:divBdr>
                  <w:divsChild>
                    <w:div w:id="1304771502">
                      <w:marLeft w:val="0"/>
                      <w:marRight w:val="0"/>
                      <w:marTop w:val="0"/>
                      <w:marBottom w:val="0"/>
                      <w:divBdr>
                        <w:top w:val="none" w:sz="0" w:space="0" w:color="auto"/>
                        <w:left w:val="none" w:sz="0" w:space="0" w:color="auto"/>
                        <w:bottom w:val="none" w:sz="0" w:space="0" w:color="auto"/>
                        <w:right w:val="none" w:sz="0" w:space="0" w:color="auto"/>
                      </w:divBdr>
                    </w:div>
                    <w:div w:id="577130359">
                      <w:marLeft w:val="0"/>
                      <w:marRight w:val="0"/>
                      <w:marTop w:val="0"/>
                      <w:marBottom w:val="0"/>
                      <w:divBdr>
                        <w:top w:val="none" w:sz="0" w:space="0" w:color="auto"/>
                        <w:left w:val="none" w:sz="0" w:space="0" w:color="auto"/>
                        <w:bottom w:val="none" w:sz="0" w:space="0" w:color="auto"/>
                        <w:right w:val="none" w:sz="0" w:space="0" w:color="auto"/>
                      </w:divBdr>
                    </w:div>
                    <w:div w:id="9284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5719">
          <w:marLeft w:val="0"/>
          <w:marRight w:val="0"/>
          <w:marTop w:val="0"/>
          <w:marBottom w:val="0"/>
          <w:divBdr>
            <w:top w:val="none" w:sz="0" w:space="0" w:color="auto"/>
            <w:left w:val="none" w:sz="0" w:space="0" w:color="auto"/>
            <w:bottom w:val="none" w:sz="0" w:space="0" w:color="auto"/>
            <w:right w:val="none" w:sz="0" w:space="0" w:color="auto"/>
          </w:divBdr>
          <w:divsChild>
            <w:div w:id="1347295002">
              <w:marLeft w:val="0"/>
              <w:marRight w:val="0"/>
              <w:marTop w:val="0"/>
              <w:marBottom w:val="0"/>
              <w:divBdr>
                <w:top w:val="none" w:sz="0" w:space="0" w:color="auto"/>
                <w:left w:val="none" w:sz="0" w:space="0" w:color="auto"/>
                <w:bottom w:val="none" w:sz="0" w:space="0" w:color="auto"/>
                <w:right w:val="none" w:sz="0" w:space="0" w:color="auto"/>
              </w:divBdr>
              <w:divsChild>
                <w:div w:id="10649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8049">
      <w:bodyDiv w:val="1"/>
      <w:marLeft w:val="0"/>
      <w:marRight w:val="0"/>
      <w:marTop w:val="0"/>
      <w:marBottom w:val="0"/>
      <w:divBdr>
        <w:top w:val="none" w:sz="0" w:space="0" w:color="auto"/>
        <w:left w:val="none" w:sz="0" w:space="0" w:color="auto"/>
        <w:bottom w:val="none" w:sz="0" w:space="0" w:color="auto"/>
        <w:right w:val="none" w:sz="0" w:space="0" w:color="auto"/>
      </w:divBdr>
    </w:div>
    <w:div w:id="498884870">
      <w:bodyDiv w:val="1"/>
      <w:marLeft w:val="0"/>
      <w:marRight w:val="0"/>
      <w:marTop w:val="0"/>
      <w:marBottom w:val="0"/>
      <w:divBdr>
        <w:top w:val="none" w:sz="0" w:space="0" w:color="auto"/>
        <w:left w:val="none" w:sz="0" w:space="0" w:color="auto"/>
        <w:bottom w:val="none" w:sz="0" w:space="0" w:color="auto"/>
        <w:right w:val="none" w:sz="0" w:space="0" w:color="auto"/>
      </w:divBdr>
    </w:div>
    <w:div w:id="507402329">
      <w:bodyDiv w:val="1"/>
      <w:marLeft w:val="0"/>
      <w:marRight w:val="0"/>
      <w:marTop w:val="0"/>
      <w:marBottom w:val="0"/>
      <w:divBdr>
        <w:top w:val="none" w:sz="0" w:space="0" w:color="auto"/>
        <w:left w:val="none" w:sz="0" w:space="0" w:color="auto"/>
        <w:bottom w:val="none" w:sz="0" w:space="0" w:color="auto"/>
        <w:right w:val="none" w:sz="0" w:space="0" w:color="auto"/>
      </w:divBdr>
      <w:divsChild>
        <w:div w:id="665978236">
          <w:marLeft w:val="0"/>
          <w:marRight w:val="0"/>
          <w:marTop w:val="0"/>
          <w:marBottom w:val="0"/>
          <w:divBdr>
            <w:top w:val="none" w:sz="0" w:space="0" w:color="auto"/>
            <w:left w:val="none" w:sz="0" w:space="0" w:color="auto"/>
            <w:bottom w:val="none" w:sz="0" w:space="0" w:color="auto"/>
            <w:right w:val="none" w:sz="0" w:space="0" w:color="auto"/>
          </w:divBdr>
          <w:divsChild>
            <w:div w:id="1423915690">
              <w:marLeft w:val="0"/>
              <w:marRight w:val="0"/>
              <w:marTop w:val="0"/>
              <w:marBottom w:val="0"/>
              <w:divBdr>
                <w:top w:val="none" w:sz="0" w:space="0" w:color="auto"/>
                <w:left w:val="none" w:sz="0" w:space="0" w:color="auto"/>
                <w:bottom w:val="none" w:sz="0" w:space="0" w:color="auto"/>
                <w:right w:val="none" w:sz="0" w:space="0" w:color="auto"/>
              </w:divBdr>
              <w:divsChild>
                <w:div w:id="10373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47559">
          <w:marLeft w:val="0"/>
          <w:marRight w:val="0"/>
          <w:marTop w:val="0"/>
          <w:marBottom w:val="0"/>
          <w:divBdr>
            <w:top w:val="none" w:sz="0" w:space="0" w:color="auto"/>
            <w:left w:val="none" w:sz="0" w:space="0" w:color="auto"/>
            <w:bottom w:val="none" w:sz="0" w:space="0" w:color="auto"/>
            <w:right w:val="none" w:sz="0" w:space="0" w:color="auto"/>
          </w:divBdr>
        </w:div>
      </w:divsChild>
    </w:div>
    <w:div w:id="540165510">
      <w:bodyDiv w:val="1"/>
      <w:marLeft w:val="0"/>
      <w:marRight w:val="0"/>
      <w:marTop w:val="0"/>
      <w:marBottom w:val="0"/>
      <w:divBdr>
        <w:top w:val="none" w:sz="0" w:space="0" w:color="auto"/>
        <w:left w:val="none" w:sz="0" w:space="0" w:color="auto"/>
        <w:bottom w:val="none" w:sz="0" w:space="0" w:color="auto"/>
        <w:right w:val="none" w:sz="0" w:space="0" w:color="auto"/>
      </w:divBdr>
    </w:div>
    <w:div w:id="545412409">
      <w:bodyDiv w:val="1"/>
      <w:marLeft w:val="0"/>
      <w:marRight w:val="0"/>
      <w:marTop w:val="0"/>
      <w:marBottom w:val="0"/>
      <w:divBdr>
        <w:top w:val="none" w:sz="0" w:space="0" w:color="auto"/>
        <w:left w:val="none" w:sz="0" w:space="0" w:color="auto"/>
        <w:bottom w:val="none" w:sz="0" w:space="0" w:color="auto"/>
        <w:right w:val="none" w:sz="0" w:space="0" w:color="auto"/>
      </w:divBdr>
      <w:divsChild>
        <w:div w:id="1749884981">
          <w:marLeft w:val="0"/>
          <w:marRight w:val="0"/>
          <w:marTop w:val="0"/>
          <w:marBottom w:val="0"/>
          <w:divBdr>
            <w:top w:val="none" w:sz="0" w:space="0" w:color="auto"/>
            <w:left w:val="none" w:sz="0" w:space="0" w:color="auto"/>
            <w:bottom w:val="none" w:sz="0" w:space="0" w:color="auto"/>
            <w:right w:val="none" w:sz="0" w:space="0" w:color="auto"/>
          </w:divBdr>
          <w:divsChild>
            <w:div w:id="12397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977">
      <w:bodyDiv w:val="1"/>
      <w:marLeft w:val="0"/>
      <w:marRight w:val="0"/>
      <w:marTop w:val="0"/>
      <w:marBottom w:val="0"/>
      <w:divBdr>
        <w:top w:val="none" w:sz="0" w:space="0" w:color="auto"/>
        <w:left w:val="none" w:sz="0" w:space="0" w:color="auto"/>
        <w:bottom w:val="none" w:sz="0" w:space="0" w:color="auto"/>
        <w:right w:val="none" w:sz="0" w:space="0" w:color="auto"/>
      </w:divBdr>
      <w:divsChild>
        <w:div w:id="234169504">
          <w:marLeft w:val="0"/>
          <w:marRight w:val="0"/>
          <w:marTop w:val="0"/>
          <w:marBottom w:val="0"/>
          <w:divBdr>
            <w:top w:val="none" w:sz="0" w:space="0" w:color="auto"/>
            <w:left w:val="none" w:sz="0" w:space="0" w:color="auto"/>
            <w:bottom w:val="none" w:sz="0" w:space="0" w:color="auto"/>
            <w:right w:val="none" w:sz="0" w:space="0" w:color="auto"/>
          </w:divBdr>
          <w:divsChild>
            <w:div w:id="2094473859">
              <w:marLeft w:val="0"/>
              <w:marRight w:val="0"/>
              <w:marTop w:val="0"/>
              <w:marBottom w:val="0"/>
              <w:divBdr>
                <w:top w:val="none" w:sz="0" w:space="0" w:color="auto"/>
                <w:left w:val="none" w:sz="0" w:space="0" w:color="auto"/>
                <w:bottom w:val="none" w:sz="0" w:space="0" w:color="auto"/>
                <w:right w:val="none" w:sz="0" w:space="0" w:color="auto"/>
              </w:divBdr>
              <w:divsChild>
                <w:div w:id="19363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39916">
      <w:bodyDiv w:val="1"/>
      <w:marLeft w:val="0"/>
      <w:marRight w:val="0"/>
      <w:marTop w:val="0"/>
      <w:marBottom w:val="0"/>
      <w:divBdr>
        <w:top w:val="none" w:sz="0" w:space="0" w:color="auto"/>
        <w:left w:val="none" w:sz="0" w:space="0" w:color="auto"/>
        <w:bottom w:val="none" w:sz="0" w:space="0" w:color="auto"/>
        <w:right w:val="none" w:sz="0" w:space="0" w:color="auto"/>
      </w:divBdr>
      <w:divsChild>
        <w:div w:id="1858733973">
          <w:marLeft w:val="0"/>
          <w:marRight w:val="0"/>
          <w:marTop w:val="0"/>
          <w:marBottom w:val="0"/>
          <w:divBdr>
            <w:top w:val="none" w:sz="0" w:space="0" w:color="auto"/>
            <w:left w:val="none" w:sz="0" w:space="0" w:color="auto"/>
            <w:bottom w:val="none" w:sz="0" w:space="0" w:color="auto"/>
            <w:right w:val="none" w:sz="0" w:space="0" w:color="auto"/>
          </w:divBdr>
          <w:divsChild>
            <w:div w:id="1879467512">
              <w:marLeft w:val="0"/>
              <w:marRight w:val="0"/>
              <w:marTop w:val="0"/>
              <w:marBottom w:val="0"/>
              <w:divBdr>
                <w:top w:val="none" w:sz="0" w:space="0" w:color="auto"/>
                <w:left w:val="none" w:sz="0" w:space="0" w:color="auto"/>
                <w:bottom w:val="none" w:sz="0" w:space="0" w:color="auto"/>
                <w:right w:val="none" w:sz="0" w:space="0" w:color="auto"/>
              </w:divBdr>
              <w:divsChild>
                <w:div w:id="19175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7771">
          <w:marLeft w:val="0"/>
          <w:marRight w:val="0"/>
          <w:marTop w:val="0"/>
          <w:marBottom w:val="0"/>
          <w:divBdr>
            <w:top w:val="none" w:sz="0" w:space="0" w:color="auto"/>
            <w:left w:val="none" w:sz="0" w:space="0" w:color="auto"/>
            <w:bottom w:val="none" w:sz="0" w:space="0" w:color="auto"/>
            <w:right w:val="none" w:sz="0" w:space="0" w:color="auto"/>
          </w:divBdr>
        </w:div>
      </w:divsChild>
    </w:div>
    <w:div w:id="601839666">
      <w:bodyDiv w:val="1"/>
      <w:marLeft w:val="0"/>
      <w:marRight w:val="0"/>
      <w:marTop w:val="0"/>
      <w:marBottom w:val="0"/>
      <w:divBdr>
        <w:top w:val="none" w:sz="0" w:space="0" w:color="auto"/>
        <w:left w:val="none" w:sz="0" w:space="0" w:color="auto"/>
        <w:bottom w:val="none" w:sz="0" w:space="0" w:color="auto"/>
        <w:right w:val="none" w:sz="0" w:space="0" w:color="auto"/>
      </w:divBdr>
    </w:div>
    <w:div w:id="608781674">
      <w:bodyDiv w:val="1"/>
      <w:marLeft w:val="0"/>
      <w:marRight w:val="0"/>
      <w:marTop w:val="0"/>
      <w:marBottom w:val="0"/>
      <w:divBdr>
        <w:top w:val="none" w:sz="0" w:space="0" w:color="auto"/>
        <w:left w:val="none" w:sz="0" w:space="0" w:color="auto"/>
        <w:bottom w:val="none" w:sz="0" w:space="0" w:color="auto"/>
        <w:right w:val="none" w:sz="0" w:space="0" w:color="auto"/>
      </w:divBdr>
    </w:div>
    <w:div w:id="609751089">
      <w:bodyDiv w:val="1"/>
      <w:marLeft w:val="0"/>
      <w:marRight w:val="0"/>
      <w:marTop w:val="0"/>
      <w:marBottom w:val="0"/>
      <w:divBdr>
        <w:top w:val="none" w:sz="0" w:space="0" w:color="auto"/>
        <w:left w:val="none" w:sz="0" w:space="0" w:color="auto"/>
        <w:bottom w:val="none" w:sz="0" w:space="0" w:color="auto"/>
        <w:right w:val="none" w:sz="0" w:space="0" w:color="auto"/>
      </w:divBdr>
    </w:div>
    <w:div w:id="614097113">
      <w:bodyDiv w:val="1"/>
      <w:marLeft w:val="0"/>
      <w:marRight w:val="0"/>
      <w:marTop w:val="0"/>
      <w:marBottom w:val="0"/>
      <w:divBdr>
        <w:top w:val="none" w:sz="0" w:space="0" w:color="auto"/>
        <w:left w:val="none" w:sz="0" w:space="0" w:color="auto"/>
        <w:bottom w:val="none" w:sz="0" w:space="0" w:color="auto"/>
        <w:right w:val="none" w:sz="0" w:space="0" w:color="auto"/>
      </w:divBdr>
    </w:div>
    <w:div w:id="660619117">
      <w:bodyDiv w:val="1"/>
      <w:marLeft w:val="0"/>
      <w:marRight w:val="0"/>
      <w:marTop w:val="0"/>
      <w:marBottom w:val="0"/>
      <w:divBdr>
        <w:top w:val="none" w:sz="0" w:space="0" w:color="auto"/>
        <w:left w:val="none" w:sz="0" w:space="0" w:color="auto"/>
        <w:bottom w:val="none" w:sz="0" w:space="0" w:color="auto"/>
        <w:right w:val="none" w:sz="0" w:space="0" w:color="auto"/>
      </w:divBdr>
    </w:div>
    <w:div w:id="683826387">
      <w:bodyDiv w:val="1"/>
      <w:marLeft w:val="0"/>
      <w:marRight w:val="0"/>
      <w:marTop w:val="0"/>
      <w:marBottom w:val="0"/>
      <w:divBdr>
        <w:top w:val="none" w:sz="0" w:space="0" w:color="auto"/>
        <w:left w:val="none" w:sz="0" w:space="0" w:color="auto"/>
        <w:bottom w:val="none" w:sz="0" w:space="0" w:color="auto"/>
        <w:right w:val="none" w:sz="0" w:space="0" w:color="auto"/>
      </w:divBdr>
      <w:divsChild>
        <w:div w:id="2104262089">
          <w:marLeft w:val="0"/>
          <w:marRight w:val="0"/>
          <w:marTop w:val="0"/>
          <w:marBottom w:val="0"/>
          <w:divBdr>
            <w:top w:val="none" w:sz="0" w:space="0" w:color="auto"/>
            <w:left w:val="none" w:sz="0" w:space="0" w:color="auto"/>
            <w:bottom w:val="none" w:sz="0" w:space="0" w:color="auto"/>
            <w:right w:val="none" w:sz="0" w:space="0" w:color="auto"/>
          </w:divBdr>
        </w:div>
        <w:div w:id="1034579236">
          <w:marLeft w:val="0"/>
          <w:marRight w:val="0"/>
          <w:marTop w:val="0"/>
          <w:marBottom w:val="0"/>
          <w:divBdr>
            <w:top w:val="none" w:sz="0" w:space="0" w:color="auto"/>
            <w:left w:val="none" w:sz="0" w:space="0" w:color="auto"/>
            <w:bottom w:val="none" w:sz="0" w:space="0" w:color="auto"/>
            <w:right w:val="none" w:sz="0" w:space="0" w:color="auto"/>
          </w:divBdr>
        </w:div>
      </w:divsChild>
    </w:div>
    <w:div w:id="691952952">
      <w:bodyDiv w:val="1"/>
      <w:marLeft w:val="0"/>
      <w:marRight w:val="0"/>
      <w:marTop w:val="0"/>
      <w:marBottom w:val="0"/>
      <w:divBdr>
        <w:top w:val="none" w:sz="0" w:space="0" w:color="auto"/>
        <w:left w:val="none" w:sz="0" w:space="0" w:color="auto"/>
        <w:bottom w:val="none" w:sz="0" w:space="0" w:color="auto"/>
        <w:right w:val="none" w:sz="0" w:space="0" w:color="auto"/>
      </w:divBdr>
    </w:div>
    <w:div w:id="693967473">
      <w:bodyDiv w:val="1"/>
      <w:marLeft w:val="0"/>
      <w:marRight w:val="0"/>
      <w:marTop w:val="0"/>
      <w:marBottom w:val="0"/>
      <w:divBdr>
        <w:top w:val="none" w:sz="0" w:space="0" w:color="auto"/>
        <w:left w:val="none" w:sz="0" w:space="0" w:color="auto"/>
        <w:bottom w:val="none" w:sz="0" w:space="0" w:color="auto"/>
        <w:right w:val="none" w:sz="0" w:space="0" w:color="auto"/>
      </w:divBdr>
    </w:div>
    <w:div w:id="697241864">
      <w:bodyDiv w:val="1"/>
      <w:marLeft w:val="0"/>
      <w:marRight w:val="0"/>
      <w:marTop w:val="0"/>
      <w:marBottom w:val="0"/>
      <w:divBdr>
        <w:top w:val="none" w:sz="0" w:space="0" w:color="auto"/>
        <w:left w:val="none" w:sz="0" w:space="0" w:color="auto"/>
        <w:bottom w:val="none" w:sz="0" w:space="0" w:color="auto"/>
        <w:right w:val="none" w:sz="0" w:space="0" w:color="auto"/>
      </w:divBdr>
      <w:divsChild>
        <w:div w:id="933318175">
          <w:marLeft w:val="0"/>
          <w:marRight w:val="0"/>
          <w:marTop w:val="0"/>
          <w:marBottom w:val="0"/>
          <w:divBdr>
            <w:top w:val="none" w:sz="0" w:space="0" w:color="auto"/>
            <w:left w:val="none" w:sz="0" w:space="0" w:color="auto"/>
            <w:bottom w:val="none" w:sz="0" w:space="0" w:color="auto"/>
            <w:right w:val="none" w:sz="0" w:space="0" w:color="auto"/>
          </w:divBdr>
          <w:divsChild>
            <w:div w:id="1732851427">
              <w:marLeft w:val="0"/>
              <w:marRight w:val="0"/>
              <w:marTop w:val="0"/>
              <w:marBottom w:val="0"/>
              <w:divBdr>
                <w:top w:val="none" w:sz="0" w:space="0" w:color="auto"/>
                <w:left w:val="none" w:sz="0" w:space="0" w:color="auto"/>
                <w:bottom w:val="none" w:sz="0" w:space="0" w:color="auto"/>
                <w:right w:val="none" w:sz="0" w:space="0" w:color="auto"/>
              </w:divBdr>
              <w:divsChild>
                <w:div w:id="924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9515">
      <w:bodyDiv w:val="1"/>
      <w:marLeft w:val="0"/>
      <w:marRight w:val="0"/>
      <w:marTop w:val="0"/>
      <w:marBottom w:val="0"/>
      <w:divBdr>
        <w:top w:val="none" w:sz="0" w:space="0" w:color="auto"/>
        <w:left w:val="none" w:sz="0" w:space="0" w:color="auto"/>
        <w:bottom w:val="none" w:sz="0" w:space="0" w:color="auto"/>
        <w:right w:val="none" w:sz="0" w:space="0" w:color="auto"/>
      </w:divBdr>
      <w:divsChild>
        <w:div w:id="492448554">
          <w:marLeft w:val="0"/>
          <w:marRight w:val="0"/>
          <w:marTop w:val="0"/>
          <w:marBottom w:val="0"/>
          <w:divBdr>
            <w:top w:val="none" w:sz="0" w:space="0" w:color="auto"/>
            <w:left w:val="none" w:sz="0" w:space="0" w:color="auto"/>
            <w:bottom w:val="none" w:sz="0" w:space="0" w:color="auto"/>
            <w:right w:val="none" w:sz="0" w:space="0" w:color="auto"/>
          </w:divBdr>
        </w:div>
        <w:div w:id="1947803891">
          <w:marLeft w:val="0"/>
          <w:marRight w:val="0"/>
          <w:marTop w:val="0"/>
          <w:marBottom w:val="0"/>
          <w:divBdr>
            <w:top w:val="none" w:sz="0" w:space="0" w:color="auto"/>
            <w:left w:val="none" w:sz="0" w:space="0" w:color="auto"/>
            <w:bottom w:val="none" w:sz="0" w:space="0" w:color="auto"/>
            <w:right w:val="none" w:sz="0" w:space="0" w:color="auto"/>
          </w:divBdr>
        </w:div>
      </w:divsChild>
    </w:div>
    <w:div w:id="736324813">
      <w:bodyDiv w:val="1"/>
      <w:marLeft w:val="0"/>
      <w:marRight w:val="0"/>
      <w:marTop w:val="0"/>
      <w:marBottom w:val="0"/>
      <w:divBdr>
        <w:top w:val="none" w:sz="0" w:space="0" w:color="auto"/>
        <w:left w:val="none" w:sz="0" w:space="0" w:color="auto"/>
        <w:bottom w:val="none" w:sz="0" w:space="0" w:color="auto"/>
        <w:right w:val="none" w:sz="0" w:space="0" w:color="auto"/>
      </w:divBdr>
    </w:div>
    <w:div w:id="737554121">
      <w:bodyDiv w:val="1"/>
      <w:marLeft w:val="0"/>
      <w:marRight w:val="0"/>
      <w:marTop w:val="0"/>
      <w:marBottom w:val="0"/>
      <w:divBdr>
        <w:top w:val="none" w:sz="0" w:space="0" w:color="auto"/>
        <w:left w:val="none" w:sz="0" w:space="0" w:color="auto"/>
        <w:bottom w:val="none" w:sz="0" w:space="0" w:color="auto"/>
        <w:right w:val="none" w:sz="0" w:space="0" w:color="auto"/>
      </w:divBdr>
      <w:divsChild>
        <w:div w:id="1319766415">
          <w:marLeft w:val="0"/>
          <w:marRight w:val="0"/>
          <w:marTop w:val="600"/>
          <w:marBottom w:val="240"/>
          <w:divBdr>
            <w:top w:val="none" w:sz="0" w:space="0" w:color="auto"/>
            <w:left w:val="none" w:sz="0" w:space="0" w:color="auto"/>
            <w:bottom w:val="none" w:sz="0" w:space="0" w:color="auto"/>
            <w:right w:val="none" w:sz="0" w:space="0" w:color="auto"/>
          </w:divBdr>
        </w:div>
      </w:divsChild>
    </w:div>
    <w:div w:id="757405305">
      <w:bodyDiv w:val="1"/>
      <w:marLeft w:val="0"/>
      <w:marRight w:val="0"/>
      <w:marTop w:val="0"/>
      <w:marBottom w:val="0"/>
      <w:divBdr>
        <w:top w:val="none" w:sz="0" w:space="0" w:color="auto"/>
        <w:left w:val="none" w:sz="0" w:space="0" w:color="auto"/>
        <w:bottom w:val="none" w:sz="0" w:space="0" w:color="auto"/>
        <w:right w:val="none" w:sz="0" w:space="0" w:color="auto"/>
      </w:divBdr>
    </w:div>
    <w:div w:id="795442189">
      <w:bodyDiv w:val="1"/>
      <w:marLeft w:val="0"/>
      <w:marRight w:val="0"/>
      <w:marTop w:val="0"/>
      <w:marBottom w:val="0"/>
      <w:divBdr>
        <w:top w:val="none" w:sz="0" w:space="0" w:color="auto"/>
        <w:left w:val="none" w:sz="0" w:space="0" w:color="auto"/>
        <w:bottom w:val="none" w:sz="0" w:space="0" w:color="auto"/>
        <w:right w:val="none" w:sz="0" w:space="0" w:color="auto"/>
      </w:divBdr>
      <w:divsChild>
        <w:div w:id="870924122">
          <w:marLeft w:val="0"/>
          <w:marRight w:val="0"/>
          <w:marTop w:val="0"/>
          <w:marBottom w:val="0"/>
          <w:divBdr>
            <w:top w:val="none" w:sz="0" w:space="0" w:color="auto"/>
            <w:left w:val="none" w:sz="0" w:space="0" w:color="auto"/>
            <w:bottom w:val="none" w:sz="0" w:space="0" w:color="auto"/>
            <w:right w:val="none" w:sz="0" w:space="0" w:color="auto"/>
          </w:divBdr>
        </w:div>
        <w:div w:id="1838185742">
          <w:marLeft w:val="0"/>
          <w:marRight w:val="0"/>
          <w:marTop w:val="0"/>
          <w:marBottom w:val="0"/>
          <w:divBdr>
            <w:top w:val="none" w:sz="0" w:space="0" w:color="auto"/>
            <w:left w:val="none" w:sz="0" w:space="0" w:color="auto"/>
            <w:bottom w:val="none" w:sz="0" w:space="0" w:color="auto"/>
            <w:right w:val="none" w:sz="0" w:space="0" w:color="auto"/>
          </w:divBdr>
        </w:div>
      </w:divsChild>
    </w:div>
    <w:div w:id="797920746">
      <w:bodyDiv w:val="1"/>
      <w:marLeft w:val="0"/>
      <w:marRight w:val="0"/>
      <w:marTop w:val="0"/>
      <w:marBottom w:val="0"/>
      <w:divBdr>
        <w:top w:val="none" w:sz="0" w:space="0" w:color="auto"/>
        <w:left w:val="none" w:sz="0" w:space="0" w:color="auto"/>
        <w:bottom w:val="none" w:sz="0" w:space="0" w:color="auto"/>
        <w:right w:val="none" w:sz="0" w:space="0" w:color="auto"/>
      </w:divBdr>
    </w:div>
    <w:div w:id="806778659">
      <w:bodyDiv w:val="1"/>
      <w:marLeft w:val="0"/>
      <w:marRight w:val="0"/>
      <w:marTop w:val="0"/>
      <w:marBottom w:val="0"/>
      <w:divBdr>
        <w:top w:val="none" w:sz="0" w:space="0" w:color="auto"/>
        <w:left w:val="none" w:sz="0" w:space="0" w:color="auto"/>
        <w:bottom w:val="none" w:sz="0" w:space="0" w:color="auto"/>
        <w:right w:val="none" w:sz="0" w:space="0" w:color="auto"/>
      </w:divBdr>
      <w:divsChild>
        <w:div w:id="993526520">
          <w:marLeft w:val="-315"/>
          <w:marRight w:val="-330"/>
          <w:marTop w:val="0"/>
          <w:marBottom w:val="0"/>
          <w:divBdr>
            <w:top w:val="none" w:sz="0" w:space="0" w:color="auto"/>
            <w:left w:val="none" w:sz="0" w:space="0" w:color="auto"/>
            <w:bottom w:val="none" w:sz="0" w:space="0" w:color="auto"/>
            <w:right w:val="none" w:sz="0" w:space="0" w:color="auto"/>
          </w:divBdr>
          <w:divsChild>
            <w:div w:id="1676566680">
              <w:marLeft w:val="0"/>
              <w:marRight w:val="0"/>
              <w:marTop w:val="0"/>
              <w:marBottom w:val="0"/>
              <w:divBdr>
                <w:top w:val="none" w:sz="0" w:space="0" w:color="auto"/>
                <w:left w:val="none" w:sz="0" w:space="0" w:color="auto"/>
                <w:bottom w:val="none" w:sz="0" w:space="0" w:color="auto"/>
                <w:right w:val="none" w:sz="0" w:space="0" w:color="auto"/>
              </w:divBdr>
              <w:divsChild>
                <w:div w:id="1197238415">
                  <w:marLeft w:val="0"/>
                  <w:marRight w:val="0"/>
                  <w:marTop w:val="0"/>
                  <w:marBottom w:val="0"/>
                  <w:divBdr>
                    <w:top w:val="none" w:sz="0" w:space="0" w:color="auto"/>
                    <w:left w:val="none" w:sz="0" w:space="0" w:color="auto"/>
                    <w:bottom w:val="none" w:sz="0" w:space="0" w:color="auto"/>
                    <w:right w:val="none" w:sz="0" w:space="0" w:color="auto"/>
                  </w:divBdr>
                  <w:divsChild>
                    <w:div w:id="519246973">
                      <w:marLeft w:val="0"/>
                      <w:marRight w:val="0"/>
                      <w:marTop w:val="0"/>
                      <w:marBottom w:val="0"/>
                      <w:divBdr>
                        <w:top w:val="none" w:sz="0" w:space="0" w:color="auto"/>
                        <w:left w:val="none" w:sz="0" w:space="0" w:color="auto"/>
                        <w:bottom w:val="none" w:sz="0" w:space="0" w:color="auto"/>
                        <w:right w:val="none" w:sz="0" w:space="0" w:color="auto"/>
                      </w:divBdr>
                    </w:div>
                    <w:div w:id="399183536">
                      <w:marLeft w:val="0"/>
                      <w:marRight w:val="0"/>
                      <w:marTop w:val="0"/>
                      <w:marBottom w:val="0"/>
                      <w:divBdr>
                        <w:top w:val="none" w:sz="0" w:space="0" w:color="auto"/>
                        <w:left w:val="none" w:sz="0" w:space="0" w:color="auto"/>
                        <w:bottom w:val="none" w:sz="0" w:space="0" w:color="auto"/>
                        <w:right w:val="none" w:sz="0" w:space="0" w:color="auto"/>
                      </w:divBdr>
                    </w:div>
                    <w:div w:id="1996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4467">
          <w:marLeft w:val="0"/>
          <w:marRight w:val="0"/>
          <w:marTop w:val="0"/>
          <w:marBottom w:val="0"/>
          <w:divBdr>
            <w:top w:val="none" w:sz="0" w:space="0" w:color="auto"/>
            <w:left w:val="none" w:sz="0" w:space="0" w:color="auto"/>
            <w:bottom w:val="none" w:sz="0" w:space="0" w:color="auto"/>
            <w:right w:val="none" w:sz="0" w:space="0" w:color="auto"/>
          </w:divBdr>
          <w:divsChild>
            <w:div w:id="1832014735">
              <w:marLeft w:val="0"/>
              <w:marRight w:val="0"/>
              <w:marTop w:val="0"/>
              <w:marBottom w:val="0"/>
              <w:divBdr>
                <w:top w:val="none" w:sz="0" w:space="0" w:color="auto"/>
                <w:left w:val="none" w:sz="0" w:space="0" w:color="auto"/>
                <w:bottom w:val="none" w:sz="0" w:space="0" w:color="auto"/>
                <w:right w:val="none" w:sz="0" w:space="0" w:color="auto"/>
              </w:divBdr>
              <w:divsChild>
                <w:div w:id="20421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2128">
      <w:bodyDiv w:val="1"/>
      <w:marLeft w:val="0"/>
      <w:marRight w:val="0"/>
      <w:marTop w:val="0"/>
      <w:marBottom w:val="0"/>
      <w:divBdr>
        <w:top w:val="none" w:sz="0" w:space="0" w:color="auto"/>
        <w:left w:val="none" w:sz="0" w:space="0" w:color="auto"/>
        <w:bottom w:val="none" w:sz="0" w:space="0" w:color="auto"/>
        <w:right w:val="none" w:sz="0" w:space="0" w:color="auto"/>
      </w:divBdr>
    </w:div>
    <w:div w:id="829711709">
      <w:bodyDiv w:val="1"/>
      <w:marLeft w:val="0"/>
      <w:marRight w:val="0"/>
      <w:marTop w:val="0"/>
      <w:marBottom w:val="0"/>
      <w:divBdr>
        <w:top w:val="none" w:sz="0" w:space="0" w:color="auto"/>
        <w:left w:val="none" w:sz="0" w:space="0" w:color="auto"/>
        <w:bottom w:val="none" w:sz="0" w:space="0" w:color="auto"/>
        <w:right w:val="none" w:sz="0" w:space="0" w:color="auto"/>
      </w:divBdr>
    </w:div>
    <w:div w:id="831531173">
      <w:bodyDiv w:val="1"/>
      <w:marLeft w:val="0"/>
      <w:marRight w:val="0"/>
      <w:marTop w:val="0"/>
      <w:marBottom w:val="0"/>
      <w:divBdr>
        <w:top w:val="none" w:sz="0" w:space="0" w:color="auto"/>
        <w:left w:val="none" w:sz="0" w:space="0" w:color="auto"/>
        <w:bottom w:val="none" w:sz="0" w:space="0" w:color="auto"/>
        <w:right w:val="none" w:sz="0" w:space="0" w:color="auto"/>
      </w:divBdr>
    </w:div>
    <w:div w:id="847061692">
      <w:bodyDiv w:val="1"/>
      <w:marLeft w:val="0"/>
      <w:marRight w:val="0"/>
      <w:marTop w:val="0"/>
      <w:marBottom w:val="0"/>
      <w:divBdr>
        <w:top w:val="none" w:sz="0" w:space="0" w:color="auto"/>
        <w:left w:val="none" w:sz="0" w:space="0" w:color="auto"/>
        <w:bottom w:val="none" w:sz="0" w:space="0" w:color="auto"/>
        <w:right w:val="none" w:sz="0" w:space="0" w:color="auto"/>
      </w:divBdr>
    </w:div>
    <w:div w:id="860170017">
      <w:bodyDiv w:val="1"/>
      <w:marLeft w:val="0"/>
      <w:marRight w:val="0"/>
      <w:marTop w:val="0"/>
      <w:marBottom w:val="0"/>
      <w:divBdr>
        <w:top w:val="none" w:sz="0" w:space="0" w:color="auto"/>
        <w:left w:val="none" w:sz="0" w:space="0" w:color="auto"/>
        <w:bottom w:val="none" w:sz="0" w:space="0" w:color="auto"/>
        <w:right w:val="none" w:sz="0" w:space="0" w:color="auto"/>
      </w:divBdr>
    </w:div>
    <w:div w:id="872302923">
      <w:bodyDiv w:val="1"/>
      <w:marLeft w:val="0"/>
      <w:marRight w:val="0"/>
      <w:marTop w:val="0"/>
      <w:marBottom w:val="0"/>
      <w:divBdr>
        <w:top w:val="none" w:sz="0" w:space="0" w:color="auto"/>
        <w:left w:val="none" w:sz="0" w:space="0" w:color="auto"/>
        <w:bottom w:val="none" w:sz="0" w:space="0" w:color="auto"/>
        <w:right w:val="none" w:sz="0" w:space="0" w:color="auto"/>
      </w:divBdr>
    </w:div>
    <w:div w:id="876704354">
      <w:bodyDiv w:val="1"/>
      <w:marLeft w:val="0"/>
      <w:marRight w:val="0"/>
      <w:marTop w:val="0"/>
      <w:marBottom w:val="0"/>
      <w:divBdr>
        <w:top w:val="none" w:sz="0" w:space="0" w:color="auto"/>
        <w:left w:val="none" w:sz="0" w:space="0" w:color="auto"/>
        <w:bottom w:val="none" w:sz="0" w:space="0" w:color="auto"/>
        <w:right w:val="none" w:sz="0" w:space="0" w:color="auto"/>
      </w:divBdr>
    </w:div>
    <w:div w:id="882785701">
      <w:bodyDiv w:val="1"/>
      <w:marLeft w:val="0"/>
      <w:marRight w:val="0"/>
      <w:marTop w:val="0"/>
      <w:marBottom w:val="0"/>
      <w:divBdr>
        <w:top w:val="none" w:sz="0" w:space="0" w:color="auto"/>
        <w:left w:val="none" w:sz="0" w:space="0" w:color="auto"/>
        <w:bottom w:val="none" w:sz="0" w:space="0" w:color="auto"/>
        <w:right w:val="none" w:sz="0" w:space="0" w:color="auto"/>
      </w:divBdr>
    </w:div>
    <w:div w:id="901788870">
      <w:bodyDiv w:val="1"/>
      <w:marLeft w:val="0"/>
      <w:marRight w:val="0"/>
      <w:marTop w:val="0"/>
      <w:marBottom w:val="0"/>
      <w:divBdr>
        <w:top w:val="none" w:sz="0" w:space="0" w:color="auto"/>
        <w:left w:val="none" w:sz="0" w:space="0" w:color="auto"/>
        <w:bottom w:val="none" w:sz="0" w:space="0" w:color="auto"/>
        <w:right w:val="none" w:sz="0" w:space="0" w:color="auto"/>
      </w:divBdr>
    </w:div>
    <w:div w:id="909000075">
      <w:bodyDiv w:val="1"/>
      <w:marLeft w:val="0"/>
      <w:marRight w:val="0"/>
      <w:marTop w:val="0"/>
      <w:marBottom w:val="0"/>
      <w:divBdr>
        <w:top w:val="none" w:sz="0" w:space="0" w:color="auto"/>
        <w:left w:val="none" w:sz="0" w:space="0" w:color="auto"/>
        <w:bottom w:val="none" w:sz="0" w:space="0" w:color="auto"/>
        <w:right w:val="none" w:sz="0" w:space="0" w:color="auto"/>
      </w:divBdr>
    </w:div>
    <w:div w:id="913122908">
      <w:bodyDiv w:val="1"/>
      <w:marLeft w:val="0"/>
      <w:marRight w:val="0"/>
      <w:marTop w:val="0"/>
      <w:marBottom w:val="0"/>
      <w:divBdr>
        <w:top w:val="none" w:sz="0" w:space="0" w:color="auto"/>
        <w:left w:val="none" w:sz="0" w:space="0" w:color="auto"/>
        <w:bottom w:val="none" w:sz="0" w:space="0" w:color="auto"/>
        <w:right w:val="none" w:sz="0" w:space="0" w:color="auto"/>
      </w:divBdr>
    </w:div>
    <w:div w:id="919603143">
      <w:bodyDiv w:val="1"/>
      <w:marLeft w:val="0"/>
      <w:marRight w:val="0"/>
      <w:marTop w:val="0"/>
      <w:marBottom w:val="0"/>
      <w:divBdr>
        <w:top w:val="none" w:sz="0" w:space="0" w:color="auto"/>
        <w:left w:val="none" w:sz="0" w:space="0" w:color="auto"/>
        <w:bottom w:val="none" w:sz="0" w:space="0" w:color="auto"/>
        <w:right w:val="none" w:sz="0" w:space="0" w:color="auto"/>
      </w:divBdr>
    </w:div>
    <w:div w:id="934558790">
      <w:bodyDiv w:val="1"/>
      <w:marLeft w:val="0"/>
      <w:marRight w:val="0"/>
      <w:marTop w:val="0"/>
      <w:marBottom w:val="0"/>
      <w:divBdr>
        <w:top w:val="none" w:sz="0" w:space="0" w:color="auto"/>
        <w:left w:val="none" w:sz="0" w:space="0" w:color="auto"/>
        <w:bottom w:val="none" w:sz="0" w:space="0" w:color="auto"/>
        <w:right w:val="none" w:sz="0" w:space="0" w:color="auto"/>
      </w:divBdr>
    </w:div>
    <w:div w:id="934560592">
      <w:bodyDiv w:val="1"/>
      <w:marLeft w:val="0"/>
      <w:marRight w:val="0"/>
      <w:marTop w:val="0"/>
      <w:marBottom w:val="0"/>
      <w:divBdr>
        <w:top w:val="none" w:sz="0" w:space="0" w:color="auto"/>
        <w:left w:val="none" w:sz="0" w:space="0" w:color="auto"/>
        <w:bottom w:val="none" w:sz="0" w:space="0" w:color="auto"/>
        <w:right w:val="none" w:sz="0" w:space="0" w:color="auto"/>
      </w:divBdr>
    </w:div>
    <w:div w:id="948780193">
      <w:bodyDiv w:val="1"/>
      <w:marLeft w:val="0"/>
      <w:marRight w:val="0"/>
      <w:marTop w:val="0"/>
      <w:marBottom w:val="0"/>
      <w:divBdr>
        <w:top w:val="none" w:sz="0" w:space="0" w:color="auto"/>
        <w:left w:val="none" w:sz="0" w:space="0" w:color="auto"/>
        <w:bottom w:val="none" w:sz="0" w:space="0" w:color="auto"/>
        <w:right w:val="none" w:sz="0" w:space="0" w:color="auto"/>
      </w:divBdr>
    </w:div>
    <w:div w:id="974680677">
      <w:bodyDiv w:val="1"/>
      <w:marLeft w:val="0"/>
      <w:marRight w:val="0"/>
      <w:marTop w:val="0"/>
      <w:marBottom w:val="0"/>
      <w:divBdr>
        <w:top w:val="none" w:sz="0" w:space="0" w:color="auto"/>
        <w:left w:val="none" w:sz="0" w:space="0" w:color="auto"/>
        <w:bottom w:val="none" w:sz="0" w:space="0" w:color="auto"/>
        <w:right w:val="none" w:sz="0" w:space="0" w:color="auto"/>
      </w:divBdr>
    </w:div>
    <w:div w:id="976496012">
      <w:bodyDiv w:val="1"/>
      <w:marLeft w:val="0"/>
      <w:marRight w:val="0"/>
      <w:marTop w:val="0"/>
      <w:marBottom w:val="0"/>
      <w:divBdr>
        <w:top w:val="none" w:sz="0" w:space="0" w:color="auto"/>
        <w:left w:val="none" w:sz="0" w:space="0" w:color="auto"/>
        <w:bottom w:val="none" w:sz="0" w:space="0" w:color="auto"/>
        <w:right w:val="none" w:sz="0" w:space="0" w:color="auto"/>
      </w:divBdr>
      <w:divsChild>
        <w:div w:id="1437020658">
          <w:marLeft w:val="0"/>
          <w:marRight w:val="0"/>
          <w:marTop w:val="0"/>
          <w:marBottom w:val="0"/>
          <w:divBdr>
            <w:top w:val="none" w:sz="0" w:space="0" w:color="auto"/>
            <w:left w:val="none" w:sz="0" w:space="0" w:color="auto"/>
            <w:bottom w:val="none" w:sz="0" w:space="0" w:color="auto"/>
            <w:right w:val="none" w:sz="0" w:space="0" w:color="auto"/>
          </w:divBdr>
          <w:divsChild>
            <w:div w:id="439379337">
              <w:marLeft w:val="0"/>
              <w:marRight w:val="0"/>
              <w:marTop w:val="0"/>
              <w:marBottom w:val="0"/>
              <w:divBdr>
                <w:top w:val="none" w:sz="0" w:space="0" w:color="auto"/>
                <w:left w:val="none" w:sz="0" w:space="0" w:color="auto"/>
                <w:bottom w:val="none" w:sz="0" w:space="0" w:color="auto"/>
                <w:right w:val="none" w:sz="0" w:space="0" w:color="auto"/>
              </w:divBdr>
              <w:divsChild>
                <w:div w:id="14216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3577">
      <w:bodyDiv w:val="1"/>
      <w:marLeft w:val="0"/>
      <w:marRight w:val="0"/>
      <w:marTop w:val="0"/>
      <w:marBottom w:val="0"/>
      <w:divBdr>
        <w:top w:val="none" w:sz="0" w:space="0" w:color="auto"/>
        <w:left w:val="none" w:sz="0" w:space="0" w:color="auto"/>
        <w:bottom w:val="none" w:sz="0" w:space="0" w:color="auto"/>
        <w:right w:val="none" w:sz="0" w:space="0" w:color="auto"/>
      </w:divBdr>
      <w:divsChild>
        <w:div w:id="141384999">
          <w:marLeft w:val="-315"/>
          <w:marRight w:val="-330"/>
          <w:marTop w:val="0"/>
          <w:marBottom w:val="0"/>
          <w:divBdr>
            <w:top w:val="none" w:sz="0" w:space="0" w:color="auto"/>
            <w:left w:val="none" w:sz="0" w:space="0" w:color="auto"/>
            <w:bottom w:val="none" w:sz="0" w:space="0" w:color="auto"/>
            <w:right w:val="none" w:sz="0" w:space="0" w:color="auto"/>
          </w:divBdr>
          <w:divsChild>
            <w:div w:id="1242986201">
              <w:marLeft w:val="0"/>
              <w:marRight w:val="0"/>
              <w:marTop w:val="0"/>
              <w:marBottom w:val="0"/>
              <w:divBdr>
                <w:top w:val="none" w:sz="0" w:space="0" w:color="auto"/>
                <w:left w:val="none" w:sz="0" w:space="0" w:color="auto"/>
                <w:bottom w:val="none" w:sz="0" w:space="0" w:color="auto"/>
                <w:right w:val="none" w:sz="0" w:space="0" w:color="auto"/>
              </w:divBdr>
              <w:divsChild>
                <w:div w:id="1780563864">
                  <w:marLeft w:val="0"/>
                  <w:marRight w:val="0"/>
                  <w:marTop w:val="0"/>
                  <w:marBottom w:val="0"/>
                  <w:divBdr>
                    <w:top w:val="none" w:sz="0" w:space="0" w:color="auto"/>
                    <w:left w:val="none" w:sz="0" w:space="0" w:color="auto"/>
                    <w:bottom w:val="none" w:sz="0" w:space="0" w:color="auto"/>
                    <w:right w:val="none" w:sz="0" w:space="0" w:color="auto"/>
                  </w:divBdr>
                  <w:divsChild>
                    <w:div w:id="1907378018">
                      <w:marLeft w:val="0"/>
                      <w:marRight w:val="0"/>
                      <w:marTop w:val="0"/>
                      <w:marBottom w:val="0"/>
                      <w:divBdr>
                        <w:top w:val="none" w:sz="0" w:space="0" w:color="auto"/>
                        <w:left w:val="none" w:sz="0" w:space="0" w:color="auto"/>
                        <w:bottom w:val="none" w:sz="0" w:space="0" w:color="auto"/>
                        <w:right w:val="none" w:sz="0" w:space="0" w:color="auto"/>
                      </w:divBdr>
                    </w:div>
                    <w:div w:id="556404757">
                      <w:marLeft w:val="0"/>
                      <w:marRight w:val="0"/>
                      <w:marTop w:val="0"/>
                      <w:marBottom w:val="0"/>
                      <w:divBdr>
                        <w:top w:val="none" w:sz="0" w:space="0" w:color="auto"/>
                        <w:left w:val="none" w:sz="0" w:space="0" w:color="auto"/>
                        <w:bottom w:val="none" w:sz="0" w:space="0" w:color="auto"/>
                        <w:right w:val="none" w:sz="0" w:space="0" w:color="auto"/>
                      </w:divBdr>
                    </w:div>
                    <w:div w:id="1770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2584">
          <w:marLeft w:val="0"/>
          <w:marRight w:val="0"/>
          <w:marTop w:val="0"/>
          <w:marBottom w:val="0"/>
          <w:divBdr>
            <w:top w:val="none" w:sz="0" w:space="0" w:color="auto"/>
            <w:left w:val="none" w:sz="0" w:space="0" w:color="auto"/>
            <w:bottom w:val="none" w:sz="0" w:space="0" w:color="auto"/>
            <w:right w:val="none" w:sz="0" w:space="0" w:color="auto"/>
          </w:divBdr>
          <w:divsChild>
            <w:div w:id="1765370652">
              <w:marLeft w:val="0"/>
              <w:marRight w:val="0"/>
              <w:marTop w:val="0"/>
              <w:marBottom w:val="0"/>
              <w:divBdr>
                <w:top w:val="none" w:sz="0" w:space="0" w:color="auto"/>
                <w:left w:val="none" w:sz="0" w:space="0" w:color="auto"/>
                <w:bottom w:val="none" w:sz="0" w:space="0" w:color="auto"/>
                <w:right w:val="none" w:sz="0" w:space="0" w:color="auto"/>
              </w:divBdr>
              <w:divsChild>
                <w:div w:id="1379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94663">
      <w:bodyDiv w:val="1"/>
      <w:marLeft w:val="0"/>
      <w:marRight w:val="0"/>
      <w:marTop w:val="0"/>
      <w:marBottom w:val="0"/>
      <w:divBdr>
        <w:top w:val="none" w:sz="0" w:space="0" w:color="auto"/>
        <w:left w:val="none" w:sz="0" w:space="0" w:color="auto"/>
        <w:bottom w:val="none" w:sz="0" w:space="0" w:color="auto"/>
        <w:right w:val="none" w:sz="0" w:space="0" w:color="auto"/>
      </w:divBdr>
      <w:divsChild>
        <w:div w:id="729887224">
          <w:marLeft w:val="-315"/>
          <w:marRight w:val="-330"/>
          <w:marTop w:val="0"/>
          <w:marBottom w:val="0"/>
          <w:divBdr>
            <w:top w:val="none" w:sz="0" w:space="0" w:color="auto"/>
            <w:left w:val="none" w:sz="0" w:space="0" w:color="auto"/>
            <w:bottom w:val="none" w:sz="0" w:space="0" w:color="auto"/>
            <w:right w:val="none" w:sz="0" w:space="0" w:color="auto"/>
          </w:divBdr>
          <w:divsChild>
            <w:div w:id="1400783361">
              <w:marLeft w:val="0"/>
              <w:marRight w:val="0"/>
              <w:marTop w:val="0"/>
              <w:marBottom w:val="0"/>
              <w:divBdr>
                <w:top w:val="none" w:sz="0" w:space="0" w:color="auto"/>
                <w:left w:val="none" w:sz="0" w:space="0" w:color="auto"/>
                <w:bottom w:val="none" w:sz="0" w:space="0" w:color="auto"/>
                <w:right w:val="none" w:sz="0" w:space="0" w:color="auto"/>
              </w:divBdr>
              <w:divsChild>
                <w:div w:id="1961102612">
                  <w:marLeft w:val="0"/>
                  <w:marRight w:val="0"/>
                  <w:marTop w:val="0"/>
                  <w:marBottom w:val="0"/>
                  <w:divBdr>
                    <w:top w:val="none" w:sz="0" w:space="0" w:color="auto"/>
                    <w:left w:val="none" w:sz="0" w:space="0" w:color="auto"/>
                    <w:bottom w:val="none" w:sz="0" w:space="0" w:color="auto"/>
                    <w:right w:val="none" w:sz="0" w:space="0" w:color="auto"/>
                  </w:divBdr>
                  <w:divsChild>
                    <w:div w:id="1783501505">
                      <w:marLeft w:val="0"/>
                      <w:marRight w:val="0"/>
                      <w:marTop w:val="0"/>
                      <w:marBottom w:val="0"/>
                      <w:divBdr>
                        <w:top w:val="none" w:sz="0" w:space="0" w:color="auto"/>
                        <w:left w:val="none" w:sz="0" w:space="0" w:color="auto"/>
                        <w:bottom w:val="none" w:sz="0" w:space="0" w:color="auto"/>
                        <w:right w:val="none" w:sz="0" w:space="0" w:color="auto"/>
                      </w:divBdr>
                    </w:div>
                    <w:div w:id="1929852488">
                      <w:marLeft w:val="0"/>
                      <w:marRight w:val="0"/>
                      <w:marTop w:val="0"/>
                      <w:marBottom w:val="0"/>
                      <w:divBdr>
                        <w:top w:val="none" w:sz="0" w:space="0" w:color="auto"/>
                        <w:left w:val="none" w:sz="0" w:space="0" w:color="auto"/>
                        <w:bottom w:val="none" w:sz="0" w:space="0" w:color="auto"/>
                        <w:right w:val="none" w:sz="0" w:space="0" w:color="auto"/>
                      </w:divBdr>
                    </w:div>
                    <w:div w:id="2002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9712">
          <w:marLeft w:val="0"/>
          <w:marRight w:val="0"/>
          <w:marTop w:val="0"/>
          <w:marBottom w:val="0"/>
          <w:divBdr>
            <w:top w:val="none" w:sz="0" w:space="0" w:color="auto"/>
            <w:left w:val="none" w:sz="0" w:space="0" w:color="auto"/>
            <w:bottom w:val="none" w:sz="0" w:space="0" w:color="auto"/>
            <w:right w:val="none" w:sz="0" w:space="0" w:color="auto"/>
          </w:divBdr>
          <w:divsChild>
            <w:div w:id="1641232216">
              <w:marLeft w:val="0"/>
              <w:marRight w:val="0"/>
              <w:marTop w:val="0"/>
              <w:marBottom w:val="0"/>
              <w:divBdr>
                <w:top w:val="none" w:sz="0" w:space="0" w:color="auto"/>
                <w:left w:val="none" w:sz="0" w:space="0" w:color="auto"/>
                <w:bottom w:val="none" w:sz="0" w:space="0" w:color="auto"/>
                <w:right w:val="none" w:sz="0" w:space="0" w:color="auto"/>
              </w:divBdr>
              <w:divsChild>
                <w:div w:id="1529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77169">
      <w:bodyDiv w:val="1"/>
      <w:marLeft w:val="0"/>
      <w:marRight w:val="0"/>
      <w:marTop w:val="0"/>
      <w:marBottom w:val="0"/>
      <w:divBdr>
        <w:top w:val="none" w:sz="0" w:space="0" w:color="auto"/>
        <w:left w:val="none" w:sz="0" w:space="0" w:color="auto"/>
        <w:bottom w:val="none" w:sz="0" w:space="0" w:color="auto"/>
        <w:right w:val="none" w:sz="0" w:space="0" w:color="auto"/>
      </w:divBdr>
    </w:div>
    <w:div w:id="1006174955">
      <w:bodyDiv w:val="1"/>
      <w:marLeft w:val="0"/>
      <w:marRight w:val="0"/>
      <w:marTop w:val="0"/>
      <w:marBottom w:val="0"/>
      <w:divBdr>
        <w:top w:val="none" w:sz="0" w:space="0" w:color="auto"/>
        <w:left w:val="none" w:sz="0" w:space="0" w:color="auto"/>
        <w:bottom w:val="none" w:sz="0" w:space="0" w:color="auto"/>
        <w:right w:val="none" w:sz="0" w:space="0" w:color="auto"/>
      </w:divBdr>
      <w:divsChild>
        <w:div w:id="255283507">
          <w:marLeft w:val="0"/>
          <w:marRight w:val="0"/>
          <w:marTop w:val="0"/>
          <w:marBottom w:val="0"/>
          <w:divBdr>
            <w:top w:val="none" w:sz="0" w:space="0" w:color="auto"/>
            <w:left w:val="none" w:sz="0" w:space="0" w:color="auto"/>
            <w:bottom w:val="none" w:sz="0" w:space="0" w:color="auto"/>
            <w:right w:val="none" w:sz="0" w:space="0" w:color="auto"/>
          </w:divBdr>
          <w:divsChild>
            <w:div w:id="1996449856">
              <w:marLeft w:val="0"/>
              <w:marRight w:val="0"/>
              <w:marTop w:val="0"/>
              <w:marBottom w:val="0"/>
              <w:divBdr>
                <w:top w:val="none" w:sz="0" w:space="0" w:color="auto"/>
                <w:left w:val="none" w:sz="0" w:space="0" w:color="auto"/>
                <w:bottom w:val="none" w:sz="0" w:space="0" w:color="auto"/>
                <w:right w:val="none" w:sz="0" w:space="0" w:color="auto"/>
              </w:divBdr>
              <w:divsChild>
                <w:div w:id="82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7001">
      <w:bodyDiv w:val="1"/>
      <w:marLeft w:val="0"/>
      <w:marRight w:val="0"/>
      <w:marTop w:val="0"/>
      <w:marBottom w:val="0"/>
      <w:divBdr>
        <w:top w:val="none" w:sz="0" w:space="0" w:color="auto"/>
        <w:left w:val="none" w:sz="0" w:space="0" w:color="auto"/>
        <w:bottom w:val="none" w:sz="0" w:space="0" w:color="auto"/>
        <w:right w:val="none" w:sz="0" w:space="0" w:color="auto"/>
      </w:divBdr>
    </w:div>
    <w:div w:id="1079905115">
      <w:bodyDiv w:val="1"/>
      <w:marLeft w:val="0"/>
      <w:marRight w:val="0"/>
      <w:marTop w:val="0"/>
      <w:marBottom w:val="0"/>
      <w:divBdr>
        <w:top w:val="none" w:sz="0" w:space="0" w:color="auto"/>
        <w:left w:val="none" w:sz="0" w:space="0" w:color="auto"/>
        <w:bottom w:val="none" w:sz="0" w:space="0" w:color="auto"/>
        <w:right w:val="none" w:sz="0" w:space="0" w:color="auto"/>
      </w:divBdr>
    </w:div>
    <w:div w:id="1092243141">
      <w:bodyDiv w:val="1"/>
      <w:marLeft w:val="0"/>
      <w:marRight w:val="0"/>
      <w:marTop w:val="0"/>
      <w:marBottom w:val="0"/>
      <w:divBdr>
        <w:top w:val="none" w:sz="0" w:space="0" w:color="auto"/>
        <w:left w:val="none" w:sz="0" w:space="0" w:color="auto"/>
        <w:bottom w:val="none" w:sz="0" w:space="0" w:color="auto"/>
        <w:right w:val="none" w:sz="0" w:space="0" w:color="auto"/>
      </w:divBdr>
    </w:div>
    <w:div w:id="1098988596">
      <w:bodyDiv w:val="1"/>
      <w:marLeft w:val="0"/>
      <w:marRight w:val="0"/>
      <w:marTop w:val="0"/>
      <w:marBottom w:val="0"/>
      <w:divBdr>
        <w:top w:val="none" w:sz="0" w:space="0" w:color="auto"/>
        <w:left w:val="none" w:sz="0" w:space="0" w:color="auto"/>
        <w:bottom w:val="none" w:sz="0" w:space="0" w:color="auto"/>
        <w:right w:val="none" w:sz="0" w:space="0" w:color="auto"/>
      </w:divBdr>
    </w:div>
    <w:div w:id="1100024342">
      <w:bodyDiv w:val="1"/>
      <w:marLeft w:val="0"/>
      <w:marRight w:val="0"/>
      <w:marTop w:val="0"/>
      <w:marBottom w:val="0"/>
      <w:divBdr>
        <w:top w:val="none" w:sz="0" w:space="0" w:color="auto"/>
        <w:left w:val="none" w:sz="0" w:space="0" w:color="auto"/>
        <w:bottom w:val="none" w:sz="0" w:space="0" w:color="auto"/>
        <w:right w:val="none" w:sz="0" w:space="0" w:color="auto"/>
      </w:divBdr>
    </w:div>
    <w:div w:id="1100376132">
      <w:bodyDiv w:val="1"/>
      <w:marLeft w:val="0"/>
      <w:marRight w:val="0"/>
      <w:marTop w:val="0"/>
      <w:marBottom w:val="0"/>
      <w:divBdr>
        <w:top w:val="none" w:sz="0" w:space="0" w:color="auto"/>
        <w:left w:val="none" w:sz="0" w:space="0" w:color="auto"/>
        <w:bottom w:val="none" w:sz="0" w:space="0" w:color="auto"/>
        <w:right w:val="none" w:sz="0" w:space="0" w:color="auto"/>
      </w:divBdr>
    </w:div>
    <w:div w:id="1120878068">
      <w:bodyDiv w:val="1"/>
      <w:marLeft w:val="0"/>
      <w:marRight w:val="0"/>
      <w:marTop w:val="0"/>
      <w:marBottom w:val="0"/>
      <w:divBdr>
        <w:top w:val="none" w:sz="0" w:space="0" w:color="auto"/>
        <w:left w:val="none" w:sz="0" w:space="0" w:color="auto"/>
        <w:bottom w:val="none" w:sz="0" w:space="0" w:color="auto"/>
        <w:right w:val="none" w:sz="0" w:space="0" w:color="auto"/>
      </w:divBdr>
    </w:div>
    <w:div w:id="1139417122">
      <w:bodyDiv w:val="1"/>
      <w:marLeft w:val="0"/>
      <w:marRight w:val="0"/>
      <w:marTop w:val="0"/>
      <w:marBottom w:val="0"/>
      <w:divBdr>
        <w:top w:val="none" w:sz="0" w:space="0" w:color="auto"/>
        <w:left w:val="none" w:sz="0" w:space="0" w:color="auto"/>
        <w:bottom w:val="none" w:sz="0" w:space="0" w:color="auto"/>
        <w:right w:val="none" w:sz="0" w:space="0" w:color="auto"/>
      </w:divBdr>
      <w:divsChild>
        <w:div w:id="1242447279">
          <w:marLeft w:val="0"/>
          <w:marRight w:val="0"/>
          <w:marTop w:val="0"/>
          <w:marBottom w:val="0"/>
          <w:divBdr>
            <w:top w:val="none" w:sz="0" w:space="0" w:color="auto"/>
            <w:left w:val="none" w:sz="0" w:space="0" w:color="auto"/>
            <w:bottom w:val="none" w:sz="0" w:space="0" w:color="auto"/>
            <w:right w:val="none" w:sz="0" w:space="0" w:color="auto"/>
          </w:divBdr>
          <w:divsChild>
            <w:div w:id="788204126">
              <w:marLeft w:val="0"/>
              <w:marRight w:val="0"/>
              <w:marTop w:val="0"/>
              <w:marBottom w:val="0"/>
              <w:divBdr>
                <w:top w:val="none" w:sz="0" w:space="0" w:color="auto"/>
                <w:left w:val="none" w:sz="0" w:space="0" w:color="auto"/>
                <w:bottom w:val="none" w:sz="0" w:space="0" w:color="auto"/>
                <w:right w:val="none" w:sz="0" w:space="0" w:color="auto"/>
              </w:divBdr>
              <w:divsChild>
                <w:div w:id="18457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760">
          <w:marLeft w:val="0"/>
          <w:marRight w:val="0"/>
          <w:marTop w:val="0"/>
          <w:marBottom w:val="0"/>
          <w:divBdr>
            <w:top w:val="none" w:sz="0" w:space="0" w:color="auto"/>
            <w:left w:val="none" w:sz="0" w:space="0" w:color="auto"/>
            <w:bottom w:val="none" w:sz="0" w:space="0" w:color="auto"/>
            <w:right w:val="none" w:sz="0" w:space="0" w:color="auto"/>
          </w:divBdr>
        </w:div>
      </w:divsChild>
    </w:div>
    <w:div w:id="1151947950">
      <w:bodyDiv w:val="1"/>
      <w:marLeft w:val="0"/>
      <w:marRight w:val="0"/>
      <w:marTop w:val="0"/>
      <w:marBottom w:val="0"/>
      <w:divBdr>
        <w:top w:val="none" w:sz="0" w:space="0" w:color="auto"/>
        <w:left w:val="none" w:sz="0" w:space="0" w:color="auto"/>
        <w:bottom w:val="none" w:sz="0" w:space="0" w:color="auto"/>
        <w:right w:val="none" w:sz="0" w:space="0" w:color="auto"/>
      </w:divBdr>
    </w:div>
    <w:div w:id="1155148632">
      <w:bodyDiv w:val="1"/>
      <w:marLeft w:val="0"/>
      <w:marRight w:val="0"/>
      <w:marTop w:val="0"/>
      <w:marBottom w:val="0"/>
      <w:divBdr>
        <w:top w:val="none" w:sz="0" w:space="0" w:color="auto"/>
        <w:left w:val="none" w:sz="0" w:space="0" w:color="auto"/>
        <w:bottom w:val="none" w:sz="0" w:space="0" w:color="auto"/>
        <w:right w:val="none" w:sz="0" w:space="0" w:color="auto"/>
      </w:divBdr>
      <w:divsChild>
        <w:div w:id="1228033902">
          <w:marLeft w:val="0"/>
          <w:marRight w:val="0"/>
          <w:marTop w:val="0"/>
          <w:marBottom w:val="0"/>
          <w:divBdr>
            <w:top w:val="none" w:sz="0" w:space="0" w:color="auto"/>
            <w:left w:val="none" w:sz="0" w:space="0" w:color="auto"/>
            <w:bottom w:val="none" w:sz="0" w:space="0" w:color="auto"/>
            <w:right w:val="none" w:sz="0" w:space="0" w:color="auto"/>
          </w:divBdr>
          <w:divsChild>
            <w:div w:id="1609845901">
              <w:marLeft w:val="0"/>
              <w:marRight w:val="0"/>
              <w:marTop w:val="0"/>
              <w:marBottom w:val="0"/>
              <w:divBdr>
                <w:top w:val="none" w:sz="0" w:space="0" w:color="auto"/>
                <w:left w:val="none" w:sz="0" w:space="0" w:color="auto"/>
                <w:bottom w:val="none" w:sz="0" w:space="0" w:color="auto"/>
                <w:right w:val="none" w:sz="0" w:space="0" w:color="auto"/>
              </w:divBdr>
              <w:divsChild>
                <w:div w:id="11999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9676">
      <w:bodyDiv w:val="1"/>
      <w:marLeft w:val="0"/>
      <w:marRight w:val="0"/>
      <w:marTop w:val="0"/>
      <w:marBottom w:val="0"/>
      <w:divBdr>
        <w:top w:val="none" w:sz="0" w:space="0" w:color="auto"/>
        <w:left w:val="none" w:sz="0" w:space="0" w:color="auto"/>
        <w:bottom w:val="none" w:sz="0" w:space="0" w:color="auto"/>
        <w:right w:val="none" w:sz="0" w:space="0" w:color="auto"/>
      </w:divBdr>
    </w:div>
    <w:div w:id="1171027404">
      <w:bodyDiv w:val="1"/>
      <w:marLeft w:val="0"/>
      <w:marRight w:val="0"/>
      <w:marTop w:val="0"/>
      <w:marBottom w:val="0"/>
      <w:divBdr>
        <w:top w:val="none" w:sz="0" w:space="0" w:color="auto"/>
        <w:left w:val="none" w:sz="0" w:space="0" w:color="auto"/>
        <w:bottom w:val="none" w:sz="0" w:space="0" w:color="auto"/>
        <w:right w:val="none" w:sz="0" w:space="0" w:color="auto"/>
      </w:divBdr>
    </w:div>
    <w:div w:id="1173570113">
      <w:bodyDiv w:val="1"/>
      <w:marLeft w:val="0"/>
      <w:marRight w:val="0"/>
      <w:marTop w:val="0"/>
      <w:marBottom w:val="0"/>
      <w:divBdr>
        <w:top w:val="none" w:sz="0" w:space="0" w:color="auto"/>
        <w:left w:val="none" w:sz="0" w:space="0" w:color="auto"/>
        <w:bottom w:val="none" w:sz="0" w:space="0" w:color="auto"/>
        <w:right w:val="none" w:sz="0" w:space="0" w:color="auto"/>
      </w:divBdr>
      <w:divsChild>
        <w:div w:id="901452915">
          <w:marLeft w:val="-315"/>
          <w:marRight w:val="-330"/>
          <w:marTop w:val="0"/>
          <w:marBottom w:val="0"/>
          <w:divBdr>
            <w:top w:val="none" w:sz="0" w:space="0" w:color="auto"/>
            <w:left w:val="none" w:sz="0" w:space="0" w:color="auto"/>
            <w:bottom w:val="none" w:sz="0" w:space="0" w:color="auto"/>
            <w:right w:val="none" w:sz="0" w:space="0" w:color="auto"/>
          </w:divBdr>
          <w:divsChild>
            <w:div w:id="451050229">
              <w:marLeft w:val="0"/>
              <w:marRight w:val="0"/>
              <w:marTop w:val="0"/>
              <w:marBottom w:val="0"/>
              <w:divBdr>
                <w:top w:val="none" w:sz="0" w:space="0" w:color="auto"/>
                <w:left w:val="none" w:sz="0" w:space="0" w:color="auto"/>
                <w:bottom w:val="none" w:sz="0" w:space="0" w:color="auto"/>
                <w:right w:val="none" w:sz="0" w:space="0" w:color="auto"/>
              </w:divBdr>
              <w:divsChild>
                <w:div w:id="1474371046">
                  <w:marLeft w:val="0"/>
                  <w:marRight w:val="0"/>
                  <w:marTop w:val="0"/>
                  <w:marBottom w:val="0"/>
                  <w:divBdr>
                    <w:top w:val="none" w:sz="0" w:space="0" w:color="auto"/>
                    <w:left w:val="none" w:sz="0" w:space="0" w:color="auto"/>
                    <w:bottom w:val="none" w:sz="0" w:space="0" w:color="auto"/>
                    <w:right w:val="none" w:sz="0" w:space="0" w:color="auto"/>
                  </w:divBdr>
                  <w:divsChild>
                    <w:div w:id="1229001828">
                      <w:marLeft w:val="0"/>
                      <w:marRight w:val="0"/>
                      <w:marTop w:val="0"/>
                      <w:marBottom w:val="0"/>
                      <w:divBdr>
                        <w:top w:val="none" w:sz="0" w:space="0" w:color="auto"/>
                        <w:left w:val="none" w:sz="0" w:space="0" w:color="auto"/>
                        <w:bottom w:val="none" w:sz="0" w:space="0" w:color="auto"/>
                        <w:right w:val="none" w:sz="0" w:space="0" w:color="auto"/>
                      </w:divBdr>
                    </w:div>
                    <w:div w:id="1448742922">
                      <w:marLeft w:val="0"/>
                      <w:marRight w:val="0"/>
                      <w:marTop w:val="0"/>
                      <w:marBottom w:val="0"/>
                      <w:divBdr>
                        <w:top w:val="none" w:sz="0" w:space="0" w:color="auto"/>
                        <w:left w:val="none" w:sz="0" w:space="0" w:color="auto"/>
                        <w:bottom w:val="none" w:sz="0" w:space="0" w:color="auto"/>
                        <w:right w:val="none" w:sz="0" w:space="0" w:color="auto"/>
                      </w:divBdr>
                    </w:div>
                    <w:div w:id="1369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46182">
          <w:marLeft w:val="0"/>
          <w:marRight w:val="0"/>
          <w:marTop w:val="0"/>
          <w:marBottom w:val="0"/>
          <w:divBdr>
            <w:top w:val="none" w:sz="0" w:space="0" w:color="auto"/>
            <w:left w:val="none" w:sz="0" w:space="0" w:color="auto"/>
            <w:bottom w:val="none" w:sz="0" w:space="0" w:color="auto"/>
            <w:right w:val="none" w:sz="0" w:space="0" w:color="auto"/>
          </w:divBdr>
          <w:divsChild>
            <w:div w:id="1585651762">
              <w:marLeft w:val="0"/>
              <w:marRight w:val="0"/>
              <w:marTop w:val="0"/>
              <w:marBottom w:val="0"/>
              <w:divBdr>
                <w:top w:val="none" w:sz="0" w:space="0" w:color="auto"/>
                <w:left w:val="none" w:sz="0" w:space="0" w:color="auto"/>
                <w:bottom w:val="none" w:sz="0" w:space="0" w:color="auto"/>
                <w:right w:val="none" w:sz="0" w:space="0" w:color="auto"/>
              </w:divBdr>
              <w:divsChild>
                <w:div w:id="2091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3774">
      <w:bodyDiv w:val="1"/>
      <w:marLeft w:val="0"/>
      <w:marRight w:val="0"/>
      <w:marTop w:val="0"/>
      <w:marBottom w:val="0"/>
      <w:divBdr>
        <w:top w:val="none" w:sz="0" w:space="0" w:color="auto"/>
        <w:left w:val="none" w:sz="0" w:space="0" w:color="auto"/>
        <w:bottom w:val="none" w:sz="0" w:space="0" w:color="auto"/>
        <w:right w:val="none" w:sz="0" w:space="0" w:color="auto"/>
      </w:divBdr>
      <w:divsChild>
        <w:div w:id="1364869369">
          <w:marLeft w:val="0"/>
          <w:marRight w:val="0"/>
          <w:marTop w:val="0"/>
          <w:marBottom w:val="0"/>
          <w:divBdr>
            <w:top w:val="none" w:sz="0" w:space="0" w:color="auto"/>
            <w:left w:val="none" w:sz="0" w:space="0" w:color="auto"/>
            <w:bottom w:val="none" w:sz="0" w:space="0" w:color="auto"/>
            <w:right w:val="none" w:sz="0" w:space="0" w:color="auto"/>
          </w:divBdr>
          <w:divsChild>
            <w:div w:id="1241523995">
              <w:marLeft w:val="0"/>
              <w:marRight w:val="0"/>
              <w:marTop w:val="0"/>
              <w:marBottom w:val="0"/>
              <w:divBdr>
                <w:top w:val="none" w:sz="0" w:space="0" w:color="auto"/>
                <w:left w:val="none" w:sz="0" w:space="0" w:color="auto"/>
                <w:bottom w:val="none" w:sz="0" w:space="0" w:color="auto"/>
                <w:right w:val="none" w:sz="0" w:space="0" w:color="auto"/>
              </w:divBdr>
              <w:divsChild>
                <w:div w:id="881551743">
                  <w:marLeft w:val="0"/>
                  <w:marRight w:val="0"/>
                  <w:marTop w:val="0"/>
                  <w:marBottom w:val="0"/>
                  <w:divBdr>
                    <w:top w:val="none" w:sz="0" w:space="0" w:color="auto"/>
                    <w:left w:val="none" w:sz="0" w:space="0" w:color="auto"/>
                    <w:bottom w:val="none" w:sz="0" w:space="0" w:color="auto"/>
                    <w:right w:val="none" w:sz="0" w:space="0" w:color="auto"/>
                  </w:divBdr>
                  <w:divsChild>
                    <w:div w:id="2069456511">
                      <w:marLeft w:val="0"/>
                      <w:marRight w:val="0"/>
                      <w:marTop w:val="0"/>
                      <w:marBottom w:val="0"/>
                      <w:divBdr>
                        <w:top w:val="none" w:sz="0" w:space="0" w:color="auto"/>
                        <w:left w:val="none" w:sz="0" w:space="0" w:color="auto"/>
                        <w:bottom w:val="none" w:sz="0" w:space="0" w:color="auto"/>
                        <w:right w:val="none" w:sz="0" w:space="0" w:color="auto"/>
                      </w:divBdr>
                    </w:div>
                  </w:divsChild>
                </w:div>
                <w:div w:id="1203858571">
                  <w:marLeft w:val="0"/>
                  <w:marRight w:val="0"/>
                  <w:marTop w:val="0"/>
                  <w:marBottom w:val="0"/>
                  <w:divBdr>
                    <w:top w:val="none" w:sz="0" w:space="0" w:color="auto"/>
                    <w:left w:val="none" w:sz="0" w:space="0" w:color="auto"/>
                    <w:bottom w:val="none" w:sz="0" w:space="0" w:color="auto"/>
                    <w:right w:val="none" w:sz="0" w:space="0" w:color="auto"/>
                  </w:divBdr>
                  <w:divsChild>
                    <w:div w:id="15298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06005">
          <w:marLeft w:val="0"/>
          <w:marRight w:val="0"/>
          <w:marTop w:val="0"/>
          <w:marBottom w:val="0"/>
          <w:divBdr>
            <w:top w:val="none" w:sz="0" w:space="0" w:color="auto"/>
            <w:left w:val="none" w:sz="0" w:space="0" w:color="auto"/>
            <w:bottom w:val="none" w:sz="0" w:space="0" w:color="auto"/>
            <w:right w:val="none" w:sz="0" w:space="0" w:color="auto"/>
          </w:divBdr>
          <w:divsChild>
            <w:div w:id="1189486459">
              <w:marLeft w:val="0"/>
              <w:marRight w:val="0"/>
              <w:marTop w:val="0"/>
              <w:marBottom w:val="0"/>
              <w:divBdr>
                <w:top w:val="none" w:sz="0" w:space="0" w:color="auto"/>
                <w:left w:val="none" w:sz="0" w:space="0" w:color="auto"/>
                <w:bottom w:val="none" w:sz="0" w:space="0" w:color="auto"/>
                <w:right w:val="none" w:sz="0" w:space="0" w:color="auto"/>
              </w:divBdr>
              <w:divsChild>
                <w:div w:id="1097020511">
                  <w:marLeft w:val="0"/>
                  <w:marRight w:val="0"/>
                  <w:marTop w:val="0"/>
                  <w:marBottom w:val="0"/>
                  <w:divBdr>
                    <w:top w:val="none" w:sz="0" w:space="0" w:color="auto"/>
                    <w:left w:val="none" w:sz="0" w:space="0" w:color="auto"/>
                    <w:bottom w:val="none" w:sz="0" w:space="0" w:color="auto"/>
                    <w:right w:val="none" w:sz="0" w:space="0" w:color="auto"/>
                  </w:divBdr>
                  <w:divsChild>
                    <w:div w:id="6704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9761">
      <w:bodyDiv w:val="1"/>
      <w:marLeft w:val="0"/>
      <w:marRight w:val="0"/>
      <w:marTop w:val="0"/>
      <w:marBottom w:val="0"/>
      <w:divBdr>
        <w:top w:val="none" w:sz="0" w:space="0" w:color="auto"/>
        <w:left w:val="none" w:sz="0" w:space="0" w:color="auto"/>
        <w:bottom w:val="none" w:sz="0" w:space="0" w:color="auto"/>
        <w:right w:val="none" w:sz="0" w:space="0" w:color="auto"/>
      </w:divBdr>
    </w:div>
    <w:div w:id="1228295849">
      <w:bodyDiv w:val="1"/>
      <w:marLeft w:val="0"/>
      <w:marRight w:val="0"/>
      <w:marTop w:val="0"/>
      <w:marBottom w:val="0"/>
      <w:divBdr>
        <w:top w:val="none" w:sz="0" w:space="0" w:color="auto"/>
        <w:left w:val="none" w:sz="0" w:space="0" w:color="auto"/>
        <w:bottom w:val="none" w:sz="0" w:space="0" w:color="auto"/>
        <w:right w:val="none" w:sz="0" w:space="0" w:color="auto"/>
      </w:divBdr>
      <w:divsChild>
        <w:div w:id="1107845630">
          <w:marLeft w:val="0"/>
          <w:marRight w:val="0"/>
          <w:marTop w:val="0"/>
          <w:marBottom w:val="0"/>
          <w:divBdr>
            <w:top w:val="none" w:sz="0" w:space="0" w:color="auto"/>
            <w:left w:val="none" w:sz="0" w:space="0" w:color="auto"/>
            <w:bottom w:val="none" w:sz="0" w:space="0" w:color="auto"/>
            <w:right w:val="none" w:sz="0" w:space="0" w:color="auto"/>
          </w:divBdr>
        </w:div>
        <w:div w:id="1677027267">
          <w:marLeft w:val="0"/>
          <w:marRight w:val="0"/>
          <w:marTop w:val="0"/>
          <w:marBottom w:val="0"/>
          <w:divBdr>
            <w:top w:val="none" w:sz="0" w:space="0" w:color="auto"/>
            <w:left w:val="none" w:sz="0" w:space="0" w:color="auto"/>
            <w:bottom w:val="none" w:sz="0" w:space="0" w:color="auto"/>
            <w:right w:val="none" w:sz="0" w:space="0" w:color="auto"/>
          </w:divBdr>
        </w:div>
      </w:divsChild>
    </w:div>
    <w:div w:id="1249536168">
      <w:bodyDiv w:val="1"/>
      <w:marLeft w:val="0"/>
      <w:marRight w:val="0"/>
      <w:marTop w:val="0"/>
      <w:marBottom w:val="0"/>
      <w:divBdr>
        <w:top w:val="none" w:sz="0" w:space="0" w:color="auto"/>
        <w:left w:val="none" w:sz="0" w:space="0" w:color="auto"/>
        <w:bottom w:val="none" w:sz="0" w:space="0" w:color="auto"/>
        <w:right w:val="none" w:sz="0" w:space="0" w:color="auto"/>
      </w:divBdr>
    </w:div>
    <w:div w:id="1310283575">
      <w:bodyDiv w:val="1"/>
      <w:marLeft w:val="0"/>
      <w:marRight w:val="0"/>
      <w:marTop w:val="0"/>
      <w:marBottom w:val="0"/>
      <w:divBdr>
        <w:top w:val="none" w:sz="0" w:space="0" w:color="auto"/>
        <w:left w:val="none" w:sz="0" w:space="0" w:color="auto"/>
        <w:bottom w:val="none" w:sz="0" w:space="0" w:color="auto"/>
        <w:right w:val="none" w:sz="0" w:space="0" w:color="auto"/>
      </w:divBdr>
      <w:divsChild>
        <w:div w:id="1766226201">
          <w:marLeft w:val="0"/>
          <w:marRight w:val="0"/>
          <w:marTop w:val="0"/>
          <w:marBottom w:val="0"/>
          <w:divBdr>
            <w:top w:val="none" w:sz="0" w:space="0" w:color="auto"/>
            <w:left w:val="none" w:sz="0" w:space="0" w:color="auto"/>
            <w:bottom w:val="none" w:sz="0" w:space="0" w:color="auto"/>
            <w:right w:val="none" w:sz="0" w:space="0" w:color="auto"/>
          </w:divBdr>
          <w:divsChild>
            <w:div w:id="200554886">
              <w:marLeft w:val="0"/>
              <w:marRight w:val="0"/>
              <w:marTop w:val="0"/>
              <w:marBottom w:val="0"/>
              <w:divBdr>
                <w:top w:val="none" w:sz="0" w:space="0" w:color="auto"/>
                <w:left w:val="none" w:sz="0" w:space="0" w:color="auto"/>
                <w:bottom w:val="none" w:sz="0" w:space="0" w:color="auto"/>
                <w:right w:val="none" w:sz="0" w:space="0" w:color="auto"/>
              </w:divBdr>
              <w:divsChild>
                <w:div w:id="16720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57204">
      <w:bodyDiv w:val="1"/>
      <w:marLeft w:val="0"/>
      <w:marRight w:val="0"/>
      <w:marTop w:val="0"/>
      <w:marBottom w:val="0"/>
      <w:divBdr>
        <w:top w:val="none" w:sz="0" w:space="0" w:color="auto"/>
        <w:left w:val="none" w:sz="0" w:space="0" w:color="auto"/>
        <w:bottom w:val="none" w:sz="0" w:space="0" w:color="auto"/>
        <w:right w:val="none" w:sz="0" w:space="0" w:color="auto"/>
      </w:divBdr>
    </w:div>
    <w:div w:id="1320118211">
      <w:bodyDiv w:val="1"/>
      <w:marLeft w:val="0"/>
      <w:marRight w:val="0"/>
      <w:marTop w:val="0"/>
      <w:marBottom w:val="0"/>
      <w:divBdr>
        <w:top w:val="none" w:sz="0" w:space="0" w:color="auto"/>
        <w:left w:val="none" w:sz="0" w:space="0" w:color="auto"/>
        <w:bottom w:val="none" w:sz="0" w:space="0" w:color="auto"/>
        <w:right w:val="none" w:sz="0" w:space="0" w:color="auto"/>
      </w:divBdr>
    </w:div>
    <w:div w:id="1324703102">
      <w:bodyDiv w:val="1"/>
      <w:marLeft w:val="0"/>
      <w:marRight w:val="0"/>
      <w:marTop w:val="0"/>
      <w:marBottom w:val="0"/>
      <w:divBdr>
        <w:top w:val="none" w:sz="0" w:space="0" w:color="auto"/>
        <w:left w:val="none" w:sz="0" w:space="0" w:color="auto"/>
        <w:bottom w:val="none" w:sz="0" w:space="0" w:color="auto"/>
        <w:right w:val="none" w:sz="0" w:space="0" w:color="auto"/>
      </w:divBdr>
      <w:divsChild>
        <w:div w:id="486283600">
          <w:marLeft w:val="0"/>
          <w:marRight w:val="0"/>
          <w:marTop w:val="0"/>
          <w:marBottom w:val="0"/>
          <w:divBdr>
            <w:top w:val="none" w:sz="0" w:space="0" w:color="auto"/>
            <w:left w:val="none" w:sz="0" w:space="0" w:color="auto"/>
            <w:bottom w:val="none" w:sz="0" w:space="0" w:color="auto"/>
            <w:right w:val="none" w:sz="0" w:space="0" w:color="auto"/>
          </w:divBdr>
        </w:div>
        <w:div w:id="787551048">
          <w:marLeft w:val="0"/>
          <w:marRight w:val="0"/>
          <w:marTop w:val="0"/>
          <w:marBottom w:val="0"/>
          <w:divBdr>
            <w:top w:val="none" w:sz="0" w:space="0" w:color="auto"/>
            <w:left w:val="none" w:sz="0" w:space="0" w:color="auto"/>
            <w:bottom w:val="none" w:sz="0" w:space="0" w:color="auto"/>
            <w:right w:val="none" w:sz="0" w:space="0" w:color="auto"/>
          </w:divBdr>
        </w:div>
      </w:divsChild>
    </w:div>
    <w:div w:id="1347096972">
      <w:bodyDiv w:val="1"/>
      <w:marLeft w:val="0"/>
      <w:marRight w:val="0"/>
      <w:marTop w:val="0"/>
      <w:marBottom w:val="0"/>
      <w:divBdr>
        <w:top w:val="none" w:sz="0" w:space="0" w:color="auto"/>
        <w:left w:val="none" w:sz="0" w:space="0" w:color="auto"/>
        <w:bottom w:val="none" w:sz="0" w:space="0" w:color="auto"/>
        <w:right w:val="none" w:sz="0" w:space="0" w:color="auto"/>
      </w:divBdr>
    </w:div>
    <w:div w:id="1348214157">
      <w:bodyDiv w:val="1"/>
      <w:marLeft w:val="0"/>
      <w:marRight w:val="0"/>
      <w:marTop w:val="0"/>
      <w:marBottom w:val="0"/>
      <w:divBdr>
        <w:top w:val="none" w:sz="0" w:space="0" w:color="auto"/>
        <w:left w:val="none" w:sz="0" w:space="0" w:color="auto"/>
        <w:bottom w:val="none" w:sz="0" w:space="0" w:color="auto"/>
        <w:right w:val="none" w:sz="0" w:space="0" w:color="auto"/>
      </w:divBdr>
    </w:div>
    <w:div w:id="1351447775">
      <w:bodyDiv w:val="1"/>
      <w:marLeft w:val="0"/>
      <w:marRight w:val="0"/>
      <w:marTop w:val="0"/>
      <w:marBottom w:val="0"/>
      <w:divBdr>
        <w:top w:val="none" w:sz="0" w:space="0" w:color="auto"/>
        <w:left w:val="none" w:sz="0" w:space="0" w:color="auto"/>
        <w:bottom w:val="none" w:sz="0" w:space="0" w:color="auto"/>
        <w:right w:val="none" w:sz="0" w:space="0" w:color="auto"/>
      </w:divBdr>
    </w:div>
    <w:div w:id="1354570635">
      <w:bodyDiv w:val="1"/>
      <w:marLeft w:val="0"/>
      <w:marRight w:val="0"/>
      <w:marTop w:val="0"/>
      <w:marBottom w:val="0"/>
      <w:divBdr>
        <w:top w:val="none" w:sz="0" w:space="0" w:color="auto"/>
        <w:left w:val="none" w:sz="0" w:space="0" w:color="auto"/>
        <w:bottom w:val="none" w:sz="0" w:space="0" w:color="auto"/>
        <w:right w:val="none" w:sz="0" w:space="0" w:color="auto"/>
      </w:divBdr>
    </w:div>
    <w:div w:id="1365835973">
      <w:bodyDiv w:val="1"/>
      <w:marLeft w:val="0"/>
      <w:marRight w:val="0"/>
      <w:marTop w:val="0"/>
      <w:marBottom w:val="0"/>
      <w:divBdr>
        <w:top w:val="none" w:sz="0" w:space="0" w:color="auto"/>
        <w:left w:val="none" w:sz="0" w:space="0" w:color="auto"/>
        <w:bottom w:val="none" w:sz="0" w:space="0" w:color="auto"/>
        <w:right w:val="none" w:sz="0" w:space="0" w:color="auto"/>
      </w:divBdr>
      <w:divsChild>
        <w:div w:id="357124030">
          <w:blockQuote w:val="1"/>
          <w:marLeft w:val="150"/>
          <w:marRight w:val="150"/>
          <w:marTop w:val="360"/>
          <w:marBottom w:val="360"/>
          <w:divBdr>
            <w:top w:val="none" w:sz="0" w:space="0" w:color="auto"/>
            <w:left w:val="single" w:sz="48" w:space="15" w:color="CCCCCC"/>
            <w:bottom w:val="none" w:sz="0" w:space="0" w:color="auto"/>
            <w:right w:val="none" w:sz="0" w:space="0" w:color="auto"/>
          </w:divBdr>
        </w:div>
      </w:divsChild>
    </w:div>
    <w:div w:id="1387993187">
      <w:bodyDiv w:val="1"/>
      <w:marLeft w:val="0"/>
      <w:marRight w:val="0"/>
      <w:marTop w:val="0"/>
      <w:marBottom w:val="0"/>
      <w:divBdr>
        <w:top w:val="none" w:sz="0" w:space="0" w:color="auto"/>
        <w:left w:val="none" w:sz="0" w:space="0" w:color="auto"/>
        <w:bottom w:val="none" w:sz="0" w:space="0" w:color="auto"/>
        <w:right w:val="none" w:sz="0" w:space="0" w:color="auto"/>
      </w:divBdr>
    </w:div>
    <w:div w:id="1401750513">
      <w:bodyDiv w:val="1"/>
      <w:marLeft w:val="0"/>
      <w:marRight w:val="0"/>
      <w:marTop w:val="0"/>
      <w:marBottom w:val="0"/>
      <w:divBdr>
        <w:top w:val="none" w:sz="0" w:space="0" w:color="auto"/>
        <w:left w:val="none" w:sz="0" w:space="0" w:color="auto"/>
        <w:bottom w:val="none" w:sz="0" w:space="0" w:color="auto"/>
        <w:right w:val="none" w:sz="0" w:space="0" w:color="auto"/>
      </w:divBdr>
    </w:div>
    <w:div w:id="1439787690">
      <w:bodyDiv w:val="1"/>
      <w:marLeft w:val="0"/>
      <w:marRight w:val="0"/>
      <w:marTop w:val="0"/>
      <w:marBottom w:val="0"/>
      <w:divBdr>
        <w:top w:val="none" w:sz="0" w:space="0" w:color="auto"/>
        <w:left w:val="none" w:sz="0" w:space="0" w:color="auto"/>
        <w:bottom w:val="none" w:sz="0" w:space="0" w:color="auto"/>
        <w:right w:val="none" w:sz="0" w:space="0" w:color="auto"/>
      </w:divBdr>
      <w:divsChild>
        <w:div w:id="1474374361">
          <w:marLeft w:val="0"/>
          <w:marRight w:val="0"/>
          <w:marTop w:val="0"/>
          <w:marBottom w:val="0"/>
          <w:divBdr>
            <w:top w:val="none" w:sz="0" w:space="0" w:color="auto"/>
            <w:left w:val="none" w:sz="0" w:space="0" w:color="auto"/>
            <w:bottom w:val="none" w:sz="0" w:space="0" w:color="auto"/>
            <w:right w:val="none" w:sz="0" w:space="0" w:color="auto"/>
          </w:divBdr>
          <w:divsChild>
            <w:div w:id="1985155799">
              <w:marLeft w:val="0"/>
              <w:marRight w:val="0"/>
              <w:marTop w:val="0"/>
              <w:marBottom w:val="0"/>
              <w:divBdr>
                <w:top w:val="none" w:sz="0" w:space="0" w:color="auto"/>
                <w:left w:val="none" w:sz="0" w:space="0" w:color="auto"/>
                <w:bottom w:val="none" w:sz="0" w:space="0" w:color="auto"/>
                <w:right w:val="none" w:sz="0" w:space="0" w:color="auto"/>
              </w:divBdr>
              <w:divsChild>
                <w:div w:id="15818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9771">
      <w:bodyDiv w:val="1"/>
      <w:marLeft w:val="0"/>
      <w:marRight w:val="0"/>
      <w:marTop w:val="0"/>
      <w:marBottom w:val="0"/>
      <w:divBdr>
        <w:top w:val="none" w:sz="0" w:space="0" w:color="auto"/>
        <w:left w:val="none" w:sz="0" w:space="0" w:color="auto"/>
        <w:bottom w:val="none" w:sz="0" w:space="0" w:color="auto"/>
        <w:right w:val="none" w:sz="0" w:space="0" w:color="auto"/>
      </w:divBdr>
      <w:divsChild>
        <w:div w:id="680086936">
          <w:marLeft w:val="0"/>
          <w:marRight w:val="0"/>
          <w:marTop w:val="0"/>
          <w:marBottom w:val="0"/>
          <w:divBdr>
            <w:top w:val="none" w:sz="0" w:space="0" w:color="auto"/>
            <w:left w:val="none" w:sz="0" w:space="0" w:color="auto"/>
            <w:bottom w:val="none" w:sz="0" w:space="0" w:color="auto"/>
            <w:right w:val="none" w:sz="0" w:space="0" w:color="auto"/>
          </w:divBdr>
          <w:divsChild>
            <w:div w:id="321813750">
              <w:marLeft w:val="0"/>
              <w:marRight w:val="0"/>
              <w:marTop w:val="0"/>
              <w:marBottom w:val="0"/>
              <w:divBdr>
                <w:top w:val="none" w:sz="0" w:space="0" w:color="auto"/>
                <w:left w:val="none" w:sz="0" w:space="0" w:color="auto"/>
                <w:bottom w:val="none" w:sz="0" w:space="0" w:color="auto"/>
                <w:right w:val="none" w:sz="0" w:space="0" w:color="auto"/>
              </w:divBdr>
              <w:divsChild>
                <w:div w:id="5248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29034">
      <w:bodyDiv w:val="1"/>
      <w:marLeft w:val="0"/>
      <w:marRight w:val="0"/>
      <w:marTop w:val="0"/>
      <w:marBottom w:val="0"/>
      <w:divBdr>
        <w:top w:val="none" w:sz="0" w:space="0" w:color="auto"/>
        <w:left w:val="none" w:sz="0" w:space="0" w:color="auto"/>
        <w:bottom w:val="none" w:sz="0" w:space="0" w:color="auto"/>
        <w:right w:val="none" w:sz="0" w:space="0" w:color="auto"/>
      </w:divBdr>
    </w:div>
    <w:div w:id="1459910263">
      <w:bodyDiv w:val="1"/>
      <w:marLeft w:val="0"/>
      <w:marRight w:val="0"/>
      <w:marTop w:val="0"/>
      <w:marBottom w:val="0"/>
      <w:divBdr>
        <w:top w:val="none" w:sz="0" w:space="0" w:color="auto"/>
        <w:left w:val="none" w:sz="0" w:space="0" w:color="auto"/>
        <w:bottom w:val="none" w:sz="0" w:space="0" w:color="auto"/>
        <w:right w:val="none" w:sz="0" w:space="0" w:color="auto"/>
      </w:divBdr>
    </w:div>
    <w:div w:id="1465925842">
      <w:bodyDiv w:val="1"/>
      <w:marLeft w:val="0"/>
      <w:marRight w:val="0"/>
      <w:marTop w:val="0"/>
      <w:marBottom w:val="0"/>
      <w:divBdr>
        <w:top w:val="none" w:sz="0" w:space="0" w:color="auto"/>
        <w:left w:val="none" w:sz="0" w:space="0" w:color="auto"/>
        <w:bottom w:val="none" w:sz="0" w:space="0" w:color="auto"/>
        <w:right w:val="none" w:sz="0" w:space="0" w:color="auto"/>
      </w:divBdr>
    </w:div>
    <w:div w:id="1473407651">
      <w:bodyDiv w:val="1"/>
      <w:marLeft w:val="0"/>
      <w:marRight w:val="0"/>
      <w:marTop w:val="0"/>
      <w:marBottom w:val="0"/>
      <w:divBdr>
        <w:top w:val="none" w:sz="0" w:space="0" w:color="auto"/>
        <w:left w:val="none" w:sz="0" w:space="0" w:color="auto"/>
        <w:bottom w:val="none" w:sz="0" w:space="0" w:color="auto"/>
        <w:right w:val="none" w:sz="0" w:space="0" w:color="auto"/>
      </w:divBdr>
    </w:div>
    <w:div w:id="1486976068">
      <w:bodyDiv w:val="1"/>
      <w:marLeft w:val="0"/>
      <w:marRight w:val="0"/>
      <w:marTop w:val="0"/>
      <w:marBottom w:val="0"/>
      <w:divBdr>
        <w:top w:val="none" w:sz="0" w:space="0" w:color="auto"/>
        <w:left w:val="none" w:sz="0" w:space="0" w:color="auto"/>
        <w:bottom w:val="none" w:sz="0" w:space="0" w:color="auto"/>
        <w:right w:val="none" w:sz="0" w:space="0" w:color="auto"/>
      </w:divBdr>
      <w:divsChild>
        <w:div w:id="629089548">
          <w:marLeft w:val="0"/>
          <w:marRight w:val="0"/>
          <w:marTop w:val="0"/>
          <w:marBottom w:val="0"/>
          <w:divBdr>
            <w:top w:val="none" w:sz="0" w:space="0" w:color="auto"/>
            <w:left w:val="none" w:sz="0" w:space="0" w:color="auto"/>
            <w:bottom w:val="none" w:sz="0" w:space="0" w:color="auto"/>
            <w:right w:val="none" w:sz="0" w:space="0" w:color="auto"/>
          </w:divBdr>
          <w:divsChild>
            <w:div w:id="1148521614">
              <w:marLeft w:val="0"/>
              <w:marRight w:val="0"/>
              <w:marTop w:val="0"/>
              <w:marBottom w:val="0"/>
              <w:divBdr>
                <w:top w:val="none" w:sz="0" w:space="0" w:color="auto"/>
                <w:left w:val="none" w:sz="0" w:space="0" w:color="auto"/>
                <w:bottom w:val="none" w:sz="0" w:space="0" w:color="auto"/>
                <w:right w:val="none" w:sz="0" w:space="0" w:color="auto"/>
              </w:divBdr>
              <w:divsChild>
                <w:div w:id="2052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3058">
          <w:marLeft w:val="0"/>
          <w:marRight w:val="0"/>
          <w:marTop w:val="0"/>
          <w:marBottom w:val="0"/>
          <w:divBdr>
            <w:top w:val="none" w:sz="0" w:space="0" w:color="auto"/>
            <w:left w:val="none" w:sz="0" w:space="0" w:color="auto"/>
            <w:bottom w:val="none" w:sz="0" w:space="0" w:color="auto"/>
            <w:right w:val="none" w:sz="0" w:space="0" w:color="auto"/>
          </w:divBdr>
          <w:divsChild>
            <w:div w:id="1731422635">
              <w:marLeft w:val="0"/>
              <w:marRight w:val="0"/>
              <w:marTop w:val="0"/>
              <w:marBottom w:val="0"/>
              <w:divBdr>
                <w:top w:val="none" w:sz="0" w:space="0" w:color="auto"/>
                <w:left w:val="none" w:sz="0" w:space="0" w:color="auto"/>
                <w:bottom w:val="none" w:sz="0" w:space="0" w:color="auto"/>
                <w:right w:val="none" w:sz="0" w:space="0" w:color="auto"/>
              </w:divBdr>
              <w:divsChild>
                <w:div w:id="14737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8286">
          <w:marLeft w:val="0"/>
          <w:marRight w:val="0"/>
          <w:marTop w:val="0"/>
          <w:marBottom w:val="0"/>
          <w:divBdr>
            <w:top w:val="none" w:sz="0" w:space="0" w:color="auto"/>
            <w:left w:val="none" w:sz="0" w:space="0" w:color="auto"/>
            <w:bottom w:val="none" w:sz="0" w:space="0" w:color="auto"/>
            <w:right w:val="none" w:sz="0" w:space="0" w:color="auto"/>
          </w:divBdr>
          <w:divsChild>
            <w:div w:id="774443254">
              <w:marLeft w:val="0"/>
              <w:marRight w:val="0"/>
              <w:marTop w:val="0"/>
              <w:marBottom w:val="0"/>
              <w:divBdr>
                <w:top w:val="none" w:sz="0" w:space="0" w:color="auto"/>
                <w:left w:val="none" w:sz="0" w:space="0" w:color="auto"/>
                <w:bottom w:val="none" w:sz="0" w:space="0" w:color="auto"/>
                <w:right w:val="none" w:sz="0" w:space="0" w:color="auto"/>
              </w:divBdr>
              <w:divsChild>
                <w:div w:id="11032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4806">
          <w:marLeft w:val="0"/>
          <w:marRight w:val="0"/>
          <w:marTop w:val="0"/>
          <w:marBottom w:val="0"/>
          <w:divBdr>
            <w:top w:val="none" w:sz="0" w:space="0" w:color="auto"/>
            <w:left w:val="none" w:sz="0" w:space="0" w:color="auto"/>
            <w:bottom w:val="none" w:sz="0" w:space="0" w:color="auto"/>
            <w:right w:val="none" w:sz="0" w:space="0" w:color="auto"/>
          </w:divBdr>
          <w:divsChild>
            <w:div w:id="1505171083">
              <w:marLeft w:val="0"/>
              <w:marRight w:val="0"/>
              <w:marTop w:val="0"/>
              <w:marBottom w:val="0"/>
              <w:divBdr>
                <w:top w:val="none" w:sz="0" w:space="0" w:color="auto"/>
                <w:left w:val="none" w:sz="0" w:space="0" w:color="auto"/>
                <w:bottom w:val="none" w:sz="0" w:space="0" w:color="auto"/>
                <w:right w:val="none" w:sz="0" w:space="0" w:color="auto"/>
              </w:divBdr>
              <w:divsChild>
                <w:div w:id="18287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3446">
      <w:bodyDiv w:val="1"/>
      <w:marLeft w:val="0"/>
      <w:marRight w:val="0"/>
      <w:marTop w:val="0"/>
      <w:marBottom w:val="0"/>
      <w:divBdr>
        <w:top w:val="none" w:sz="0" w:space="0" w:color="auto"/>
        <w:left w:val="none" w:sz="0" w:space="0" w:color="auto"/>
        <w:bottom w:val="none" w:sz="0" w:space="0" w:color="auto"/>
        <w:right w:val="none" w:sz="0" w:space="0" w:color="auto"/>
      </w:divBdr>
      <w:divsChild>
        <w:div w:id="889607099">
          <w:marLeft w:val="-225"/>
          <w:marRight w:val="-225"/>
          <w:marTop w:val="0"/>
          <w:marBottom w:val="0"/>
          <w:divBdr>
            <w:top w:val="none" w:sz="0" w:space="0" w:color="auto"/>
            <w:left w:val="none" w:sz="0" w:space="0" w:color="auto"/>
            <w:bottom w:val="none" w:sz="0" w:space="0" w:color="auto"/>
            <w:right w:val="none" w:sz="0" w:space="0" w:color="auto"/>
          </w:divBdr>
          <w:divsChild>
            <w:div w:id="1791970941">
              <w:marLeft w:val="0"/>
              <w:marRight w:val="0"/>
              <w:marTop w:val="0"/>
              <w:marBottom w:val="0"/>
              <w:divBdr>
                <w:top w:val="none" w:sz="0" w:space="0" w:color="auto"/>
                <w:left w:val="none" w:sz="0" w:space="0" w:color="auto"/>
                <w:bottom w:val="none" w:sz="0" w:space="0" w:color="auto"/>
                <w:right w:val="none" w:sz="0" w:space="0" w:color="auto"/>
              </w:divBdr>
              <w:divsChild>
                <w:div w:id="623268302">
                  <w:marLeft w:val="0"/>
                  <w:marRight w:val="0"/>
                  <w:marTop w:val="0"/>
                  <w:marBottom w:val="0"/>
                  <w:divBdr>
                    <w:top w:val="none" w:sz="0" w:space="0" w:color="auto"/>
                    <w:left w:val="none" w:sz="0" w:space="0" w:color="auto"/>
                    <w:bottom w:val="none" w:sz="0" w:space="0" w:color="auto"/>
                    <w:right w:val="none" w:sz="0" w:space="0" w:color="auto"/>
                  </w:divBdr>
                  <w:divsChild>
                    <w:div w:id="9876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19710">
      <w:bodyDiv w:val="1"/>
      <w:marLeft w:val="0"/>
      <w:marRight w:val="0"/>
      <w:marTop w:val="0"/>
      <w:marBottom w:val="0"/>
      <w:divBdr>
        <w:top w:val="none" w:sz="0" w:space="0" w:color="auto"/>
        <w:left w:val="none" w:sz="0" w:space="0" w:color="auto"/>
        <w:bottom w:val="none" w:sz="0" w:space="0" w:color="auto"/>
        <w:right w:val="none" w:sz="0" w:space="0" w:color="auto"/>
      </w:divBdr>
    </w:div>
    <w:div w:id="1507133324">
      <w:bodyDiv w:val="1"/>
      <w:marLeft w:val="0"/>
      <w:marRight w:val="0"/>
      <w:marTop w:val="0"/>
      <w:marBottom w:val="0"/>
      <w:divBdr>
        <w:top w:val="none" w:sz="0" w:space="0" w:color="auto"/>
        <w:left w:val="none" w:sz="0" w:space="0" w:color="auto"/>
        <w:bottom w:val="none" w:sz="0" w:space="0" w:color="auto"/>
        <w:right w:val="none" w:sz="0" w:space="0" w:color="auto"/>
      </w:divBdr>
    </w:div>
    <w:div w:id="1525947987">
      <w:bodyDiv w:val="1"/>
      <w:marLeft w:val="0"/>
      <w:marRight w:val="0"/>
      <w:marTop w:val="0"/>
      <w:marBottom w:val="0"/>
      <w:divBdr>
        <w:top w:val="none" w:sz="0" w:space="0" w:color="auto"/>
        <w:left w:val="none" w:sz="0" w:space="0" w:color="auto"/>
        <w:bottom w:val="none" w:sz="0" w:space="0" w:color="auto"/>
        <w:right w:val="none" w:sz="0" w:space="0" w:color="auto"/>
      </w:divBdr>
    </w:div>
    <w:div w:id="1534612234">
      <w:bodyDiv w:val="1"/>
      <w:marLeft w:val="0"/>
      <w:marRight w:val="0"/>
      <w:marTop w:val="0"/>
      <w:marBottom w:val="0"/>
      <w:divBdr>
        <w:top w:val="none" w:sz="0" w:space="0" w:color="auto"/>
        <w:left w:val="none" w:sz="0" w:space="0" w:color="auto"/>
        <w:bottom w:val="none" w:sz="0" w:space="0" w:color="auto"/>
        <w:right w:val="none" w:sz="0" w:space="0" w:color="auto"/>
      </w:divBdr>
    </w:div>
    <w:div w:id="1549755627">
      <w:bodyDiv w:val="1"/>
      <w:marLeft w:val="0"/>
      <w:marRight w:val="0"/>
      <w:marTop w:val="0"/>
      <w:marBottom w:val="0"/>
      <w:divBdr>
        <w:top w:val="none" w:sz="0" w:space="0" w:color="auto"/>
        <w:left w:val="none" w:sz="0" w:space="0" w:color="auto"/>
        <w:bottom w:val="none" w:sz="0" w:space="0" w:color="auto"/>
        <w:right w:val="none" w:sz="0" w:space="0" w:color="auto"/>
      </w:divBdr>
    </w:div>
    <w:div w:id="1561399513">
      <w:bodyDiv w:val="1"/>
      <w:marLeft w:val="0"/>
      <w:marRight w:val="0"/>
      <w:marTop w:val="0"/>
      <w:marBottom w:val="0"/>
      <w:divBdr>
        <w:top w:val="none" w:sz="0" w:space="0" w:color="auto"/>
        <w:left w:val="none" w:sz="0" w:space="0" w:color="auto"/>
        <w:bottom w:val="none" w:sz="0" w:space="0" w:color="auto"/>
        <w:right w:val="none" w:sz="0" w:space="0" w:color="auto"/>
      </w:divBdr>
    </w:div>
    <w:div w:id="1564176351">
      <w:bodyDiv w:val="1"/>
      <w:marLeft w:val="0"/>
      <w:marRight w:val="0"/>
      <w:marTop w:val="0"/>
      <w:marBottom w:val="0"/>
      <w:divBdr>
        <w:top w:val="none" w:sz="0" w:space="0" w:color="auto"/>
        <w:left w:val="none" w:sz="0" w:space="0" w:color="auto"/>
        <w:bottom w:val="none" w:sz="0" w:space="0" w:color="auto"/>
        <w:right w:val="none" w:sz="0" w:space="0" w:color="auto"/>
      </w:divBdr>
      <w:divsChild>
        <w:div w:id="1738286121">
          <w:marLeft w:val="0"/>
          <w:marRight w:val="0"/>
          <w:marTop w:val="0"/>
          <w:marBottom w:val="0"/>
          <w:divBdr>
            <w:top w:val="none" w:sz="0" w:space="0" w:color="auto"/>
            <w:left w:val="none" w:sz="0" w:space="0" w:color="auto"/>
            <w:bottom w:val="none" w:sz="0" w:space="0" w:color="auto"/>
            <w:right w:val="none" w:sz="0" w:space="0" w:color="auto"/>
          </w:divBdr>
          <w:divsChild>
            <w:div w:id="1635868461">
              <w:marLeft w:val="0"/>
              <w:marRight w:val="0"/>
              <w:marTop w:val="0"/>
              <w:marBottom w:val="0"/>
              <w:divBdr>
                <w:top w:val="none" w:sz="0" w:space="0" w:color="auto"/>
                <w:left w:val="none" w:sz="0" w:space="0" w:color="auto"/>
                <w:bottom w:val="none" w:sz="0" w:space="0" w:color="auto"/>
                <w:right w:val="none" w:sz="0" w:space="0" w:color="auto"/>
              </w:divBdr>
              <w:divsChild>
                <w:div w:id="459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3792">
      <w:bodyDiv w:val="1"/>
      <w:marLeft w:val="0"/>
      <w:marRight w:val="0"/>
      <w:marTop w:val="0"/>
      <w:marBottom w:val="0"/>
      <w:divBdr>
        <w:top w:val="none" w:sz="0" w:space="0" w:color="auto"/>
        <w:left w:val="none" w:sz="0" w:space="0" w:color="auto"/>
        <w:bottom w:val="none" w:sz="0" w:space="0" w:color="auto"/>
        <w:right w:val="none" w:sz="0" w:space="0" w:color="auto"/>
      </w:divBdr>
    </w:div>
    <w:div w:id="1601641828">
      <w:bodyDiv w:val="1"/>
      <w:marLeft w:val="0"/>
      <w:marRight w:val="0"/>
      <w:marTop w:val="0"/>
      <w:marBottom w:val="0"/>
      <w:divBdr>
        <w:top w:val="none" w:sz="0" w:space="0" w:color="auto"/>
        <w:left w:val="none" w:sz="0" w:space="0" w:color="auto"/>
        <w:bottom w:val="none" w:sz="0" w:space="0" w:color="auto"/>
        <w:right w:val="none" w:sz="0" w:space="0" w:color="auto"/>
      </w:divBdr>
    </w:div>
    <w:div w:id="1610774921">
      <w:bodyDiv w:val="1"/>
      <w:marLeft w:val="0"/>
      <w:marRight w:val="0"/>
      <w:marTop w:val="0"/>
      <w:marBottom w:val="0"/>
      <w:divBdr>
        <w:top w:val="none" w:sz="0" w:space="0" w:color="auto"/>
        <w:left w:val="none" w:sz="0" w:space="0" w:color="auto"/>
        <w:bottom w:val="none" w:sz="0" w:space="0" w:color="auto"/>
        <w:right w:val="none" w:sz="0" w:space="0" w:color="auto"/>
      </w:divBdr>
    </w:div>
    <w:div w:id="1625765649">
      <w:bodyDiv w:val="1"/>
      <w:marLeft w:val="0"/>
      <w:marRight w:val="0"/>
      <w:marTop w:val="0"/>
      <w:marBottom w:val="0"/>
      <w:divBdr>
        <w:top w:val="none" w:sz="0" w:space="0" w:color="auto"/>
        <w:left w:val="none" w:sz="0" w:space="0" w:color="auto"/>
        <w:bottom w:val="none" w:sz="0" w:space="0" w:color="auto"/>
        <w:right w:val="none" w:sz="0" w:space="0" w:color="auto"/>
      </w:divBdr>
    </w:div>
    <w:div w:id="1655841630">
      <w:bodyDiv w:val="1"/>
      <w:marLeft w:val="0"/>
      <w:marRight w:val="0"/>
      <w:marTop w:val="0"/>
      <w:marBottom w:val="0"/>
      <w:divBdr>
        <w:top w:val="none" w:sz="0" w:space="0" w:color="auto"/>
        <w:left w:val="none" w:sz="0" w:space="0" w:color="auto"/>
        <w:bottom w:val="none" w:sz="0" w:space="0" w:color="auto"/>
        <w:right w:val="none" w:sz="0" w:space="0" w:color="auto"/>
      </w:divBdr>
      <w:divsChild>
        <w:div w:id="1020549849">
          <w:marLeft w:val="0"/>
          <w:marRight w:val="0"/>
          <w:marTop w:val="0"/>
          <w:marBottom w:val="0"/>
          <w:divBdr>
            <w:top w:val="none" w:sz="0" w:space="0" w:color="auto"/>
            <w:left w:val="none" w:sz="0" w:space="0" w:color="auto"/>
            <w:bottom w:val="none" w:sz="0" w:space="0" w:color="auto"/>
            <w:right w:val="none" w:sz="0" w:space="0" w:color="auto"/>
          </w:divBdr>
          <w:divsChild>
            <w:div w:id="2143375777">
              <w:marLeft w:val="0"/>
              <w:marRight w:val="0"/>
              <w:marTop w:val="0"/>
              <w:marBottom w:val="0"/>
              <w:divBdr>
                <w:top w:val="none" w:sz="0" w:space="0" w:color="auto"/>
                <w:left w:val="none" w:sz="0" w:space="0" w:color="auto"/>
                <w:bottom w:val="none" w:sz="0" w:space="0" w:color="auto"/>
                <w:right w:val="none" w:sz="0" w:space="0" w:color="auto"/>
              </w:divBdr>
              <w:divsChild>
                <w:div w:id="902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6311">
      <w:bodyDiv w:val="1"/>
      <w:marLeft w:val="0"/>
      <w:marRight w:val="0"/>
      <w:marTop w:val="0"/>
      <w:marBottom w:val="0"/>
      <w:divBdr>
        <w:top w:val="none" w:sz="0" w:space="0" w:color="auto"/>
        <w:left w:val="none" w:sz="0" w:space="0" w:color="auto"/>
        <w:bottom w:val="none" w:sz="0" w:space="0" w:color="auto"/>
        <w:right w:val="none" w:sz="0" w:space="0" w:color="auto"/>
      </w:divBdr>
    </w:div>
    <w:div w:id="1682050378">
      <w:bodyDiv w:val="1"/>
      <w:marLeft w:val="0"/>
      <w:marRight w:val="0"/>
      <w:marTop w:val="0"/>
      <w:marBottom w:val="0"/>
      <w:divBdr>
        <w:top w:val="none" w:sz="0" w:space="0" w:color="auto"/>
        <w:left w:val="none" w:sz="0" w:space="0" w:color="auto"/>
        <w:bottom w:val="none" w:sz="0" w:space="0" w:color="auto"/>
        <w:right w:val="none" w:sz="0" w:space="0" w:color="auto"/>
      </w:divBdr>
      <w:divsChild>
        <w:div w:id="817457882">
          <w:marLeft w:val="0"/>
          <w:marRight w:val="0"/>
          <w:marTop w:val="0"/>
          <w:marBottom w:val="0"/>
          <w:divBdr>
            <w:top w:val="none" w:sz="0" w:space="0" w:color="auto"/>
            <w:left w:val="none" w:sz="0" w:space="0" w:color="auto"/>
            <w:bottom w:val="none" w:sz="0" w:space="0" w:color="auto"/>
            <w:right w:val="none" w:sz="0" w:space="0" w:color="auto"/>
          </w:divBdr>
          <w:divsChild>
            <w:div w:id="1479371795">
              <w:marLeft w:val="0"/>
              <w:marRight w:val="0"/>
              <w:marTop w:val="0"/>
              <w:marBottom w:val="0"/>
              <w:divBdr>
                <w:top w:val="none" w:sz="0" w:space="0" w:color="auto"/>
                <w:left w:val="none" w:sz="0" w:space="0" w:color="auto"/>
                <w:bottom w:val="none" w:sz="0" w:space="0" w:color="auto"/>
                <w:right w:val="none" w:sz="0" w:space="0" w:color="auto"/>
              </w:divBdr>
              <w:divsChild>
                <w:div w:id="5886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16338">
      <w:bodyDiv w:val="1"/>
      <w:marLeft w:val="0"/>
      <w:marRight w:val="0"/>
      <w:marTop w:val="0"/>
      <w:marBottom w:val="0"/>
      <w:divBdr>
        <w:top w:val="none" w:sz="0" w:space="0" w:color="auto"/>
        <w:left w:val="none" w:sz="0" w:space="0" w:color="auto"/>
        <w:bottom w:val="none" w:sz="0" w:space="0" w:color="auto"/>
        <w:right w:val="none" w:sz="0" w:space="0" w:color="auto"/>
      </w:divBdr>
    </w:div>
    <w:div w:id="1713261845">
      <w:bodyDiv w:val="1"/>
      <w:marLeft w:val="0"/>
      <w:marRight w:val="0"/>
      <w:marTop w:val="0"/>
      <w:marBottom w:val="0"/>
      <w:divBdr>
        <w:top w:val="none" w:sz="0" w:space="0" w:color="auto"/>
        <w:left w:val="none" w:sz="0" w:space="0" w:color="auto"/>
        <w:bottom w:val="none" w:sz="0" w:space="0" w:color="auto"/>
        <w:right w:val="none" w:sz="0" w:space="0" w:color="auto"/>
      </w:divBdr>
      <w:divsChild>
        <w:div w:id="1828276599">
          <w:marLeft w:val="0"/>
          <w:marRight w:val="0"/>
          <w:marTop w:val="0"/>
          <w:marBottom w:val="0"/>
          <w:divBdr>
            <w:top w:val="none" w:sz="0" w:space="0" w:color="auto"/>
            <w:left w:val="none" w:sz="0" w:space="0" w:color="auto"/>
            <w:bottom w:val="none" w:sz="0" w:space="0" w:color="auto"/>
            <w:right w:val="none" w:sz="0" w:space="0" w:color="auto"/>
          </w:divBdr>
          <w:divsChild>
            <w:div w:id="1701393778">
              <w:marLeft w:val="0"/>
              <w:marRight w:val="0"/>
              <w:marTop w:val="0"/>
              <w:marBottom w:val="0"/>
              <w:divBdr>
                <w:top w:val="none" w:sz="0" w:space="0" w:color="auto"/>
                <w:left w:val="none" w:sz="0" w:space="0" w:color="auto"/>
                <w:bottom w:val="none" w:sz="0" w:space="0" w:color="auto"/>
                <w:right w:val="none" w:sz="0" w:space="0" w:color="auto"/>
              </w:divBdr>
              <w:divsChild>
                <w:div w:id="20546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19196">
      <w:bodyDiv w:val="1"/>
      <w:marLeft w:val="0"/>
      <w:marRight w:val="0"/>
      <w:marTop w:val="0"/>
      <w:marBottom w:val="0"/>
      <w:divBdr>
        <w:top w:val="none" w:sz="0" w:space="0" w:color="auto"/>
        <w:left w:val="none" w:sz="0" w:space="0" w:color="auto"/>
        <w:bottom w:val="none" w:sz="0" w:space="0" w:color="auto"/>
        <w:right w:val="none" w:sz="0" w:space="0" w:color="auto"/>
      </w:divBdr>
    </w:div>
    <w:div w:id="1756509653">
      <w:bodyDiv w:val="1"/>
      <w:marLeft w:val="0"/>
      <w:marRight w:val="0"/>
      <w:marTop w:val="0"/>
      <w:marBottom w:val="0"/>
      <w:divBdr>
        <w:top w:val="none" w:sz="0" w:space="0" w:color="auto"/>
        <w:left w:val="none" w:sz="0" w:space="0" w:color="auto"/>
        <w:bottom w:val="none" w:sz="0" w:space="0" w:color="auto"/>
        <w:right w:val="none" w:sz="0" w:space="0" w:color="auto"/>
      </w:divBdr>
    </w:div>
    <w:div w:id="1822765697">
      <w:bodyDiv w:val="1"/>
      <w:marLeft w:val="0"/>
      <w:marRight w:val="0"/>
      <w:marTop w:val="0"/>
      <w:marBottom w:val="0"/>
      <w:divBdr>
        <w:top w:val="none" w:sz="0" w:space="0" w:color="auto"/>
        <w:left w:val="none" w:sz="0" w:space="0" w:color="auto"/>
        <w:bottom w:val="none" w:sz="0" w:space="0" w:color="auto"/>
        <w:right w:val="none" w:sz="0" w:space="0" w:color="auto"/>
      </w:divBdr>
    </w:div>
    <w:div w:id="1825127587">
      <w:bodyDiv w:val="1"/>
      <w:marLeft w:val="0"/>
      <w:marRight w:val="0"/>
      <w:marTop w:val="0"/>
      <w:marBottom w:val="0"/>
      <w:divBdr>
        <w:top w:val="none" w:sz="0" w:space="0" w:color="auto"/>
        <w:left w:val="none" w:sz="0" w:space="0" w:color="auto"/>
        <w:bottom w:val="none" w:sz="0" w:space="0" w:color="auto"/>
        <w:right w:val="none" w:sz="0" w:space="0" w:color="auto"/>
      </w:divBdr>
      <w:divsChild>
        <w:div w:id="1392196609">
          <w:marLeft w:val="0"/>
          <w:marRight w:val="0"/>
          <w:marTop w:val="0"/>
          <w:marBottom w:val="0"/>
          <w:divBdr>
            <w:top w:val="none" w:sz="0" w:space="0" w:color="auto"/>
            <w:left w:val="none" w:sz="0" w:space="0" w:color="auto"/>
            <w:bottom w:val="none" w:sz="0" w:space="0" w:color="auto"/>
            <w:right w:val="none" w:sz="0" w:space="0" w:color="auto"/>
          </w:divBdr>
        </w:div>
        <w:div w:id="225452347">
          <w:marLeft w:val="0"/>
          <w:marRight w:val="0"/>
          <w:marTop w:val="0"/>
          <w:marBottom w:val="0"/>
          <w:divBdr>
            <w:top w:val="none" w:sz="0" w:space="0" w:color="auto"/>
            <w:left w:val="none" w:sz="0" w:space="0" w:color="auto"/>
            <w:bottom w:val="none" w:sz="0" w:space="0" w:color="auto"/>
            <w:right w:val="none" w:sz="0" w:space="0" w:color="auto"/>
          </w:divBdr>
        </w:div>
      </w:divsChild>
    </w:div>
    <w:div w:id="1831359692">
      <w:bodyDiv w:val="1"/>
      <w:marLeft w:val="0"/>
      <w:marRight w:val="0"/>
      <w:marTop w:val="0"/>
      <w:marBottom w:val="0"/>
      <w:divBdr>
        <w:top w:val="none" w:sz="0" w:space="0" w:color="auto"/>
        <w:left w:val="none" w:sz="0" w:space="0" w:color="auto"/>
        <w:bottom w:val="none" w:sz="0" w:space="0" w:color="auto"/>
        <w:right w:val="none" w:sz="0" w:space="0" w:color="auto"/>
      </w:divBdr>
    </w:div>
    <w:div w:id="1836189246">
      <w:bodyDiv w:val="1"/>
      <w:marLeft w:val="0"/>
      <w:marRight w:val="0"/>
      <w:marTop w:val="0"/>
      <w:marBottom w:val="0"/>
      <w:divBdr>
        <w:top w:val="none" w:sz="0" w:space="0" w:color="auto"/>
        <w:left w:val="none" w:sz="0" w:space="0" w:color="auto"/>
        <w:bottom w:val="none" w:sz="0" w:space="0" w:color="auto"/>
        <w:right w:val="none" w:sz="0" w:space="0" w:color="auto"/>
      </w:divBdr>
    </w:div>
    <w:div w:id="1840996104">
      <w:bodyDiv w:val="1"/>
      <w:marLeft w:val="0"/>
      <w:marRight w:val="0"/>
      <w:marTop w:val="0"/>
      <w:marBottom w:val="0"/>
      <w:divBdr>
        <w:top w:val="none" w:sz="0" w:space="0" w:color="auto"/>
        <w:left w:val="none" w:sz="0" w:space="0" w:color="auto"/>
        <w:bottom w:val="none" w:sz="0" w:space="0" w:color="auto"/>
        <w:right w:val="none" w:sz="0" w:space="0" w:color="auto"/>
      </w:divBdr>
    </w:div>
    <w:div w:id="1849051688">
      <w:bodyDiv w:val="1"/>
      <w:marLeft w:val="0"/>
      <w:marRight w:val="0"/>
      <w:marTop w:val="0"/>
      <w:marBottom w:val="0"/>
      <w:divBdr>
        <w:top w:val="none" w:sz="0" w:space="0" w:color="auto"/>
        <w:left w:val="none" w:sz="0" w:space="0" w:color="auto"/>
        <w:bottom w:val="none" w:sz="0" w:space="0" w:color="auto"/>
        <w:right w:val="none" w:sz="0" w:space="0" w:color="auto"/>
      </w:divBdr>
    </w:div>
    <w:div w:id="1930502847">
      <w:bodyDiv w:val="1"/>
      <w:marLeft w:val="0"/>
      <w:marRight w:val="0"/>
      <w:marTop w:val="0"/>
      <w:marBottom w:val="0"/>
      <w:divBdr>
        <w:top w:val="none" w:sz="0" w:space="0" w:color="auto"/>
        <w:left w:val="none" w:sz="0" w:space="0" w:color="auto"/>
        <w:bottom w:val="none" w:sz="0" w:space="0" w:color="auto"/>
        <w:right w:val="none" w:sz="0" w:space="0" w:color="auto"/>
      </w:divBdr>
    </w:div>
    <w:div w:id="1980304780">
      <w:bodyDiv w:val="1"/>
      <w:marLeft w:val="0"/>
      <w:marRight w:val="0"/>
      <w:marTop w:val="0"/>
      <w:marBottom w:val="0"/>
      <w:divBdr>
        <w:top w:val="none" w:sz="0" w:space="0" w:color="auto"/>
        <w:left w:val="none" w:sz="0" w:space="0" w:color="auto"/>
        <w:bottom w:val="none" w:sz="0" w:space="0" w:color="auto"/>
        <w:right w:val="none" w:sz="0" w:space="0" w:color="auto"/>
      </w:divBdr>
    </w:div>
    <w:div w:id="1984457232">
      <w:bodyDiv w:val="1"/>
      <w:marLeft w:val="0"/>
      <w:marRight w:val="0"/>
      <w:marTop w:val="0"/>
      <w:marBottom w:val="0"/>
      <w:divBdr>
        <w:top w:val="none" w:sz="0" w:space="0" w:color="auto"/>
        <w:left w:val="none" w:sz="0" w:space="0" w:color="auto"/>
        <w:bottom w:val="none" w:sz="0" w:space="0" w:color="auto"/>
        <w:right w:val="none" w:sz="0" w:space="0" w:color="auto"/>
      </w:divBdr>
      <w:divsChild>
        <w:div w:id="909146860">
          <w:blockQuote w:val="1"/>
          <w:marLeft w:val="150"/>
          <w:marRight w:val="150"/>
          <w:marTop w:val="360"/>
          <w:marBottom w:val="360"/>
          <w:divBdr>
            <w:top w:val="none" w:sz="0" w:space="0" w:color="auto"/>
            <w:left w:val="single" w:sz="48" w:space="15" w:color="CCCCCC"/>
            <w:bottom w:val="none" w:sz="0" w:space="0" w:color="auto"/>
            <w:right w:val="none" w:sz="0" w:space="0" w:color="auto"/>
          </w:divBdr>
        </w:div>
        <w:div w:id="1816020683">
          <w:blockQuote w:val="1"/>
          <w:marLeft w:val="150"/>
          <w:marRight w:val="150"/>
          <w:marTop w:val="360"/>
          <w:marBottom w:val="360"/>
          <w:divBdr>
            <w:top w:val="none" w:sz="0" w:space="0" w:color="auto"/>
            <w:left w:val="single" w:sz="48" w:space="15" w:color="CCCCCC"/>
            <w:bottom w:val="none" w:sz="0" w:space="0" w:color="auto"/>
            <w:right w:val="none" w:sz="0" w:space="0" w:color="auto"/>
          </w:divBdr>
        </w:div>
      </w:divsChild>
    </w:div>
    <w:div w:id="1994792435">
      <w:bodyDiv w:val="1"/>
      <w:marLeft w:val="0"/>
      <w:marRight w:val="0"/>
      <w:marTop w:val="0"/>
      <w:marBottom w:val="0"/>
      <w:divBdr>
        <w:top w:val="none" w:sz="0" w:space="0" w:color="auto"/>
        <w:left w:val="none" w:sz="0" w:space="0" w:color="auto"/>
        <w:bottom w:val="none" w:sz="0" w:space="0" w:color="auto"/>
        <w:right w:val="none" w:sz="0" w:space="0" w:color="auto"/>
      </w:divBdr>
      <w:divsChild>
        <w:div w:id="709765983">
          <w:marLeft w:val="-315"/>
          <w:marRight w:val="-330"/>
          <w:marTop w:val="0"/>
          <w:marBottom w:val="0"/>
          <w:divBdr>
            <w:top w:val="none" w:sz="0" w:space="0" w:color="auto"/>
            <w:left w:val="none" w:sz="0" w:space="0" w:color="auto"/>
            <w:bottom w:val="none" w:sz="0" w:space="0" w:color="auto"/>
            <w:right w:val="none" w:sz="0" w:space="0" w:color="auto"/>
          </w:divBdr>
          <w:divsChild>
            <w:div w:id="1246918872">
              <w:marLeft w:val="0"/>
              <w:marRight w:val="0"/>
              <w:marTop w:val="0"/>
              <w:marBottom w:val="0"/>
              <w:divBdr>
                <w:top w:val="none" w:sz="0" w:space="0" w:color="auto"/>
                <w:left w:val="none" w:sz="0" w:space="0" w:color="auto"/>
                <w:bottom w:val="none" w:sz="0" w:space="0" w:color="auto"/>
                <w:right w:val="none" w:sz="0" w:space="0" w:color="auto"/>
              </w:divBdr>
              <w:divsChild>
                <w:div w:id="906649262">
                  <w:marLeft w:val="0"/>
                  <w:marRight w:val="0"/>
                  <w:marTop w:val="0"/>
                  <w:marBottom w:val="0"/>
                  <w:divBdr>
                    <w:top w:val="none" w:sz="0" w:space="0" w:color="auto"/>
                    <w:left w:val="none" w:sz="0" w:space="0" w:color="auto"/>
                    <w:bottom w:val="none" w:sz="0" w:space="0" w:color="auto"/>
                    <w:right w:val="none" w:sz="0" w:space="0" w:color="auto"/>
                  </w:divBdr>
                  <w:divsChild>
                    <w:div w:id="464126975">
                      <w:marLeft w:val="0"/>
                      <w:marRight w:val="0"/>
                      <w:marTop w:val="0"/>
                      <w:marBottom w:val="0"/>
                      <w:divBdr>
                        <w:top w:val="none" w:sz="0" w:space="0" w:color="auto"/>
                        <w:left w:val="none" w:sz="0" w:space="0" w:color="auto"/>
                        <w:bottom w:val="none" w:sz="0" w:space="0" w:color="auto"/>
                        <w:right w:val="none" w:sz="0" w:space="0" w:color="auto"/>
                      </w:divBdr>
                    </w:div>
                    <w:div w:id="1135754852">
                      <w:marLeft w:val="0"/>
                      <w:marRight w:val="0"/>
                      <w:marTop w:val="0"/>
                      <w:marBottom w:val="0"/>
                      <w:divBdr>
                        <w:top w:val="none" w:sz="0" w:space="0" w:color="auto"/>
                        <w:left w:val="none" w:sz="0" w:space="0" w:color="auto"/>
                        <w:bottom w:val="none" w:sz="0" w:space="0" w:color="auto"/>
                        <w:right w:val="none" w:sz="0" w:space="0" w:color="auto"/>
                      </w:divBdr>
                    </w:div>
                    <w:div w:id="3245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1435">
          <w:marLeft w:val="0"/>
          <w:marRight w:val="0"/>
          <w:marTop w:val="0"/>
          <w:marBottom w:val="0"/>
          <w:divBdr>
            <w:top w:val="none" w:sz="0" w:space="0" w:color="auto"/>
            <w:left w:val="none" w:sz="0" w:space="0" w:color="auto"/>
            <w:bottom w:val="none" w:sz="0" w:space="0" w:color="auto"/>
            <w:right w:val="none" w:sz="0" w:space="0" w:color="auto"/>
          </w:divBdr>
          <w:divsChild>
            <w:div w:id="1077555612">
              <w:marLeft w:val="0"/>
              <w:marRight w:val="0"/>
              <w:marTop w:val="0"/>
              <w:marBottom w:val="0"/>
              <w:divBdr>
                <w:top w:val="none" w:sz="0" w:space="0" w:color="auto"/>
                <w:left w:val="none" w:sz="0" w:space="0" w:color="auto"/>
                <w:bottom w:val="none" w:sz="0" w:space="0" w:color="auto"/>
                <w:right w:val="none" w:sz="0" w:space="0" w:color="auto"/>
              </w:divBdr>
              <w:divsChild>
                <w:div w:id="21168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4174">
      <w:bodyDiv w:val="1"/>
      <w:marLeft w:val="0"/>
      <w:marRight w:val="0"/>
      <w:marTop w:val="0"/>
      <w:marBottom w:val="0"/>
      <w:divBdr>
        <w:top w:val="none" w:sz="0" w:space="0" w:color="auto"/>
        <w:left w:val="none" w:sz="0" w:space="0" w:color="auto"/>
        <w:bottom w:val="none" w:sz="0" w:space="0" w:color="auto"/>
        <w:right w:val="none" w:sz="0" w:space="0" w:color="auto"/>
      </w:divBdr>
    </w:div>
    <w:div w:id="2005669822">
      <w:bodyDiv w:val="1"/>
      <w:marLeft w:val="0"/>
      <w:marRight w:val="0"/>
      <w:marTop w:val="0"/>
      <w:marBottom w:val="0"/>
      <w:divBdr>
        <w:top w:val="none" w:sz="0" w:space="0" w:color="auto"/>
        <w:left w:val="none" w:sz="0" w:space="0" w:color="auto"/>
        <w:bottom w:val="none" w:sz="0" w:space="0" w:color="auto"/>
        <w:right w:val="none" w:sz="0" w:space="0" w:color="auto"/>
      </w:divBdr>
    </w:div>
    <w:div w:id="2008751737">
      <w:bodyDiv w:val="1"/>
      <w:marLeft w:val="0"/>
      <w:marRight w:val="0"/>
      <w:marTop w:val="0"/>
      <w:marBottom w:val="0"/>
      <w:divBdr>
        <w:top w:val="none" w:sz="0" w:space="0" w:color="auto"/>
        <w:left w:val="none" w:sz="0" w:space="0" w:color="auto"/>
        <w:bottom w:val="none" w:sz="0" w:space="0" w:color="auto"/>
        <w:right w:val="none" w:sz="0" w:space="0" w:color="auto"/>
      </w:divBdr>
    </w:div>
    <w:div w:id="2021423340">
      <w:bodyDiv w:val="1"/>
      <w:marLeft w:val="0"/>
      <w:marRight w:val="0"/>
      <w:marTop w:val="0"/>
      <w:marBottom w:val="0"/>
      <w:divBdr>
        <w:top w:val="none" w:sz="0" w:space="0" w:color="auto"/>
        <w:left w:val="none" w:sz="0" w:space="0" w:color="auto"/>
        <w:bottom w:val="none" w:sz="0" w:space="0" w:color="auto"/>
        <w:right w:val="none" w:sz="0" w:space="0" w:color="auto"/>
      </w:divBdr>
    </w:div>
    <w:div w:id="2041659009">
      <w:bodyDiv w:val="1"/>
      <w:marLeft w:val="0"/>
      <w:marRight w:val="0"/>
      <w:marTop w:val="0"/>
      <w:marBottom w:val="0"/>
      <w:divBdr>
        <w:top w:val="none" w:sz="0" w:space="0" w:color="auto"/>
        <w:left w:val="none" w:sz="0" w:space="0" w:color="auto"/>
        <w:bottom w:val="none" w:sz="0" w:space="0" w:color="auto"/>
        <w:right w:val="none" w:sz="0" w:space="0" w:color="auto"/>
      </w:divBdr>
    </w:div>
    <w:div w:id="2054769057">
      <w:bodyDiv w:val="1"/>
      <w:marLeft w:val="0"/>
      <w:marRight w:val="0"/>
      <w:marTop w:val="0"/>
      <w:marBottom w:val="0"/>
      <w:divBdr>
        <w:top w:val="none" w:sz="0" w:space="0" w:color="auto"/>
        <w:left w:val="none" w:sz="0" w:space="0" w:color="auto"/>
        <w:bottom w:val="none" w:sz="0" w:space="0" w:color="auto"/>
        <w:right w:val="none" w:sz="0" w:space="0" w:color="auto"/>
      </w:divBdr>
      <w:divsChild>
        <w:div w:id="1253590604">
          <w:marLeft w:val="0"/>
          <w:marRight w:val="0"/>
          <w:marTop w:val="0"/>
          <w:marBottom w:val="0"/>
          <w:divBdr>
            <w:top w:val="none" w:sz="0" w:space="0" w:color="auto"/>
            <w:left w:val="none" w:sz="0" w:space="0" w:color="auto"/>
            <w:bottom w:val="none" w:sz="0" w:space="0" w:color="auto"/>
            <w:right w:val="none" w:sz="0" w:space="0" w:color="auto"/>
          </w:divBdr>
        </w:div>
        <w:div w:id="1899198118">
          <w:marLeft w:val="0"/>
          <w:marRight w:val="0"/>
          <w:marTop w:val="0"/>
          <w:marBottom w:val="0"/>
          <w:divBdr>
            <w:top w:val="none" w:sz="0" w:space="0" w:color="auto"/>
            <w:left w:val="none" w:sz="0" w:space="0" w:color="auto"/>
            <w:bottom w:val="none" w:sz="0" w:space="0" w:color="auto"/>
            <w:right w:val="none" w:sz="0" w:space="0" w:color="auto"/>
          </w:divBdr>
        </w:div>
      </w:divsChild>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77122650">
      <w:bodyDiv w:val="1"/>
      <w:marLeft w:val="0"/>
      <w:marRight w:val="0"/>
      <w:marTop w:val="0"/>
      <w:marBottom w:val="0"/>
      <w:divBdr>
        <w:top w:val="none" w:sz="0" w:space="0" w:color="auto"/>
        <w:left w:val="none" w:sz="0" w:space="0" w:color="auto"/>
        <w:bottom w:val="none" w:sz="0" w:space="0" w:color="auto"/>
        <w:right w:val="none" w:sz="0" w:space="0" w:color="auto"/>
      </w:divBdr>
      <w:divsChild>
        <w:div w:id="179586323">
          <w:marLeft w:val="0"/>
          <w:marRight w:val="0"/>
          <w:marTop w:val="60"/>
          <w:marBottom w:val="60"/>
          <w:divBdr>
            <w:top w:val="none" w:sz="0" w:space="0" w:color="auto"/>
            <w:left w:val="none" w:sz="0" w:space="0" w:color="auto"/>
            <w:bottom w:val="none" w:sz="0" w:space="0" w:color="auto"/>
            <w:right w:val="none" w:sz="0" w:space="0" w:color="auto"/>
          </w:divBdr>
        </w:div>
      </w:divsChild>
    </w:div>
    <w:div w:id="2077390153">
      <w:bodyDiv w:val="1"/>
      <w:marLeft w:val="0"/>
      <w:marRight w:val="0"/>
      <w:marTop w:val="0"/>
      <w:marBottom w:val="0"/>
      <w:divBdr>
        <w:top w:val="none" w:sz="0" w:space="0" w:color="auto"/>
        <w:left w:val="none" w:sz="0" w:space="0" w:color="auto"/>
        <w:bottom w:val="none" w:sz="0" w:space="0" w:color="auto"/>
        <w:right w:val="none" w:sz="0" w:space="0" w:color="auto"/>
      </w:divBdr>
      <w:divsChild>
        <w:div w:id="1055392154">
          <w:marLeft w:val="0"/>
          <w:marRight w:val="0"/>
          <w:marTop w:val="0"/>
          <w:marBottom w:val="0"/>
          <w:divBdr>
            <w:top w:val="none" w:sz="0" w:space="0" w:color="auto"/>
            <w:left w:val="none" w:sz="0" w:space="0" w:color="auto"/>
            <w:bottom w:val="none" w:sz="0" w:space="0" w:color="auto"/>
            <w:right w:val="none" w:sz="0" w:space="0" w:color="auto"/>
          </w:divBdr>
        </w:div>
        <w:div w:id="2012949557">
          <w:marLeft w:val="0"/>
          <w:marRight w:val="0"/>
          <w:marTop w:val="0"/>
          <w:marBottom w:val="0"/>
          <w:divBdr>
            <w:top w:val="none" w:sz="0" w:space="0" w:color="auto"/>
            <w:left w:val="none" w:sz="0" w:space="0" w:color="auto"/>
            <w:bottom w:val="none" w:sz="0" w:space="0" w:color="auto"/>
            <w:right w:val="none" w:sz="0" w:space="0" w:color="auto"/>
          </w:divBdr>
        </w:div>
      </w:divsChild>
    </w:div>
    <w:div w:id="2104644339">
      <w:bodyDiv w:val="1"/>
      <w:marLeft w:val="0"/>
      <w:marRight w:val="0"/>
      <w:marTop w:val="0"/>
      <w:marBottom w:val="0"/>
      <w:divBdr>
        <w:top w:val="none" w:sz="0" w:space="0" w:color="auto"/>
        <w:left w:val="none" w:sz="0" w:space="0" w:color="auto"/>
        <w:bottom w:val="none" w:sz="0" w:space="0" w:color="auto"/>
        <w:right w:val="none" w:sz="0" w:space="0" w:color="auto"/>
      </w:divBdr>
    </w:div>
    <w:div w:id="2106418444">
      <w:bodyDiv w:val="1"/>
      <w:marLeft w:val="0"/>
      <w:marRight w:val="0"/>
      <w:marTop w:val="0"/>
      <w:marBottom w:val="0"/>
      <w:divBdr>
        <w:top w:val="none" w:sz="0" w:space="0" w:color="auto"/>
        <w:left w:val="none" w:sz="0" w:space="0" w:color="auto"/>
        <w:bottom w:val="none" w:sz="0" w:space="0" w:color="auto"/>
        <w:right w:val="none" w:sz="0" w:space="0" w:color="auto"/>
      </w:divBdr>
    </w:div>
    <w:div w:id="2121797191">
      <w:bodyDiv w:val="1"/>
      <w:marLeft w:val="0"/>
      <w:marRight w:val="0"/>
      <w:marTop w:val="0"/>
      <w:marBottom w:val="0"/>
      <w:divBdr>
        <w:top w:val="none" w:sz="0" w:space="0" w:color="auto"/>
        <w:left w:val="none" w:sz="0" w:space="0" w:color="auto"/>
        <w:bottom w:val="none" w:sz="0" w:space="0" w:color="auto"/>
        <w:right w:val="none" w:sz="0" w:space="0" w:color="auto"/>
      </w:divBdr>
      <w:divsChild>
        <w:div w:id="554396647">
          <w:marLeft w:val="0"/>
          <w:marRight w:val="0"/>
          <w:marTop w:val="0"/>
          <w:marBottom w:val="0"/>
          <w:divBdr>
            <w:top w:val="none" w:sz="0" w:space="0" w:color="auto"/>
            <w:left w:val="none" w:sz="0" w:space="0" w:color="auto"/>
            <w:bottom w:val="none" w:sz="0" w:space="0" w:color="auto"/>
            <w:right w:val="none" w:sz="0" w:space="0" w:color="auto"/>
          </w:divBdr>
          <w:divsChild>
            <w:div w:id="1453091281">
              <w:marLeft w:val="0"/>
              <w:marRight w:val="0"/>
              <w:marTop w:val="0"/>
              <w:marBottom w:val="0"/>
              <w:divBdr>
                <w:top w:val="none" w:sz="0" w:space="0" w:color="auto"/>
                <w:left w:val="none" w:sz="0" w:space="0" w:color="auto"/>
                <w:bottom w:val="none" w:sz="0" w:space="0" w:color="auto"/>
                <w:right w:val="none" w:sz="0" w:space="0" w:color="auto"/>
              </w:divBdr>
              <w:divsChild>
                <w:div w:id="20331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9531">
          <w:marLeft w:val="0"/>
          <w:marRight w:val="0"/>
          <w:marTop w:val="0"/>
          <w:marBottom w:val="0"/>
          <w:divBdr>
            <w:top w:val="none" w:sz="0" w:space="0" w:color="auto"/>
            <w:left w:val="none" w:sz="0" w:space="0" w:color="auto"/>
            <w:bottom w:val="none" w:sz="0" w:space="0" w:color="auto"/>
            <w:right w:val="none" w:sz="0" w:space="0" w:color="auto"/>
          </w:divBdr>
        </w:div>
      </w:divsChild>
    </w:div>
    <w:div w:id="2133475705">
      <w:bodyDiv w:val="1"/>
      <w:marLeft w:val="0"/>
      <w:marRight w:val="0"/>
      <w:marTop w:val="0"/>
      <w:marBottom w:val="0"/>
      <w:divBdr>
        <w:top w:val="none" w:sz="0" w:space="0" w:color="auto"/>
        <w:left w:val="none" w:sz="0" w:space="0" w:color="auto"/>
        <w:bottom w:val="none" w:sz="0" w:space="0" w:color="auto"/>
        <w:right w:val="none" w:sz="0" w:space="0" w:color="auto"/>
      </w:divBdr>
      <w:divsChild>
        <w:div w:id="367223518">
          <w:marLeft w:val="0"/>
          <w:marRight w:val="0"/>
          <w:marTop w:val="0"/>
          <w:marBottom w:val="0"/>
          <w:divBdr>
            <w:top w:val="none" w:sz="0" w:space="0" w:color="auto"/>
            <w:left w:val="none" w:sz="0" w:space="0" w:color="auto"/>
            <w:bottom w:val="none" w:sz="0" w:space="0" w:color="auto"/>
            <w:right w:val="none" w:sz="0" w:space="0" w:color="auto"/>
          </w:divBdr>
          <w:divsChild>
            <w:div w:id="519899447">
              <w:marLeft w:val="0"/>
              <w:marRight w:val="0"/>
              <w:marTop w:val="0"/>
              <w:marBottom w:val="0"/>
              <w:divBdr>
                <w:top w:val="none" w:sz="0" w:space="0" w:color="auto"/>
                <w:left w:val="none" w:sz="0" w:space="0" w:color="auto"/>
                <w:bottom w:val="none" w:sz="0" w:space="0" w:color="auto"/>
                <w:right w:val="none" w:sz="0" w:space="0" w:color="auto"/>
              </w:divBdr>
              <w:divsChild>
                <w:div w:id="13307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ckchain4innovation.it/esperti/blockchain-e-bitcoin-utilizzo-e-prospettive-fu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ockchain4innovation.it/esperti/blockchain-perche-e-cosi-importante/"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notiziescientifiche.it/metaverso-serviranno-potenza-computazionale-enorme-e-decenni-di-sviluppo/" TargetMode="External"/><Relationship Id="rId21" Type="http://schemas.openxmlformats.org/officeDocument/2006/relationships/hyperlink" Target="https://www.wired.it/article/intelligenza-artificiale-strategia-italia/" TargetMode="External"/><Relationship Id="rId42" Type="http://schemas.openxmlformats.org/officeDocument/2006/relationships/hyperlink" Target="https://media2-col.corriereobjects.it/pdf/2019/politica/sentenzacpifb.pdf" TargetMode="External"/><Relationship Id="rId47" Type="http://schemas.openxmlformats.org/officeDocument/2006/relationships/hyperlink" Target="https://eur-lex.europa.eu/legal-content/IT/TXT/PDF/?uri=CELEX:52020PC0825&amp;from=en" TargetMode="External"/><Relationship Id="rId63" Type="http://schemas.openxmlformats.org/officeDocument/2006/relationships/hyperlink" Target="https://eur-lex.europa.eu/legal-content/IT/TXT/PDF/?uri=CELEX:32002L0058&amp;from=IT" TargetMode="External"/><Relationship Id="rId68" Type="http://schemas.openxmlformats.org/officeDocument/2006/relationships/hyperlink" Target="https://www.agcm.it/dotcmsdoc/allegati-news/PS11112_scorr_sanz.pdf" TargetMode="External"/><Relationship Id="rId16" Type="http://schemas.openxmlformats.org/officeDocument/2006/relationships/hyperlink" Target="https://www.ilfoglio.it/scienza/2021/08/05/news/anche-all-intelligenza-artificiale-puo-essere-attribuito-un-brevetto-2752258/" TargetMode="External"/><Relationship Id="rId11" Type="http://schemas.openxmlformats.org/officeDocument/2006/relationships/hyperlink" Target="https://www.vaticannews.va/it/vaticano/news/2021-12/santa-sede-onu-ginevra-putzer-ente-uso-intelligenza-artificiale.html" TargetMode="External"/><Relationship Id="rId24" Type="http://schemas.openxmlformats.org/officeDocument/2006/relationships/hyperlink" Target="https://www.agendadigitale.eu/cultura-digitale/noi-e-il-corpo-un-rapporto-in-crisi-nel-metaverso-che-dicono-gli-psicologi/" TargetMode="External"/><Relationship Id="rId32" Type="http://schemas.openxmlformats.org/officeDocument/2006/relationships/hyperlink" Target="https://edps.europa.eu/system/files/2021-02/21-02-10-opinion_on_digital_markets_act_en.pdf" TargetMode="External"/><Relationship Id="rId37" Type="http://schemas.openxmlformats.org/officeDocument/2006/relationships/hyperlink" Target="https://edps.europa.eu/system/files/2021-02/21-02-10-opinion_on_digital_services_act_en.pdf" TargetMode="External"/><Relationship Id="rId40" Type="http://schemas.openxmlformats.org/officeDocument/2006/relationships/hyperlink" Target="https://www.forumcostituzionale.it/wordpress/wp-content/uploads/2020/07/52-Lo-Presti-FQC-2-20.pdf" TargetMode="External"/><Relationship Id="rId45" Type="http://schemas.openxmlformats.org/officeDocument/2006/relationships/hyperlink" Target="http://documenti.camera.it/leg18/pdl/pdf/leg.18.pdl.camera.2936.18PDL0133410.pdf" TargetMode="External"/><Relationship Id="rId53" Type="http://schemas.openxmlformats.org/officeDocument/2006/relationships/hyperlink" Target="https://www.iap.it/wp-content/uploads/2018/06/Accordo-quadro_AGCOM_IAP_amc.pdf" TargetMode="External"/><Relationship Id="rId58" Type="http://schemas.openxmlformats.org/officeDocument/2006/relationships/hyperlink" Target="https://euipo.europa.eu/tunnel-web/secure/webdav/guest/document_library/observatory/documents/reports/2021_Social_Media/2021_Social_Media_Discussion_Paper_FullR_en.pdf" TargetMode="External"/><Relationship Id="rId66" Type="http://schemas.openxmlformats.org/officeDocument/2006/relationships/hyperlink" Target="https://eur-lex.europa.eu/legal-content/IT/TXT/PDF/?uri=CELEX:52017XX0623(01)&amp;from=EL" TargetMode="External"/><Relationship Id="rId74" Type="http://schemas.openxmlformats.org/officeDocument/2006/relationships/hyperlink" Target="https://it.wikipedia.org/wiki/Interfaccia_utente" TargetMode="External"/><Relationship Id="rId79" Type="http://schemas.openxmlformats.org/officeDocument/2006/relationships/hyperlink" Target="https://www.camera.it/leg18/1101?idLegislatura=18&amp;idCommissione=&amp;tipoElenco=indaginiConoscitiveCronologico&amp;annoMese=&amp;breve=c31_banche_dati&amp;calendario=false&amp;soloSten=false&amp;foglia=true&amp;shadow_organo_parlamentare=3074" TargetMode="External"/><Relationship Id="rId5" Type="http://schemas.openxmlformats.org/officeDocument/2006/relationships/hyperlink" Target="https://www.lindipendente.online/2021/12/04/24-milioni-per-500mq-di-cyber-spazio-il-metaverso-e-la-corsa-alloro-digitale/" TargetMode="External"/><Relationship Id="rId61" Type="http://schemas.openxmlformats.org/officeDocument/2006/relationships/hyperlink" Target="https://eur-lex.europa.eu/legal-content/IT/TXT/PDF/?uri=CELEX:32001L0029&amp;from=IT" TargetMode="External"/><Relationship Id="rId19" Type="http://schemas.openxmlformats.org/officeDocument/2006/relationships/hyperlink" Target="https://www.futuroprossimo.it/2021/12/quando-ai-va-oltre/" TargetMode="External"/><Relationship Id="rId14" Type="http://schemas.openxmlformats.org/officeDocument/2006/relationships/hyperlink" Target="https://formiche.net/2022/02/ia-gestazione-artificiale-cina/" TargetMode="External"/><Relationship Id="rId22" Type="http://schemas.openxmlformats.org/officeDocument/2006/relationships/hyperlink" Target="https://www.wired.it/article/metaverso-ecommerce-regole/" TargetMode="External"/><Relationship Id="rId27" Type="http://schemas.openxmlformats.org/officeDocument/2006/relationships/hyperlink" Target="https://www.punto-informatico.it/intel-potenza-di-calcolo-1000-volte-maggiore-per-il-metaverso/" TargetMode="External"/><Relationship Id="rId30" Type="http://schemas.openxmlformats.org/officeDocument/2006/relationships/hyperlink" Target="https://www.garanteprivacy.it/web/guest/home/docweb/-/docweb-display/docweb/9442415" TargetMode="External"/><Relationship Id="rId35" Type="http://schemas.openxmlformats.org/officeDocument/2006/relationships/hyperlink" Target="https://ec.europa.eu/commission/presscorner/detail/it/IP_19_805" TargetMode="External"/><Relationship Id="rId43" Type="http://schemas.openxmlformats.org/officeDocument/2006/relationships/hyperlink" Target="https://www.osservatorioaic.it/images/rivista/pdf/2020_2_24_Villaschi.pdf" TargetMode="External"/><Relationship Id="rId48" Type="http://schemas.openxmlformats.org/officeDocument/2006/relationships/hyperlink" Target="https://www.agcom.it/956" TargetMode="External"/><Relationship Id="rId56" Type="http://schemas.openxmlformats.org/officeDocument/2006/relationships/hyperlink" Target="https://www.agcm.it/dotcmsdoc/allegati-news/PS11050_scorr-sanz_omi.pdf" TargetMode="External"/><Relationship Id="rId64" Type="http://schemas.openxmlformats.org/officeDocument/2006/relationships/hyperlink" Target="https://eur-lex.europa.eu/legal-content/IT/TXT/PDF/?uri=CELEX:32018L1972" TargetMode="External"/><Relationship Id="rId69" Type="http://schemas.openxmlformats.org/officeDocument/2006/relationships/hyperlink" Target="http://documenti.camera.it/leg18/dossier/pdf/TR0249.pdf" TargetMode="External"/><Relationship Id="rId77" Type="http://schemas.openxmlformats.org/officeDocument/2006/relationships/hyperlink" Target="https://www.blockchain4innovation.it/istituzioni-e-associazioni/cose-la-european-blockchain-partnership/" TargetMode="External"/><Relationship Id="rId8" Type="http://schemas.openxmlformats.org/officeDocument/2006/relationships/hyperlink" Target="https://www.macitynet.it/i-robot-ameca-e-mesmer-hanno-espressioni-facciali-umane/" TargetMode="External"/><Relationship Id="rId51" Type="http://schemas.openxmlformats.org/officeDocument/2006/relationships/hyperlink" Target="https://www.agcom.it/documents/10179/5041493/Delibera+309-16-CONS/7f6d711a-ac5d-48b1-9b30-faa27d6a1ecb?version=1.0" TargetMode="External"/><Relationship Id="rId72" Type="http://schemas.openxmlformats.org/officeDocument/2006/relationships/hyperlink" Target="https://it.wikipedia.org/wiki/Contratto" TargetMode="External"/><Relationship Id="rId3" Type="http://schemas.openxmlformats.org/officeDocument/2006/relationships/hyperlink" Target="https://www.wired.it/article/intelligenza-artificiale-deepmind-matematica-nodi/" TargetMode="External"/><Relationship Id="rId12" Type="http://schemas.openxmlformats.org/officeDocument/2006/relationships/hyperlink" Target="https://www.tomshw.it/scienze/lintelligenza-artificiale-sta-rivelando-una-biologia-sconosciuta/" TargetMode="External"/><Relationship Id="rId17" Type="http://schemas.openxmlformats.org/officeDocument/2006/relationships/hyperlink" Target="https://www.ilfattoquotidiano.it/2021/12/09/roma-lintelligenza-artificiale-per-i-semafori-sperimentazione-del-comune-con-google-per-ridurre-emissioni-e-tempi-dattesa-nel-traffico/6420072/" TargetMode="External"/><Relationship Id="rId25" Type="http://schemas.openxmlformats.org/officeDocument/2006/relationships/hyperlink" Target="https://www.media.inaf.it/2021/12/30/limiti-computer-quantistici/" TargetMode="External"/><Relationship Id="rId33" Type="http://schemas.openxmlformats.org/officeDocument/2006/relationships/hyperlink" Target="https://www.agcm.it/dotcmsdoc/allegati-news/A528_chiusura%20istruttoria.pdf" TargetMode="External"/><Relationship Id="rId38" Type="http://schemas.openxmlformats.org/officeDocument/2006/relationships/hyperlink" Target="https://eur-lex.europa.eu/legal-content/IT/TXT/PDF/?uri=CELEX:32008F0913&amp;from=IT" TargetMode="External"/><Relationship Id="rId46" Type="http://schemas.openxmlformats.org/officeDocument/2006/relationships/hyperlink" Target="https://www.garanteprivacy.it/home/attivita-e-documenti/documenti/audizioni" TargetMode="External"/><Relationship Id="rId59" Type="http://schemas.openxmlformats.org/officeDocument/2006/relationships/hyperlink" Target="https://www.sistemaproprietaintellettuale.it/giurisprudenza/procedimenti-giurisdizionali/merito/17542-tribunale-milano-ord-15-10-2019-marchio-registrato-inibitoria-all-uso-del-marchio-marchio-figurativo-uso-segno-distintivo-di-ramo-di-azienda-acquistato-contraffazione.html?title=Tribunale%20Milano%20(ord.),%2015/10/2019" TargetMode="External"/><Relationship Id="rId67" Type="http://schemas.openxmlformats.org/officeDocument/2006/relationships/hyperlink" Target="https://www.agcm.it/dotcmsDOC/allegati-news/IP278_ch.%20inott.%20%20sanz.pdf" TargetMode="External"/><Relationship Id="rId20" Type="http://schemas.openxmlformats.org/officeDocument/2006/relationships/hyperlink" Target="https://assets.innovazione.gov.it/1637779156-csprogrammastrategico-ia.pdf" TargetMode="External"/><Relationship Id="rId41" Type="http://schemas.openxmlformats.org/officeDocument/2006/relationships/hyperlink" Target="https://dirittodiinternet.it/wp-content/uploads/2020/01/OrdinanzaSiena.pdf" TargetMode="External"/><Relationship Id="rId54" Type="http://schemas.openxmlformats.org/officeDocument/2006/relationships/hyperlink" Target="https://www.agcm.it/media/comunicati-stampa/2021/5/PS12009" TargetMode="External"/><Relationship Id="rId62" Type="http://schemas.openxmlformats.org/officeDocument/2006/relationships/hyperlink" Target="https://eur-lex.europa.eu/legal-content/IT/TXT/PDF/?uri=CELEX:32019L0790&amp;from=RO" TargetMode="External"/><Relationship Id="rId70" Type="http://schemas.openxmlformats.org/officeDocument/2006/relationships/hyperlink" Target="https://edpb.europa.eu/our-work-tools/our-documents/guidelines/guidelines-52019-criteria-right-be-forgotten-search-engines_it" TargetMode="External"/><Relationship Id="rId75" Type="http://schemas.openxmlformats.org/officeDocument/2006/relationships/hyperlink" Target="https://www.blockchain4innovation.it/istituzioni-e-associazioni/cose-la-european-blockchain-partnership/" TargetMode="External"/><Relationship Id="rId1" Type="http://schemas.openxmlformats.org/officeDocument/2006/relationships/hyperlink" Target="https://www.indiscreto.org/i-teoremi-di-godel-e-lintelligenza-artificiale/" TargetMode="External"/><Relationship Id="rId6" Type="http://schemas.openxmlformats.org/officeDocument/2006/relationships/hyperlink" Target="https://www.repubblica.it/cronaca/2021/12/06/news/il_metaverso_come_il_monopoli_scatta_la_corsa_al_mattone_virtuale-329215917/" TargetMode="External"/><Relationship Id="rId15" Type="http://schemas.openxmlformats.org/officeDocument/2006/relationships/hyperlink" Target="https://www.biodiritto.org/Biolaw-pedia/Docs/OMS-Ethics-ad-Governance-of-Artificial-Intelligence-for-Health-WHO-Guidance" TargetMode="External"/><Relationship Id="rId23" Type="http://schemas.openxmlformats.org/officeDocument/2006/relationships/hyperlink" Target="https://www.wired.it/article/cina-internet-controllo-rete/" TargetMode="External"/><Relationship Id="rId28" Type="http://schemas.openxmlformats.org/officeDocument/2006/relationships/hyperlink" Target="https://www.europarl.europa.eu/doceo/document/O-8-2018-000053_IT.html" TargetMode="External"/><Relationship Id="rId36" Type="http://schemas.openxmlformats.org/officeDocument/2006/relationships/hyperlink" Target="https://eur-lex.europa.eu/legal-content/IT/TXT/PDF/?uri=CELEX:02000L0031-20000717&amp;qid=1495727154628&amp;from=IT" TargetMode="External"/><Relationship Id="rId49" Type="http://schemas.openxmlformats.org/officeDocument/2006/relationships/hyperlink" Target="https://eur-lex.europa.eu/legal-content/IT/TXT/PDF/?uri=CELEX:32018L1808&amp;from=pl" TargetMode="External"/><Relationship Id="rId57" Type="http://schemas.openxmlformats.org/officeDocument/2006/relationships/hyperlink" Target="https://www.agcm.it/dotcmsdoc/bollettini/2020/11-20_all.pdf" TargetMode="External"/><Relationship Id="rId10" Type="http://schemas.openxmlformats.org/officeDocument/2006/relationships/hyperlink" Target="https://www.italian.tech/2021/12/27/news/il_futuro_visto_da_annalisa_barla_la_prof_che_insegna_machine_learning-331506239/" TargetMode="External"/><Relationship Id="rId31" Type="http://schemas.openxmlformats.org/officeDocument/2006/relationships/hyperlink" Target="https://www.garanteprivacy.it/documents/10160/0/Indagine+conoscitiva+sui+Big+Data.pdf/58490808-c024-bf04-7e4e-e953b3d38a9a?version=1.0" TargetMode="External"/><Relationship Id="rId44" Type="http://schemas.openxmlformats.org/officeDocument/2006/relationships/hyperlink" Target="https://www.senato.it/service/PDF/PDFServer/BGT/01124878.pdf" TargetMode="External"/><Relationship Id="rId52" Type="http://schemas.openxmlformats.org/officeDocument/2006/relationships/hyperlink" Target="https://www.iap.it/wp-content/uploads/2016/05/Digital-Chart-IAP-VERSIONE-ONLINE.pdf" TargetMode="External"/><Relationship Id="rId60" Type="http://schemas.openxmlformats.org/officeDocument/2006/relationships/hyperlink" Target="https://eur-lex.europa.eu/LexUriServ/LexUriServ.do?uri=CELEX:32004L0048R(01):IT:HTML" TargetMode="External"/><Relationship Id="rId65" Type="http://schemas.openxmlformats.org/officeDocument/2006/relationships/hyperlink" Target="https://eur-lex.europa.eu/legal-content/IT/TXT/HTML/?uri=CELEX:62016CJ0231&amp;from=it" TargetMode="External"/><Relationship Id="rId73" Type="http://schemas.openxmlformats.org/officeDocument/2006/relationships/hyperlink" Target="https://it.wikipedia.org/wiki/Clausola_contrattuale" TargetMode="External"/><Relationship Id="rId78" Type="http://schemas.openxmlformats.org/officeDocument/2006/relationships/hyperlink" Target="https://www.camera.it/application/xmanager/projects/leg18/attachments/upload_file_doc_acquisiti/pdfs/000/006/683/Memoria_Ministro_Colao_prot.pdf" TargetMode="External"/><Relationship Id="rId4" Type="http://schemas.openxmlformats.org/officeDocument/2006/relationships/hyperlink" Target="https://www.ilfoglio.it/cultura/2021/12/04/news/luciano-floridi-ci-spiega-cosa-c-e-di-antico-nell-intelligenza-artificiale-3426829/" TargetMode="External"/><Relationship Id="rId9" Type="http://schemas.openxmlformats.org/officeDocument/2006/relationships/hyperlink" Target="https://formiche.net/2021/12/intelligenza-artificiale-cina/" TargetMode="External"/><Relationship Id="rId13" Type="http://schemas.openxmlformats.org/officeDocument/2006/relationships/hyperlink" Target="https://www.ilfoglio.it/scienza/2021/09/18/video/-la-pandemia-ci-deve-far-ripensare-la-sanita-pubblica-parla-il-fisico-alessandro-vespignani-2951628/" TargetMode="External"/><Relationship Id="rId18" Type="http://schemas.openxmlformats.org/officeDocument/2006/relationships/hyperlink" Target="https://www.ilfoglio.it/tecnologia/2021/11/13/news/l-intelligenza-artificiale-che-platone-non-si-aspettava-vinceranno-gli-algoritmi--3356675/" TargetMode="External"/><Relationship Id="rId39" Type="http://schemas.openxmlformats.org/officeDocument/2006/relationships/hyperlink" Target="https://www.questionegiustizia.it/data/doc/2345/ordinanza-rg-648942019-forza-nuova-art700.pdf" TargetMode="External"/><Relationship Id="rId34" Type="http://schemas.openxmlformats.org/officeDocument/2006/relationships/hyperlink" Target="https://www.iusinitinere.it/liberta-di-espressione-facebook-e-movimenti-di-estrema-destra-provvedimenti-a-confronto-27066" TargetMode="External"/><Relationship Id="rId50" Type="http://schemas.openxmlformats.org/officeDocument/2006/relationships/hyperlink" Target="https://www.agcom.it/documents/10179/539471/Delibera+607-10-CONS/13bf547f-48e6-4f22-94f4-b82a46bb41e3?version=1.0&amp;targetExtension=pdf" TargetMode="External"/><Relationship Id="rId55" Type="http://schemas.openxmlformats.org/officeDocument/2006/relationships/hyperlink" Target="https://www.agcm.it/dotcmsCustom/tc/2024/6/getDominoAttach?urlStr=192.168.14.10:8080/C12560D000291394/0/E6B624BBD0F6A573C12584150049D1EE/$File/p27787.pdf" TargetMode="External"/><Relationship Id="rId76" Type="http://schemas.openxmlformats.org/officeDocument/2006/relationships/hyperlink" Target="https://www.blockchain4innovation.it/istituzioni-e-associazioni/cose-la-european-blockchain-partnership/" TargetMode="External"/><Relationship Id="rId7" Type="http://schemas.openxmlformats.org/officeDocument/2006/relationships/hyperlink" Target="https://hrdag.org/usa/" TargetMode="External"/><Relationship Id="rId71" Type="http://schemas.openxmlformats.org/officeDocument/2006/relationships/hyperlink" Target="https://en.wikipedia.org/wiki/Distributed_ledger" TargetMode="External"/><Relationship Id="rId2" Type="http://schemas.openxmlformats.org/officeDocument/2006/relationships/hyperlink" Target="https://www.ilfoglio.it/bandiera-bianca/2021/11/03/news/scommettiamo-che-tra-un-po-non-riusciremo-piu-a-superare-il-test-di-turing--3328633/" TargetMode="External"/><Relationship Id="rId29" Type="http://schemas.openxmlformats.org/officeDocument/2006/relationships/hyperlink" Target="https://privatebank.jpmorgan.com/content/dam/jpm-wm-aem/documents/JPM%20Wealth%20Journal_Article_2019-04_Applicazione%20del%20FATC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B6EB1-2781-4EDC-9BCC-32BA1BFA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251</Pages>
  <Words>88954</Words>
  <Characters>507041</Characters>
  <Application>Microsoft Office Word</Application>
  <DocSecurity>0</DocSecurity>
  <Lines>4225</Lines>
  <Paragraphs>1189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 Gaetana</dc:creator>
  <cp:keywords/>
  <dc:description/>
  <cp:lastModifiedBy>GIULIA ARCARI</cp:lastModifiedBy>
  <cp:revision>64</cp:revision>
  <dcterms:created xsi:type="dcterms:W3CDTF">2022-01-12T09:23:00Z</dcterms:created>
  <dcterms:modified xsi:type="dcterms:W3CDTF">2022-02-10T15:50:00Z</dcterms:modified>
</cp:coreProperties>
</file>